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424BA" w14:textId="77777777" w:rsidR="00E5323B" w:rsidRDefault="00F662F0" w:rsidP="00894C55">
      <w:pPr>
        <w:shd w:val="clear" w:color="auto" w:fill="FFFFFF"/>
        <w:spacing w:after="0" w:line="240" w:lineRule="auto"/>
        <w:jc w:val="center"/>
        <w:rPr>
          <w:rFonts w:ascii="Times New Roman" w:eastAsia="Times New Roman" w:hAnsi="Times New Roman"/>
          <w:b/>
          <w:bCs/>
          <w:sz w:val="24"/>
          <w:szCs w:val="24"/>
          <w:lang w:eastAsia="lv-LV"/>
        </w:rPr>
      </w:pPr>
      <w:r w:rsidRPr="00F662F0">
        <w:rPr>
          <w:rFonts w:ascii="Times New Roman" w:eastAsia="Times New Roman" w:hAnsi="Times New Roman"/>
          <w:b/>
          <w:bCs/>
          <w:sz w:val="24"/>
          <w:szCs w:val="24"/>
          <w:lang w:eastAsia="lv-LV"/>
        </w:rPr>
        <w:t>Ministru kabineta noteikumu projekta “Kārtība, kādā izvērtē pašvaldību izglītības iestāžu investīciju projektus valsts budžeta aizņēmuma saņemšanai” sākotnējās ietekmes novērtējuma ziņojums (anotācija)</w:t>
      </w:r>
    </w:p>
    <w:p w14:paraId="11C1BA02" w14:textId="77777777" w:rsidR="00F662F0" w:rsidRPr="000155D6" w:rsidRDefault="00F662F0" w:rsidP="00894C55">
      <w:pPr>
        <w:shd w:val="clear" w:color="auto" w:fill="FFFFFF"/>
        <w:spacing w:after="0" w:line="240" w:lineRule="auto"/>
        <w:jc w:val="center"/>
        <w:rPr>
          <w:rFonts w:ascii="Times New Roman" w:eastAsia="Times New Roman" w:hAnsi="Times New Roman"/>
          <w:b/>
          <w:b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A0737C" w:rsidRPr="00915126" w14:paraId="18BF37A3" w14:textId="77777777" w:rsidTr="441553D7">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0098850" w14:textId="77777777" w:rsidR="00655F2C" w:rsidRPr="000155D6" w:rsidRDefault="00E5323B" w:rsidP="00916BC9">
            <w:pPr>
              <w:spacing w:after="0" w:line="240" w:lineRule="auto"/>
              <w:jc w:val="center"/>
              <w:rPr>
                <w:rFonts w:ascii="Times New Roman" w:eastAsia="Times New Roman" w:hAnsi="Times New Roman"/>
                <w:b/>
                <w:bCs/>
                <w:iCs/>
                <w:sz w:val="24"/>
                <w:szCs w:val="24"/>
                <w:lang w:eastAsia="lv-LV"/>
              </w:rPr>
            </w:pPr>
            <w:r w:rsidRPr="000155D6">
              <w:rPr>
                <w:rFonts w:ascii="Times New Roman" w:eastAsia="Times New Roman" w:hAnsi="Times New Roman"/>
                <w:b/>
                <w:bCs/>
                <w:iCs/>
                <w:sz w:val="24"/>
                <w:szCs w:val="24"/>
                <w:lang w:eastAsia="lv-LV"/>
              </w:rPr>
              <w:t>Tiesību akta projekta anotācijas kopsavilkums</w:t>
            </w:r>
          </w:p>
        </w:tc>
      </w:tr>
      <w:tr w:rsidR="00A0737C" w:rsidRPr="00915126" w14:paraId="3C33FF7F" w14:textId="77777777" w:rsidTr="441553D7">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7AC62222" w14:textId="77777777" w:rsidR="00E5323B" w:rsidRPr="000155D6" w:rsidRDefault="3DAEB44B" w:rsidP="3DAEB44B">
            <w:pPr>
              <w:spacing w:after="0" w:line="240" w:lineRule="auto"/>
              <w:rPr>
                <w:rFonts w:ascii="Times New Roman" w:eastAsia="Times New Roman" w:hAnsi="Times New Roman"/>
                <w:sz w:val="24"/>
                <w:szCs w:val="24"/>
              </w:rPr>
            </w:pPr>
            <w:r w:rsidRPr="000155D6">
              <w:rPr>
                <w:rFonts w:ascii="Times New Roman" w:eastAsia="Times New Roman" w:hAnsi="Times New Roman"/>
                <w:sz w:val="24"/>
                <w:szCs w:val="24"/>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1E185BDA" w14:textId="77777777" w:rsidR="00B70BED" w:rsidRDefault="00313152" w:rsidP="00F662F0">
            <w:pPr>
              <w:spacing w:after="120" w:line="240" w:lineRule="auto"/>
              <w:jc w:val="both"/>
              <w:rPr>
                <w:rFonts w:ascii="Times New Roman" w:eastAsia="Arial" w:hAnsi="Times New Roman"/>
                <w:sz w:val="24"/>
                <w:szCs w:val="24"/>
              </w:rPr>
            </w:pPr>
            <w:r>
              <w:rPr>
                <w:rFonts w:ascii="Times New Roman" w:eastAsia="Times New Roman" w:hAnsi="Times New Roman"/>
                <w:sz w:val="24"/>
                <w:szCs w:val="24"/>
              </w:rPr>
              <w:t>N</w:t>
            </w:r>
            <w:r w:rsidR="00F662F0" w:rsidRPr="00F662F0">
              <w:rPr>
                <w:rFonts w:ascii="Times New Roman" w:eastAsia="Times New Roman" w:hAnsi="Times New Roman"/>
                <w:sz w:val="24"/>
                <w:szCs w:val="24"/>
              </w:rPr>
              <w:t xml:space="preserve">oteikumu projekta </w:t>
            </w:r>
            <w:r w:rsidR="441553D7" w:rsidRPr="000155D6">
              <w:rPr>
                <w:rFonts w:ascii="Times New Roman" w:eastAsia="Times New Roman" w:hAnsi="Times New Roman"/>
                <w:sz w:val="24"/>
                <w:szCs w:val="24"/>
              </w:rPr>
              <w:t xml:space="preserve">mērķis ir noteikt </w:t>
            </w:r>
            <w:r w:rsidR="00B70BED">
              <w:rPr>
                <w:rFonts w:ascii="Times New Roman" w:eastAsia="Times New Roman" w:hAnsi="Times New Roman"/>
                <w:sz w:val="24"/>
                <w:szCs w:val="24"/>
              </w:rPr>
              <w:t>kritērijus</w:t>
            </w:r>
            <w:r w:rsidR="001950E3" w:rsidRPr="00915126">
              <w:t xml:space="preserve"> </w:t>
            </w:r>
            <w:r w:rsidR="001950E3" w:rsidRPr="00915126">
              <w:rPr>
                <w:rFonts w:ascii="Times New Roman" w:hAnsi="Times New Roman"/>
                <w:sz w:val="24"/>
                <w:szCs w:val="24"/>
              </w:rPr>
              <w:t>un</w:t>
            </w:r>
            <w:r w:rsidR="001950E3" w:rsidRPr="00915126">
              <w:t xml:space="preserve"> </w:t>
            </w:r>
            <w:r w:rsidR="001950E3" w:rsidRPr="001950E3">
              <w:rPr>
                <w:rFonts w:ascii="Times New Roman" w:eastAsia="Times New Roman" w:hAnsi="Times New Roman"/>
                <w:sz w:val="24"/>
                <w:szCs w:val="24"/>
              </w:rPr>
              <w:t>kārtību</w:t>
            </w:r>
            <w:r w:rsidR="00B70BED">
              <w:rPr>
                <w:rFonts w:ascii="Times New Roman" w:eastAsia="Times New Roman" w:hAnsi="Times New Roman"/>
                <w:sz w:val="24"/>
                <w:szCs w:val="24"/>
              </w:rPr>
              <w:t xml:space="preserve">, </w:t>
            </w:r>
            <w:r w:rsidR="00B70BED" w:rsidRPr="00D54F22">
              <w:rPr>
                <w:rFonts w:ascii="Times New Roman" w:eastAsia="Arial" w:hAnsi="Times New Roman"/>
                <w:sz w:val="24"/>
                <w:szCs w:val="24"/>
              </w:rPr>
              <w:t>kādā Izglītības un zinātnes ministrija</w:t>
            </w:r>
            <w:r w:rsidR="00B70BED">
              <w:rPr>
                <w:rFonts w:ascii="Times New Roman" w:eastAsia="Arial" w:hAnsi="Times New Roman"/>
                <w:sz w:val="24"/>
                <w:szCs w:val="24"/>
              </w:rPr>
              <w:t xml:space="preserve"> (turpmāk – IZM)</w:t>
            </w:r>
            <w:r w:rsidR="00B70BED" w:rsidRPr="00D54F22">
              <w:rPr>
                <w:rFonts w:ascii="Times New Roman" w:eastAsia="Arial" w:hAnsi="Times New Roman"/>
                <w:sz w:val="24"/>
                <w:szCs w:val="24"/>
              </w:rPr>
              <w:t xml:space="preserve"> sadarbībā ar  Vides aizsardzības un reģionālās attīstības ministriju</w:t>
            </w:r>
            <w:r w:rsidR="00B70BED">
              <w:rPr>
                <w:rFonts w:ascii="Times New Roman" w:eastAsia="Arial" w:hAnsi="Times New Roman"/>
                <w:sz w:val="24"/>
                <w:szCs w:val="24"/>
              </w:rPr>
              <w:t xml:space="preserve"> (turpmāk – VARAM)</w:t>
            </w:r>
            <w:r w:rsidR="00B70BED" w:rsidRPr="00D54F22">
              <w:rPr>
                <w:rFonts w:ascii="Times New Roman" w:eastAsia="Arial" w:hAnsi="Times New Roman"/>
                <w:sz w:val="24"/>
                <w:szCs w:val="24"/>
              </w:rPr>
              <w:t xml:space="preserve"> izvērtē pašvaldību izglītības iestāžu investīciju projektus</w:t>
            </w:r>
            <w:r w:rsidR="00430785">
              <w:rPr>
                <w:rFonts w:ascii="Times New Roman" w:eastAsia="Arial" w:hAnsi="Times New Roman"/>
                <w:sz w:val="24"/>
                <w:szCs w:val="24"/>
              </w:rPr>
              <w:t xml:space="preserve">, kas nodrošina ilgtspējīgas </w:t>
            </w:r>
            <w:r w:rsidR="00425767">
              <w:rPr>
                <w:rFonts w:ascii="Times New Roman" w:eastAsia="Arial" w:hAnsi="Times New Roman"/>
                <w:sz w:val="24"/>
                <w:szCs w:val="24"/>
              </w:rPr>
              <w:t>izglītības funkcijas nodrošināšanu,</w:t>
            </w:r>
            <w:r w:rsidR="00B70BED">
              <w:rPr>
                <w:rFonts w:ascii="Times New Roman" w:eastAsia="Arial" w:hAnsi="Times New Roman"/>
                <w:sz w:val="24"/>
                <w:szCs w:val="24"/>
              </w:rPr>
              <w:t xml:space="preserve"> valsts budžeta aizņēmuma saņemšanai</w:t>
            </w:r>
            <w:r w:rsidR="00480010">
              <w:rPr>
                <w:rFonts w:ascii="Times New Roman" w:eastAsia="Arial" w:hAnsi="Times New Roman"/>
                <w:sz w:val="24"/>
                <w:szCs w:val="24"/>
              </w:rPr>
              <w:t xml:space="preserve"> (turpmāk – investīciju projekts)</w:t>
            </w:r>
            <w:r w:rsidR="00B70BED">
              <w:rPr>
                <w:rFonts w:ascii="Times New Roman" w:eastAsia="Arial" w:hAnsi="Times New Roman"/>
                <w:sz w:val="24"/>
                <w:szCs w:val="24"/>
              </w:rPr>
              <w:t>.</w:t>
            </w:r>
          </w:p>
          <w:p w14:paraId="27888A72" w14:textId="77777777" w:rsidR="00E719B2" w:rsidRPr="000155D6" w:rsidRDefault="3DAEB44B" w:rsidP="00F662F0">
            <w:pPr>
              <w:spacing w:after="120" w:line="240" w:lineRule="auto"/>
              <w:jc w:val="both"/>
              <w:rPr>
                <w:rFonts w:ascii="Times New Roman" w:eastAsia="Times New Roman" w:hAnsi="Times New Roman"/>
                <w:sz w:val="24"/>
                <w:szCs w:val="24"/>
              </w:rPr>
            </w:pPr>
            <w:r w:rsidRPr="000155D6">
              <w:rPr>
                <w:rFonts w:ascii="Times New Roman" w:eastAsia="Times New Roman" w:hAnsi="Times New Roman"/>
                <w:sz w:val="24"/>
                <w:szCs w:val="24"/>
              </w:rPr>
              <w:t>Noteikumu projekts stājas spēkā Oficiālo publikāciju un tiesiskās informācijas likuma 7. panta otrajā daļā noteiktajā kārtībā.</w:t>
            </w:r>
          </w:p>
        </w:tc>
      </w:tr>
    </w:tbl>
    <w:p w14:paraId="31DD7AF0" w14:textId="77777777" w:rsidR="00E5323B" w:rsidRPr="000155D6" w:rsidRDefault="3DAEB44B" w:rsidP="3DAEB44B">
      <w:pPr>
        <w:spacing w:after="0" w:line="240" w:lineRule="auto"/>
        <w:rPr>
          <w:rFonts w:ascii="Times New Roman" w:eastAsia="Times New Roman" w:hAnsi="Times New Roman"/>
          <w:sz w:val="24"/>
          <w:szCs w:val="24"/>
        </w:rPr>
      </w:pPr>
      <w:r w:rsidRPr="000155D6">
        <w:rPr>
          <w:rFonts w:ascii="Times New Roman" w:eastAsia="Times New Roman" w:hAnsi="Times New Roman"/>
          <w:sz w:val="24"/>
          <w:szCs w:val="24"/>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0737C" w:rsidRPr="00915126" w14:paraId="679919D0" w14:textId="77777777" w:rsidTr="07C8E3B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8C20DD3" w14:textId="77777777" w:rsidR="00655F2C" w:rsidRPr="00916BC9" w:rsidRDefault="3DAEB44B" w:rsidP="00916BC9">
            <w:pPr>
              <w:spacing w:after="0" w:line="240" w:lineRule="auto"/>
              <w:jc w:val="center"/>
              <w:rPr>
                <w:rFonts w:ascii="Times New Roman" w:eastAsia="Times New Roman" w:hAnsi="Times New Roman"/>
                <w:b/>
                <w:bCs/>
                <w:sz w:val="24"/>
                <w:szCs w:val="24"/>
              </w:rPr>
            </w:pPr>
            <w:r w:rsidRPr="00916BC9">
              <w:rPr>
                <w:rFonts w:ascii="Times New Roman" w:eastAsia="Times New Roman" w:hAnsi="Times New Roman"/>
                <w:b/>
                <w:bCs/>
                <w:sz w:val="24"/>
                <w:szCs w:val="24"/>
              </w:rPr>
              <w:t>I. Tiesību akta projekta izstrādes nepieciešamība</w:t>
            </w:r>
          </w:p>
        </w:tc>
      </w:tr>
      <w:tr w:rsidR="00A0737C" w:rsidRPr="00915126" w14:paraId="67886FD5" w14:textId="77777777" w:rsidTr="07C8E3B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780294F" w14:textId="77777777" w:rsidR="00655F2C" w:rsidRPr="000155D6" w:rsidRDefault="3DAEB44B" w:rsidP="3DAEB44B">
            <w:pPr>
              <w:spacing w:after="0" w:line="240" w:lineRule="auto"/>
              <w:rPr>
                <w:rFonts w:ascii="Times New Roman" w:eastAsia="Times New Roman" w:hAnsi="Times New Roman"/>
                <w:sz w:val="24"/>
                <w:szCs w:val="24"/>
              </w:rPr>
            </w:pPr>
            <w:r w:rsidRPr="000155D6">
              <w:rPr>
                <w:rFonts w:ascii="Times New Roman" w:eastAsia="Times New Roman" w:hAnsi="Times New Roman"/>
                <w:sz w:val="24"/>
                <w:szCs w:val="24"/>
              </w:rPr>
              <w:t>1.</w:t>
            </w:r>
          </w:p>
        </w:tc>
        <w:tc>
          <w:tcPr>
            <w:tcW w:w="1700" w:type="pct"/>
            <w:tcBorders>
              <w:top w:val="outset" w:sz="6" w:space="0" w:color="auto"/>
              <w:left w:val="outset" w:sz="6" w:space="0" w:color="auto"/>
              <w:bottom w:val="outset" w:sz="6" w:space="0" w:color="auto"/>
              <w:right w:val="outset" w:sz="6" w:space="0" w:color="auto"/>
            </w:tcBorders>
            <w:hideMark/>
          </w:tcPr>
          <w:p w14:paraId="0ABDB95C" w14:textId="77777777" w:rsidR="00E5323B" w:rsidRPr="000155D6" w:rsidRDefault="3DAEB44B" w:rsidP="3DAEB44B">
            <w:pPr>
              <w:spacing w:after="0" w:line="240" w:lineRule="auto"/>
              <w:rPr>
                <w:rFonts w:ascii="Times New Roman" w:eastAsia="Times New Roman" w:hAnsi="Times New Roman"/>
                <w:sz w:val="24"/>
                <w:szCs w:val="24"/>
              </w:rPr>
            </w:pPr>
            <w:r w:rsidRPr="000155D6">
              <w:rPr>
                <w:rFonts w:ascii="Times New Roman" w:eastAsia="Times New Roman" w:hAnsi="Times New Roman"/>
                <w:sz w:val="24"/>
                <w:szCs w:val="24"/>
              </w:rPr>
              <w:t>Pamatojums</w:t>
            </w:r>
          </w:p>
        </w:tc>
        <w:tc>
          <w:tcPr>
            <w:tcW w:w="3000" w:type="pct"/>
            <w:tcBorders>
              <w:top w:val="outset" w:sz="6" w:space="0" w:color="auto"/>
              <w:left w:val="outset" w:sz="6" w:space="0" w:color="auto"/>
              <w:bottom w:val="outset" w:sz="6" w:space="0" w:color="auto"/>
              <w:right w:val="outset" w:sz="6" w:space="0" w:color="auto"/>
            </w:tcBorders>
          </w:tcPr>
          <w:p w14:paraId="2B7CA310" w14:textId="77777777" w:rsidR="00E5323B" w:rsidRPr="000155D6" w:rsidRDefault="441553D7" w:rsidP="00B70BED">
            <w:pPr>
              <w:spacing w:after="0" w:line="240" w:lineRule="auto"/>
              <w:jc w:val="both"/>
              <w:rPr>
                <w:rFonts w:ascii="Times New Roman" w:eastAsia="Times New Roman" w:hAnsi="Times New Roman"/>
                <w:sz w:val="24"/>
                <w:szCs w:val="24"/>
              </w:rPr>
            </w:pPr>
            <w:r w:rsidRPr="000155D6">
              <w:rPr>
                <w:rFonts w:ascii="Times New Roman" w:eastAsia="Times New Roman" w:hAnsi="Times New Roman"/>
                <w:sz w:val="24"/>
                <w:szCs w:val="24"/>
              </w:rPr>
              <w:t xml:space="preserve">Likuma “Par valsts budžetu 2021.gadam” 12. panta trešās daļas </w:t>
            </w:r>
            <w:r w:rsidR="00B70BED">
              <w:rPr>
                <w:rFonts w:ascii="Times New Roman" w:eastAsia="Times New Roman" w:hAnsi="Times New Roman"/>
                <w:sz w:val="24"/>
                <w:szCs w:val="24"/>
              </w:rPr>
              <w:t>2</w:t>
            </w:r>
            <w:r w:rsidRPr="000155D6">
              <w:rPr>
                <w:rFonts w:ascii="Times New Roman" w:eastAsia="Times New Roman" w:hAnsi="Times New Roman"/>
                <w:sz w:val="24"/>
                <w:szCs w:val="24"/>
              </w:rPr>
              <w:t>. punkts.</w:t>
            </w:r>
          </w:p>
        </w:tc>
      </w:tr>
      <w:tr w:rsidR="00A0737C" w:rsidRPr="00915126" w14:paraId="390D14FF" w14:textId="77777777" w:rsidTr="07C8E3B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837221B" w14:textId="77777777" w:rsidR="00655F2C" w:rsidRPr="000155D6" w:rsidRDefault="3DAEB44B" w:rsidP="3DAEB44B">
            <w:pPr>
              <w:spacing w:after="0" w:line="240" w:lineRule="auto"/>
              <w:rPr>
                <w:rFonts w:ascii="Times New Roman" w:eastAsia="Times New Roman" w:hAnsi="Times New Roman"/>
                <w:sz w:val="24"/>
                <w:szCs w:val="24"/>
              </w:rPr>
            </w:pPr>
            <w:r w:rsidRPr="000155D6">
              <w:rPr>
                <w:rFonts w:ascii="Times New Roman" w:eastAsia="Times New Roman" w:hAnsi="Times New Roman"/>
                <w:sz w:val="24"/>
                <w:szCs w:val="24"/>
              </w:rPr>
              <w:t>2.</w:t>
            </w:r>
          </w:p>
        </w:tc>
        <w:tc>
          <w:tcPr>
            <w:tcW w:w="1700" w:type="pct"/>
            <w:tcBorders>
              <w:top w:val="outset" w:sz="6" w:space="0" w:color="auto"/>
              <w:left w:val="outset" w:sz="6" w:space="0" w:color="auto"/>
              <w:bottom w:val="outset" w:sz="6" w:space="0" w:color="auto"/>
              <w:right w:val="outset" w:sz="6" w:space="0" w:color="auto"/>
            </w:tcBorders>
            <w:hideMark/>
          </w:tcPr>
          <w:p w14:paraId="76245CF1" w14:textId="77777777" w:rsidR="00E5323B" w:rsidRPr="000155D6" w:rsidRDefault="3DAEB44B" w:rsidP="3DAEB44B">
            <w:pPr>
              <w:spacing w:after="0" w:line="240" w:lineRule="auto"/>
              <w:rPr>
                <w:rFonts w:ascii="Times New Roman" w:eastAsia="Times New Roman" w:hAnsi="Times New Roman"/>
                <w:sz w:val="24"/>
                <w:szCs w:val="24"/>
              </w:rPr>
            </w:pPr>
            <w:r w:rsidRPr="000155D6">
              <w:rPr>
                <w:rFonts w:ascii="Times New Roman" w:eastAsia="Times New Roman" w:hAnsi="Times New Roman"/>
                <w:sz w:val="24"/>
                <w:szCs w:val="24"/>
              </w:rPr>
              <w:t>Pašreizējā situācija un problēmas, kuru risināšanai tiesību akta projekts izstrādāts, tiesiskā regulējuma mērķis un būtība</w:t>
            </w:r>
          </w:p>
        </w:tc>
        <w:tc>
          <w:tcPr>
            <w:tcW w:w="3000" w:type="pct"/>
            <w:tcBorders>
              <w:top w:val="outset" w:sz="6" w:space="0" w:color="auto"/>
              <w:left w:val="outset" w:sz="6" w:space="0" w:color="auto"/>
              <w:bottom w:val="outset" w:sz="6" w:space="0" w:color="auto"/>
              <w:right w:val="outset" w:sz="6" w:space="0" w:color="auto"/>
            </w:tcBorders>
          </w:tcPr>
          <w:p w14:paraId="6C0E828F" w14:textId="77777777" w:rsidR="00991B89" w:rsidRDefault="007557BD" w:rsidP="00B233DA">
            <w:pPr>
              <w:spacing w:after="120" w:line="240" w:lineRule="auto"/>
              <w:jc w:val="both"/>
              <w:rPr>
                <w:rFonts w:ascii="Times New Roman" w:eastAsia="Times New Roman" w:hAnsi="Times New Roman"/>
                <w:sz w:val="24"/>
                <w:szCs w:val="24"/>
              </w:rPr>
            </w:pPr>
            <w:r w:rsidRPr="007557BD">
              <w:rPr>
                <w:rFonts w:ascii="Times New Roman" w:eastAsia="Times New Roman" w:hAnsi="Times New Roman"/>
                <w:sz w:val="24"/>
                <w:szCs w:val="24"/>
              </w:rPr>
              <w:t>Izglītības attīstības pamatnost</w:t>
            </w:r>
            <w:r w:rsidR="00B233DA">
              <w:rPr>
                <w:rFonts w:ascii="Times New Roman" w:eastAsia="Times New Roman" w:hAnsi="Times New Roman"/>
                <w:sz w:val="24"/>
                <w:szCs w:val="24"/>
              </w:rPr>
              <w:t>ādnēs 2021.</w:t>
            </w:r>
            <w:r w:rsidR="0021058C">
              <w:rPr>
                <w:rFonts w:ascii="Times New Roman" w:eastAsia="Times New Roman" w:hAnsi="Times New Roman"/>
                <w:sz w:val="24"/>
                <w:szCs w:val="24"/>
              </w:rPr>
              <w:t xml:space="preserve"> – </w:t>
            </w:r>
            <w:r w:rsidR="00B233DA">
              <w:rPr>
                <w:rFonts w:ascii="Times New Roman" w:eastAsia="Times New Roman" w:hAnsi="Times New Roman"/>
                <w:sz w:val="24"/>
                <w:szCs w:val="24"/>
              </w:rPr>
              <w:t>2027.</w:t>
            </w:r>
            <w:r w:rsidR="00845049">
              <w:rPr>
                <w:rFonts w:ascii="Times New Roman" w:eastAsia="Times New Roman" w:hAnsi="Times New Roman"/>
                <w:sz w:val="24"/>
                <w:szCs w:val="24"/>
              </w:rPr>
              <w:t> </w:t>
            </w:r>
            <w:r w:rsidR="00B233DA">
              <w:rPr>
                <w:rFonts w:ascii="Times New Roman" w:eastAsia="Times New Roman" w:hAnsi="Times New Roman"/>
                <w:sz w:val="24"/>
                <w:szCs w:val="24"/>
              </w:rPr>
              <w:t xml:space="preserve">gadam </w:t>
            </w:r>
            <w:r w:rsidR="002A06D1">
              <w:rPr>
                <w:rFonts w:ascii="Times New Roman" w:eastAsia="Times New Roman" w:hAnsi="Times New Roman"/>
                <w:sz w:val="24"/>
                <w:szCs w:val="24"/>
              </w:rPr>
              <w:t xml:space="preserve">„Nākotnes prasmes nākotnes sabiedrībai” </w:t>
            </w:r>
            <w:r w:rsidR="00B233DA">
              <w:rPr>
                <w:rFonts w:ascii="Times New Roman" w:eastAsia="Times New Roman" w:hAnsi="Times New Roman"/>
                <w:sz w:val="24"/>
                <w:szCs w:val="24"/>
              </w:rPr>
              <w:t>(projektā</w:t>
            </w:r>
            <w:r w:rsidRPr="007557BD">
              <w:rPr>
                <w:rFonts w:ascii="Times New Roman" w:eastAsia="Times New Roman" w:hAnsi="Times New Roman"/>
                <w:sz w:val="24"/>
                <w:szCs w:val="24"/>
              </w:rPr>
              <w:t>) ir uzsvērta īpaša nozīme mācību vides sakārtošanai un</w:t>
            </w:r>
            <w:r w:rsidR="0040326C">
              <w:rPr>
                <w:rFonts w:ascii="Times New Roman" w:eastAsia="Times New Roman" w:hAnsi="Times New Roman"/>
                <w:sz w:val="24"/>
                <w:szCs w:val="24"/>
              </w:rPr>
              <w:t xml:space="preserve"> infrastruktūras modernizācijai, </w:t>
            </w:r>
            <w:r w:rsidR="00110ADB">
              <w:rPr>
                <w:rFonts w:ascii="Times New Roman" w:eastAsia="Times New Roman" w:hAnsi="Times New Roman"/>
                <w:sz w:val="24"/>
                <w:szCs w:val="24"/>
              </w:rPr>
              <w:t>cita starpā nosakot p</w:t>
            </w:r>
            <w:r w:rsidR="00110ADB" w:rsidRPr="00110ADB">
              <w:rPr>
                <w:rFonts w:ascii="Times New Roman" w:eastAsia="Times New Roman" w:hAnsi="Times New Roman"/>
                <w:sz w:val="24"/>
                <w:szCs w:val="24"/>
              </w:rPr>
              <w:t>ašvaldīb</w:t>
            </w:r>
            <w:r w:rsidR="00B233DA">
              <w:rPr>
                <w:rFonts w:ascii="Times New Roman" w:eastAsia="Times New Roman" w:hAnsi="Times New Roman"/>
                <w:sz w:val="24"/>
                <w:szCs w:val="24"/>
              </w:rPr>
              <w:t>u</w:t>
            </w:r>
            <w:r w:rsidR="00110ADB" w:rsidRPr="00110ADB">
              <w:rPr>
                <w:rFonts w:ascii="Times New Roman" w:eastAsia="Times New Roman" w:hAnsi="Times New Roman"/>
                <w:sz w:val="24"/>
                <w:szCs w:val="24"/>
              </w:rPr>
              <w:t xml:space="preserve"> kā </w:t>
            </w:r>
            <w:r w:rsidR="00110ADB">
              <w:rPr>
                <w:rFonts w:ascii="Times New Roman" w:eastAsia="Times New Roman" w:hAnsi="Times New Roman"/>
                <w:sz w:val="24"/>
                <w:szCs w:val="24"/>
              </w:rPr>
              <w:t>izglītības iestāžu dibinātāja atbildību</w:t>
            </w:r>
            <w:r w:rsidR="00110ADB" w:rsidRPr="00110ADB">
              <w:rPr>
                <w:rFonts w:ascii="Times New Roman" w:eastAsia="Times New Roman" w:hAnsi="Times New Roman"/>
                <w:sz w:val="24"/>
                <w:szCs w:val="24"/>
              </w:rPr>
              <w:t xml:space="preserve"> par savas teritorijas izglītības iestāžu tīkla attīstību, pielāgošanu esošajai situācijai</w:t>
            </w:r>
            <w:r w:rsidR="00110ADB">
              <w:rPr>
                <w:rFonts w:ascii="Times New Roman" w:eastAsia="Times New Roman" w:hAnsi="Times New Roman"/>
                <w:sz w:val="24"/>
                <w:szCs w:val="24"/>
              </w:rPr>
              <w:t xml:space="preserve">, nodrošinot </w:t>
            </w:r>
            <w:r w:rsidR="0040326C" w:rsidRPr="0040326C">
              <w:rPr>
                <w:rFonts w:ascii="Times New Roman" w:eastAsia="Times New Roman" w:hAnsi="Times New Roman"/>
                <w:sz w:val="24"/>
                <w:szCs w:val="24"/>
              </w:rPr>
              <w:t>efektīvu resursu izmantošanu un koncentrāciju</w:t>
            </w:r>
            <w:r w:rsidR="00110ADB">
              <w:rPr>
                <w:rFonts w:ascii="Times New Roman" w:eastAsia="Times New Roman" w:hAnsi="Times New Roman"/>
                <w:sz w:val="24"/>
                <w:szCs w:val="24"/>
              </w:rPr>
              <w:t>.</w:t>
            </w:r>
            <w:r w:rsidR="0040326C">
              <w:rPr>
                <w:rFonts w:ascii="Times New Roman" w:eastAsia="Times New Roman" w:hAnsi="Times New Roman"/>
                <w:sz w:val="24"/>
                <w:szCs w:val="24"/>
              </w:rPr>
              <w:t xml:space="preserve"> </w:t>
            </w:r>
            <w:r w:rsidRPr="007557BD">
              <w:rPr>
                <w:rFonts w:ascii="Times New Roman" w:eastAsia="Times New Roman" w:hAnsi="Times New Roman"/>
                <w:sz w:val="24"/>
                <w:szCs w:val="24"/>
              </w:rPr>
              <w:t>Eiropas Savienības fondu 2014.</w:t>
            </w:r>
            <w:r w:rsidR="0021058C">
              <w:rPr>
                <w:rFonts w:ascii="Times New Roman" w:eastAsia="Times New Roman" w:hAnsi="Times New Roman"/>
                <w:sz w:val="24"/>
                <w:szCs w:val="24"/>
              </w:rPr>
              <w:t xml:space="preserve"> – </w:t>
            </w:r>
            <w:r w:rsidRPr="007557BD">
              <w:rPr>
                <w:rFonts w:ascii="Times New Roman" w:eastAsia="Times New Roman" w:hAnsi="Times New Roman"/>
                <w:sz w:val="24"/>
                <w:szCs w:val="24"/>
              </w:rPr>
              <w:t>2020.</w:t>
            </w:r>
            <w:r w:rsidR="00845049">
              <w:rPr>
                <w:rFonts w:ascii="Times New Roman" w:eastAsia="Times New Roman" w:hAnsi="Times New Roman"/>
                <w:sz w:val="24"/>
                <w:szCs w:val="24"/>
              </w:rPr>
              <w:t> </w:t>
            </w:r>
            <w:r w:rsidRPr="007557BD">
              <w:rPr>
                <w:rFonts w:ascii="Times New Roman" w:eastAsia="Times New Roman" w:hAnsi="Times New Roman"/>
                <w:sz w:val="24"/>
                <w:szCs w:val="24"/>
              </w:rPr>
              <w:t>gada plānošanas periodā finansējums minēto darbību īstenošanai ir ierobežotam pašvaldību lokam</w:t>
            </w:r>
            <w:r w:rsidR="00976F4C">
              <w:rPr>
                <w:rFonts w:ascii="Times New Roman" w:eastAsia="Times New Roman" w:hAnsi="Times New Roman"/>
                <w:sz w:val="24"/>
                <w:szCs w:val="24"/>
              </w:rPr>
              <w:t>, s</w:t>
            </w:r>
            <w:r w:rsidR="000D08B3">
              <w:rPr>
                <w:rFonts w:ascii="Times New Roman" w:eastAsia="Times New Roman" w:hAnsi="Times New Roman"/>
                <w:sz w:val="24"/>
                <w:szCs w:val="24"/>
              </w:rPr>
              <w:t>a</w:t>
            </w:r>
            <w:r w:rsidRPr="007557BD">
              <w:rPr>
                <w:rFonts w:ascii="Times New Roman" w:eastAsia="Times New Roman" w:hAnsi="Times New Roman"/>
                <w:sz w:val="24"/>
                <w:szCs w:val="24"/>
              </w:rPr>
              <w:t>vukārt Eiropas Savienības fondu 2021.</w:t>
            </w:r>
            <w:r w:rsidR="0021058C">
              <w:rPr>
                <w:rFonts w:ascii="Times New Roman" w:eastAsia="Times New Roman" w:hAnsi="Times New Roman"/>
                <w:sz w:val="24"/>
                <w:szCs w:val="24"/>
              </w:rPr>
              <w:t xml:space="preserve"> – </w:t>
            </w:r>
            <w:r w:rsidRPr="007557BD">
              <w:rPr>
                <w:rFonts w:ascii="Times New Roman" w:eastAsia="Times New Roman" w:hAnsi="Times New Roman"/>
                <w:sz w:val="24"/>
                <w:szCs w:val="24"/>
              </w:rPr>
              <w:t>2027.</w:t>
            </w:r>
            <w:r w:rsidR="0021058C">
              <w:rPr>
                <w:rFonts w:ascii="Times New Roman" w:eastAsia="Times New Roman" w:hAnsi="Times New Roman"/>
                <w:sz w:val="24"/>
                <w:szCs w:val="24"/>
              </w:rPr>
              <w:t xml:space="preserve"> </w:t>
            </w:r>
            <w:r w:rsidRPr="007557BD">
              <w:rPr>
                <w:rFonts w:ascii="Times New Roman" w:eastAsia="Times New Roman" w:hAnsi="Times New Roman"/>
                <w:sz w:val="24"/>
                <w:szCs w:val="24"/>
              </w:rPr>
              <w:t>gada plānošanas periodā minēto darbību īstenošanai ir ierobežots finansējums kopumā.</w:t>
            </w:r>
          </w:p>
          <w:p w14:paraId="5DB00B56" w14:textId="77777777" w:rsidR="00FD153F" w:rsidRDefault="008A60E3" w:rsidP="00B233D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Noteikumu projekts attiecināms uz pašvaldību dibinātām izglītības iestādēm, </w:t>
            </w:r>
            <w:r w:rsidRPr="008A60E3">
              <w:rPr>
                <w:rFonts w:ascii="Times New Roman" w:eastAsia="Times New Roman" w:hAnsi="Times New Roman"/>
                <w:sz w:val="24"/>
                <w:szCs w:val="24"/>
              </w:rPr>
              <w:t>tai skaitā</w:t>
            </w:r>
            <w:r w:rsidR="00A349EB">
              <w:rPr>
                <w:rFonts w:ascii="Times New Roman" w:eastAsia="Times New Roman" w:hAnsi="Times New Roman"/>
                <w:sz w:val="24"/>
                <w:szCs w:val="24"/>
              </w:rPr>
              <w:t>:</w:t>
            </w:r>
            <w:r w:rsidR="00B2099C">
              <w:rPr>
                <w:rFonts w:ascii="Times New Roman" w:eastAsia="Times New Roman" w:hAnsi="Times New Roman"/>
                <w:sz w:val="24"/>
                <w:szCs w:val="24"/>
              </w:rPr>
              <w:t xml:space="preserve"> vispārējās izglītības iestādēm,</w:t>
            </w:r>
            <w:r w:rsidRPr="008A60E3">
              <w:rPr>
                <w:rFonts w:ascii="Times New Roman" w:eastAsia="Times New Roman" w:hAnsi="Times New Roman"/>
                <w:sz w:val="24"/>
                <w:szCs w:val="24"/>
              </w:rPr>
              <w:t xml:space="preserve"> izglītības iestā</w:t>
            </w:r>
            <w:r w:rsidR="000D7BD8">
              <w:rPr>
                <w:rFonts w:ascii="Times New Roman" w:eastAsia="Times New Roman" w:hAnsi="Times New Roman"/>
                <w:sz w:val="24"/>
                <w:szCs w:val="24"/>
              </w:rPr>
              <w:t>dēm</w:t>
            </w:r>
            <w:r w:rsidRPr="008A60E3">
              <w:rPr>
                <w:rFonts w:ascii="Times New Roman" w:eastAsia="Times New Roman" w:hAnsi="Times New Roman"/>
                <w:sz w:val="24"/>
                <w:szCs w:val="24"/>
              </w:rPr>
              <w:t>, kas īsteno mākslas, mūzikas vai dejas</w:t>
            </w:r>
            <w:r w:rsidR="00A349EB">
              <w:rPr>
                <w:rFonts w:ascii="Times New Roman" w:eastAsia="Times New Roman" w:hAnsi="Times New Roman"/>
                <w:sz w:val="24"/>
                <w:szCs w:val="24"/>
              </w:rPr>
              <w:t>,</w:t>
            </w:r>
            <w:r w:rsidRPr="008A60E3">
              <w:rPr>
                <w:rFonts w:ascii="Times New Roman" w:eastAsia="Times New Roman" w:hAnsi="Times New Roman"/>
                <w:sz w:val="24"/>
                <w:szCs w:val="24"/>
              </w:rPr>
              <w:t xml:space="preserve"> profesionālās ievirzes izglītības programmas</w:t>
            </w:r>
            <w:r w:rsidR="000D2A1F">
              <w:rPr>
                <w:rFonts w:ascii="Times New Roman" w:eastAsia="Times New Roman" w:hAnsi="Times New Roman"/>
                <w:sz w:val="24"/>
                <w:szCs w:val="24"/>
              </w:rPr>
              <w:t>,</w:t>
            </w:r>
            <w:r w:rsidR="00A349EB">
              <w:rPr>
                <w:rFonts w:ascii="Times New Roman" w:eastAsia="Times New Roman" w:hAnsi="Times New Roman"/>
                <w:sz w:val="24"/>
                <w:szCs w:val="24"/>
              </w:rPr>
              <w:t xml:space="preserve"> izglītības iestādēm, </w:t>
            </w:r>
            <w:r w:rsidR="000D7BD8">
              <w:rPr>
                <w:rFonts w:ascii="Times New Roman" w:eastAsia="Times New Roman" w:hAnsi="Times New Roman"/>
                <w:sz w:val="24"/>
                <w:szCs w:val="24"/>
              </w:rPr>
              <w:t xml:space="preserve">kas īsteno sporta </w:t>
            </w:r>
            <w:r w:rsidR="000D7BD8" w:rsidRPr="000D7BD8">
              <w:rPr>
                <w:rFonts w:ascii="Times New Roman" w:eastAsia="Times New Roman" w:hAnsi="Times New Roman"/>
                <w:sz w:val="24"/>
                <w:szCs w:val="24"/>
              </w:rPr>
              <w:t>profesionālās ievirzes izglītības programmas</w:t>
            </w:r>
            <w:r w:rsidR="00A349EB">
              <w:rPr>
                <w:rFonts w:ascii="Times New Roman" w:eastAsia="Times New Roman" w:hAnsi="Times New Roman"/>
                <w:sz w:val="24"/>
                <w:szCs w:val="24"/>
              </w:rPr>
              <w:t xml:space="preserve"> un pašvaldību dibinātām profesionālās izglītības iestādēm. </w:t>
            </w:r>
          </w:p>
          <w:p w14:paraId="03B38F48" w14:textId="6E82CB8A" w:rsidR="008A60E3" w:rsidRDefault="00A349EB" w:rsidP="00B233D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Noteikumu projekts nav attiecināms uz pašvaldību dibinātām pirmsskolas izglītības iestādēm</w:t>
            </w:r>
            <w:r w:rsidR="00CF6C0F">
              <w:rPr>
                <w:rFonts w:ascii="Times New Roman" w:eastAsia="Times New Roman" w:hAnsi="Times New Roman"/>
                <w:sz w:val="24"/>
                <w:szCs w:val="24"/>
              </w:rPr>
              <w:t xml:space="preserve">, ņemot vērā, ka pirmsskolas izglītības iestādēm paredzētie valsts budžeta aizņēmumu nosacījumi ir </w:t>
            </w:r>
            <w:r w:rsidR="001025AE" w:rsidRPr="001025AE">
              <w:rPr>
                <w:rFonts w:ascii="Times New Roman" w:eastAsia="Times New Roman" w:hAnsi="Times New Roman"/>
                <w:b/>
                <w:sz w:val="24"/>
                <w:szCs w:val="24"/>
              </w:rPr>
              <w:t>jau</w:t>
            </w:r>
            <w:r w:rsidR="001025AE">
              <w:rPr>
                <w:rFonts w:ascii="Times New Roman" w:eastAsia="Times New Roman" w:hAnsi="Times New Roman"/>
                <w:sz w:val="24"/>
                <w:szCs w:val="24"/>
              </w:rPr>
              <w:t xml:space="preserve"> </w:t>
            </w:r>
            <w:r w:rsidR="00CF6C0F">
              <w:rPr>
                <w:rFonts w:ascii="Times New Roman" w:eastAsia="Times New Roman" w:hAnsi="Times New Roman"/>
                <w:sz w:val="24"/>
                <w:szCs w:val="24"/>
              </w:rPr>
              <w:t xml:space="preserve">noteikti </w:t>
            </w:r>
            <w:r w:rsidR="001F5A1F" w:rsidRPr="001F5A1F">
              <w:rPr>
                <w:rFonts w:ascii="Times New Roman" w:eastAsia="Times New Roman" w:hAnsi="Times New Roman"/>
                <w:b/>
                <w:sz w:val="24"/>
                <w:szCs w:val="24"/>
              </w:rPr>
              <w:t>divos</w:t>
            </w:r>
            <w:r w:rsidR="001F5A1F">
              <w:rPr>
                <w:rFonts w:ascii="Times New Roman" w:eastAsia="Times New Roman" w:hAnsi="Times New Roman"/>
                <w:sz w:val="24"/>
                <w:szCs w:val="24"/>
              </w:rPr>
              <w:t xml:space="preserve"> </w:t>
            </w:r>
            <w:r w:rsidR="00FD153F">
              <w:rPr>
                <w:rFonts w:ascii="Times New Roman" w:eastAsia="Times New Roman" w:hAnsi="Times New Roman"/>
                <w:sz w:val="24"/>
                <w:szCs w:val="24"/>
              </w:rPr>
              <w:t>VARAM</w:t>
            </w:r>
            <w:r w:rsidR="00CF6C0F">
              <w:rPr>
                <w:rFonts w:ascii="Times New Roman" w:eastAsia="Times New Roman" w:hAnsi="Times New Roman"/>
                <w:sz w:val="24"/>
                <w:szCs w:val="24"/>
              </w:rPr>
              <w:t xml:space="preserve"> izstrādātajos Ministru kabineta noteikumos</w:t>
            </w:r>
            <w:r w:rsidR="00D85A48">
              <w:rPr>
                <w:rFonts w:ascii="Times New Roman" w:eastAsia="Times New Roman" w:hAnsi="Times New Roman"/>
                <w:sz w:val="24"/>
                <w:szCs w:val="24"/>
              </w:rPr>
              <w:t xml:space="preserve"> </w:t>
            </w:r>
            <w:r w:rsidR="00D85A48" w:rsidRPr="00E86D6B">
              <w:rPr>
                <w:rFonts w:ascii="Times New Roman" w:eastAsia="Times New Roman" w:hAnsi="Times New Roman"/>
                <w:b/>
                <w:sz w:val="24"/>
                <w:szCs w:val="24"/>
              </w:rPr>
              <w:t xml:space="preserve">„Pašvaldību investīciju projektu jaunu pirmsskolas izglītības iestāžu būvniecībai vai esošo pirmsskolas izglītības iestāžu paplašināšanai izvērtēšanas </w:t>
            </w:r>
            <w:r w:rsidR="00D85A48" w:rsidRPr="00E86D6B">
              <w:rPr>
                <w:rFonts w:ascii="Times New Roman" w:eastAsia="Times New Roman" w:hAnsi="Times New Roman"/>
                <w:b/>
                <w:sz w:val="24"/>
                <w:szCs w:val="24"/>
              </w:rPr>
              <w:lastRenderedPageBreak/>
              <w:t>kārtība” un „Noteikumi par kritērijiem un kārtību, kādā tiek izvērtēti un izsniegti valsts aizdevumi pašvaldībām Covid-19 izraisītās krīzes seku mazināšanai un novēršanai”</w:t>
            </w:r>
            <w:r w:rsidR="00CF6C0F">
              <w:rPr>
                <w:rFonts w:ascii="Times New Roman" w:eastAsia="Times New Roman" w:hAnsi="Times New Roman"/>
                <w:sz w:val="24"/>
                <w:szCs w:val="24"/>
              </w:rPr>
              <w:t>.</w:t>
            </w:r>
          </w:p>
          <w:p w14:paraId="1A8C5CDB" w14:textId="10880A85" w:rsidR="00B76CB0" w:rsidRDefault="00F662F0" w:rsidP="00B76CB0">
            <w:pPr>
              <w:spacing w:after="120" w:line="240" w:lineRule="auto"/>
              <w:jc w:val="both"/>
              <w:rPr>
                <w:rFonts w:ascii="Times New Roman" w:hAnsi="Times New Roman"/>
                <w:sz w:val="24"/>
                <w:szCs w:val="24"/>
                <w:shd w:val="clear" w:color="auto" w:fill="FFFFFF"/>
              </w:rPr>
            </w:pPr>
            <w:r w:rsidRPr="00915126">
              <w:rPr>
                <w:rFonts w:ascii="Times New Roman" w:hAnsi="Times New Roman"/>
                <w:sz w:val="24"/>
                <w:szCs w:val="24"/>
                <w:shd w:val="clear" w:color="auto" w:fill="FFFFFF"/>
              </w:rPr>
              <w:t xml:space="preserve">Noteikumu projekts paredz </w:t>
            </w:r>
            <w:r w:rsidR="00B44E10" w:rsidRPr="00915126">
              <w:rPr>
                <w:rFonts w:ascii="Times New Roman" w:hAnsi="Times New Roman"/>
                <w:sz w:val="24"/>
                <w:szCs w:val="24"/>
                <w:shd w:val="clear" w:color="auto" w:fill="FFFFFF"/>
              </w:rPr>
              <w:t xml:space="preserve">valsts budžeta aizņēmumu </w:t>
            </w:r>
            <w:r w:rsidRPr="00915126">
              <w:rPr>
                <w:rFonts w:ascii="Times New Roman" w:hAnsi="Times New Roman"/>
                <w:sz w:val="24"/>
                <w:szCs w:val="24"/>
                <w:shd w:val="clear" w:color="auto" w:fill="FFFFFF"/>
              </w:rPr>
              <w:t xml:space="preserve">saņemšanu </w:t>
            </w:r>
            <w:r>
              <w:rPr>
                <w:rFonts w:ascii="Times New Roman" w:eastAsia="Times New Roman" w:hAnsi="Times New Roman"/>
                <w:sz w:val="24"/>
                <w:szCs w:val="24"/>
              </w:rPr>
              <w:t xml:space="preserve">pašvaldībām </w:t>
            </w:r>
            <w:r w:rsidR="00A349EB">
              <w:rPr>
                <w:rFonts w:ascii="Times New Roman" w:hAnsi="Times New Roman"/>
                <w:sz w:val="24"/>
                <w:szCs w:val="24"/>
                <w:shd w:val="clear" w:color="auto" w:fill="FFFFFF"/>
              </w:rPr>
              <w:t xml:space="preserve">investīciju projektu īstenošanai, lai nodrošinātu </w:t>
            </w:r>
            <w:r w:rsidR="00CE01EF">
              <w:rPr>
                <w:rFonts w:ascii="Times New Roman" w:hAnsi="Times New Roman"/>
                <w:sz w:val="24"/>
                <w:szCs w:val="24"/>
                <w:shd w:val="clear" w:color="auto" w:fill="FFFFFF"/>
              </w:rPr>
              <w:t xml:space="preserve">izglītības iestāžu infrastruktūras uzlabošanu un mācību vides labiekārtošanu </w:t>
            </w:r>
            <w:r w:rsidR="00A475C5">
              <w:rPr>
                <w:rFonts w:ascii="Times New Roman" w:hAnsi="Times New Roman"/>
                <w:sz w:val="24"/>
                <w:szCs w:val="24"/>
                <w:shd w:val="clear" w:color="auto" w:fill="FFFFFF"/>
              </w:rPr>
              <w:t xml:space="preserve">mūsdienīgas </w:t>
            </w:r>
            <w:r w:rsidR="00CE01EF">
              <w:rPr>
                <w:rFonts w:ascii="Times New Roman" w:hAnsi="Times New Roman"/>
                <w:sz w:val="24"/>
                <w:szCs w:val="24"/>
                <w:shd w:val="clear" w:color="auto" w:fill="FFFFFF"/>
              </w:rPr>
              <w:t xml:space="preserve">un kvalitatīvas izglītības nodrošināšanai veselībai drošos apstākļos. </w:t>
            </w:r>
            <w:r w:rsidR="00B76CB0">
              <w:rPr>
                <w:rFonts w:ascii="Times New Roman" w:hAnsi="Times New Roman"/>
                <w:sz w:val="24"/>
                <w:szCs w:val="24"/>
                <w:shd w:val="clear" w:color="auto" w:fill="FFFFFF"/>
              </w:rPr>
              <w:t xml:space="preserve">Investīciju projektu pieteikumus pašvaldības varēs iesniegt līdz katra mēneša </w:t>
            </w:r>
            <w:r w:rsidR="006717F3" w:rsidRPr="00BD7975">
              <w:rPr>
                <w:rFonts w:ascii="Times New Roman" w:hAnsi="Times New Roman"/>
                <w:b/>
                <w:sz w:val="24"/>
                <w:szCs w:val="24"/>
                <w:shd w:val="clear" w:color="auto" w:fill="FFFFFF"/>
              </w:rPr>
              <w:t>1</w:t>
            </w:r>
            <w:r w:rsidR="00BD7975" w:rsidRPr="00BD7975">
              <w:rPr>
                <w:rFonts w:ascii="Times New Roman" w:hAnsi="Times New Roman"/>
                <w:b/>
                <w:sz w:val="24"/>
                <w:szCs w:val="24"/>
                <w:shd w:val="clear" w:color="auto" w:fill="FFFFFF"/>
              </w:rPr>
              <w:t>0</w:t>
            </w:r>
            <w:r w:rsidR="006717F3" w:rsidRPr="00BD7975">
              <w:rPr>
                <w:rFonts w:ascii="Times New Roman" w:hAnsi="Times New Roman"/>
                <w:b/>
                <w:sz w:val="24"/>
                <w:szCs w:val="24"/>
                <w:shd w:val="clear" w:color="auto" w:fill="FFFFFF"/>
              </w:rPr>
              <w:t xml:space="preserve">. </w:t>
            </w:r>
            <w:r w:rsidR="00B76CB0" w:rsidRPr="00BD7975">
              <w:rPr>
                <w:rFonts w:ascii="Times New Roman" w:hAnsi="Times New Roman"/>
                <w:b/>
                <w:sz w:val="24"/>
                <w:szCs w:val="24"/>
                <w:shd w:val="clear" w:color="auto" w:fill="FFFFFF"/>
              </w:rPr>
              <w:t>datumam</w:t>
            </w:r>
            <w:r w:rsidR="00B76CB0">
              <w:rPr>
                <w:rFonts w:ascii="Times New Roman" w:hAnsi="Times New Roman"/>
                <w:sz w:val="24"/>
                <w:szCs w:val="24"/>
                <w:shd w:val="clear" w:color="auto" w:fill="FFFFFF"/>
              </w:rPr>
              <w:t xml:space="preserve">. Pēdējais investīciju projektu pieteikumu iesniegšanas termiņš ir noteikts </w:t>
            </w:r>
            <w:r w:rsidR="00B76CB0" w:rsidRPr="00BD7975">
              <w:rPr>
                <w:rFonts w:ascii="Times New Roman" w:hAnsi="Times New Roman"/>
                <w:b/>
                <w:sz w:val="24"/>
                <w:szCs w:val="24"/>
                <w:shd w:val="clear" w:color="auto" w:fill="FFFFFF"/>
              </w:rPr>
              <w:t>2021. gada 1</w:t>
            </w:r>
            <w:r w:rsidR="00BD7975" w:rsidRPr="00BD7975">
              <w:rPr>
                <w:rFonts w:ascii="Times New Roman" w:hAnsi="Times New Roman"/>
                <w:b/>
                <w:sz w:val="24"/>
                <w:szCs w:val="24"/>
                <w:shd w:val="clear" w:color="auto" w:fill="FFFFFF"/>
              </w:rPr>
              <w:t>0</w:t>
            </w:r>
            <w:r w:rsidR="00B76CB0" w:rsidRPr="00BD7975">
              <w:rPr>
                <w:rFonts w:ascii="Times New Roman" w:hAnsi="Times New Roman"/>
                <w:b/>
                <w:sz w:val="24"/>
                <w:szCs w:val="24"/>
                <w:shd w:val="clear" w:color="auto" w:fill="FFFFFF"/>
              </w:rPr>
              <w:t xml:space="preserve">. </w:t>
            </w:r>
            <w:r w:rsidR="00FD153F" w:rsidRPr="00BD7975">
              <w:rPr>
                <w:rFonts w:ascii="Times New Roman" w:hAnsi="Times New Roman"/>
                <w:b/>
                <w:sz w:val="24"/>
                <w:szCs w:val="24"/>
                <w:shd w:val="clear" w:color="auto" w:fill="FFFFFF"/>
              </w:rPr>
              <w:t>novem</w:t>
            </w:r>
            <w:r w:rsidR="00B76CB0" w:rsidRPr="00BD7975">
              <w:rPr>
                <w:rFonts w:ascii="Times New Roman" w:hAnsi="Times New Roman"/>
                <w:b/>
                <w:sz w:val="24"/>
                <w:szCs w:val="24"/>
                <w:shd w:val="clear" w:color="auto" w:fill="FFFFFF"/>
              </w:rPr>
              <w:t>bris</w:t>
            </w:r>
            <w:r w:rsidR="00B76CB0">
              <w:rPr>
                <w:rFonts w:ascii="Times New Roman" w:hAnsi="Times New Roman"/>
                <w:sz w:val="24"/>
                <w:szCs w:val="24"/>
                <w:shd w:val="clear" w:color="auto" w:fill="FFFFFF"/>
              </w:rPr>
              <w:t xml:space="preserve">, lai visu atbalstīto investīciju projektu uzsākšanu var nodrošināt 2021. gadā. </w:t>
            </w:r>
          </w:p>
          <w:p w14:paraId="15D2EAAB" w14:textId="47E3FB63" w:rsidR="006363A9" w:rsidRPr="006363A9" w:rsidRDefault="00520289" w:rsidP="00293007">
            <w:pPr>
              <w:shd w:val="clear" w:color="auto" w:fill="FFFFFF"/>
              <w:spacing w:after="120" w:line="240" w:lineRule="auto"/>
              <w:jc w:val="both"/>
              <w:rPr>
                <w:rFonts w:ascii="Times New Roman" w:eastAsia="Times New Roman" w:hAnsi="Times New Roman"/>
                <w:sz w:val="24"/>
                <w:szCs w:val="24"/>
              </w:rPr>
            </w:pPr>
            <w:r w:rsidRPr="009C4D2C">
              <w:rPr>
                <w:rFonts w:ascii="Times New Roman" w:eastAsia="Times New Roman" w:hAnsi="Times New Roman"/>
                <w:sz w:val="24"/>
                <w:szCs w:val="24"/>
              </w:rPr>
              <w:t>P</w:t>
            </w:r>
            <w:r w:rsidR="70A5D980" w:rsidRPr="009C4D2C">
              <w:rPr>
                <w:rFonts w:ascii="Times New Roman" w:eastAsia="Times New Roman" w:hAnsi="Times New Roman"/>
                <w:sz w:val="24"/>
                <w:szCs w:val="24"/>
              </w:rPr>
              <w:t>ašvaldība var iesniegt investīciju projektus</w:t>
            </w:r>
            <w:r w:rsidR="004675A1">
              <w:rPr>
                <w:rFonts w:ascii="Times New Roman" w:eastAsia="Times New Roman" w:hAnsi="Times New Roman"/>
                <w:sz w:val="24"/>
                <w:szCs w:val="24"/>
              </w:rPr>
              <w:t xml:space="preserve"> </w:t>
            </w:r>
            <w:r w:rsidR="00B76CB0">
              <w:rPr>
                <w:rFonts w:ascii="Times New Roman" w:eastAsia="Times New Roman" w:hAnsi="Times New Roman"/>
                <w:sz w:val="24"/>
                <w:szCs w:val="24"/>
              </w:rPr>
              <w:t>un saņemt atbalstu investīciju projekta īstenošanai</w:t>
            </w:r>
            <w:r w:rsidR="004675A1">
              <w:rPr>
                <w:rFonts w:ascii="Times New Roman" w:eastAsia="Times New Roman" w:hAnsi="Times New Roman"/>
                <w:sz w:val="24"/>
                <w:szCs w:val="24"/>
              </w:rPr>
              <w:t>, ja investīciju projekts atbilst noteikumu projektā paredzētajiem nosacījumiem, tai skaitā par pašvaldības budžeta līdzfinansējumu, investīciju projekta tehnisko gatavību, investīciju projekta īstenošana</w:t>
            </w:r>
            <w:r w:rsidR="00F3276E">
              <w:rPr>
                <w:rFonts w:ascii="Times New Roman" w:eastAsia="Times New Roman" w:hAnsi="Times New Roman"/>
                <w:sz w:val="24"/>
                <w:szCs w:val="24"/>
              </w:rPr>
              <w:t xml:space="preserve">s termiņu. Vienlaikus, </w:t>
            </w:r>
            <w:r w:rsidR="002A520D">
              <w:rPr>
                <w:rFonts w:ascii="Times New Roman" w:eastAsia="Times New Roman" w:hAnsi="Times New Roman"/>
                <w:sz w:val="24"/>
                <w:szCs w:val="24"/>
              </w:rPr>
              <w:t xml:space="preserve">lai </w:t>
            </w:r>
            <w:r w:rsidR="00F3276E">
              <w:rPr>
                <w:rFonts w:ascii="Times New Roman" w:eastAsia="Times New Roman" w:hAnsi="Times New Roman"/>
                <w:sz w:val="24"/>
                <w:szCs w:val="24"/>
              </w:rPr>
              <w:t>nodrošinātu</w:t>
            </w:r>
            <w:r w:rsidR="006841D1">
              <w:rPr>
                <w:rFonts w:ascii="Times New Roman" w:eastAsia="Times New Roman" w:hAnsi="Times New Roman"/>
                <w:sz w:val="24"/>
                <w:szCs w:val="24"/>
              </w:rPr>
              <w:t xml:space="preserve"> ilgtspēju</w:t>
            </w:r>
            <w:r w:rsidR="00F3276E">
              <w:rPr>
                <w:rFonts w:ascii="Times New Roman" w:eastAsia="Times New Roman" w:hAnsi="Times New Roman"/>
                <w:sz w:val="24"/>
                <w:szCs w:val="24"/>
              </w:rPr>
              <w:t xml:space="preserve"> investīciju projektos</w:t>
            </w:r>
            <w:r w:rsidR="006841D1">
              <w:rPr>
                <w:rFonts w:ascii="Times New Roman" w:eastAsia="Times New Roman" w:hAnsi="Times New Roman"/>
                <w:sz w:val="24"/>
                <w:szCs w:val="24"/>
              </w:rPr>
              <w:t xml:space="preserve"> veiktajiem ieguldījumiem</w:t>
            </w:r>
            <w:r w:rsidR="00F3276E">
              <w:rPr>
                <w:rFonts w:ascii="Times New Roman" w:eastAsia="Times New Roman" w:hAnsi="Times New Roman"/>
                <w:sz w:val="24"/>
                <w:szCs w:val="24"/>
              </w:rPr>
              <w:t>, ir noteikts kritērijs par minimālo izglītojamo</w:t>
            </w:r>
            <w:r w:rsidR="00F3276E" w:rsidRPr="00293007">
              <w:rPr>
                <w:rFonts w:ascii="Times New Roman" w:eastAsia="Times New Roman" w:hAnsi="Times New Roman"/>
                <w:sz w:val="24"/>
                <w:szCs w:val="24"/>
              </w:rPr>
              <w:t xml:space="preserve"> skaitu</w:t>
            </w:r>
            <w:r w:rsidR="006841D1" w:rsidRPr="00293007">
              <w:rPr>
                <w:rFonts w:ascii="Times New Roman" w:eastAsia="Times New Roman" w:hAnsi="Times New Roman"/>
                <w:sz w:val="24"/>
                <w:szCs w:val="24"/>
              </w:rPr>
              <w:t xml:space="preserve"> vispārējās izglītības iestādēs. </w:t>
            </w:r>
            <w:r w:rsidR="002A520D" w:rsidRPr="00293007">
              <w:rPr>
                <w:rFonts w:ascii="Times New Roman" w:eastAsia="Times New Roman" w:hAnsi="Times New Roman"/>
                <w:sz w:val="24"/>
                <w:szCs w:val="24"/>
              </w:rPr>
              <w:t xml:space="preserve">Izglītības </w:t>
            </w:r>
            <w:r w:rsidR="002A520D" w:rsidRPr="006363A9">
              <w:rPr>
                <w:rFonts w:ascii="Times New Roman" w:eastAsia="Times New Roman" w:hAnsi="Times New Roman"/>
                <w:sz w:val="24"/>
                <w:szCs w:val="24"/>
                <w:lang w:eastAsia="lv-LV"/>
              </w:rPr>
              <w:t>iestāžu darbības ilgtspēja ir cieši saistīta ar izglītojamo skaitu izglītības iestādē, t.sk., lai nodrošinātu kvalitatīva mācību procesa norisi.</w:t>
            </w:r>
            <w:r w:rsidR="002A520D" w:rsidRPr="00293007">
              <w:rPr>
                <w:rFonts w:ascii="Times New Roman" w:eastAsia="Times New Roman" w:hAnsi="Times New Roman"/>
                <w:sz w:val="24"/>
                <w:szCs w:val="24"/>
                <w:lang w:eastAsia="lv-LV"/>
              </w:rPr>
              <w:t xml:space="preserve"> </w:t>
            </w:r>
            <w:r w:rsidR="002A520D" w:rsidRPr="006363A9">
              <w:rPr>
                <w:rFonts w:ascii="Times New Roman" w:eastAsia="Times New Roman" w:hAnsi="Times New Roman"/>
                <w:sz w:val="24"/>
                <w:szCs w:val="24"/>
                <w:lang w:eastAsia="lv-LV"/>
              </w:rPr>
              <w:t>Izvērtējot izglītības programmu akreditācijā 2019./2020.m.g. pieejamos stundu vērošanas statistiskos rezultātus un izlases veidā atlasītus starptautiskajā vidē publicētos pētījumus pedagoģijā pēdējo 10 gadu laikā, var secināt, ka arī izglītības kvalitātei ir saistība ar izglītojamo skaitu klasē.</w:t>
            </w:r>
            <w:r w:rsidR="00293007" w:rsidRPr="00293007">
              <w:rPr>
                <w:rFonts w:ascii="Times New Roman" w:eastAsia="Times New Roman" w:hAnsi="Times New Roman"/>
                <w:sz w:val="24"/>
                <w:szCs w:val="24"/>
                <w:lang w:eastAsia="lv-LV"/>
              </w:rPr>
              <w:t xml:space="preserve"> Līdz ar to, lai saņemtu atbalstu </w:t>
            </w:r>
            <w:r w:rsidR="00293007" w:rsidRPr="00293007">
              <w:rPr>
                <w:rFonts w:ascii="Times New Roman" w:eastAsia="Arial" w:hAnsi="Times New Roman"/>
                <w:sz w:val="24"/>
                <w:szCs w:val="24"/>
              </w:rPr>
              <w:t xml:space="preserve">sākumskolas vai pamatskolas </w:t>
            </w:r>
            <w:r w:rsidR="00293007" w:rsidRPr="00293007">
              <w:rPr>
                <w:rFonts w:ascii="Times New Roman" w:eastAsia="Times New Roman" w:hAnsi="Times New Roman"/>
                <w:sz w:val="24"/>
                <w:szCs w:val="24"/>
                <w:lang w:eastAsia="lv-LV"/>
              </w:rPr>
              <w:t xml:space="preserve">investīciju projektam, vidējais izglītojamo skaits klasē </w:t>
            </w:r>
            <w:r w:rsidR="00293007" w:rsidRPr="00293007">
              <w:rPr>
                <w:rFonts w:ascii="Times New Roman" w:eastAsia="Arial" w:hAnsi="Times New Roman"/>
                <w:sz w:val="24"/>
                <w:szCs w:val="24"/>
              </w:rPr>
              <w:t>ir noteikts vismaz astoņi izglītojamie</w:t>
            </w:r>
            <w:r w:rsidR="00293007" w:rsidRPr="00293007">
              <w:rPr>
                <w:rFonts w:ascii="Times New Roman" w:eastAsia="Times New Roman" w:hAnsi="Times New Roman"/>
                <w:sz w:val="24"/>
                <w:szCs w:val="24"/>
                <w:lang w:eastAsia="lv-LV"/>
              </w:rPr>
              <w:t>. Savukārt vidusskolu investīciju projektiem i</w:t>
            </w:r>
            <w:r w:rsidR="006841D1" w:rsidRPr="00293007">
              <w:rPr>
                <w:rFonts w:ascii="Times New Roman" w:eastAsia="Times New Roman" w:hAnsi="Times New Roman"/>
                <w:sz w:val="24"/>
                <w:szCs w:val="24"/>
              </w:rPr>
              <w:t xml:space="preserve">zglītojamo </w:t>
            </w:r>
            <w:r w:rsidR="00047876" w:rsidRPr="00293007">
              <w:rPr>
                <w:rFonts w:ascii="Times New Roman" w:eastAsia="Times New Roman" w:hAnsi="Times New Roman"/>
                <w:sz w:val="24"/>
                <w:szCs w:val="24"/>
              </w:rPr>
              <w:t xml:space="preserve">skaits </w:t>
            </w:r>
            <w:r w:rsidR="00293007" w:rsidRPr="00293007">
              <w:rPr>
                <w:rFonts w:ascii="Times New Roman" w:eastAsia="Times New Roman" w:hAnsi="Times New Roman"/>
                <w:sz w:val="24"/>
                <w:szCs w:val="24"/>
              </w:rPr>
              <w:t xml:space="preserve">vidusskolās </w:t>
            </w:r>
            <w:r w:rsidR="006363A9" w:rsidRPr="00293007">
              <w:rPr>
                <w:rFonts w:ascii="Times New Roman" w:eastAsia="Times New Roman" w:hAnsi="Times New Roman"/>
                <w:sz w:val="24"/>
                <w:szCs w:val="24"/>
              </w:rPr>
              <w:t xml:space="preserve">10. -12. klašu posmā noteikts, </w:t>
            </w:r>
            <w:r w:rsidR="006363A9" w:rsidRPr="006363A9">
              <w:rPr>
                <w:rFonts w:ascii="Times New Roman" w:eastAsia="Times New Roman" w:hAnsi="Times New Roman"/>
                <w:sz w:val="24"/>
                <w:szCs w:val="24"/>
                <w:lang w:eastAsia="lv-LV"/>
              </w:rPr>
              <w:t xml:space="preserve">pamatojoties uz </w:t>
            </w:r>
            <w:r w:rsidR="002A520D" w:rsidRPr="00293007">
              <w:rPr>
                <w:rFonts w:ascii="Times New Roman" w:eastAsia="Times New Roman" w:hAnsi="Times New Roman"/>
                <w:sz w:val="24"/>
                <w:szCs w:val="24"/>
                <w:lang w:eastAsia="lv-LV"/>
              </w:rPr>
              <w:t>Ministru kabineta 2020</w:t>
            </w:r>
            <w:r w:rsidR="00E8046B">
              <w:rPr>
                <w:rFonts w:ascii="Times New Roman" w:eastAsia="Times New Roman" w:hAnsi="Times New Roman"/>
                <w:sz w:val="24"/>
                <w:szCs w:val="24"/>
                <w:lang w:eastAsia="lv-LV"/>
              </w:rPr>
              <w:t xml:space="preserve">. </w:t>
            </w:r>
            <w:r w:rsidR="00094538">
              <w:rPr>
                <w:rFonts w:ascii="Times New Roman" w:eastAsia="Times New Roman" w:hAnsi="Times New Roman"/>
                <w:sz w:val="24"/>
                <w:szCs w:val="24"/>
                <w:lang w:eastAsia="lv-LV"/>
              </w:rPr>
              <w:t>gada</w:t>
            </w:r>
            <w:r w:rsidR="00E8046B">
              <w:rPr>
                <w:rFonts w:ascii="Times New Roman" w:eastAsia="Times New Roman" w:hAnsi="Times New Roman"/>
                <w:sz w:val="24"/>
                <w:szCs w:val="24"/>
                <w:lang w:eastAsia="lv-LV"/>
              </w:rPr>
              <w:t xml:space="preserve"> 20. oktobra</w:t>
            </w:r>
            <w:r w:rsidR="002A520D" w:rsidRPr="00293007">
              <w:rPr>
                <w:rFonts w:ascii="Times New Roman" w:eastAsia="Times New Roman" w:hAnsi="Times New Roman"/>
                <w:sz w:val="24"/>
                <w:szCs w:val="24"/>
                <w:lang w:eastAsia="lv-LV"/>
              </w:rPr>
              <w:t xml:space="preserve"> sēdē izskatītajā i</w:t>
            </w:r>
            <w:r w:rsidR="006363A9" w:rsidRPr="006363A9">
              <w:rPr>
                <w:rFonts w:ascii="Times New Roman" w:eastAsia="Times New Roman" w:hAnsi="Times New Roman"/>
                <w:sz w:val="24"/>
                <w:szCs w:val="24"/>
                <w:lang w:eastAsia="lv-LV"/>
              </w:rPr>
              <w:t>nformatīvajā ziņojumā “Par kvalitatīvas vispārējās vidējās izglītības nodrošināšanas priekšnosacījumiem” iekļauto piedāvājumu minimālā izglītojamo skaita noteikšanai vispārējās vidējās izglītības iestāžu vidējās izglītības pakāpē (10. – 12.klasē), kas izstrādāts, pamatojoties uz 2020.</w:t>
            </w:r>
            <w:r w:rsidR="00E8046B">
              <w:rPr>
                <w:rFonts w:ascii="Times New Roman" w:eastAsia="Times New Roman" w:hAnsi="Times New Roman"/>
                <w:sz w:val="24"/>
                <w:szCs w:val="24"/>
                <w:lang w:eastAsia="lv-LV"/>
              </w:rPr>
              <w:t xml:space="preserve">  </w:t>
            </w:r>
            <w:r w:rsidR="006363A9" w:rsidRPr="006363A9">
              <w:rPr>
                <w:rFonts w:ascii="Times New Roman" w:eastAsia="Times New Roman" w:hAnsi="Times New Roman"/>
                <w:sz w:val="24"/>
                <w:szCs w:val="24"/>
                <w:lang w:eastAsia="lv-LV"/>
              </w:rPr>
              <w:t>gada 10.</w:t>
            </w:r>
            <w:r w:rsidR="00492676">
              <w:rPr>
                <w:rFonts w:ascii="Times New Roman" w:eastAsia="Times New Roman" w:hAnsi="Times New Roman"/>
                <w:sz w:val="24"/>
                <w:szCs w:val="24"/>
                <w:lang w:eastAsia="lv-LV"/>
              </w:rPr>
              <w:t xml:space="preserve"> </w:t>
            </w:r>
            <w:r w:rsidR="006363A9" w:rsidRPr="006363A9">
              <w:rPr>
                <w:rFonts w:ascii="Times New Roman" w:eastAsia="Times New Roman" w:hAnsi="Times New Roman"/>
                <w:sz w:val="24"/>
                <w:szCs w:val="24"/>
                <w:lang w:eastAsia="lv-LV"/>
              </w:rPr>
              <w:t>jūnijā pieņemto Administratīvo teritoriju un apdzīvoto vietu likumu un veidojot iedalījumu četros reģionu blokos.</w:t>
            </w:r>
            <w:r w:rsidR="006363A9" w:rsidRPr="006363A9">
              <w:rPr>
                <w:rFonts w:eastAsia="Times New Roman"/>
                <w:color w:val="1F497D"/>
                <w:lang w:eastAsia="lv-LV"/>
              </w:rPr>
              <w:t xml:space="preserve"> </w:t>
            </w:r>
          </w:p>
          <w:p w14:paraId="578162EF" w14:textId="0C2EEE85" w:rsidR="0092767A" w:rsidRPr="00793A43" w:rsidRDefault="00047876" w:rsidP="00B233DA">
            <w:pPr>
              <w:spacing w:after="120" w:line="240" w:lineRule="auto"/>
              <w:jc w:val="both"/>
              <w:rPr>
                <w:rFonts w:ascii="Times New Roman" w:eastAsia="Times New Roman" w:hAnsi="Times New Roman"/>
                <w:bCs/>
                <w:sz w:val="24"/>
                <w:szCs w:val="24"/>
              </w:rPr>
            </w:pPr>
            <w:r>
              <w:rPr>
                <w:rFonts w:ascii="Times New Roman" w:eastAsia="Times New Roman" w:hAnsi="Times New Roman"/>
                <w:sz w:val="24"/>
                <w:szCs w:val="24"/>
              </w:rPr>
              <w:t xml:space="preserve">Iesniedzot investīciju projektu, pašvaldībai jānorāda informācija par izglītojamo skaita un pašvaldības </w:t>
            </w:r>
            <w:r>
              <w:rPr>
                <w:rFonts w:ascii="Times New Roman" w:eastAsia="Times New Roman" w:hAnsi="Times New Roman"/>
                <w:sz w:val="24"/>
                <w:szCs w:val="24"/>
              </w:rPr>
              <w:lastRenderedPageBreak/>
              <w:t>pirmsskola</w:t>
            </w:r>
            <w:r w:rsidR="000A4E50">
              <w:rPr>
                <w:rFonts w:ascii="Times New Roman" w:eastAsia="Times New Roman" w:hAnsi="Times New Roman"/>
                <w:sz w:val="24"/>
                <w:szCs w:val="24"/>
              </w:rPr>
              <w:t>s</w:t>
            </w:r>
            <w:r>
              <w:rPr>
                <w:rFonts w:ascii="Times New Roman" w:eastAsia="Times New Roman" w:hAnsi="Times New Roman"/>
                <w:sz w:val="24"/>
                <w:szCs w:val="24"/>
              </w:rPr>
              <w:t xml:space="preserve"> vecuma bērnu skaita prognozi turpmākajiem pieciem gadiem. Sagatavojot prognozi, pašvaldībai </w:t>
            </w:r>
            <w:r w:rsidR="0092767A">
              <w:rPr>
                <w:rFonts w:ascii="Times New Roman" w:eastAsia="Times New Roman" w:hAnsi="Times New Roman"/>
                <w:sz w:val="24"/>
                <w:szCs w:val="24"/>
              </w:rPr>
              <w:t xml:space="preserve">jāizmanto pamatoti statistikas dati par iedzīvotāju skaitu pašvaldībā (piemēram, analīze par vecuma sastāvu, </w:t>
            </w:r>
            <w:r w:rsidR="00D14CCB">
              <w:rPr>
                <w:rFonts w:ascii="Times New Roman" w:eastAsia="Times New Roman" w:hAnsi="Times New Roman"/>
                <w:sz w:val="24"/>
                <w:szCs w:val="24"/>
              </w:rPr>
              <w:t>dabisko kustību, migrāciju)</w:t>
            </w:r>
            <w:r w:rsidR="0092767A">
              <w:rPr>
                <w:rFonts w:ascii="Times New Roman" w:eastAsia="Times New Roman" w:hAnsi="Times New Roman"/>
                <w:sz w:val="24"/>
                <w:szCs w:val="24"/>
              </w:rPr>
              <w:t xml:space="preserve">, ja tas ir pamatoti, tad arī par iedzīvotāju skaitu </w:t>
            </w:r>
            <w:r w:rsidR="00D14CCB">
              <w:rPr>
                <w:rFonts w:ascii="Times New Roman" w:eastAsia="Times New Roman" w:hAnsi="Times New Roman"/>
                <w:sz w:val="24"/>
                <w:szCs w:val="24"/>
              </w:rPr>
              <w:t xml:space="preserve">blakus esošajās pašvaldībās un </w:t>
            </w:r>
            <w:r w:rsidR="0092767A">
              <w:rPr>
                <w:rFonts w:ascii="Times New Roman" w:eastAsia="Times New Roman" w:hAnsi="Times New Roman"/>
                <w:sz w:val="24"/>
                <w:szCs w:val="24"/>
              </w:rPr>
              <w:t>valstī kopumā</w:t>
            </w:r>
            <w:r w:rsidR="00D14CCB">
              <w:rPr>
                <w:rFonts w:ascii="Times New Roman" w:eastAsia="Times New Roman" w:hAnsi="Times New Roman"/>
                <w:sz w:val="24"/>
                <w:szCs w:val="24"/>
              </w:rPr>
              <w:t>. Prognozei jābūt balstītai statistikā un pašvaldības pieņēmumos par iedzīvotāju un izglītojamo skaita izmaiņām, tai skaitā, piemēram, analizējot pašvaldībā esošo situāciju ne tikai par iedzīvotāja skaitu, bet arī pašvaldības sniegto pakalpojumu un infrastruktūras pieejamību</w:t>
            </w:r>
            <w:r w:rsidR="00DD6AC2">
              <w:rPr>
                <w:rFonts w:ascii="Times New Roman" w:eastAsia="Times New Roman" w:hAnsi="Times New Roman"/>
                <w:sz w:val="24"/>
                <w:szCs w:val="24"/>
              </w:rPr>
              <w:t xml:space="preserve"> </w:t>
            </w:r>
            <w:r w:rsidR="00DD6AC2" w:rsidRPr="00793A43">
              <w:rPr>
                <w:rFonts w:ascii="Times New Roman" w:eastAsia="Times New Roman" w:hAnsi="Times New Roman"/>
                <w:bCs/>
                <w:sz w:val="24"/>
                <w:szCs w:val="24"/>
              </w:rPr>
              <w:t>un turpmāku attīstību</w:t>
            </w:r>
            <w:r w:rsidR="00D14CCB" w:rsidRPr="00793A43">
              <w:rPr>
                <w:rFonts w:ascii="Times New Roman" w:eastAsia="Times New Roman" w:hAnsi="Times New Roman"/>
                <w:bCs/>
                <w:sz w:val="24"/>
                <w:szCs w:val="24"/>
              </w:rPr>
              <w:t>, kas varētu ietekmēt iedzīvotāju un izglītojamo skaita izmaiņas</w:t>
            </w:r>
            <w:r w:rsidR="00DD6AC2" w:rsidRPr="00793A43">
              <w:rPr>
                <w:rFonts w:ascii="Times New Roman" w:eastAsia="Times New Roman" w:hAnsi="Times New Roman"/>
                <w:bCs/>
                <w:sz w:val="24"/>
                <w:szCs w:val="24"/>
              </w:rPr>
              <w:t xml:space="preserve"> </w:t>
            </w:r>
            <w:r w:rsidR="00DD6AC2" w:rsidRPr="00793A43">
              <w:rPr>
                <w:rFonts w:ascii="Times New Roman" w:hAnsi="Times New Roman"/>
                <w:bCs/>
                <w:sz w:val="24"/>
                <w:szCs w:val="24"/>
              </w:rPr>
              <w:t>(piemēram,</w:t>
            </w:r>
            <w:r w:rsidR="00FC44ED">
              <w:rPr>
                <w:rFonts w:ascii="Times New Roman" w:hAnsi="Times New Roman"/>
                <w:bCs/>
                <w:sz w:val="24"/>
                <w:szCs w:val="24"/>
              </w:rPr>
              <w:t xml:space="preserve"> </w:t>
            </w:r>
            <w:r w:rsidR="00FC44ED" w:rsidRPr="00793A43">
              <w:rPr>
                <w:rFonts w:ascii="Times New Roman" w:hAnsi="Times New Roman"/>
                <w:bCs/>
                <w:sz w:val="24"/>
                <w:szCs w:val="24"/>
              </w:rPr>
              <w:t>plānotā izglītības iestāžu tīkla kārtošana</w:t>
            </w:r>
            <w:r w:rsidR="00FC44ED">
              <w:rPr>
                <w:rFonts w:ascii="Times New Roman" w:hAnsi="Times New Roman"/>
                <w:bCs/>
                <w:sz w:val="24"/>
                <w:szCs w:val="24"/>
              </w:rPr>
              <w:t>,</w:t>
            </w:r>
            <w:r w:rsidR="00DD6AC2" w:rsidRPr="00793A43">
              <w:rPr>
                <w:rFonts w:ascii="Times New Roman" w:hAnsi="Times New Roman"/>
                <w:bCs/>
                <w:sz w:val="24"/>
                <w:szCs w:val="24"/>
              </w:rPr>
              <w:t xml:space="preserve"> citas izglītības iestādes izglītības pakāpes maiņa, iestāžu apvienošanas, u.tml., kā rezultātā ir iespējama izglītojamo skaita izmaiņas)</w:t>
            </w:r>
            <w:r w:rsidR="00D14CCB" w:rsidRPr="00793A43">
              <w:rPr>
                <w:rFonts w:ascii="Times New Roman" w:eastAsia="Times New Roman" w:hAnsi="Times New Roman"/>
                <w:bCs/>
                <w:sz w:val="24"/>
                <w:szCs w:val="24"/>
              </w:rPr>
              <w:t>.</w:t>
            </w:r>
            <w:r w:rsidR="00DD6AC2" w:rsidRPr="00793A43">
              <w:rPr>
                <w:rFonts w:ascii="Times New Roman" w:eastAsia="Times New Roman" w:hAnsi="Times New Roman"/>
                <w:bCs/>
                <w:sz w:val="24"/>
                <w:szCs w:val="24"/>
              </w:rPr>
              <w:t xml:space="preserve"> </w:t>
            </w:r>
          </w:p>
          <w:p w14:paraId="11F2E490" w14:textId="095EAFD3" w:rsidR="00DD6AC2" w:rsidRPr="00793A43" w:rsidRDefault="00DD6AC2" w:rsidP="00B233DA">
            <w:pPr>
              <w:spacing w:after="120" w:line="240" w:lineRule="auto"/>
              <w:jc w:val="both"/>
              <w:rPr>
                <w:rFonts w:ascii="Times New Roman" w:eastAsia="Times New Roman" w:hAnsi="Times New Roman"/>
                <w:bCs/>
                <w:sz w:val="24"/>
                <w:szCs w:val="24"/>
              </w:rPr>
            </w:pPr>
            <w:r w:rsidRPr="00793A43">
              <w:rPr>
                <w:rFonts w:ascii="Times New Roman" w:eastAsia="Times New Roman" w:hAnsi="Times New Roman"/>
                <w:bCs/>
                <w:sz w:val="24"/>
                <w:szCs w:val="24"/>
              </w:rPr>
              <w:t>Izglītojamo skaitam un prognoz</w:t>
            </w:r>
            <w:r w:rsidR="00803336" w:rsidRPr="00793A43">
              <w:rPr>
                <w:rFonts w:ascii="Times New Roman" w:eastAsia="Times New Roman" w:hAnsi="Times New Roman"/>
                <w:bCs/>
                <w:sz w:val="24"/>
                <w:szCs w:val="24"/>
              </w:rPr>
              <w:t>e</w:t>
            </w:r>
            <w:r w:rsidRPr="00793A43">
              <w:rPr>
                <w:rFonts w:ascii="Times New Roman" w:eastAsia="Times New Roman" w:hAnsi="Times New Roman"/>
                <w:bCs/>
                <w:sz w:val="24"/>
                <w:szCs w:val="24"/>
              </w:rPr>
              <w:t>i turpmākajiem pieciem gadiem atbilstoši noteikumu projekta 6.4. apakšpunktā noteiktajam ir jābūt stabila</w:t>
            </w:r>
            <w:r w:rsidR="00803336" w:rsidRPr="00793A43">
              <w:rPr>
                <w:rFonts w:ascii="Times New Roman" w:eastAsia="Times New Roman" w:hAnsi="Times New Roman"/>
                <w:bCs/>
                <w:sz w:val="24"/>
                <w:szCs w:val="24"/>
              </w:rPr>
              <w:t>i</w:t>
            </w:r>
            <w:r w:rsidRPr="00793A43">
              <w:rPr>
                <w:rFonts w:ascii="Times New Roman" w:eastAsia="Times New Roman" w:hAnsi="Times New Roman"/>
                <w:bCs/>
                <w:sz w:val="24"/>
                <w:szCs w:val="24"/>
              </w:rPr>
              <w:t xml:space="preserve"> vai ar pieaugošu tendenci, vienlaikus</w:t>
            </w:r>
            <w:r w:rsidR="00D224D0" w:rsidRPr="00793A43">
              <w:rPr>
                <w:rFonts w:ascii="Times New Roman" w:eastAsia="Times New Roman" w:hAnsi="Times New Roman"/>
                <w:bCs/>
                <w:sz w:val="24"/>
                <w:szCs w:val="24"/>
              </w:rPr>
              <w:t xml:space="preserve"> attiecībā uz vispārējās izglītības iestādēm</w:t>
            </w:r>
            <w:r w:rsidRPr="00793A43">
              <w:rPr>
                <w:rFonts w:ascii="Times New Roman" w:eastAsia="Times New Roman" w:hAnsi="Times New Roman"/>
                <w:bCs/>
                <w:sz w:val="24"/>
                <w:szCs w:val="24"/>
              </w:rPr>
              <w:t xml:space="preserve"> tam ir jāatbilst noteikumu projekta 7. punktā noteiktajām prasībām</w:t>
            </w:r>
            <w:r w:rsidR="00D224D0" w:rsidRPr="00793A43">
              <w:rPr>
                <w:rFonts w:ascii="Times New Roman" w:eastAsia="Times New Roman" w:hAnsi="Times New Roman"/>
                <w:bCs/>
                <w:sz w:val="24"/>
                <w:szCs w:val="24"/>
              </w:rPr>
              <w:t xml:space="preserve">. Vērtējot atbilstoši šim nosacījumiem, tiks pieļauts, </w:t>
            </w:r>
            <w:r w:rsidRPr="00793A43">
              <w:rPr>
                <w:rFonts w:ascii="Times New Roman" w:eastAsia="Times New Roman" w:hAnsi="Times New Roman"/>
                <w:bCs/>
                <w:sz w:val="24"/>
                <w:szCs w:val="24"/>
              </w:rPr>
              <w:t>ka izglītojamo skaits pa gadiem var svārstīties, tai skaitā var būt kritums kādā no gadiem, vienlaikus izglītojamo skaits</w:t>
            </w:r>
            <w:r w:rsidR="00D224D0" w:rsidRPr="00793A43">
              <w:rPr>
                <w:rFonts w:ascii="Times New Roman" w:eastAsia="Times New Roman" w:hAnsi="Times New Roman"/>
                <w:bCs/>
                <w:sz w:val="24"/>
                <w:szCs w:val="24"/>
              </w:rPr>
              <w:t xml:space="preserve"> vispārējās izglītības iestādēs</w:t>
            </w:r>
            <w:r w:rsidRPr="00793A43">
              <w:rPr>
                <w:rFonts w:ascii="Times New Roman" w:eastAsia="Times New Roman" w:hAnsi="Times New Roman"/>
                <w:bCs/>
                <w:sz w:val="24"/>
                <w:szCs w:val="24"/>
              </w:rPr>
              <w:t xml:space="preserve"> nevar būt mazāks par noteikumu projekta 7. punkt</w:t>
            </w:r>
            <w:r w:rsidR="00D224D0" w:rsidRPr="00793A43">
              <w:rPr>
                <w:rFonts w:ascii="Times New Roman" w:eastAsia="Times New Roman" w:hAnsi="Times New Roman"/>
                <w:bCs/>
                <w:sz w:val="24"/>
                <w:szCs w:val="24"/>
              </w:rPr>
              <w:t>ā noteikto, savukārt visās izglītības iestādēs kopumā izglītojamo skaits</w:t>
            </w:r>
            <w:r w:rsidR="00803336" w:rsidRPr="00793A43">
              <w:rPr>
                <w:rFonts w:ascii="Times New Roman" w:eastAsia="Times New Roman" w:hAnsi="Times New Roman"/>
                <w:bCs/>
                <w:sz w:val="24"/>
                <w:szCs w:val="24"/>
              </w:rPr>
              <w:t xml:space="preserve"> un prognoze</w:t>
            </w:r>
            <w:r w:rsidR="00D224D0" w:rsidRPr="00793A43">
              <w:rPr>
                <w:rFonts w:ascii="Times New Roman" w:eastAsia="Times New Roman" w:hAnsi="Times New Roman"/>
                <w:bCs/>
                <w:sz w:val="24"/>
                <w:szCs w:val="24"/>
              </w:rPr>
              <w:t xml:space="preserve"> nedrīkst liecināt par riskiem investīciju projekta ilgtspējai nepietiekama izglītojamo skaita dēļ. </w:t>
            </w:r>
          </w:p>
          <w:p w14:paraId="19BD493D" w14:textId="7FF280E2" w:rsidR="00B76CB0" w:rsidRDefault="00B76CB0" w:rsidP="00B233D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Iesniegto investīciju projektu izvērtēšanai, tiks izveidota investīciju projektu pieteikumu izvērtēšanas komisija, kuras sastāvā tiks iekļauti pārstāvji no IZM, VARAM un Kultūras ministrijas</w:t>
            </w:r>
            <w:r w:rsidR="00E86D6B">
              <w:rPr>
                <w:rFonts w:ascii="Times New Roman" w:eastAsia="Times New Roman" w:hAnsi="Times New Roman"/>
                <w:sz w:val="24"/>
                <w:szCs w:val="24"/>
              </w:rPr>
              <w:t xml:space="preserve"> (turpmāk – KM)</w:t>
            </w:r>
            <w:r>
              <w:rPr>
                <w:rFonts w:ascii="Times New Roman" w:eastAsia="Times New Roman" w:hAnsi="Times New Roman"/>
                <w:sz w:val="24"/>
                <w:szCs w:val="24"/>
              </w:rPr>
              <w:t xml:space="preserve">. </w:t>
            </w:r>
            <w:r w:rsidR="00F3276E">
              <w:rPr>
                <w:rFonts w:ascii="Times New Roman" w:eastAsia="Times New Roman" w:hAnsi="Times New Roman"/>
                <w:sz w:val="24"/>
                <w:szCs w:val="24"/>
              </w:rPr>
              <w:t>Noteikumu projektā ir noteikts, ka komisija</w:t>
            </w:r>
            <w:r>
              <w:rPr>
                <w:rFonts w:ascii="Times New Roman" w:eastAsia="Times New Roman" w:hAnsi="Times New Roman"/>
                <w:sz w:val="24"/>
                <w:szCs w:val="24"/>
              </w:rPr>
              <w:t xml:space="preserve"> investīciju projektus izskata desmit darbdienu laikā no noteikumu projektā paredzētā investīciju </w:t>
            </w:r>
            <w:r w:rsidR="007203DF">
              <w:rPr>
                <w:rFonts w:ascii="Times New Roman" w:eastAsia="Times New Roman" w:hAnsi="Times New Roman"/>
                <w:sz w:val="24"/>
                <w:szCs w:val="24"/>
              </w:rPr>
              <w:t xml:space="preserve">projektu </w:t>
            </w:r>
            <w:r>
              <w:rPr>
                <w:rFonts w:ascii="Times New Roman" w:eastAsia="Times New Roman" w:hAnsi="Times New Roman"/>
                <w:sz w:val="24"/>
                <w:szCs w:val="24"/>
              </w:rPr>
              <w:t xml:space="preserve">iesniegšanas beigu termiņa. </w:t>
            </w:r>
          </w:p>
          <w:p w14:paraId="1ABE33AF" w14:textId="02350CBC" w:rsidR="00F3276E" w:rsidRDefault="006707C5" w:rsidP="006707C5">
            <w:pPr>
              <w:tabs>
                <w:tab w:val="left" w:pos="1800"/>
              </w:tabs>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00F3276E">
              <w:rPr>
                <w:rFonts w:ascii="Times New Roman" w:eastAsia="Times New Roman" w:hAnsi="Times New Roman"/>
                <w:sz w:val="24"/>
                <w:szCs w:val="24"/>
              </w:rPr>
              <w:t xml:space="preserve">ēmumu par investīciju projektu pašvaldībai nosūtīs IZM piecu darbdienu laikā no </w:t>
            </w:r>
            <w:r w:rsidR="00C144F8" w:rsidRPr="00C144F8">
              <w:rPr>
                <w:rFonts w:ascii="Times New Roman" w:eastAsia="Times New Roman" w:hAnsi="Times New Roman"/>
                <w:sz w:val="24"/>
                <w:szCs w:val="24"/>
              </w:rPr>
              <w:t xml:space="preserve">investīciju projektu pieteikumu izvērtēšanas </w:t>
            </w:r>
            <w:r w:rsidR="00F3276E">
              <w:rPr>
                <w:rFonts w:ascii="Times New Roman" w:eastAsia="Times New Roman" w:hAnsi="Times New Roman"/>
                <w:sz w:val="24"/>
                <w:szCs w:val="24"/>
              </w:rPr>
              <w:t xml:space="preserve">komisijas lēmuma pieņemšanas dienas, vienlaikus atbalstīto projektu saraksts tiks nosūtīts </w:t>
            </w:r>
            <w:r w:rsidR="00F3276E" w:rsidRPr="00F3276E">
              <w:rPr>
                <w:rFonts w:ascii="Times New Roman" w:hAnsi="Times New Roman"/>
                <w:sz w:val="24"/>
                <w:szCs w:val="28"/>
                <w:shd w:val="clear" w:color="auto" w:fill="FFFFFF"/>
              </w:rPr>
              <w:t>Pašvaldību aizņēmumu un galvojumu kontroles un pārraudzības padomei.</w:t>
            </w:r>
          </w:p>
          <w:p w14:paraId="5E11745D" w14:textId="052BED14" w:rsidR="007257C7" w:rsidRPr="001F5A1F" w:rsidRDefault="00BF327E" w:rsidP="006707C5">
            <w:pPr>
              <w:spacing w:after="120" w:line="240" w:lineRule="auto"/>
              <w:jc w:val="both"/>
              <w:rPr>
                <w:rFonts w:ascii="Times New Roman" w:eastAsia="Times New Roman" w:hAnsi="Times New Roman"/>
                <w:sz w:val="24"/>
                <w:szCs w:val="28"/>
              </w:rPr>
            </w:pPr>
            <w:r w:rsidRPr="00BF327E">
              <w:rPr>
                <w:rFonts w:ascii="Times New Roman" w:eastAsia="Times New Roman" w:hAnsi="Times New Roman"/>
                <w:sz w:val="24"/>
                <w:szCs w:val="28"/>
              </w:rPr>
              <w:t xml:space="preserve">Pēc lēmuma par atbalstu investīciju projekta īstenošanai saņemšanas, pašvaldība iesniedz aizņēmuma pieprasījumus atbilstoši Ministru kabineta noteiktajai kārtībai, kādā pašvaldības var ņemt </w:t>
            </w:r>
            <w:r w:rsidRPr="001F5A1F">
              <w:rPr>
                <w:rFonts w:ascii="Times New Roman" w:eastAsia="Times New Roman" w:hAnsi="Times New Roman"/>
                <w:sz w:val="24"/>
                <w:szCs w:val="28"/>
              </w:rPr>
              <w:t>aizņēmumus, aiz</w:t>
            </w:r>
            <w:r w:rsidR="00BB3C91" w:rsidRPr="001F5A1F">
              <w:rPr>
                <w:rFonts w:ascii="Times New Roman" w:eastAsia="Times New Roman" w:hAnsi="Times New Roman"/>
                <w:sz w:val="24"/>
                <w:szCs w:val="28"/>
              </w:rPr>
              <w:t xml:space="preserve">ņēmuma pieprasījumam </w:t>
            </w:r>
            <w:r w:rsidRPr="001F5A1F">
              <w:rPr>
                <w:rFonts w:ascii="Times New Roman" w:eastAsia="Times New Roman" w:hAnsi="Times New Roman"/>
                <w:sz w:val="24"/>
                <w:szCs w:val="28"/>
              </w:rPr>
              <w:t xml:space="preserve">pievienojot </w:t>
            </w:r>
            <w:r w:rsidRPr="001F5A1F">
              <w:rPr>
                <w:rFonts w:ascii="Times New Roman" w:eastAsia="Times New Roman" w:hAnsi="Times New Roman"/>
                <w:sz w:val="24"/>
                <w:szCs w:val="28"/>
              </w:rPr>
              <w:lastRenderedPageBreak/>
              <w:t>arī lēmumu par atbalstu investīciju projekta īstenošanai.</w:t>
            </w:r>
          </w:p>
          <w:p w14:paraId="0DD17F4B" w14:textId="12AE1E55" w:rsidR="00BB3C91" w:rsidRPr="001C1F8A" w:rsidRDefault="00BB3C91" w:rsidP="00BB3C91">
            <w:pPr>
              <w:spacing w:after="120" w:line="240" w:lineRule="auto"/>
              <w:jc w:val="both"/>
              <w:rPr>
                <w:rFonts w:ascii="Times New Roman" w:eastAsia="Times New Roman" w:hAnsi="Times New Roman"/>
                <w:b/>
                <w:sz w:val="24"/>
                <w:szCs w:val="24"/>
              </w:rPr>
            </w:pPr>
            <w:r w:rsidRPr="001F5A1F">
              <w:rPr>
                <w:rFonts w:ascii="Times New Roman" w:eastAsia="Times New Roman" w:hAnsi="Times New Roman"/>
                <w:sz w:val="24"/>
                <w:szCs w:val="28"/>
              </w:rPr>
              <w:t>Finanšu ministrija atbilstoši pašvaldības aizņēmuma pieprasījumam var precizēt atbalstīto aizdevumu sadalījumu 2021. gadā un 2022. gadā, nepārsniedzot atbalstīto kopējo maksimālo aizdevuma summu projektam, ņemot vērā projekta īstenošana</w:t>
            </w:r>
            <w:r w:rsidR="00D8788F" w:rsidRPr="001F5A1F">
              <w:rPr>
                <w:rFonts w:ascii="Times New Roman" w:eastAsia="Times New Roman" w:hAnsi="Times New Roman"/>
                <w:sz w:val="24"/>
                <w:szCs w:val="28"/>
              </w:rPr>
              <w:t>s</w:t>
            </w:r>
            <w:r w:rsidRPr="001F5A1F">
              <w:rPr>
                <w:rFonts w:ascii="Times New Roman" w:eastAsia="Times New Roman" w:hAnsi="Times New Roman"/>
                <w:sz w:val="24"/>
                <w:szCs w:val="28"/>
              </w:rPr>
              <w:t xml:space="preserve"> laika grafiku un ievērojot noteikumos</w:t>
            </w:r>
            <w:r w:rsidR="00D8788F" w:rsidRPr="001F5A1F">
              <w:rPr>
                <w:rFonts w:ascii="Times New Roman" w:eastAsia="Times New Roman" w:hAnsi="Times New Roman"/>
                <w:sz w:val="24"/>
                <w:szCs w:val="28"/>
              </w:rPr>
              <w:t xml:space="preserve"> paredzētos</w:t>
            </w:r>
            <w:r w:rsidRPr="001F5A1F">
              <w:rPr>
                <w:rFonts w:ascii="Times New Roman" w:eastAsia="Times New Roman" w:hAnsi="Times New Roman"/>
                <w:sz w:val="24"/>
                <w:szCs w:val="28"/>
              </w:rPr>
              <w:t xml:space="preserve"> pašvaldības līdzfinansējuma apmēra nosacījumus.</w:t>
            </w:r>
            <w:r w:rsidRPr="001C1F8A">
              <w:rPr>
                <w:rFonts w:ascii="Times New Roman" w:eastAsia="Times New Roman" w:hAnsi="Times New Roman"/>
                <w:b/>
                <w:sz w:val="24"/>
                <w:szCs w:val="28"/>
              </w:rPr>
              <w:t xml:space="preserve"> </w:t>
            </w:r>
          </w:p>
        </w:tc>
      </w:tr>
      <w:tr w:rsidR="00A0737C" w:rsidRPr="00915126" w14:paraId="133F2515" w14:textId="77777777" w:rsidTr="07C8E3B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5EB4FAE" w14:textId="048C9901"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6F5CA644"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Projekta izstrādē iesaistītās institūcijas un publiskas personas kapitālsabiedrības</w:t>
            </w:r>
          </w:p>
        </w:tc>
        <w:tc>
          <w:tcPr>
            <w:tcW w:w="3000" w:type="pct"/>
            <w:tcBorders>
              <w:top w:val="outset" w:sz="6" w:space="0" w:color="auto"/>
              <w:left w:val="outset" w:sz="6" w:space="0" w:color="auto"/>
              <w:bottom w:val="outset" w:sz="6" w:space="0" w:color="auto"/>
              <w:right w:val="outset" w:sz="6" w:space="0" w:color="auto"/>
            </w:tcBorders>
          </w:tcPr>
          <w:p w14:paraId="506379A9" w14:textId="1C479E5A" w:rsidR="00E5323B" w:rsidRPr="000155D6" w:rsidRDefault="0072273E" w:rsidP="00064990">
            <w:pPr>
              <w:spacing w:after="0" w:line="240" w:lineRule="auto"/>
              <w:rPr>
                <w:rFonts w:ascii="Times New Roman" w:eastAsia="Times New Roman" w:hAnsi="Times New Roman"/>
                <w:sz w:val="24"/>
                <w:szCs w:val="24"/>
                <w:lang w:eastAsia="lv-LV"/>
              </w:rPr>
            </w:pPr>
            <w:r w:rsidRPr="004751C1">
              <w:rPr>
                <w:rFonts w:ascii="Times New Roman" w:eastAsia="Times New Roman" w:hAnsi="Times New Roman"/>
                <w:sz w:val="24"/>
                <w:szCs w:val="24"/>
                <w:lang w:eastAsia="lv-LV"/>
              </w:rPr>
              <w:t>IZM, VARAM</w:t>
            </w:r>
            <w:r w:rsidR="00E86D6B">
              <w:rPr>
                <w:rFonts w:ascii="Times New Roman" w:eastAsia="Times New Roman" w:hAnsi="Times New Roman"/>
                <w:sz w:val="24"/>
                <w:szCs w:val="24"/>
                <w:lang w:eastAsia="lv-LV"/>
              </w:rPr>
              <w:t xml:space="preserve"> un</w:t>
            </w:r>
            <w:bookmarkStart w:id="0" w:name="_GoBack"/>
            <w:bookmarkEnd w:id="0"/>
            <w:r w:rsidR="00E86D6B">
              <w:rPr>
                <w:rFonts w:ascii="Times New Roman" w:eastAsia="Times New Roman" w:hAnsi="Times New Roman"/>
                <w:sz w:val="24"/>
                <w:szCs w:val="24"/>
                <w:lang w:eastAsia="lv-LV"/>
              </w:rPr>
              <w:t xml:space="preserve"> KM</w:t>
            </w:r>
            <w:r w:rsidR="441553D7" w:rsidRPr="004751C1">
              <w:rPr>
                <w:rFonts w:ascii="Times New Roman" w:eastAsia="Times New Roman" w:hAnsi="Times New Roman"/>
                <w:sz w:val="24"/>
                <w:szCs w:val="24"/>
                <w:lang w:eastAsia="lv-LV"/>
              </w:rPr>
              <w:t>.</w:t>
            </w:r>
          </w:p>
        </w:tc>
      </w:tr>
      <w:tr w:rsidR="00A0737C" w:rsidRPr="00915126" w14:paraId="3F083D93" w14:textId="77777777" w:rsidTr="07C8E3B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87E648D"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23E471D5"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0DEFAE8E" w14:textId="77777777" w:rsidR="00E5323B" w:rsidRPr="000155D6" w:rsidRDefault="00D83726" w:rsidP="00E5323B">
            <w:pPr>
              <w:spacing w:after="0" w:line="240" w:lineRule="auto"/>
              <w:rPr>
                <w:rFonts w:ascii="Times New Roman" w:eastAsia="Times New Roman" w:hAnsi="Times New Roman"/>
                <w:iCs/>
                <w:sz w:val="24"/>
                <w:szCs w:val="24"/>
                <w:lang w:eastAsia="lv-LV"/>
              </w:rPr>
            </w:pPr>
            <w:r w:rsidRPr="00915126">
              <w:rPr>
                <w:rFonts w:ascii="Times New Roman" w:hAnsi="Times New Roman"/>
                <w:bCs/>
                <w:sz w:val="24"/>
                <w:szCs w:val="24"/>
              </w:rPr>
              <w:t>Nav</w:t>
            </w:r>
            <w:r w:rsidR="00FF6F6C" w:rsidRPr="00915126">
              <w:rPr>
                <w:rFonts w:ascii="Times New Roman" w:hAnsi="Times New Roman"/>
                <w:bCs/>
                <w:sz w:val="24"/>
                <w:szCs w:val="24"/>
              </w:rPr>
              <w:t>.</w:t>
            </w:r>
          </w:p>
        </w:tc>
      </w:tr>
    </w:tbl>
    <w:p w14:paraId="3A2F0EE3"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0737C" w:rsidRPr="00915126" w14:paraId="4EA302C6" w14:textId="77777777" w:rsidTr="441553D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A5AF62E" w14:textId="77777777" w:rsidR="00655F2C" w:rsidRPr="000155D6" w:rsidRDefault="00E5323B" w:rsidP="00916BC9">
            <w:pPr>
              <w:spacing w:after="0" w:line="240" w:lineRule="auto"/>
              <w:jc w:val="center"/>
              <w:rPr>
                <w:rFonts w:ascii="Times New Roman" w:eastAsia="Times New Roman" w:hAnsi="Times New Roman"/>
                <w:b/>
                <w:bCs/>
                <w:iCs/>
                <w:sz w:val="24"/>
                <w:szCs w:val="24"/>
                <w:lang w:eastAsia="lv-LV"/>
              </w:rPr>
            </w:pPr>
            <w:r w:rsidRPr="000155D6">
              <w:rPr>
                <w:rFonts w:ascii="Times New Roman" w:eastAsia="Times New Roman" w:hAnsi="Times New Roman"/>
                <w:b/>
                <w:bCs/>
                <w:iCs/>
                <w:sz w:val="24"/>
                <w:szCs w:val="24"/>
                <w:lang w:eastAsia="lv-LV"/>
              </w:rPr>
              <w:t>II.</w:t>
            </w:r>
            <w:r w:rsidR="00294FF9" w:rsidRPr="000155D6">
              <w:rPr>
                <w:rFonts w:ascii="Times New Roman" w:eastAsia="Times New Roman" w:hAnsi="Times New Roman"/>
                <w:b/>
                <w:bCs/>
                <w:iCs/>
                <w:sz w:val="24"/>
                <w:szCs w:val="24"/>
                <w:lang w:eastAsia="lv-LV"/>
              </w:rPr>
              <w:t> </w:t>
            </w:r>
            <w:r w:rsidRPr="000155D6">
              <w:rPr>
                <w:rFonts w:ascii="Times New Roman" w:eastAsia="Times New Roman" w:hAnsi="Times New Roman"/>
                <w:b/>
                <w:bCs/>
                <w:iCs/>
                <w:sz w:val="24"/>
                <w:szCs w:val="24"/>
                <w:lang w:eastAsia="lv-LV"/>
              </w:rPr>
              <w:t>Tiesību akta projekta ietekme uz sabiedrību, tautsaimniecības attīstību un administratīvo slogu</w:t>
            </w:r>
          </w:p>
        </w:tc>
      </w:tr>
      <w:tr w:rsidR="00A0737C" w:rsidRPr="00915126" w14:paraId="5EC107B9"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EAE4B62"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5F8EC631"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Sabiedrības mērķgrupas,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tcPr>
          <w:p w14:paraId="03562C9B" w14:textId="5CEEE580" w:rsidR="00B3700D" w:rsidRDefault="00B3700D" w:rsidP="006E384D">
            <w:pPr>
              <w:spacing w:after="120" w:line="240" w:lineRule="auto"/>
              <w:jc w:val="both"/>
              <w:rPr>
                <w:rFonts w:ascii="Times New Roman" w:eastAsia="Times New Roman" w:hAnsi="Times New Roman"/>
                <w:sz w:val="24"/>
                <w:szCs w:val="24"/>
                <w:lang w:eastAsia="lv-LV"/>
              </w:rPr>
            </w:pPr>
            <w:r w:rsidRPr="00916BC9">
              <w:rPr>
                <w:rFonts w:ascii="Times New Roman" w:eastAsia="Times New Roman" w:hAnsi="Times New Roman"/>
                <w:sz w:val="24"/>
                <w:szCs w:val="24"/>
                <w:lang w:eastAsia="lv-LV"/>
              </w:rPr>
              <w:t>Noteikumu projekta mērķa grupā ir pašvaldību</w:t>
            </w:r>
            <w:r w:rsidR="0056386C">
              <w:rPr>
                <w:rFonts w:ascii="Times New Roman" w:eastAsia="Times New Roman" w:hAnsi="Times New Roman"/>
                <w:sz w:val="24"/>
                <w:szCs w:val="24"/>
                <w:lang w:eastAsia="lv-LV"/>
              </w:rPr>
              <w:t xml:space="preserve"> dibinātas</w:t>
            </w:r>
            <w:r w:rsidRPr="00916BC9">
              <w:rPr>
                <w:rFonts w:ascii="Times New Roman" w:eastAsia="Times New Roman" w:hAnsi="Times New Roman"/>
                <w:sz w:val="24"/>
                <w:szCs w:val="24"/>
                <w:lang w:eastAsia="lv-LV"/>
              </w:rPr>
              <w:t xml:space="preserve"> izglītības iestādes</w:t>
            </w:r>
            <w:r w:rsidR="00D73EF9">
              <w:rPr>
                <w:rFonts w:ascii="Times New Roman" w:eastAsia="Times New Roman" w:hAnsi="Times New Roman"/>
                <w:sz w:val="24"/>
                <w:szCs w:val="24"/>
                <w:lang w:eastAsia="lv-LV"/>
              </w:rPr>
              <w:t xml:space="preserve"> (izņemot pirmsskolas izglītības iestādes)</w:t>
            </w:r>
            <w:r w:rsidRPr="00916BC9">
              <w:rPr>
                <w:rFonts w:ascii="Times New Roman" w:eastAsia="Times New Roman" w:hAnsi="Times New Roman"/>
                <w:sz w:val="24"/>
                <w:szCs w:val="24"/>
                <w:lang w:eastAsia="lv-LV"/>
              </w:rPr>
              <w:t xml:space="preserve">, </w:t>
            </w:r>
            <w:r w:rsidR="0056386C">
              <w:rPr>
                <w:rFonts w:ascii="Times New Roman" w:eastAsia="Times New Roman" w:hAnsi="Times New Roman"/>
                <w:sz w:val="24"/>
                <w:szCs w:val="24"/>
                <w:lang w:eastAsia="lv-LV"/>
              </w:rPr>
              <w:t xml:space="preserve">šo </w:t>
            </w:r>
            <w:r w:rsidR="002B5A5A" w:rsidRPr="00916BC9">
              <w:rPr>
                <w:rFonts w:ascii="Times New Roman" w:eastAsia="Times New Roman" w:hAnsi="Times New Roman"/>
                <w:sz w:val="24"/>
                <w:szCs w:val="24"/>
                <w:lang w:eastAsia="lv-LV"/>
              </w:rPr>
              <w:t xml:space="preserve">izglītības iestāžu </w:t>
            </w:r>
            <w:r w:rsidRPr="00916BC9">
              <w:rPr>
                <w:rFonts w:ascii="Times New Roman" w:eastAsia="Times New Roman" w:hAnsi="Times New Roman"/>
                <w:sz w:val="24"/>
                <w:szCs w:val="24"/>
                <w:lang w:eastAsia="lv-LV"/>
              </w:rPr>
              <w:t>izglītojamie.</w:t>
            </w:r>
          </w:p>
          <w:p w14:paraId="1BF9F1E1" w14:textId="77777777" w:rsidR="00794A08" w:rsidRPr="006E384D" w:rsidRDefault="00F92983" w:rsidP="00577F2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Noteikumu projekts nodrošina </w:t>
            </w:r>
            <w:r w:rsidR="00885498" w:rsidRPr="00885498">
              <w:rPr>
                <w:rFonts w:ascii="Times New Roman" w:eastAsia="Times New Roman" w:hAnsi="Times New Roman"/>
                <w:sz w:val="24"/>
                <w:szCs w:val="24"/>
                <w:lang w:eastAsia="lv-LV"/>
              </w:rPr>
              <w:t xml:space="preserve">pašvaldībām </w:t>
            </w:r>
            <w:r>
              <w:rPr>
                <w:rFonts w:ascii="Times New Roman" w:eastAsia="Times New Roman" w:hAnsi="Times New Roman"/>
                <w:sz w:val="24"/>
                <w:szCs w:val="24"/>
                <w:lang w:eastAsia="lv-LV"/>
              </w:rPr>
              <w:t xml:space="preserve">iespēju </w:t>
            </w:r>
            <w:r w:rsidR="00885498" w:rsidRPr="00885498">
              <w:rPr>
                <w:rFonts w:ascii="Times New Roman" w:eastAsia="Times New Roman" w:hAnsi="Times New Roman"/>
                <w:sz w:val="24"/>
                <w:szCs w:val="24"/>
                <w:lang w:eastAsia="lv-LV"/>
              </w:rPr>
              <w:t>saņemt valsts budžeta aizņēmumu izglītības iestādes</w:t>
            </w:r>
            <w:r w:rsidR="00577F2D">
              <w:rPr>
                <w:rFonts w:ascii="Times New Roman" w:eastAsia="Times New Roman" w:hAnsi="Times New Roman"/>
                <w:sz w:val="24"/>
                <w:szCs w:val="24"/>
                <w:lang w:eastAsia="lv-LV"/>
              </w:rPr>
              <w:t xml:space="preserve"> infrastruktūras un</w:t>
            </w:r>
            <w:r w:rsidR="00885498" w:rsidRPr="00885498">
              <w:rPr>
                <w:rFonts w:ascii="Times New Roman" w:eastAsia="Times New Roman" w:hAnsi="Times New Roman"/>
                <w:sz w:val="24"/>
                <w:szCs w:val="24"/>
                <w:lang w:eastAsia="lv-LV"/>
              </w:rPr>
              <w:t xml:space="preserve"> mācību vides uzlabošanai</w:t>
            </w:r>
            <w:r w:rsidR="00577F2D">
              <w:rPr>
                <w:rFonts w:ascii="Times New Roman" w:eastAsia="Times New Roman" w:hAnsi="Times New Roman"/>
                <w:sz w:val="24"/>
                <w:szCs w:val="24"/>
                <w:lang w:eastAsia="lv-LV"/>
              </w:rPr>
              <w:t>, lai nodrošinātu kvalitatīvu un mūsdienīgu izglītību</w:t>
            </w:r>
            <w:r w:rsidR="00B96FE9">
              <w:rPr>
                <w:rFonts w:ascii="Times New Roman" w:eastAsia="Times New Roman" w:hAnsi="Times New Roman"/>
                <w:sz w:val="24"/>
                <w:szCs w:val="24"/>
                <w:lang w:eastAsia="lv-LV"/>
              </w:rPr>
              <w:t>.</w:t>
            </w:r>
          </w:p>
        </w:tc>
      </w:tr>
      <w:tr w:rsidR="00A0737C" w:rsidRPr="00915126" w14:paraId="035C3D8F"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E522CE2"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2190AA6D"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tcPr>
          <w:p w14:paraId="45E6E6A6" w14:textId="77777777" w:rsidR="00294FF9" w:rsidRPr="00916BC9" w:rsidRDefault="00294FF9" w:rsidP="006E384D">
            <w:pPr>
              <w:spacing w:after="120" w:line="240" w:lineRule="auto"/>
              <w:jc w:val="both"/>
              <w:rPr>
                <w:rFonts w:ascii="Times New Roman" w:eastAsia="Times New Roman" w:hAnsi="Times New Roman"/>
                <w:sz w:val="24"/>
                <w:szCs w:val="24"/>
              </w:rPr>
            </w:pPr>
            <w:r w:rsidRPr="00916BC9">
              <w:rPr>
                <w:rFonts w:ascii="Times New Roman" w:eastAsia="Times New Roman" w:hAnsi="Times New Roman"/>
                <w:sz w:val="24"/>
                <w:szCs w:val="24"/>
              </w:rPr>
              <w:t>Sabiedrības grupām un institūcijām projekta tiesiskais regulējums nemaina tiesības un pienākumus, kā arī veicamās darbības.</w:t>
            </w:r>
          </w:p>
          <w:p w14:paraId="462B39FB" w14:textId="77777777" w:rsidR="00E5323B" w:rsidRPr="00916BC9" w:rsidRDefault="441553D7" w:rsidP="00B70BED">
            <w:pPr>
              <w:spacing w:after="0" w:line="240" w:lineRule="auto"/>
              <w:jc w:val="both"/>
              <w:rPr>
                <w:rFonts w:ascii="Times New Roman" w:eastAsia="Times New Roman" w:hAnsi="Times New Roman"/>
                <w:sz w:val="24"/>
                <w:szCs w:val="24"/>
                <w:lang w:eastAsia="lv-LV"/>
              </w:rPr>
            </w:pPr>
            <w:r w:rsidRPr="00916BC9">
              <w:rPr>
                <w:rFonts w:ascii="Times New Roman" w:eastAsia="Times New Roman" w:hAnsi="Times New Roman"/>
                <w:sz w:val="24"/>
                <w:szCs w:val="24"/>
                <w:lang w:eastAsia="lv-LV"/>
              </w:rPr>
              <w:t>Pašvaldībām tiks nodrošināta iespēja saņemt aizņēmumus izglītības iestāžu infrastruktūras attīstībai.</w:t>
            </w:r>
          </w:p>
        </w:tc>
      </w:tr>
      <w:tr w:rsidR="00A0737C" w:rsidRPr="00915126" w14:paraId="170F85F2"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B25598"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488A5600"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7E121729" w14:textId="77777777" w:rsidR="00E5323B" w:rsidRPr="004751C1" w:rsidRDefault="00EF6FB9" w:rsidP="00991B89">
            <w:pPr>
              <w:spacing w:after="0" w:line="240" w:lineRule="auto"/>
              <w:jc w:val="both"/>
              <w:rPr>
                <w:rFonts w:ascii="Times New Roman" w:eastAsia="Times New Roman" w:hAnsi="Times New Roman"/>
                <w:sz w:val="24"/>
                <w:szCs w:val="24"/>
                <w:lang w:eastAsia="lv-LV"/>
              </w:rPr>
            </w:pPr>
            <w:r w:rsidRPr="004751C1">
              <w:rPr>
                <w:rFonts w:ascii="Times New Roman" w:eastAsia="Times New Roman" w:hAnsi="Times New Roman"/>
                <w:sz w:val="24"/>
                <w:szCs w:val="24"/>
                <w:lang w:eastAsia="lv-LV"/>
              </w:rPr>
              <w:t>Noteikumu projekt</w:t>
            </w:r>
            <w:r w:rsidR="00E733D0">
              <w:rPr>
                <w:rFonts w:ascii="Times New Roman" w:eastAsia="Times New Roman" w:hAnsi="Times New Roman"/>
                <w:sz w:val="24"/>
                <w:szCs w:val="24"/>
                <w:lang w:eastAsia="lv-LV"/>
              </w:rPr>
              <w:t xml:space="preserve">am nav </w:t>
            </w:r>
            <w:r w:rsidR="00991B89">
              <w:rPr>
                <w:rFonts w:ascii="Times New Roman" w:eastAsia="Times New Roman" w:hAnsi="Times New Roman"/>
                <w:sz w:val="24"/>
                <w:szCs w:val="24"/>
                <w:lang w:eastAsia="lv-LV"/>
              </w:rPr>
              <w:t xml:space="preserve">būtiskas </w:t>
            </w:r>
            <w:r w:rsidR="00E733D0">
              <w:rPr>
                <w:rFonts w:ascii="Times New Roman" w:eastAsia="Times New Roman" w:hAnsi="Times New Roman"/>
                <w:sz w:val="24"/>
                <w:szCs w:val="24"/>
                <w:lang w:eastAsia="lv-LV"/>
              </w:rPr>
              <w:t>ietekmes uz administratīvajām izmaksām.</w:t>
            </w:r>
          </w:p>
        </w:tc>
      </w:tr>
      <w:tr w:rsidR="00A0737C" w:rsidRPr="00915126" w14:paraId="2073E118"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99246BE"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0BB0B8D9"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tcPr>
          <w:p w14:paraId="15B01DCC" w14:textId="77777777" w:rsidR="00E5323B" w:rsidRPr="004751C1" w:rsidRDefault="00F8629D" w:rsidP="0029352C">
            <w:pPr>
              <w:spacing w:after="0" w:line="240" w:lineRule="auto"/>
              <w:jc w:val="both"/>
              <w:rPr>
                <w:rFonts w:ascii="Times New Roman" w:eastAsia="Times New Roman" w:hAnsi="Times New Roman"/>
                <w:sz w:val="24"/>
                <w:szCs w:val="24"/>
                <w:lang w:eastAsia="lv-LV"/>
              </w:rPr>
            </w:pPr>
            <w:r w:rsidRPr="004751C1">
              <w:rPr>
                <w:rFonts w:ascii="Times New Roman" w:eastAsia="Times New Roman" w:hAnsi="Times New Roman"/>
                <w:sz w:val="24"/>
                <w:szCs w:val="24"/>
                <w:lang w:eastAsia="lv-LV"/>
              </w:rPr>
              <w:t xml:space="preserve">Noteikumu </w:t>
            </w:r>
            <w:r w:rsidR="00574E17">
              <w:rPr>
                <w:rFonts w:ascii="Times New Roman" w:eastAsia="Times New Roman" w:hAnsi="Times New Roman"/>
                <w:sz w:val="24"/>
                <w:szCs w:val="24"/>
                <w:lang w:eastAsia="lv-LV"/>
              </w:rPr>
              <w:t>projektam nav ietekmes uz atbilstības izmaksām</w:t>
            </w:r>
            <w:r w:rsidR="00EF6FB9" w:rsidRPr="004751C1">
              <w:rPr>
                <w:rFonts w:ascii="Times New Roman" w:eastAsia="Times New Roman" w:hAnsi="Times New Roman"/>
                <w:sz w:val="24"/>
                <w:szCs w:val="24"/>
                <w:lang w:eastAsia="lv-LV"/>
              </w:rPr>
              <w:t>.</w:t>
            </w:r>
          </w:p>
        </w:tc>
      </w:tr>
      <w:tr w:rsidR="00A0737C" w:rsidRPr="00915126" w14:paraId="49EE1D4D"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88F2239"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14:paraId="4620A9A4"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6E18D69C" w14:textId="77777777" w:rsidR="00E5323B" w:rsidRPr="00A50E83" w:rsidRDefault="00D83726" w:rsidP="00E5323B">
            <w:pPr>
              <w:spacing w:after="0" w:line="240" w:lineRule="auto"/>
              <w:rPr>
                <w:rFonts w:ascii="Times New Roman" w:eastAsia="Times New Roman" w:hAnsi="Times New Roman"/>
                <w:iCs/>
                <w:color w:val="0070C0"/>
                <w:sz w:val="24"/>
                <w:szCs w:val="24"/>
                <w:lang w:eastAsia="lv-LV"/>
              </w:rPr>
            </w:pPr>
            <w:r w:rsidRPr="004751C1">
              <w:rPr>
                <w:rFonts w:ascii="Times New Roman" w:eastAsia="Times New Roman" w:hAnsi="Times New Roman"/>
                <w:sz w:val="24"/>
                <w:szCs w:val="24"/>
                <w:lang w:eastAsia="lv-LV"/>
              </w:rPr>
              <w:t>Nav</w:t>
            </w:r>
            <w:r w:rsidR="00EF23E1">
              <w:rPr>
                <w:rFonts w:ascii="Times New Roman" w:eastAsia="Times New Roman" w:hAnsi="Times New Roman"/>
                <w:sz w:val="24"/>
                <w:szCs w:val="24"/>
                <w:lang w:eastAsia="lv-LV"/>
              </w:rPr>
              <w:t>.</w:t>
            </w:r>
          </w:p>
        </w:tc>
      </w:tr>
    </w:tbl>
    <w:p w14:paraId="4EE6EBE9"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xml:space="preserve">  </w:t>
      </w:r>
    </w:p>
    <w:p w14:paraId="0BF53ACA" w14:textId="77777777" w:rsidR="007F564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xml:space="preserve">  </w:t>
      </w:r>
    </w:p>
    <w:tbl>
      <w:tblPr>
        <w:tblW w:w="5004" w:type="pct"/>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1827"/>
        <w:gridCol w:w="917"/>
        <w:gridCol w:w="1072"/>
        <w:gridCol w:w="883"/>
        <w:gridCol w:w="1070"/>
        <w:gridCol w:w="883"/>
        <w:gridCol w:w="1072"/>
        <w:gridCol w:w="1344"/>
      </w:tblGrid>
      <w:tr w:rsidR="00A0737C" w:rsidRPr="00915126" w14:paraId="118E993C" w14:textId="77777777" w:rsidTr="07C8E3B3">
        <w:trPr>
          <w:tblCellSpacing w:w="15" w:type="dxa"/>
        </w:trPr>
        <w:tc>
          <w:tcPr>
            <w:tcW w:w="4967" w:type="pct"/>
            <w:gridSpan w:val="8"/>
            <w:vAlign w:val="center"/>
            <w:hideMark/>
          </w:tcPr>
          <w:p w14:paraId="59DD157F" w14:textId="77777777" w:rsidR="007F564B" w:rsidRPr="000155D6" w:rsidRDefault="007F564B" w:rsidP="00845049">
            <w:pPr>
              <w:spacing w:after="0" w:line="240" w:lineRule="auto"/>
              <w:jc w:val="center"/>
              <w:rPr>
                <w:rFonts w:ascii="Times New Roman" w:eastAsia="Times New Roman" w:hAnsi="Times New Roman"/>
                <w:b/>
                <w:bCs/>
                <w:iCs/>
                <w:sz w:val="24"/>
                <w:szCs w:val="24"/>
                <w:lang w:eastAsia="lv-LV"/>
              </w:rPr>
            </w:pPr>
            <w:r w:rsidRPr="000155D6">
              <w:rPr>
                <w:rFonts w:ascii="Times New Roman" w:eastAsia="Times New Roman" w:hAnsi="Times New Roman"/>
                <w:b/>
                <w:bCs/>
                <w:iCs/>
                <w:sz w:val="24"/>
                <w:szCs w:val="24"/>
                <w:lang w:eastAsia="lv-LV"/>
              </w:rPr>
              <w:t>III. Tiesību akta projekta ietekme uz valsts budžetu un pašvaldību budžetiem</w:t>
            </w:r>
          </w:p>
        </w:tc>
      </w:tr>
      <w:tr w:rsidR="00A0737C" w:rsidRPr="00915126" w14:paraId="4939AF64" w14:textId="77777777" w:rsidTr="009F5C73">
        <w:trPr>
          <w:tblCellSpacing w:w="15" w:type="dxa"/>
        </w:trPr>
        <w:tc>
          <w:tcPr>
            <w:tcW w:w="1006" w:type="pct"/>
            <w:vMerge w:val="restart"/>
            <w:vAlign w:val="center"/>
            <w:hideMark/>
          </w:tcPr>
          <w:p w14:paraId="26993C16"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Rādītāji</w:t>
            </w:r>
          </w:p>
        </w:tc>
        <w:tc>
          <w:tcPr>
            <w:tcW w:w="1089" w:type="pct"/>
            <w:gridSpan w:val="2"/>
            <w:vMerge w:val="restart"/>
            <w:vAlign w:val="center"/>
            <w:hideMark/>
          </w:tcPr>
          <w:p w14:paraId="5FA2CEB0" w14:textId="77777777" w:rsidR="007F564B" w:rsidRPr="000155D6" w:rsidRDefault="00C611D4" w:rsidP="00845049">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2021</w:t>
            </w:r>
            <w:r w:rsidR="00845049">
              <w:rPr>
                <w:rFonts w:ascii="Times New Roman" w:eastAsia="Times New Roman" w:hAnsi="Times New Roman"/>
                <w:iCs/>
                <w:sz w:val="24"/>
                <w:szCs w:val="24"/>
                <w:lang w:eastAsia="lv-LV"/>
              </w:rPr>
              <w:t>. gads</w:t>
            </w:r>
          </w:p>
        </w:tc>
        <w:tc>
          <w:tcPr>
            <w:tcW w:w="2840" w:type="pct"/>
            <w:gridSpan w:val="5"/>
            <w:vAlign w:val="center"/>
            <w:hideMark/>
          </w:tcPr>
          <w:p w14:paraId="03E026B5"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Turpmākie trīs gadi (</w:t>
            </w:r>
            <w:r w:rsidRPr="000155D6">
              <w:rPr>
                <w:rFonts w:ascii="Times New Roman" w:eastAsia="Times New Roman" w:hAnsi="Times New Roman"/>
                <w:i/>
                <w:iCs/>
                <w:sz w:val="24"/>
                <w:szCs w:val="24"/>
                <w:lang w:eastAsia="lv-LV"/>
              </w:rPr>
              <w:t>euro</w:t>
            </w:r>
            <w:r w:rsidRPr="000155D6">
              <w:rPr>
                <w:rFonts w:ascii="Times New Roman" w:eastAsia="Times New Roman" w:hAnsi="Times New Roman"/>
                <w:iCs/>
                <w:sz w:val="24"/>
                <w:szCs w:val="24"/>
                <w:lang w:eastAsia="lv-LV"/>
              </w:rPr>
              <w:t>)</w:t>
            </w:r>
          </w:p>
        </w:tc>
      </w:tr>
      <w:tr w:rsidR="00A0737C" w:rsidRPr="00915126" w14:paraId="4B6C9433" w14:textId="77777777" w:rsidTr="009F5C73">
        <w:trPr>
          <w:tblCellSpacing w:w="15" w:type="dxa"/>
        </w:trPr>
        <w:tc>
          <w:tcPr>
            <w:tcW w:w="1006" w:type="pct"/>
            <w:vMerge/>
            <w:vAlign w:val="center"/>
            <w:hideMark/>
          </w:tcPr>
          <w:p w14:paraId="450A6DAA"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1089" w:type="pct"/>
            <w:gridSpan w:val="2"/>
            <w:vMerge/>
            <w:vAlign w:val="center"/>
            <w:hideMark/>
          </w:tcPr>
          <w:p w14:paraId="3C1DE089"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1069" w:type="pct"/>
            <w:gridSpan w:val="2"/>
            <w:vAlign w:val="center"/>
            <w:hideMark/>
          </w:tcPr>
          <w:p w14:paraId="613BB013" w14:textId="77777777" w:rsidR="007F564B" w:rsidRPr="000155D6" w:rsidRDefault="00C611D4"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2022</w:t>
            </w:r>
            <w:r w:rsidR="00845049">
              <w:rPr>
                <w:rFonts w:ascii="Times New Roman" w:eastAsia="Times New Roman" w:hAnsi="Times New Roman"/>
                <w:iCs/>
                <w:sz w:val="24"/>
                <w:szCs w:val="24"/>
                <w:lang w:eastAsia="lv-LV"/>
              </w:rPr>
              <w:t>. gads</w:t>
            </w:r>
          </w:p>
        </w:tc>
        <w:tc>
          <w:tcPr>
            <w:tcW w:w="1070" w:type="pct"/>
            <w:gridSpan w:val="2"/>
            <w:vAlign w:val="center"/>
            <w:hideMark/>
          </w:tcPr>
          <w:p w14:paraId="49DEAD9B" w14:textId="77777777" w:rsidR="007F564B" w:rsidRPr="000155D6" w:rsidRDefault="00C611D4"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2023</w:t>
            </w:r>
            <w:r w:rsidR="00845049">
              <w:rPr>
                <w:rFonts w:ascii="Times New Roman" w:eastAsia="Times New Roman" w:hAnsi="Times New Roman"/>
                <w:iCs/>
                <w:sz w:val="24"/>
                <w:szCs w:val="24"/>
                <w:lang w:eastAsia="lv-LV"/>
              </w:rPr>
              <w:t>. gads</w:t>
            </w:r>
          </w:p>
        </w:tc>
        <w:tc>
          <w:tcPr>
            <w:tcW w:w="669" w:type="pct"/>
            <w:vAlign w:val="center"/>
            <w:hideMark/>
          </w:tcPr>
          <w:p w14:paraId="7EB6F1F1" w14:textId="77777777" w:rsidR="007F564B" w:rsidRPr="000155D6" w:rsidRDefault="00C611D4"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2024</w:t>
            </w:r>
            <w:r w:rsidR="00845049">
              <w:rPr>
                <w:rFonts w:ascii="Times New Roman" w:eastAsia="Times New Roman" w:hAnsi="Times New Roman"/>
                <w:iCs/>
                <w:sz w:val="24"/>
                <w:szCs w:val="24"/>
                <w:lang w:eastAsia="lv-LV"/>
              </w:rPr>
              <w:t>. gads</w:t>
            </w:r>
          </w:p>
        </w:tc>
      </w:tr>
      <w:tr w:rsidR="00A0737C" w:rsidRPr="00915126" w14:paraId="60786781" w14:textId="77777777" w:rsidTr="009F5C73">
        <w:trPr>
          <w:tblCellSpacing w:w="15" w:type="dxa"/>
        </w:trPr>
        <w:tc>
          <w:tcPr>
            <w:tcW w:w="1006" w:type="pct"/>
            <w:vMerge/>
            <w:vAlign w:val="center"/>
            <w:hideMark/>
          </w:tcPr>
          <w:p w14:paraId="1F7E46DD"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501" w:type="pct"/>
            <w:vAlign w:val="center"/>
            <w:hideMark/>
          </w:tcPr>
          <w:p w14:paraId="4A715A0F"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saskaņā ar valsts budžetu kārtējam gadam</w:t>
            </w:r>
          </w:p>
        </w:tc>
        <w:tc>
          <w:tcPr>
            <w:tcW w:w="572" w:type="pct"/>
            <w:vAlign w:val="center"/>
            <w:hideMark/>
          </w:tcPr>
          <w:p w14:paraId="7998E01D"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xml:space="preserve">izmaiņas kārtējā gadā, salīdzinot ar valsts budžetu </w:t>
            </w:r>
            <w:r w:rsidRPr="000155D6">
              <w:rPr>
                <w:rFonts w:ascii="Times New Roman" w:eastAsia="Times New Roman" w:hAnsi="Times New Roman"/>
                <w:iCs/>
                <w:sz w:val="24"/>
                <w:szCs w:val="24"/>
                <w:lang w:eastAsia="lv-LV"/>
              </w:rPr>
              <w:lastRenderedPageBreak/>
              <w:t>kārtējam gadam</w:t>
            </w:r>
          </w:p>
        </w:tc>
        <w:tc>
          <w:tcPr>
            <w:tcW w:w="482" w:type="pct"/>
            <w:vAlign w:val="center"/>
            <w:hideMark/>
          </w:tcPr>
          <w:p w14:paraId="78DAC399"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lastRenderedPageBreak/>
              <w:t>saskaņā ar vidēja termiņa budžeta ietvaru</w:t>
            </w:r>
          </w:p>
        </w:tc>
        <w:tc>
          <w:tcPr>
            <w:tcW w:w="571" w:type="pct"/>
            <w:vAlign w:val="center"/>
            <w:hideMark/>
          </w:tcPr>
          <w:p w14:paraId="7B8EC994"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xml:space="preserve">izmaiņas, salīdzinot ar vidēja termiņa budžeta ietvaru </w:t>
            </w:r>
            <w:r w:rsidR="009204D7">
              <w:rPr>
                <w:rFonts w:ascii="Times New Roman" w:eastAsia="Times New Roman" w:hAnsi="Times New Roman"/>
                <w:iCs/>
                <w:sz w:val="24"/>
                <w:szCs w:val="24"/>
                <w:lang w:eastAsia="lv-LV"/>
              </w:rPr>
              <w:lastRenderedPageBreak/>
              <w:t>2022</w:t>
            </w:r>
            <w:r w:rsidRPr="000155D6">
              <w:rPr>
                <w:rFonts w:ascii="Times New Roman" w:eastAsia="Times New Roman" w:hAnsi="Times New Roman"/>
                <w:iCs/>
                <w:sz w:val="24"/>
                <w:szCs w:val="24"/>
                <w:lang w:eastAsia="lv-LV"/>
              </w:rPr>
              <w:t xml:space="preserve"> </w:t>
            </w:r>
            <w:r w:rsidR="00845049">
              <w:rPr>
                <w:rFonts w:ascii="Times New Roman" w:eastAsia="Times New Roman" w:hAnsi="Times New Roman"/>
                <w:iCs/>
                <w:sz w:val="24"/>
                <w:szCs w:val="24"/>
                <w:lang w:eastAsia="lv-LV"/>
              </w:rPr>
              <w:t>. </w:t>
            </w:r>
            <w:r w:rsidRPr="000155D6">
              <w:rPr>
                <w:rFonts w:ascii="Times New Roman" w:eastAsia="Times New Roman" w:hAnsi="Times New Roman"/>
                <w:iCs/>
                <w:sz w:val="24"/>
                <w:szCs w:val="24"/>
                <w:lang w:eastAsia="lv-LV"/>
              </w:rPr>
              <w:t>gadam</w:t>
            </w:r>
          </w:p>
        </w:tc>
        <w:tc>
          <w:tcPr>
            <w:tcW w:w="482" w:type="pct"/>
            <w:vAlign w:val="center"/>
            <w:hideMark/>
          </w:tcPr>
          <w:p w14:paraId="2FD81C7E"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lastRenderedPageBreak/>
              <w:t>saskaņā ar vidēja termiņa budžeta ietvaru</w:t>
            </w:r>
          </w:p>
        </w:tc>
        <w:tc>
          <w:tcPr>
            <w:tcW w:w="572" w:type="pct"/>
            <w:vAlign w:val="center"/>
            <w:hideMark/>
          </w:tcPr>
          <w:p w14:paraId="10C9CCA4"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xml:space="preserve">izmaiņas, salīdzinot ar vidēja termiņa budžeta ietvaru </w:t>
            </w:r>
            <w:r w:rsidR="009204D7">
              <w:rPr>
                <w:rFonts w:ascii="Times New Roman" w:eastAsia="Times New Roman" w:hAnsi="Times New Roman"/>
                <w:iCs/>
                <w:sz w:val="24"/>
                <w:szCs w:val="24"/>
                <w:lang w:eastAsia="lv-LV"/>
              </w:rPr>
              <w:lastRenderedPageBreak/>
              <w:t>2023</w:t>
            </w:r>
            <w:r w:rsidR="00845049">
              <w:rPr>
                <w:rFonts w:ascii="Times New Roman" w:eastAsia="Times New Roman" w:hAnsi="Times New Roman"/>
                <w:iCs/>
                <w:sz w:val="24"/>
                <w:szCs w:val="24"/>
                <w:lang w:eastAsia="lv-LV"/>
              </w:rPr>
              <w:t>. </w:t>
            </w:r>
            <w:r w:rsidRPr="000155D6">
              <w:rPr>
                <w:rFonts w:ascii="Times New Roman" w:eastAsia="Times New Roman" w:hAnsi="Times New Roman"/>
                <w:iCs/>
                <w:sz w:val="24"/>
                <w:szCs w:val="24"/>
                <w:lang w:eastAsia="lv-LV"/>
              </w:rPr>
              <w:t>gadam</w:t>
            </w:r>
          </w:p>
        </w:tc>
        <w:tc>
          <w:tcPr>
            <w:tcW w:w="669" w:type="pct"/>
            <w:vAlign w:val="center"/>
            <w:hideMark/>
          </w:tcPr>
          <w:p w14:paraId="28BC7244"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lastRenderedPageBreak/>
              <w:t xml:space="preserve">izmaiņas, salīdzinot ar vidēja termiņa budžeta ietvaru </w:t>
            </w:r>
            <w:r w:rsidR="009204D7">
              <w:rPr>
                <w:rFonts w:ascii="Times New Roman" w:eastAsia="Times New Roman" w:hAnsi="Times New Roman"/>
                <w:iCs/>
                <w:sz w:val="24"/>
                <w:szCs w:val="24"/>
                <w:lang w:eastAsia="lv-LV"/>
              </w:rPr>
              <w:lastRenderedPageBreak/>
              <w:t>2023</w:t>
            </w:r>
            <w:r w:rsidR="00845049">
              <w:rPr>
                <w:rFonts w:ascii="Times New Roman" w:eastAsia="Times New Roman" w:hAnsi="Times New Roman"/>
                <w:iCs/>
                <w:sz w:val="24"/>
                <w:szCs w:val="24"/>
                <w:lang w:eastAsia="lv-LV"/>
              </w:rPr>
              <w:t>. </w:t>
            </w:r>
            <w:r w:rsidR="009E69FD">
              <w:rPr>
                <w:rFonts w:ascii="Times New Roman" w:eastAsia="Times New Roman" w:hAnsi="Times New Roman"/>
                <w:iCs/>
                <w:sz w:val="24"/>
                <w:szCs w:val="24"/>
                <w:lang w:eastAsia="lv-LV"/>
              </w:rPr>
              <w:t>g</w:t>
            </w:r>
            <w:r w:rsidRPr="000155D6">
              <w:rPr>
                <w:rFonts w:ascii="Times New Roman" w:eastAsia="Times New Roman" w:hAnsi="Times New Roman"/>
                <w:iCs/>
                <w:sz w:val="24"/>
                <w:szCs w:val="24"/>
                <w:lang w:eastAsia="lv-LV"/>
              </w:rPr>
              <w:t>adam</w:t>
            </w:r>
          </w:p>
        </w:tc>
      </w:tr>
      <w:tr w:rsidR="00A0737C" w:rsidRPr="00915126" w14:paraId="3A3C33DE" w14:textId="77777777" w:rsidTr="009F5C73">
        <w:trPr>
          <w:tblCellSpacing w:w="15" w:type="dxa"/>
        </w:trPr>
        <w:tc>
          <w:tcPr>
            <w:tcW w:w="1006" w:type="pct"/>
            <w:vAlign w:val="center"/>
            <w:hideMark/>
          </w:tcPr>
          <w:p w14:paraId="0627A0AD"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lastRenderedPageBreak/>
              <w:t>1</w:t>
            </w:r>
          </w:p>
        </w:tc>
        <w:tc>
          <w:tcPr>
            <w:tcW w:w="501" w:type="pct"/>
            <w:vAlign w:val="center"/>
            <w:hideMark/>
          </w:tcPr>
          <w:p w14:paraId="394BB409"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2</w:t>
            </w:r>
          </w:p>
        </w:tc>
        <w:tc>
          <w:tcPr>
            <w:tcW w:w="572" w:type="pct"/>
            <w:vAlign w:val="center"/>
            <w:hideMark/>
          </w:tcPr>
          <w:p w14:paraId="28469709"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3</w:t>
            </w:r>
          </w:p>
        </w:tc>
        <w:tc>
          <w:tcPr>
            <w:tcW w:w="482" w:type="pct"/>
            <w:vAlign w:val="center"/>
            <w:hideMark/>
          </w:tcPr>
          <w:p w14:paraId="371CFEF9"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4</w:t>
            </w:r>
          </w:p>
        </w:tc>
        <w:tc>
          <w:tcPr>
            <w:tcW w:w="571" w:type="pct"/>
            <w:vAlign w:val="center"/>
            <w:hideMark/>
          </w:tcPr>
          <w:p w14:paraId="6E6E73F7"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5</w:t>
            </w:r>
          </w:p>
        </w:tc>
        <w:tc>
          <w:tcPr>
            <w:tcW w:w="482" w:type="pct"/>
            <w:vAlign w:val="center"/>
            <w:hideMark/>
          </w:tcPr>
          <w:p w14:paraId="1E63BEF2"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6</w:t>
            </w:r>
          </w:p>
        </w:tc>
        <w:tc>
          <w:tcPr>
            <w:tcW w:w="572" w:type="pct"/>
            <w:vAlign w:val="center"/>
            <w:hideMark/>
          </w:tcPr>
          <w:p w14:paraId="73A11943"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7</w:t>
            </w:r>
          </w:p>
        </w:tc>
        <w:tc>
          <w:tcPr>
            <w:tcW w:w="669" w:type="pct"/>
            <w:vAlign w:val="center"/>
            <w:hideMark/>
          </w:tcPr>
          <w:p w14:paraId="065306E5"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8</w:t>
            </w:r>
          </w:p>
        </w:tc>
      </w:tr>
      <w:tr w:rsidR="00A0737C" w:rsidRPr="00915126" w14:paraId="48A4826B" w14:textId="77777777" w:rsidTr="009F5C73">
        <w:trPr>
          <w:tblCellSpacing w:w="15" w:type="dxa"/>
        </w:trPr>
        <w:tc>
          <w:tcPr>
            <w:tcW w:w="1006" w:type="pct"/>
            <w:hideMark/>
          </w:tcPr>
          <w:p w14:paraId="329E99BA"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1. Budžeta ieņēmumi</w:t>
            </w:r>
          </w:p>
        </w:tc>
        <w:tc>
          <w:tcPr>
            <w:tcW w:w="501" w:type="pct"/>
            <w:vAlign w:val="center"/>
            <w:hideMark/>
          </w:tcPr>
          <w:p w14:paraId="097C3264"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7CA5D42E"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00C9EF36"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5DEA9FE4"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0D04CD4B"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0C445E90"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35EC6326"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3E47B1D1" w14:textId="77777777" w:rsidTr="009F5C73">
        <w:trPr>
          <w:tblCellSpacing w:w="15" w:type="dxa"/>
        </w:trPr>
        <w:tc>
          <w:tcPr>
            <w:tcW w:w="1006" w:type="pct"/>
            <w:hideMark/>
          </w:tcPr>
          <w:p w14:paraId="6A2C2600"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1.1. valsts pamatbudžets, tai skaitā ieņēmumi no maksas pakalpojumiem un citi pašu ieņēmumi</w:t>
            </w:r>
          </w:p>
        </w:tc>
        <w:tc>
          <w:tcPr>
            <w:tcW w:w="501" w:type="pct"/>
            <w:vAlign w:val="center"/>
            <w:hideMark/>
          </w:tcPr>
          <w:p w14:paraId="3ABAB3C1"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278EC037"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2A70D44D"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458D4B0A"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588499E5"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7210C92B"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090274CE"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1394571B" w14:textId="77777777" w:rsidTr="009F5C73">
        <w:trPr>
          <w:tblCellSpacing w:w="15" w:type="dxa"/>
        </w:trPr>
        <w:tc>
          <w:tcPr>
            <w:tcW w:w="1006" w:type="pct"/>
            <w:hideMark/>
          </w:tcPr>
          <w:p w14:paraId="5F7D747E"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1.2. valsts speciālais budžets</w:t>
            </w:r>
          </w:p>
        </w:tc>
        <w:tc>
          <w:tcPr>
            <w:tcW w:w="501" w:type="pct"/>
            <w:vAlign w:val="center"/>
            <w:hideMark/>
          </w:tcPr>
          <w:p w14:paraId="6AEAF03F"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520F7EFF"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3787DBDF"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720ACEAE"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23A7CCCB"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77684AA7"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7704F0BC"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0D13B687" w14:textId="77777777" w:rsidTr="009F5C73">
        <w:trPr>
          <w:tblCellSpacing w:w="15" w:type="dxa"/>
        </w:trPr>
        <w:tc>
          <w:tcPr>
            <w:tcW w:w="1006" w:type="pct"/>
            <w:hideMark/>
          </w:tcPr>
          <w:p w14:paraId="3CDE758F"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1.3. pašvaldību budžets</w:t>
            </w:r>
          </w:p>
        </w:tc>
        <w:tc>
          <w:tcPr>
            <w:tcW w:w="501" w:type="pct"/>
            <w:vAlign w:val="center"/>
            <w:hideMark/>
          </w:tcPr>
          <w:p w14:paraId="3D50C51E"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5EA6E564"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43BB10D5"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7A819D9B"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59884888"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5C5361BF"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05D9BC26"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40726C17" w14:textId="77777777" w:rsidTr="009F5C73">
        <w:trPr>
          <w:tblCellSpacing w:w="15" w:type="dxa"/>
        </w:trPr>
        <w:tc>
          <w:tcPr>
            <w:tcW w:w="1006" w:type="pct"/>
            <w:hideMark/>
          </w:tcPr>
          <w:p w14:paraId="484E1FC6"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2. Budžeta izdevumi</w:t>
            </w:r>
          </w:p>
        </w:tc>
        <w:tc>
          <w:tcPr>
            <w:tcW w:w="501" w:type="pct"/>
            <w:vAlign w:val="center"/>
            <w:hideMark/>
          </w:tcPr>
          <w:p w14:paraId="7825DAC0"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5F45E033"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16B6E676"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01B3FFDB"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716B36DE"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3924D957"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55B29E5E"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66C526B7" w14:textId="77777777" w:rsidTr="009F5C73">
        <w:trPr>
          <w:tblCellSpacing w:w="15" w:type="dxa"/>
        </w:trPr>
        <w:tc>
          <w:tcPr>
            <w:tcW w:w="1006" w:type="pct"/>
            <w:hideMark/>
          </w:tcPr>
          <w:p w14:paraId="00A9966F"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2.1. valsts pamatbudžets</w:t>
            </w:r>
          </w:p>
        </w:tc>
        <w:tc>
          <w:tcPr>
            <w:tcW w:w="501" w:type="pct"/>
            <w:vAlign w:val="center"/>
            <w:hideMark/>
          </w:tcPr>
          <w:p w14:paraId="04FCDF45"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740DFD5B"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57BD8699"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1CE183CF"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128A6914"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62EDE5AD"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5B910DA4"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4B12713B" w14:textId="77777777" w:rsidTr="009F5C73">
        <w:trPr>
          <w:tblCellSpacing w:w="15" w:type="dxa"/>
        </w:trPr>
        <w:tc>
          <w:tcPr>
            <w:tcW w:w="1006" w:type="pct"/>
            <w:hideMark/>
          </w:tcPr>
          <w:p w14:paraId="346B2807"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2.2. valsts speciālais budžets</w:t>
            </w:r>
          </w:p>
        </w:tc>
        <w:tc>
          <w:tcPr>
            <w:tcW w:w="501" w:type="pct"/>
            <w:vAlign w:val="center"/>
            <w:hideMark/>
          </w:tcPr>
          <w:p w14:paraId="0DEB5D74"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196CD481"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7F211687"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336A25B1"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0A34B977"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23BBCC9E"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76A5A0B0"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12EC53A6" w14:textId="77777777" w:rsidTr="009F5C73">
        <w:trPr>
          <w:tblCellSpacing w:w="15" w:type="dxa"/>
        </w:trPr>
        <w:tc>
          <w:tcPr>
            <w:tcW w:w="1006" w:type="pct"/>
            <w:hideMark/>
          </w:tcPr>
          <w:p w14:paraId="1D8EB07D"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2.3. pašvaldību budžets</w:t>
            </w:r>
          </w:p>
        </w:tc>
        <w:tc>
          <w:tcPr>
            <w:tcW w:w="501" w:type="pct"/>
            <w:vAlign w:val="center"/>
            <w:hideMark/>
          </w:tcPr>
          <w:p w14:paraId="06156CE7"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7EFF83F3"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2B75FDA9"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689103F3"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1E516D07"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34D060AA"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3919194C"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7664A66F" w14:textId="77777777" w:rsidTr="009F5C73">
        <w:trPr>
          <w:tblCellSpacing w:w="15" w:type="dxa"/>
        </w:trPr>
        <w:tc>
          <w:tcPr>
            <w:tcW w:w="1006" w:type="pct"/>
            <w:hideMark/>
          </w:tcPr>
          <w:p w14:paraId="0F51D562"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3. Finansiālā ietekme</w:t>
            </w:r>
          </w:p>
        </w:tc>
        <w:tc>
          <w:tcPr>
            <w:tcW w:w="501" w:type="pct"/>
            <w:vAlign w:val="center"/>
            <w:hideMark/>
          </w:tcPr>
          <w:p w14:paraId="5173CE6B"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62C2B317"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625D597D"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323EEBF9"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32EF87F3" w14:textId="77777777" w:rsidR="007F564B" w:rsidRPr="000155D6" w:rsidRDefault="00514504" w:rsidP="00E343A4">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0</w:t>
            </w:r>
            <w:r w:rsidR="007F564B" w:rsidRPr="000155D6">
              <w:rPr>
                <w:rFonts w:ascii="Times New Roman" w:eastAsia="Times New Roman" w:hAnsi="Times New Roman"/>
                <w:iCs/>
                <w:sz w:val="24"/>
                <w:szCs w:val="24"/>
                <w:lang w:eastAsia="lv-LV"/>
              </w:rPr>
              <w:t> </w:t>
            </w:r>
          </w:p>
        </w:tc>
        <w:tc>
          <w:tcPr>
            <w:tcW w:w="572" w:type="pct"/>
            <w:vAlign w:val="center"/>
            <w:hideMark/>
          </w:tcPr>
          <w:p w14:paraId="2A3F3C9C"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57050383"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788392B2" w14:textId="77777777" w:rsidTr="009F5C73">
        <w:trPr>
          <w:tblCellSpacing w:w="15" w:type="dxa"/>
        </w:trPr>
        <w:tc>
          <w:tcPr>
            <w:tcW w:w="1006" w:type="pct"/>
            <w:hideMark/>
          </w:tcPr>
          <w:p w14:paraId="0E51D51B"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3.1. valsts pamatbudžets</w:t>
            </w:r>
          </w:p>
        </w:tc>
        <w:tc>
          <w:tcPr>
            <w:tcW w:w="501" w:type="pct"/>
            <w:vAlign w:val="center"/>
            <w:hideMark/>
          </w:tcPr>
          <w:p w14:paraId="74692C1F"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01CE8DC3"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6C2125EA"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4EB86511"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130A0CAE"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039517FA"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09C57E1B"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6D1C676A" w14:textId="77777777" w:rsidTr="009F5C73">
        <w:trPr>
          <w:tblCellSpacing w:w="15" w:type="dxa"/>
        </w:trPr>
        <w:tc>
          <w:tcPr>
            <w:tcW w:w="1006" w:type="pct"/>
            <w:hideMark/>
          </w:tcPr>
          <w:p w14:paraId="6A9F9C0A"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3.2. speciālais budžets</w:t>
            </w:r>
          </w:p>
        </w:tc>
        <w:tc>
          <w:tcPr>
            <w:tcW w:w="501" w:type="pct"/>
            <w:vAlign w:val="center"/>
            <w:hideMark/>
          </w:tcPr>
          <w:p w14:paraId="083222B3"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0669D232"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24B17F3D"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486B0E0B"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4E068F64"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6CB7CF89"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62A19D4C"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69ED8E02" w14:textId="77777777" w:rsidTr="009F5C73">
        <w:trPr>
          <w:tblCellSpacing w:w="15" w:type="dxa"/>
        </w:trPr>
        <w:tc>
          <w:tcPr>
            <w:tcW w:w="1006" w:type="pct"/>
            <w:hideMark/>
          </w:tcPr>
          <w:p w14:paraId="75B8428B"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3.3. pašvaldību budžets</w:t>
            </w:r>
          </w:p>
        </w:tc>
        <w:tc>
          <w:tcPr>
            <w:tcW w:w="501" w:type="pct"/>
            <w:vAlign w:val="center"/>
            <w:hideMark/>
          </w:tcPr>
          <w:p w14:paraId="38DDC436"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2EBD0CE2"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25A3F599"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1" w:type="pct"/>
            <w:vAlign w:val="center"/>
            <w:hideMark/>
          </w:tcPr>
          <w:p w14:paraId="1E11AA9A" w14:textId="77777777" w:rsidR="007F564B" w:rsidRPr="000155D6" w:rsidRDefault="007F564B" w:rsidP="0031315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Align w:val="center"/>
            <w:hideMark/>
          </w:tcPr>
          <w:p w14:paraId="26CA9C61"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572" w:type="pct"/>
            <w:vAlign w:val="center"/>
            <w:hideMark/>
          </w:tcPr>
          <w:p w14:paraId="45DE0530" w14:textId="77777777" w:rsidR="007F564B" w:rsidRPr="000155D6" w:rsidRDefault="007F564B" w:rsidP="00E343A4">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7179D501" w14:textId="77777777" w:rsidR="007F564B" w:rsidRPr="000155D6" w:rsidRDefault="007F564B" w:rsidP="007168F2">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5CC63529" w14:textId="77777777" w:rsidTr="009F5C73">
        <w:trPr>
          <w:tblCellSpacing w:w="15" w:type="dxa"/>
        </w:trPr>
        <w:tc>
          <w:tcPr>
            <w:tcW w:w="1006" w:type="pct"/>
            <w:hideMark/>
          </w:tcPr>
          <w:p w14:paraId="596DCC4D"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4. Finanšu līdzekļi papildu izdevumu finansēšanai (kompensējošu izdevumu samazinājumu norāda ar "+" zīmi)</w:t>
            </w:r>
          </w:p>
        </w:tc>
        <w:tc>
          <w:tcPr>
            <w:tcW w:w="501" w:type="pct"/>
            <w:vAlign w:val="center"/>
          </w:tcPr>
          <w:p w14:paraId="64437D30" w14:textId="77777777" w:rsidR="007F564B" w:rsidRPr="000155D6" w:rsidRDefault="00514504"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0</w:t>
            </w:r>
          </w:p>
        </w:tc>
        <w:tc>
          <w:tcPr>
            <w:tcW w:w="572" w:type="pct"/>
            <w:vAlign w:val="center"/>
          </w:tcPr>
          <w:p w14:paraId="0C2684C4" w14:textId="77777777" w:rsidR="007F564B" w:rsidRPr="000155D6" w:rsidRDefault="00514504"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0</w:t>
            </w:r>
          </w:p>
        </w:tc>
        <w:tc>
          <w:tcPr>
            <w:tcW w:w="482" w:type="pct"/>
            <w:vAlign w:val="center"/>
          </w:tcPr>
          <w:p w14:paraId="3CBFFD03" w14:textId="77777777" w:rsidR="007F564B" w:rsidRPr="000155D6" w:rsidRDefault="00514504"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0</w:t>
            </w:r>
          </w:p>
        </w:tc>
        <w:tc>
          <w:tcPr>
            <w:tcW w:w="571" w:type="pct"/>
            <w:vAlign w:val="center"/>
          </w:tcPr>
          <w:p w14:paraId="2C5A4391" w14:textId="77777777" w:rsidR="007F564B" w:rsidRPr="000155D6" w:rsidRDefault="00514504"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0</w:t>
            </w:r>
          </w:p>
        </w:tc>
        <w:tc>
          <w:tcPr>
            <w:tcW w:w="482" w:type="pct"/>
            <w:vAlign w:val="center"/>
          </w:tcPr>
          <w:p w14:paraId="1DDEE599" w14:textId="77777777" w:rsidR="007F564B" w:rsidRPr="000155D6" w:rsidRDefault="00514504"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0</w:t>
            </w:r>
          </w:p>
        </w:tc>
        <w:tc>
          <w:tcPr>
            <w:tcW w:w="572" w:type="pct"/>
            <w:vAlign w:val="center"/>
          </w:tcPr>
          <w:p w14:paraId="0B1AE2D8" w14:textId="77777777" w:rsidR="007F564B" w:rsidRPr="000155D6" w:rsidRDefault="00514504" w:rsidP="00845049">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0</w:t>
            </w:r>
          </w:p>
        </w:tc>
        <w:tc>
          <w:tcPr>
            <w:tcW w:w="669" w:type="pct"/>
            <w:vAlign w:val="center"/>
            <w:hideMark/>
          </w:tcPr>
          <w:p w14:paraId="217D3E27"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45EB0966" w14:textId="77777777" w:rsidTr="009F5C73">
        <w:trPr>
          <w:tblCellSpacing w:w="15" w:type="dxa"/>
        </w:trPr>
        <w:tc>
          <w:tcPr>
            <w:tcW w:w="1006" w:type="pct"/>
            <w:hideMark/>
          </w:tcPr>
          <w:p w14:paraId="3AF23B50"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5. Precizēta finansiālā ietekme</w:t>
            </w:r>
          </w:p>
        </w:tc>
        <w:tc>
          <w:tcPr>
            <w:tcW w:w="501" w:type="pct"/>
            <w:vMerge w:val="restart"/>
            <w:vAlign w:val="center"/>
          </w:tcPr>
          <w:p w14:paraId="79DA4899" w14:textId="77777777" w:rsidR="007F564B" w:rsidRPr="000155D6" w:rsidRDefault="00FE6AAB"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X</w:t>
            </w:r>
          </w:p>
        </w:tc>
        <w:tc>
          <w:tcPr>
            <w:tcW w:w="572" w:type="pct"/>
            <w:vAlign w:val="center"/>
          </w:tcPr>
          <w:p w14:paraId="461FFBEF" w14:textId="77777777" w:rsidR="007F564B" w:rsidRPr="000155D6" w:rsidRDefault="00514504"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0</w:t>
            </w:r>
          </w:p>
        </w:tc>
        <w:tc>
          <w:tcPr>
            <w:tcW w:w="482" w:type="pct"/>
            <w:vMerge w:val="restart"/>
            <w:vAlign w:val="center"/>
          </w:tcPr>
          <w:p w14:paraId="5410DE75" w14:textId="77777777" w:rsidR="007F564B" w:rsidRPr="000155D6" w:rsidRDefault="00FE6AAB"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X</w:t>
            </w:r>
          </w:p>
        </w:tc>
        <w:tc>
          <w:tcPr>
            <w:tcW w:w="571" w:type="pct"/>
            <w:vAlign w:val="center"/>
          </w:tcPr>
          <w:p w14:paraId="26331828" w14:textId="77777777" w:rsidR="007F564B" w:rsidRPr="000155D6" w:rsidRDefault="00514504"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0</w:t>
            </w:r>
          </w:p>
        </w:tc>
        <w:tc>
          <w:tcPr>
            <w:tcW w:w="482" w:type="pct"/>
            <w:vMerge w:val="restart"/>
            <w:vAlign w:val="center"/>
          </w:tcPr>
          <w:p w14:paraId="11326E5B" w14:textId="77777777" w:rsidR="007F564B" w:rsidRPr="000155D6" w:rsidRDefault="00FE6AAB" w:rsidP="009F5C73">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X</w:t>
            </w:r>
          </w:p>
        </w:tc>
        <w:tc>
          <w:tcPr>
            <w:tcW w:w="572" w:type="pct"/>
            <w:vAlign w:val="center"/>
            <w:hideMark/>
          </w:tcPr>
          <w:p w14:paraId="56C058E5"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2C1F401B"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723C277F" w14:textId="77777777" w:rsidTr="009F5C73">
        <w:trPr>
          <w:tblCellSpacing w:w="15" w:type="dxa"/>
        </w:trPr>
        <w:tc>
          <w:tcPr>
            <w:tcW w:w="1006" w:type="pct"/>
            <w:hideMark/>
          </w:tcPr>
          <w:p w14:paraId="64D473BB"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lastRenderedPageBreak/>
              <w:t>5.1. valsts pamatbudžets</w:t>
            </w:r>
          </w:p>
        </w:tc>
        <w:tc>
          <w:tcPr>
            <w:tcW w:w="501" w:type="pct"/>
            <w:vMerge/>
            <w:vAlign w:val="center"/>
            <w:hideMark/>
          </w:tcPr>
          <w:p w14:paraId="4568B96E"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572" w:type="pct"/>
            <w:vAlign w:val="center"/>
            <w:hideMark/>
          </w:tcPr>
          <w:p w14:paraId="5D9E8B66"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Merge/>
            <w:vAlign w:val="center"/>
            <w:hideMark/>
          </w:tcPr>
          <w:p w14:paraId="2656AB1D"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571" w:type="pct"/>
            <w:vAlign w:val="center"/>
            <w:hideMark/>
          </w:tcPr>
          <w:p w14:paraId="65EF2FF4"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482" w:type="pct"/>
            <w:vMerge/>
            <w:vAlign w:val="center"/>
            <w:hideMark/>
          </w:tcPr>
          <w:p w14:paraId="240F9B3A"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572" w:type="pct"/>
            <w:vAlign w:val="center"/>
            <w:hideMark/>
          </w:tcPr>
          <w:p w14:paraId="05C2D604"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c>
          <w:tcPr>
            <w:tcW w:w="669" w:type="pct"/>
            <w:vAlign w:val="center"/>
            <w:hideMark/>
          </w:tcPr>
          <w:p w14:paraId="1E99180B"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514504">
              <w:rPr>
                <w:rFonts w:ascii="Times New Roman" w:eastAsia="Times New Roman" w:hAnsi="Times New Roman"/>
                <w:iCs/>
                <w:sz w:val="24"/>
                <w:szCs w:val="24"/>
                <w:lang w:eastAsia="lv-LV"/>
              </w:rPr>
              <w:t>0</w:t>
            </w:r>
          </w:p>
        </w:tc>
      </w:tr>
      <w:tr w:rsidR="00A0737C" w:rsidRPr="00915126" w14:paraId="1FDE18A4" w14:textId="77777777" w:rsidTr="009F5C73">
        <w:trPr>
          <w:tblCellSpacing w:w="15" w:type="dxa"/>
        </w:trPr>
        <w:tc>
          <w:tcPr>
            <w:tcW w:w="1006" w:type="pct"/>
            <w:hideMark/>
          </w:tcPr>
          <w:p w14:paraId="08C43A9C"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5.2. speciālais budžets</w:t>
            </w:r>
          </w:p>
        </w:tc>
        <w:tc>
          <w:tcPr>
            <w:tcW w:w="501" w:type="pct"/>
            <w:vMerge/>
            <w:vAlign w:val="center"/>
            <w:hideMark/>
          </w:tcPr>
          <w:p w14:paraId="6B0935BB"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572" w:type="pct"/>
            <w:vAlign w:val="center"/>
            <w:hideMark/>
          </w:tcPr>
          <w:p w14:paraId="5B5F3693"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F34EB9">
              <w:rPr>
                <w:rFonts w:ascii="Times New Roman" w:eastAsia="Times New Roman" w:hAnsi="Times New Roman"/>
                <w:iCs/>
                <w:sz w:val="24"/>
                <w:szCs w:val="24"/>
                <w:lang w:eastAsia="lv-LV"/>
              </w:rPr>
              <w:t>0</w:t>
            </w:r>
          </w:p>
        </w:tc>
        <w:tc>
          <w:tcPr>
            <w:tcW w:w="482" w:type="pct"/>
            <w:vMerge/>
            <w:vAlign w:val="center"/>
            <w:hideMark/>
          </w:tcPr>
          <w:p w14:paraId="6EBD981D"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571" w:type="pct"/>
            <w:vAlign w:val="center"/>
            <w:hideMark/>
          </w:tcPr>
          <w:p w14:paraId="7A819441"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F34EB9">
              <w:rPr>
                <w:rFonts w:ascii="Times New Roman" w:eastAsia="Times New Roman" w:hAnsi="Times New Roman"/>
                <w:iCs/>
                <w:sz w:val="24"/>
                <w:szCs w:val="24"/>
                <w:lang w:eastAsia="lv-LV"/>
              </w:rPr>
              <w:t>0</w:t>
            </w:r>
          </w:p>
        </w:tc>
        <w:tc>
          <w:tcPr>
            <w:tcW w:w="482" w:type="pct"/>
            <w:vMerge/>
            <w:vAlign w:val="center"/>
            <w:hideMark/>
          </w:tcPr>
          <w:p w14:paraId="58218E67"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572" w:type="pct"/>
            <w:vAlign w:val="center"/>
            <w:hideMark/>
          </w:tcPr>
          <w:p w14:paraId="1A60EAF3"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F34EB9">
              <w:rPr>
                <w:rFonts w:ascii="Times New Roman" w:eastAsia="Times New Roman" w:hAnsi="Times New Roman"/>
                <w:iCs/>
                <w:sz w:val="24"/>
                <w:szCs w:val="24"/>
                <w:lang w:eastAsia="lv-LV"/>
              </w:rPr>
              <w:t>0</w:t>
            </w:r>
          </w:p>
        </w:tc>
        <w:tc>
          <w:tcPr>
            <w:tcW w:w="669" w:type="pct"/>
            <w:vAlign w:val="center"/>
            <w:hideMark/>
          </w:tcPr>
          <w:p w14:paraId="1322247A"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F34EB9">
              <w:rPr>
                <w:rFonts w:ascii="Times New Roman" w:eastAsia="Times New Roman" w:hAnsi="Times New Roman"/>
                <w:iCs/>
                <w:sz w:val="24"/>
                <w:szCs w:val="24"/>
                <w:lang w:eastAsia="lv-LV"/>
              </w:rPr>
              <w:t>0</w:t>
            </w:r>
          </w:p>
        </w:tc>
      </w:tr>
      <w:tr w:rsidR="00A0737C" w:rsidRPr="00915126" w14:paraId="11016B63" w14:textId="77777777" w:rsidTr="009F5C73">
        <w:trPr>
          <w:tblCellSpacing w:w="15" w:type="dxa"/>
        </w:trPr>
        <w:tc>
          <w:tcPr>
            <w:tcW w:w="1006" w:type="pct"/>
            <w:hideMark/>
          </w:tcPr>
          <w:p w14:paraId="26640786"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5.3. pašvaldību budžets</w:t>
            </w:r>
          </w:p>
        </w:tc>
        <w:tc>
          <w:tcPr>
            <w:tcW w:w="501" w:type="pct"/>
            <w:vMerge/>
            <w:vAlign w:val="center"/>
            <w:hideMark/>
          </w:tcPr>
          <w:p w14:paraId="66815F24"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572" w:type="pct"/>
            <w:vAlign w:val="center"/>
            <w:hideMark/>
          </w:tcPr>
          <w:p w14:paraId="0C2BE284"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F34EB9">
              <w:rPr>
                <w:rFonts w:ascii="Times New Roman" w:eastAsia="Times New Roman" w:hAnsi="Times New Roman"/>
                <w:iCs/>
                <w:sz w:val="24"/>
                <w:szCs w:val="24"/>
                <w:lang w:eastAsia="lv-LV"/>
              </w:rPr>
              <w:t>0</w:t>
            </w:r>
          </w:p>
        </w:tc>
        <w:tc>
          <w:tcPr>
            <w:tcW w:w="482" w:type="pct"/>
            <w:vMerge/>
            <w:vAlign w:val="center"/>
            <w:hideMark/>
          </w:tcPr>
          <w:p w14:paraId="0A9D8DCA"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571" w:type="pct"/>
            <w:vAlign w:val="center"/>
            <w:hideMark/>
          </w:tcPr>
          <w:p w14:paraId="59553BD3"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F34EB9">
              <w:rPr>
                <w:rFonts w:ascii="Times New Roman" w:eastAsia="Times New Roman" w:hAnsi="Times New Roman"/>
                <w:iCs/>
                <w:sz w:val="24"/>
                <w:szCs w:val="24"/>
                <w:lang w:eastAsia="lv-LV"/>
              </w:rPr>
              <w:t>0</w:t>
            </w:r>
          </w:p>
        </w:tc>
        <w:tc>
          <w:tcPr>
            <w:tcW w:w="482" w:type="pct"/>
            <w:vMerge/>
            <w:vAlign w:val="center"/>
            <w:hideMark/>
          </w:tcPr>
          <w:p w14:paraId="35E4E565"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c>
          <w:tcPr>
            <w:tcW w:w="572" w:type="pct"/>
            <w:vAlign w:val="center"/>
            <w:hideMark/>
          </w:tcPr>
          <w:p w14:paraId="29412211"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F34EB9">
              <w:rPr>
                <w:rFonts w:ascii="Times New Roman" w:eastAsia="Times New Roman" w:hAnsi="Times New Roman"/>
                <w:iCs/>
                <w:sz w:val="24"/>
                <w:szCs w:val="24"/>
                <w:lang w:eastAsia="lv-LV"/>
              </w:rPr>
              <w:t>0</w:t>
            </w:r>
          </w:p>
        </w:tc>
        <w:tc>
          <w:tcPr>
            <w:tcW w:w="669" w:type="pct"/>
            <w:vAlign w:val="center"/>
            <w:hideMark/>
          </w:tcPr>
          <w:p w14:paraId="42C4BFDD" w14:textId="77777777" w:rsidR="007F564B" w:rsidRPr="000155D6" w:rsidRDefault="007F564B" w:rsidP="009F5C73">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F34EB9">
              <w:rPr>
                <w:rFonts w:ascii="Times New Roman" w:eastAsia="Times New Roman" w:hAnsi="Times New Roman"/>
                <w:iCs/>
                <w:sz w:val="24"/>
                <w:szCs w:val="24"/>
                <w:lang w:eastAsia="lv-LV"/>
              </w:rPr>
              <w:t>0</w:t>
            </w:r>
          </w:p>
        </w:tc>
      </w:tr>
      <w:tr w:rsidR="00A0737C" w:rsidRPr="00915126" w14:paraId="2174FF61" w14:textId="77777777" w:rsidTr="009F5C73">
        <w:trPr>
          <w:tblCellSpacing w:w="15" w:type="dxa"/>
        </w:trPr>
        <w:tc>
          <w:tcPr>
            <w:tcW w:w="1006" w:type="pct"/>
            <w:hideMark/>
          </w:tcPr>
          <w:p w14:paraId="7E81703B"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6. Detalizēts ieņēmumu un izdevumu aprēķins (ja nepieciešams, detalizētu ieņēmumu un izdevumu aprēķinu var pievienot anotācijas pielikumā)</w:t>
            </w:r>
          </w:p>
        </w:tc>
        <w:tc>
          <w:tcPr>
            <w:tcW w:w="3945" w:type="pct"/>
            <w:gridSpan w:val="7"/>
            <w:vMerge w:val="restart"/>
            <w:vAlign w:val="center"/>
            <w:hideMark/>
          </w:tcPr>
          <w:p w14:paraId="46BB7B46"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w:t>
            </w:r>
            <w:r w:rsidR="004B642D" w:rsidRPr="004B642D">
              <w:rPr>
                <w:rFonts w:ascii="Times New Roman" w:eastAsia="Times New Roman" w:hAnsi="Times New Roman"/>
                <w:iCs/>
                <w:sz w:val="24"/>
                <w:szCs w:val="24"/>
                <w:lang w:eastAsia="lv-LV"/>
              </w:rPr>
              <w:t>Noteikumu projekts šo jomu neskar.</w:t>
            </w:r>
          </w:p>
        </w:tc>
      </w:tr>
      <w:tr w:rsidR="00A0737C" w:rsidRPr="00915126" w14:paraId="21CE704C" w14:textId="77777777" w:rsidTr="009F5C73">
        <w:trPr>
          <w:tblCellSpacing w:w="15" w:type="dxa"/>
        </w:trPr>
        <w:tc>
          <w:tcPr>
            <w:tcW w:w="1006" w:type="pct"/>
            <w:hideMark/>
          </w:tcPr>
          <w:p w14:paraId="2075E2A3"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6.1. detalizēts ieņēmumu aprēķins</w:t>
            </w:r>
          </w:p>
        </w:tc>
        <w:tc>
          <w:tcPr>
            <w:tcW w:w="3945" w:type="pct"/>
            <w:gridSpan w:val="7"/>
            <w:vMerge/>
            <w:vAlign w:val="center"/>
            <w:hideMark/>
          </w:tcPr>
          <w:p w14:paraId="65845C1B"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r>
      <w:tr w:rsidR="00A0737C" w:rsidRPr="00915126" w14:paraId="07BCA6C7" w14:textId="77777777" w:rsidTr="009F5C73">
        <w:trPr>
          <w:tblCellSpacing w:w="15" w:type="dxa"/>
        </w:trPr>
        <w:tc>
          <w:tcPr>
            <w:tcW w:w="1006" w:type="pct"/>
            <w:hideMark/>
          </w:tcPr>
          <w:p w14:paraId="2A12EC17" w14:textId="77777777" w:rsidR="007F564B"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6.2. detalizēts izdevumu aprēķins</w:t>
            </w:r>
          </w:p>
          <w:p w14:paraId="6EEF4863" w14:textId="77777777" w:rsidR="006B1BB3" w:rsidRDefault="006B1BB3" w:rsidP="006B1BB3">
            <w:pPr>
              <w:rPr>
                <w:rFonts w:ascii="Times New Roman" w:eastAsia="Times New Roman" w:hAnsi="Times New Roman"/>
                <w:iCs/>
                <w:sz w:val="24"/>
                <w:szCs w:val="24"/>
                <w:lang w:eastAsia="lv-LV"/>
              </w:rPr>
            </w:pPr>
          </w:p>
          <w:p w14:paraId="07B6CA16" w14:textId="32F7FE9B" w:rsidR="006B1BB3" w:rsidRPr="006B1BB3" w:rsidRDefault="006B1BB3" w:rsidP="006B1BB3">
            <w:pPr>
              <w:jc w:val="center"/>
              <w:rPr>
                <w:rFonts w:ascii="Times New Roman" w:eastAsia="Times New Roman" w:hAnsi="Times New Roman"/>
                <w:sz w:val="24"/>
                <w:szCs w:val="24"/>
                <w:lang w:eastAsia="lv-LV"/>
              </w:rPr>
            </w:pPr>
          </w:p>
        </w:tc>
        <w:tc>
          <w:tcPr>
            <w:tcW w:w="3945" w:type="pct"/>
            <w:gridSpan w:val="7"/>
            <w:vMerge/>
            <w:vAlign w:val="center"/>
            <w:hideMark/>
          </w:tcPr>
          <w:p w14:paraId="0A73637F" w14:textId="77777777" w:rsidR="007F564B" w:rsidRPr="000155D6" w:rsidRDefault="007F564B" w:rsidP="009F5C73">
            <w:pPr>
              <w:spacing w:after="0" w:line="240" w:lineRule="auto"/>
              <w:rPr>
                <w:rFonts w:ascii="Times New Roman" w:eastAsia="Times New Roman" w:hAnsi="Times New Roman"/>
                <w:iCs/>
                <w:sz w:val="24"/>
                <w:szCs w:val="24"/>
                <w:lang w:eastAsia="lv-LV"/>
              </w:rPr>
            </w:pPr>
          </w:p>
        </w:tc>
      </w:tr>
      <w:tr w:rsidR="00A0737C" w:rsidRPr="00915126" w14:paraId="72B4E0B4" w14:textId="77777777" w:rsidTr="009F5C73">
        <w:trPr>
          <w:tblCellSpacing w:w="15" w:type="dxa"/>
        </w:trPr>
        <w:tc>
          <w:tcPr>
            <w:tcW w:w="1006" w:type="pct"/>
            <w:hideMark/>
          </w:tcPr>
          <w:p w14:paraId="6B56D723"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7. Amata vietu skaita izmaiņas</w:t>
            </w:r>
          </w:p>
        </w:tc>
        <w:tc>
          <w:tcPr>
            <w:tcW w:w="3945" w:type="pct"/>
            <w:gridSpan w:val="7"/>
          </w:tcPr>
          <w:p w14:paraId="7D88586A" w14:textId="77777777" w:rsidR="007F564B" w:rsidRPr="000155D6" w:rsidRDefault="00727EF4" w:rsidP="00845049">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Noteikumu projekts šo jomu neskar.</w:t>
            </w:r>
          </w:p>
        </w:tc>
      </w:tr>
      <w:tr w:rsidR="00A0737C" w:rsidRPr="00915126" w14:paraId="4F901EE5" w14:textId="77777777" w:rsidTr="009F5C73">
        <w:trPr>
          <w:tblCellSpacing w:w="15" w:type="dxa"/>
        </w:trPr>
        <w:tc>
          <w:tcPr>
            <w:tcW w:w="1006" w:type="pct"/>
            <w:hideMark/>
          </w:tcPr>
          <w:p w14:paraId="201D3F85" w14:textId="77777777" w:rsidR="007F564B" w:rsidRPr="000155D6" w:rsidRDefault="007F564B" w:rsidP="00845049">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8. Cita informācija</w:t>
            </w:r>
          </w:p>
        </w:tc>
        <w:tc>
          <w:tcPr>
            <w:tcW w:w="3945" w:type="pct"/>
            <w:gridSpan w:val="7"/>
          </w:tcPr>
          <w:p w14:paraId="1D1A9AF9" w14:textId="77777777" w:rsidR="00B233DA" w:rsidRPr="00B233DA" w:rsidRDefault="00B233DA" w:rsidP="009F5C73">
            <w:pPr>
              <w:spacing w:after="0" w:line="240" w:lineRule="auto"/>
              <w:rPr>
                <w:rFonts w:ascii="Times New Roman" w:eastAsia="Times New Roman" w:hAnsi="Times New Roman"/>
                <w:sz w:val="24"/>
                <w:szCs w:val="24"/>
                <w:lang w:eastAsia="lv-LV"/>
              </w:rPr>
            </w:pPr>
            <w:r w:rsidRPr="00B233DA">
              <w:rPr>
                <w:rFonts w:ascii="Times New Roman" w:eastAsia="Times New Roman" w:hAnsi="Times New Roman"/>
                <w:sz w:val="24"/>
                <w:szCs w:val="24"/>
                <w:lang w:eastAsia="lv-LV"/>
              </w:rPr>
              <w:t xml:space="preserve">Precīzu finansējuma apjomu un finansējuma sadalījumu pa gadiem pašlaik nav iespējams norādīt, jo nav iespējams precīzi prognozēt, cik pašvaldības iesniegs </w:t>
            </w:r>
            <w:r w:rsidR="00F236FC">
              <w:rPr>
                <w:rFonts w:ascii="Times New Roman" w:eastAsia="Times New Roman" w:hAnsi="Times New Roman"/>
                <w:sz w:val="24"/>
                <w:szCs w:val="24"/>
                <w:lang w:eastAsia="lv-LV"/>
              </w:rPr>
              <w:t xml:space="preserve">investīciju </w:t>
            </w:r>
            <w:r w:rsidRPr="00B233DA">
              <w:rPr>
                <w:rFonts w:ascii="Times New Roman" w:eastAsia="Times New Roman" w:hAnsi="Times New Roman"/>
                <w:sz w:val="24"/>
                <w:szCs w:val="24"/>
                <w:lang w:eastAsia="lv-LV"/>
              </w:rPr>
              <w:t>projektus un kāds līdzekļu apjoms tiks apgūts.</w:t>
            </w:r>
          </w:p>
          <w:p w14:paraId="20B80B24" w14:textId="77777777" w:rsidR="00BD4658" w:rsidRPr="000155D6" w:rsidRDefault="00B233DA" w:rsidP="009E69FD">
            <w:pPr>
              <w:spacing w:after="0" w:line="240" w:lineRule="auto"/>
              <w:jc w:val="both"/>
              <w:rPr>
                <w:rFonts w:ascii="Times New Roman" w:eastAsia="Times New Roman" w:hAnsi="Times New Roman"/>
                <w:sz w:val="24"/>
                <w:szCs w:val="24"/>
                <w:lang w:eastAsia="lv-LV"/>
              </w:rPr>
            </w:pPr>
            <w:r w:rsidRPr="00B233DA">
              <w:rPr>
                <w:rFonts w:ascii="Times New Roman" w:eastAsia="Times New Roman" w:hAnsi="Times New Roman"/>
                <w:sz w:val="24"/>
                <w:szCs w:val="24"/>
                <w:lang w:eastAsia="lv-LV"/>
              </w:rPr>
              <w:t>Finansējums pašvaldību aizdevumiem tiks nodrošināts saskaņā ar likuma “Par valsts budžetu 2021. gadam” 12. panta trešo daļu un likuma “Par vidēja termiņa budžeta ietvaru 2021., 2022. un 2023. gadam” 14. pantu.</w:t>
            </w:r>
          </w:p>
        </w:tc>
      </w:tr>
    </w:tbl>
    <w:p w14:paraId="66FE2795" w14:textId="77777777" w:rsidR="00E5323B"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xml:space="preserve">  </w:t>
      </w:r>
    </w:p>
    <w:tbl>
      <w:tblPr>
        <w:tblW w:w="5004" w:type="pct"/>
        <w:tblCellSpacing w:w="1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68"/>
      </w:tblGrid>
      <w:tr w:rsidR="009F5C73" w:rsidRPr="000155D6" w14:paraId="4BA5553F" w14:textId="77777777" w:rsidTr="00EA4085">
        <w:trPr>
          <w:tblCellSpacing w:w="15" w:type="dxa"/>
        </w:trPr>
        <w:tc>
          <w:tcPr>
            <w:tcW w:w="9003" w:type="dxa"/>
            <w:vAlign w:val="center"/>
            <w:hideMark/>
          </w:tcPr>
          <w:p w14:paraId="3F416AA7" w14:textId="77777777" w:rsidR="009F5C73" w:rsidRPr="000155D6" w:rsidRDefault="009F5C73" w:rsidP="00EA4085">
            <w:pPr>
              <w:spacing w:after="0" w:line="240" w:lineRule="auto"/>
              <w:jc w:val="center"/>
              <w:rPr>
                <w:rFonts w:ascii="Times New Roman" w:eastAsia="Times New Roman" w:hAnsi="Times New Roman"/>
                <w:b/>
                <w:bCs/>
                <w:iCs/>
                <w:sz w:val="24"/>
                <w:szCs w:val="24"/>
                <w:lang w:eastAsia="lv-LV"/>
              </w:rPr>
            </w:pPr>
            <w:r w:rsidRPr="000155D6">
              <w:rPr>
                <w:rFonts w:ascii="Times New Roman" w:eastAsia="Times New Roman" w:hAnsi="Times New Roman"/>
                <w:b/>
                <w:bCs/>
                <w:iCs/>
                <w:sz w:val="24"/>
                <w:szCs w:val="24"/>
                <w:lang w:eastAsia="lv-LV"/>
              </w:rPr>
              <w:t>IV. Tiesību akta projekta ietekme uz spēkā esošo tiesību normu sistēmu</w:t>
            </w:r>
          </w:p>
        </w:tc>
      </w:tr>
      <w:tr w:rsidR="009F5C73" w:rsidRPr="000155D6" w14:paraId="1EB7A84D" w14:textId="77777777" w:rsidTr="00EA4085">
        <w:trPr>
          <w:tblCellSpacing w:w="15" w:type="dxa"/>
        </w:trPr>
        <w:tc>
          <w:tcPr>
            <w:tcW w:w="9003" w:type="dxa"/>
            <w:vAlign w:val="center"/>
          </w:tcPr>
          <w:p w14:paraId="20C41DCB" w14:textId="77777777" w:rsidR="009F5C73" w:rsidRPr="000155D6" w:rsidRDefault="009F5C73" w:rsidP="00EA4085">
            <w:pPr>
              <w:spacing w:after="0" w:line="240" w:lineRule="auto"/>
              <w:jc w:val="center"/>
              <w:rPr>
                <w:rFonts w:ascii="Times New Roman" w:eastAsia="Times New Roman" w:hAnsi="Times New Roman"/>
                <w:b/>
                <w:bCs/>
                <w:iCs/>
                <w:sz w:val="24"/>
                <w:szCs w:val="24"/>
                <w:lang w:eastAsia="lv-LV"/>
              </w:rPr>
            </w:pPr>
            <w:r w:rsidRPr="000155D6">
              <w:rPr>
                <w:rFonts w:ascii="Times New Roman" w:eastAsia="Times New Roman" w:hAnsi="Times New Roman"/>
                <w:sz w:val="24"/>
                <w:szCs w:val="24"/>
                <w:lang w:eastAsia="lv-LV"/>
              </w:rPr>
              <w:t>Noteikumu projekts šo jomu neskar.</w:t>
            </w:r>
          </w:p>
        </w:tc>
      </w:tr>
    </w:tbl>
    <w:p w14:paraId="06C04441" w14:textId="77777777" w:rsidR="009F5C73" w:rsidRDefault="009F5C73" w:rsidP="00E5323B">
      <w:pPr>
        <w:spacing w:after="0" w:line="240" w:lineRule="auto"/>
        <w:rPr>
          <w:rFonts w:ascii="Times New Roman" w:eastAsia="Times New Roman" w:hAnsi="Times New Roman"/>
          <w:iCs/>
          <w:sz w:val="24"/>
          <w:szCs w:val="24"/>
          <w:lang w:eastAsia="lv-LV"/>
        </w:rPr>
      </w:pPr>
    </w:p>
    <w:p w14:paraId="19072085" w14:textId="77777777" w:rsidR="009F5C73" w:rsidRPr="000155D6" w:rsidRDefault="009F5C73"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A0737C" w:rsidRPr="00915126" w14:paraId="1B346B9B"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1775CEB" w14:textId="77777777" w:rsidR="00655F2C" w:rsidRPr="000155D6" w:rsidRDefault="00E5323B" w:rsidP="00916BC9">
            <w:pPr>
              <w:spacing w:after="0" w:line="240" w:lineRule="auto"/>
              <w:jc w:val="center"/>
              <w:rPr>
                <w:rFonts w:ascii="Times New Roman" w:eastAsia="Times New Roman" w:hAnsi="Times New Roman"/>
                <w:b/>
                <w:bCs/>
                <w:iCs/>
                <w:sz w:val="24"/>
                <w:szCs w:val="24"/>
                <w:lang w:eastAsia="lv-LV"/>
              </w:rPr>
            </w:pPr>
            <w:r w:rsidRPr="000155D6">
              <w:rPr>
                <w:rFonts w:ascii="Times New Roman" w:eastAsia="Times New Roman" w:hAnsi="Times New Roman"/>
                <w:b/>
                <w:bCs/>
                <w:iCs/>
                <w:sz w:val="24"/>
                <w:szCs w:val="24"/>
                <w:lang w:eastAsia="lv-LV"/>
              </w:rPr>
              <w:t>V.</w:t>
            </w:r>
            <w:r w:rsidR="00BC2890" w:rsidRPr="000155D6">
              <w:rPr>
                <w:rFonts w:ascii="Times New Roman" w:eastAsia="Times New Roman" w:hAnsi="Times New Roman"/>
                <w:b/>
                <w:bCs/>
                <w:iCs/>
                <w:sz w:val="24"/>
                <w:szCs w:val="24"/>
                <w:lang w:eastAsia="lv-LV"/>
              </w:rPr>
              <w:t> </w:t>
            </w:r>
            <w:r w:rsidRPr="000155D6">
              <w:rPr>
                <w:rFonts w:ascii="Times New Roman" w:eastAsia="Times New Roman" w:hAnsi="Times New Roman"/>
                <w:b/>
                <w:bCs/>
                <w:iCs/>
                <w:sz w:val="24"/>
                <w:szCs w:val="24"/>
                <w:lang w:eastAsia="lv-LV"/>
              </w:rPr>
              <w:t>Tiesību akta projekta atbilstība Latvijas Republikas starptautiskajām saistībām</w:t>
            </w:r>
          </w:p>
        </w:tc>
      </w:tr>
    </w:tbl>
    <w:p w14:paraId="4510D0AE" w14:textId="77777777" w:rsidR="00BC2890"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xml:space="preserve">  </w:t>
      </w:r>
    </w:p>
    <w:tbl>
      <w:tblPr>
        <w:tblW w:w="5004" w:type="pct"/>
        <w:tblCellSpacing w:w="15" w:type="dxa"/>
        <w:tblInd w:w="-2"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9062"/>
      </w:tblGrid>
      <w:tr w:rsidR="00A0737C" w:rsidRPr="00915126" w14:paraId="147A3E02" w14:textId="77777777" w:rsidTr="00371620">
        <w:trPr>
          <w:tblCellSpacing w:w="15" w:type="dxa"/>
        </w:trPr>
        <w:tc>
          <w:tcPr>
            <w:tcW w:w="9003" w:type="dxa"/>
            <w:tcBorders>
              <w:top w:val="outset" w:sz="6" w:space="0" w:color="auto"/>
              <w:left w:val="outset" w:sz="6" w:space="0" w:color="auto"/>
              <w:bottom w:val="outset" w:sz="6" w:space="0" w:color="auto"/>
              <w:right w:val="outset" w:sz="6" w:space="0" w:color="auto"/>
            </w:tcBorders>
            <w:vAlign w:val="center"/>
          </w:tcPr>
          <w:p w14:paraId="312285F8" w14:textId="77777777" w:rsidR="00BC2890" w:rsidRPr="000155D6" w:rsidRDefault="00BC2890" w:rsidP="00AF1B73">
            <w:pPr>
              <w:spacing w:after="0" w:line="240" w:lineRule="auto"/>
              <w:jc w:val="center"/>
              <w:rPr>
                <w:rFonts w:ascii="Times New Roman" w:eastAsia="Times New Roman" w:hAnsi="Times New Roman"/>
                <w:b/>
                <w:bCs/>
                <w:iCs/>
                <w:sz w:val="24"/>
                <w:szCs w:val="24"/>
                <w:lang w:eastAsia="lv-LV"/>
              </w:rPr>
            </w:pPr>
            <w:r w:rsidRPr="000155D6">
              <w:rPr>
                <w:rFonts w:ascii="Times New Roman" w:eastAsia="Times New Roman" w:hAnsi="Times New Roman"/>
                <w:sz w:val="24"/>
                <w:szCs w:val="24"/>
                <w:lang w:eastAsia="lv-LV"/>
              </w:rPr>
              <w:t>Noteikumu projekts šo jomu neskar.</w:t>
            </w:r>
          </w:p>
        </w:tc>
      </w:tr>
    </w:tbl>
    <w:p w14:paraId="30A98E12" w14:textId="77777777" w:rsidR="00E5323B" w:rsidRPr="000155D6" w:rsidRDefault="00E5323B"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0737C" w:rsidRPr="00915126" w14:paraId="12B0BE3A" w14:textId="77777777" w:rsidTr="07C8E3B3">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73BC1CFB" w14:textId="77777777" w:rsidR="00655F2C" w:rsidRPr="000155D6" w:rsidRDefault="00E5323B" w:rsidP="00916BC9">
            <w:pPr>
              <w:spacing w:after="0" w:line="240" w:lineRule="auto"/>
              <w:jc w:val="center"/>
              <w:rPr>
                <w:rFonts w:ascii="Times New Roman" w:eastAsia="Times New Roman" w:hAnsi="Times New Roman"/>
                <w:b/>
                <w:bCs/>
                <w:iCs/>
                <w:sz w:val="24"/>
                <w:szCs w:val="24"/>
                <w:lang w:eastAsia="lv-LV"/>
              </w:rPr>
            </w:pPr>
            <w:r w:rsidRPr="000155D6">
              <w:rPr>
                <w:rFonts w:ascii="Times New Roman" w:eastAsia="Times New Roman" w:hAnsi="Times New Roman"/>
                <w:b/>
                <w:bCs/>
                <w:iCs/>
                <w:sz w:val="24"/>
                <w:szCs w:val="24"/>
                <w:lang w:eastAsia="lv-LV"/>
              </w:rPr>
              <w:t>VI. Sabiedrības līdzdalība un komunikācijas aktivitātes</w:t>
            </w:r>
          </w:p>
        </w:tc>
      </w:tr>
      <w:tr w:rsidR="00A0737C" w:rsidRPr="00915126" w14:paraId="14DED1B7" w14:textId="77777777" w:rsidTr="07C8E3B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217E600F"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lastRenderedPageBreak/>
              <w:t>1.</w:t>
            </w:r>
          </w:p>
        </w:tc>
        <w:tc>
          <w:tcPr>
            <w:tcW w:w="1700" w:type="pct"/>
            <w:tcBorders>
              <w:top w:val="outset" w:sz="6" w:space="0" w:color="auto"/>
              <w:left w:val="outset" w:sz="6" w:space="0" w:color="auto"/>
              <w:bottom w:val="outset" w:sz="6" w:space="0" w:color="auto"/>
              <w:right w:val="outset" w:sz="6" w:space="0" w:color="auto"/>
            </w:tcBorders>
            <w:hideMark/>
          </w:tcPr>
          <w:p w14:paraId="0837E0A4"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tcPr>
          <w:p w14:paraId="62B1A81A" w14:textId="77777777" w:rsidR="0029352C" w:rsidRDefault="0029352C" w:rsidP="00D60749">
            <w:pPr>
              <w:spacing w:after="0" w:line="240" w:lineRule="auto"/>
              <w:jc w:val="both"/>
              <w:rPr>
                <w:rFonts w:ascii="Times New Roman" w:eastAsia="Times New Roman" w:hAnsi="Times New Roman"/>
                <w:bCs/>
                <w:iCs/>
                <w:sz w:val="24"/>
                <w:szCs w:val="24"/>
                <w:lang w:eastAsia="lv-LV"/>
              </w:rPr>
            </w:pPr>
            <w:r>
              <w:rPr>
                <w:rFonts w:ascii="Times New Roman" w:eastAsia="Times New Roman" w:hAnsi="Times New Roman"/>
                <w:bCs/>
                <w:iCs/>
                <w:sz w:val="24"/>
                <w:szCs w:val="24"/>
                <w:lang w:eastAsia="lv-LV"/>
              </w:rPr>
              <w:t xml:space="preserve">Pašvaldības noteikumu projekta izstrādes procesā ir sniegušas priekšlikumus </w:t>
            </w:r>
            <w:r w:rsidR="00D03026" w:rsidRPr="00D03026">
              <w:rPr>
                <w:rFonts w:ascii="Times New Roman" w:eastAsia="Times New Roman" w:hAnsi="Times New Roman"/>
                <w:bCs/>
                <w:iCs/>
                <w:sz w:val="24"/>
                <w:szCs w:val="24"/>
                <w:lang w:eastAsia="lv-LV"/>
              </w:rPr>
              <w:t xml:space="preserve">noteikumu projekta </w:t>
            </w:r>
            <w:r w:rsidR="00943AFB">
              <w:rPr>
                <w:rFonts w:ascii="Times New Roman" w:eastAsia="Times New Roman" w:hAnsi="Times New Roman"/>
                <w:bCs/>
                <w:iCs/>
                <w:sz w:val="24"/>
                <w:szCs w:val="24"/>
                <w:lang w:eastAsia="lv-LV"/>
              </w:rPr>
              <w:t xml:space="preserve">ietvaros </w:t>
            </w:r>
            <w:r w:rsidR="006103ED">
              <w:rPr>
                <w:rFonts w:ascii="Times New Roman" w:eastAsia="Times New Roman" w:hAnsi="Times New Roman"/>
                <w:bCs/>
                <w:iCs/>
                <w:sz w:val="24"/>
                <w:szCs w:val="24"/>
                <w:lang w:eastAsia="lv-LV"/>
              </w:rPr>
              <w:t>plānotajiem atbalsta pasākumiem.</w:t>
            </w:r>
          </w:p>
          <w:p w14:paraId="548AD3F2" w14:textId="77777777" w:rsidR="00D60749" w:rsidRPr="00D60749" w:rsidRDefault="00D60749" w:rsidP="00D60749">
            <w:pPr>
              <w:spacing w:after="0" w:line="240" w:lineRule="auto"/>
              <w:jc w:val="both"/>
              <w:rPr>
                <w:rFonts w:ascii="Times New Roman" w:eastAsia="Times New Roman" w:hAnsi="Times New Roman"/>
                <w:iCs/>
                <w:color w:val="0070C0"/>
                <w:sz w:val="24"/>
                <w:szCs w:val="24"/>
                <w:lang w:eastAsia="lv-LV"/>
              </w:rPr>
            </w:pPr>
            <w:r w:rsidRPr="00375938">
              <w:rPr>
                <w:rFonts w:ascii="Times New Roman" w:eastAsia="Times New Roman" w:hAnsi="Times New Roman"/>
                <w:bCs/>
                <w:iCs/>
                <w:sz w:val="24"/>
                <w:szCs w:val="24"/>
                <w:lang w:eastAsia="lv-LV"/>
              </w:rPr>
              <w:t xml:space="preserve">Sabiedrības pārstāvjiem tiks nodrošināta iespēja līdzdarboties noteikumu projekta izstrādē, sniedzot atzinumu un viedokli par noteikumu projektu, kas ievietots </w:t>
            </w:r>
            <w:r w:rsidR="00AC6F7D">
              <w:rPr>
                <w:rFonts w:ascii="Times New Roman" w:eastAsia="Times New Roman" w:hAnsi="Times New Roman"/>
                <w:bCs/>
                <w:iCs/>
                <w:sz w:val="24"/>
                <w:szCs w:val="24"/>
                <w:lang w:eastAsia="lv-LV"/>
              </w:rPr>
              <w:t>IZM</w:t>
            </w:r>
            <w:r w:rsidRPr="00375938">
              <w:rPr>
                <w:rFonts w:ascii="Times New Roman" w:eastAsia="Times New Roman" w:hAnsi="Times New Roman"/>
                <w:bCs/>
                <w:iCs/>
                <w:sz w:val="24"/>
                <w:szCs w:val="24"/>
                <w:lang w:eastAsia="lv-LV"/>
              </w:rPr>
              <w:t xml:space="preserve"> tīmekļvietnē </w:t>
            </w:r>
            <w:hyperlink r:id="rId8" w:history="1">
              <w:r w:rsidRPr="00D60749">
                <w:rPr>
                  <w:rStyle w:val="Hyperlink"/>
                  <w:rFonts w:ascii="Times New Roman" w:eastAsia="Times New Roman" w:hAnsi="Times New Roman"/>
                  <w:iCs/>
                  <w:sz w:val="24"/>
                  <w:szCs w:val="24"/>
                  <w:lang w:eastAsia="lv-LV"/>
                </w:rPr>
                <w:t>https://www.izm.gov.lv/lv/sabiedribas-lidzdaliba/sabiedriskajai-apspriesanai-nodotie-normativo-aktu-projekti</w:t>
              </w:r>
            </w:hyperlink>
          </w:p>
          <w:p w14:paraId="6CF1D755" w14:textId="77777777" w:rsidR="00E5323B" w:rsidRPr="00B44E10" w:rsidRDefault="00E5323B" w:rsidP="002140A9">
            <w:pPr>
              <w:spacing w:after="0" w:line="240" w:lineRule="auto"/>
              <w:jc w:val="both"/>
              <w:rPr>
                <w:rFonts w:ascii="Times New Roman" w:eastAsia="Times New Roman" w:hAnsi="Times New Roman"/>
                <w:iCs/>
                <w:color w:val="0070C0"/>
                <w:sz w:val="24"/>
                <w:szCs w:val="24"/>
                <w:lang w:eastAsia="lv-LV"/>
              </w:rPr>
            </w:pPr>
          </w:p>
        </w:tc>
      </w:tr>
      <w:tr w:rsidR="00A0737C" w:rsidRPr="00915126" w14:paraId="2B8448E3" w14:textId="77777777" w:rsidTr="07C8E3B3">
        <w:trPr>
          <w:trHeight w:val="928"/>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43201A72"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1A34D66"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30DD0E8F" w14:textId="77777777" w:rsidR="001E653E" w:rsidRPr="00B44E10" w:rsidRDefault="00B17B0F" w:rsidP="00021FD6">
            <w:pPr>
              <w:jc w:val="both"/>
              <w:rPr>
                <w:rFonts w:ascii="Times New Roman" w:eastAsia="Times New Roman" w:hAnsi="Times New Roman"/>
                <w:color w:val="0070C0"/>
                <w:sz w:val="24"/>
                <w:szCs w:val="24"/>
                <w:lang w:eastAsia="lv-LV"/>
              </w:rPr>
            </w:pPr>
            <w:r w:rsidRPr="00C30D70">
              <w:rPr>
                <w:rFonts w:ascii="Times New Roman" w:eastAsia="Times New Roman" w:hAnsi="Times New Roman"/>
                <w:bCs/>
                <w:iCs/>
                <w:sz w:val="24"/>
                <w:szCs w:val="24"/>
                <w:lang w:eastAsia="lv-LV"/>
              </w:rPr>
              <w:t xml:space="preserve">Sabiedrības līdzdalība noteikumu projekta izstrādē nodrošināta, </w:t>
            </w:r>
            <w:r w:rsidR="00B83501">
              <w:rPr>
                <w:rFonts w:ascii="Times New Roman" w:eastAsia="Times New Roman" w:hAnsi="Times New Roman"/>
                <w:bCs/>
                <w:iCs/>
                <w:sz w:val="24"/>
                <w:szCs w:val="24"/>
                <w:lang w:eastAsia="lv-LV"/>
              </w:rPr>
              <w:t xml:space="preserve">2021.gad 23.februārī </w:t>
            </w:r>
            <w:r w:rsidRPr="00C30D70">
              <w:rPr>
                <w:rFonts w:ascii="Times New Roman" w:eastAsia="Times New Roman" w:hAnsi="Times New Roman"/>
                <w:bCs/>
                <w:iCs/>
                <w:sz w:val="24"/>
                <w:szCs w:val="24"/>
                <w:lang w:eastAsia="lv-LV"/>
              </w:rPr>
              <w:t xml:space="preserve">ievietojot noteikumu projektu tīmekļvietnē </w:t>
            </w:r>
            <w:hyperlink r:id="rId9" w:history="1">
              <w:r w:rsidRPr="00B17B0F">
                <w:rPr>
                  <w:rStyle w:val="Hyperlink"/>
                  <w:rFonts w:ascii="Times New Roman" w:eastAsia="Times New Roman" w:hAnsi="Times New Roman"/>
                  <w:sz w:val="24"/>
                  <w:szCs w:val="24"/>
                  <w:lang w:eastAsia="lv-LV"/>
                </w:rPr>
                <w:t>https://www.izm.gov.lv/lv/sabiedribas-lidzdaliba/sabiedriskajai-apspriesanai-nodotie-normativo-aktu-projekti</w:t>
              </w:r>
            </w:hyperlink>
            <w:r w:rsidR="00400EE4">
              <w:rPr>
                <w:rFonts w:ascii="Times New Roman" w:eastAsia="Times New Roman" w:hAnsi="Times New Roman"/>
                <w:color w:val="0070C0"/>
                <w:sz w:val="24"/>
                <w:szCs w:val="24"/>
                <w:lang w:eastAsia="lv-LV"/>
              </w:rPr>
              <w:t>,</w:t>
            </w:r>
            <w:r w:rsidRPr="00B17B0F">
              <w:rPr>
                <w:rFonts w:ascii="Times New Roman" w:eastAsia="Times New Roman" w:hAnsi="Times New Roman"/>
                <w:bCs/>
                <w:iCs/>
                <w:color w:val="0070C0"/>
                <w:sz w:val="24"/>
                <w:szCs w:val="24"/>
                <w:lang w:eastAsia="lv-LV"/>
              </w:rPr>
              <w:t xml:space="preserve"> </w:t>
            </w:r>
            <w:r w:rsidRPr="00C30D70">
              <w:rPr>
                <w:rFonts w:ascii="Times New Roman" w:eastAsia="Times New Roman" w:hAnsi="Times New Roman"/>
                <w:bCs/>
                <w:iCs/>
                <w:sz w:val="24"/>
                <w:szCs w:val="24"/>
                <w:lang w:eastAsia="lv-LV"/>
              </w:rPr>
              <w:t xml:space="preserve">un aicinot sabiedrības pārstāvjus rakstiski sniegt viedokli par noteikumu projektu tā izstrādes stadijā – nosūtot </w:t>
            </w:r>
            <w:r w:rsidR="00FE3CCC">
              <w:rPr>
                <w:rFonts w:ascii="Times New Roman" w:eastAsia="Times New Roman" w:hAnsi="Times New Roman"/>
                <w:bCs/>
                <w:iCs/>
                <w:sz w:val="24"/>
                <w:szCs w:val="24"/>
                <w:lang w:eastAsia="lv-LV"/>
              </w:rPr>
              <w:t xml:space="preserve">to </w:t>
            </w:r>
            <w:r w:rsidRPr="00C30D70">
              <w:rPr>
                <w:rFonts w:ascii="Times New Roman" w:eastAsia="Times New Roman" w:hAnsi="Times New Roman"/>
                <w:bCs/>
                <w:iCs/>
                <w:sz w:val="24"/>
                <w:szCs w:val="24"/>
                <w:lang w:eastAsia="lv-LV"/>
              </w:rPr>
              <w:t xml:space="preserve">elektroniski uz e-pasta adresi </w:t>
            </w:r>
            <w:hyperlink r:id="rId10" w:history="1">
              <w:r w:rsidRPr="00B17B0F">
                <w:rPr>
                  <w:rStyle w:val="Hyperlink"/>
                  <w:rFonts w:ascii="Times New Roman" w:eastAsia="Times New Roman" w:hAnsi="Times New Roman"/>
                  <w:sz w:val="24"/>
                  <w:szCs w:val="24"/>
                  <w:lang w:eastAsia="lv-LV"/>
                </w:rPr>
                <w:t>pasts@izm.gov.lv</w:t>
              </w:r>
            </w:hyperlink>
            <w:r w:rsidRPr="00B17B0F">
              <w:rPr>
                <w:rFonts w:ascii="Times New Roman" w:eastAsia="Times New Roman" w:hAnsi="Times New Roman"/>
                <w:color w:val="0070C0"/>
                <w:sz w:val="24"/>
                <w:szCs w:val="24"/>
                <w:lang w:eastAsia="lv-LV"/>
              </w:rPr>
              <w:t>.</w:t>
            </w:r>
          </w:p>
        </w:tc>
      </w:tr>
      <w:tr w:rsidR="00A0737C" w:rsidRPr="00915126" w14:paraId="748F4FC4" w14:textId="77777777" w:rsidTr="07C8E3B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CECE424"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6F8EAFA"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tcPr>
          <w:p w14:paraId="70B72D46" w14:textId="03C4FD4B" w:rsidR="0037005E" w:rsidRPr="0067497D" w:rsidRDefault="006363A9" w:rsidP="008B415E">
            <w:pPr>
              <w:spacing w:after="0" w:line="240" w:lineRule="auto"/>
              <w:jc w:val="both"/>
              <w:rPr>
                <w:rFonts w:ascii="Times New Roman" w:eastAsia="Times New Roman" w:hAnsi="Times New Roman"/>
                <w:sz w:val="24"/>
                <w:szCs w:val="24"/>
                <w:lang w:eastAsia="lv-LV"/>
              </w:rPr>
            </w:pPr>
            <w:r w:rsidRPr="0067497D">
              <w:rPr>
                <w:rFonts w:ascii="Times New Roman" w:eastAsia="Times New Roman" w:hAnsi="Times New Roman"/>
                <w:iCs/>
                <w:sz w:val="24"/>
                <w:szCs w:val="24"/>
                <w:lang w:eastAsia="lv-LV"/>
              </w:rPr>
              <w:t xml:space="preserve">Tika saņemti </w:t>
            </w:r>
            <w:r w:rsidR="0037005E" w:rsidRPr="0067497D">
              <w:rPr>
                <w:rFonts w:ascii="Times New Roman" w:eastAsia="Times New Roman" w:hAnsi="Times New Roman"/>
                <w:iCs/>
                <w:sz w:val="24"/>
                <w:szCs w:val="24"/>
                <w:lang w:eastAsia="lv-LV"/>
              </w:rPr>
              <w:t xml:space="preserve">viedokļi no šādām pašvaldībām: </w:t>
            </w:r>
            <w:r w:rsidR="0037005E" w:rsidRPr="0067497D">
              <w:rPr>
                <w:rFonts w:ascii="Times New Roman" w:eastAsia="Times New Roman" w:hAnsi="Times New Roman"/>
                <w:sz w:val="24"/>
                <w:szCs w:val="24"/>
                <w:lang w:eastAsia="lv-LV"/>
              </w:rPr>
              <w:t xml:space="preserve">Siguldas novada pašvaldības, Ventspils novada pašvaldības, Kārsavas novada pašvaldības, Limbažu novada pašvaldības, Alūksnes novada pašvaldības, Vecumnieku novada domes, Mārupes novada pašvaldības, Ogres novada pašvaldības, Priekules novada pašvaldības, Valmieras pilsētas pašvaldības, Ilūkstes novada pašvaldības, Brocēnu novada pašvaldības, kā arī no Latvijas Olimpiskās komitejas, Latgales plānošanas reģiona un Brocēnu novada bērnu un jaunatnes sporta skolas audzēkņu vecāku pārstāvjiem. </w:t>
            </w:r>
          </w:p>
          <w:p w14:paraId="4B346CAF" w14:textId="77777777" w:rsidR="0067497D" w:rsidRPr="0067497D" w:rsidRDefault="0067497D" w:rsidP="008B415E">
            <w:pPr>
              <w:spacing w:after="0" w:line="240" w:lineRule="auto"/>
              <w:jc w:val="both"/>
              <w:rPr>
                <w:rFonts w:ascii="Times New Roman" w:eastAsia="Times New Roman" w:hAnsi="Times New Roman"/>
                <w:sz w:val="24"/>
                <w:szCs w:val="24"/>
                <w:lang w:eastAsia="lv-LV"/>
              </w:rPr>
            </w:pPr>
            <w:r w:rsidRPr="0067497D">
              <w:rPr>
                <w:rFonts w:ascii="Times New Roman" w:eastAsia="Times New Roman" w:hAnsi="Times New Roman"/>
                <w:sz w:val="24"/>
                <w:szCs w:val="24"/>
                <w:lang w:eastAsia="lv-LV"/>
              </w:rPr>
              <w:t>Būtiskākie saņemtie</w:t>
            </w:r>
            <w:r w:rsidR="0037005E" w:rsidRPr="0067497D">
              <w:rPr>
                <w:rFonts w:ascii="Times New Roman" w:eastAsia="Times New Roman" w:hAnsi="Times New Roman"/>
                <w:sz w:val="24"/>
                <w:szCs w:val="24"/>
                <w:lang w:eastAsia="lv-LV"/>
              </w:rPr>
              <w:t xml:space="preserve"> viedok</w:t>
            </w:r>
            <w:r w:rsidRPr="0067497D">
              <w:rPr>
                <w:rFonts w:ascii="Times New Roman" w:eastAsia="Times New Roman" w:hAnsi="Times New Roman"/>
                <w:sz w:val="24"/>
                <w:szCs w:val="24"/>
                <w:lang w:eastAsia="lv-LV"/>
              </w:rPr>
              <w:t xml:space="preserve">ļi: </w:t>
            </w:r>
          </w:p>
          <w:p w14:paraId="7C2DE919" w14:textId="77777777" w:rsidR="0067497D" w:rsidRPr="0067497D" w:rsidRDefault="0067497D" w:rsidP="008B415E">
            <w:pPr>
              <w:spacing w:after="0" w:line="240" w:lineRule="auto"/>
              <w:jc w:val="both"/>
              <w:rPr>
                <w:rFonts w:ascii="Times New Roman" w:eastAsia="Times New Roman" w:hAnsi="Times New Roman"/>
                <w:sz w:val="24"/>
                <w:szCs w:val="24"/>
                <w:lang w:eastAsia="lv-LV"/>
              </w:rPr>
            </w:pPr>
            <w:r w:rsidRPr="0067497D">
              <w:rPr>
                <w:rFonts w:ascii="Times New Roman" w:eastAsia="Times New Roman" w:hAnsi="Times New Roman"/>
                <w:sz w:val="24"/>
                <w:szCs w:val="24"/>
                <w:lang w:eastAsia="lv-LV"/>
              </w:rPr>
              <w:t xml:space="preserve">1) </w:t>
            </w:r>
            <w:r w:rsidR="0037005E" w:rsidRPr="0067497D">
              <w:rPr>
                <w:rFonts w:ascii="Times New Roman" w:eastAsia="Times New Roman" w:hAnsi="Times New Roman"/>
                <w:sz w:val="24"/>
                <w:szCs w:val="24"/>
                <w:lang w:eastAsia="lv-LV"/>
              </w:rPr>
              <w:t>lūgts precizēt MK noteikumu projektu, papildinot noteikumu projektā noteiktos investīciju mērķus (piemēram, ar izglītības iestāžu būvniecību nedalāmi saistītie projektēšanas darbi, sporta infrastruktūras iegāde, sporta infrastruktūras atjaunošana vai pārbūve, vides pieejamības nodrošināšana, atbalsts dienesta viesnīcām un izglītības infrastruktūras sakārtošana uzsākta ERAF projekta ietvaros, lai nodrošinātu pilnīgu pabeigtību)</w:t>
            </w:r>
            <w:r w:rsidRPr="0067497D">
              <w:rPr>
                <w:rFonts w:ascii="Times New Roman" w:eastAsia="Times New Roman" w:hAnsi="Times New Roman"/>
                <w:sz w:val="24"/>
                <w:szCs w:val="24"/>
                <w:lang w:eastAsia="lv-LV"/>
              </w:rPr>
              <w:t>;</w:t>
            </w:r>
            <w:r w:rsidR="0037005E" w:rsidRPr="0067497D">
              <w:rPr>
                <w:rFonts w:ascii="Times New Roman" w:eastAsia="Times New Roman" w:hAnsi="Times New Roman"/>
                <w:sz w:val="24"/>
                <w:szCs w:val="24"/>
                <w:lang w:eastAsia="lv-LV"/>
              </w:rPr>
              <w:t xml:space="preserve"> </w:t>
            </w:r>
          </w:p>
          <w:p w14:paraId="2FF094D3" w14:textId="77777777" w:rsidR="0067497D" w:rsidRPr="0067497D" w:rsidRDefault="0067497D" w:rsidP="008B415E">
            <w:pPr>
              <w:spacing w:after="0" w:line="240" w:lineRule="auto"/>
              <w:jc w:val="both"/>
              <w:rPr>
                <w:rFonts w:ascii="Times New Roman" w:eastAsia="Times New Roman" w:hAnsi="Times New Roman"/>
                <w:sz w:val="24"/>
                <w:szCs w:val="24"/>
                <w:lang w:eastAsia="lv-LV"/>
              </w:rPr>
            </w:pPr>
            <w:r w:rsidRPr="0067497D">
              <w:rPr>
                <w:rFonts w:ascii="Times New Roman" w:eastAsia="Times New Roman" w:hAnsi="Times New Roman"/>
                <w:sz w:val="24"/>
                <w:szCs w:val="24"/>
                <w:lang w:eastAsia="lv-LV"/>
              </w:rPr>
              <w:t xml:space="preserve">2) </w:t>
            </w:r>
            <w:r w:rsidR="0037005E" w:rsidRPr="0067497D">
              <w:rPr>
                <w:rFonts w:ascii="Times New Roman" w:eastAsia="Times New Roman" w:hAnsi="Times New Roman"/>
                <w:sz w:val="24"/>
                <w:szCs w:val="24"/>
                <w:lang w:eastAsia="lv-LV"/>
              </w:rPr>
              <w:t>skaidrot, vai MK noteikumu projekts attiecas uz pirmsskolas izglītības iestād</w:t>
            </w:r>
            <w:r w:rsidRPr="0067497D">
              <w:rPr>
                <w:rFonts w:ascii="Times New Roman" w:eastAsia="Times New Roman" w:hAnsi="Times New Roman"/>
                <w:sz w:val="24"/>
                <w:szCs w:val="24"/>
                <w:lang w:eastAsia="lv-LV"/>
              </w:rPr>
              <w:t xml:space="preserve">ēm, kā arī iestādēm, kas īsteno sporta profesionālās ievirzes izglītības programmas; </w:t>
            </w:r>
          </w:p>
          <w:p w14:paraId="06A75F20" w14:textId="77777777" w:rsidR="00FD153F" w:rsidRDefault="0067497D" w:rsidP="008B415E">
            <w:pPr>
              <w:spacing w:after="0" w:line="240" w:lineRule="auto"/>
              <w:jc w:val="both"/>
              <w:rPr>
                <w:rFonts w:ascii="Times New Roman" w:eastAsia="Times New Roman" w:hAnsi="Times New Roman"/>
                <w:sz w:val="24"/>
                <w:szCs w:val="24"/>
                <w:lang w:eastAsia="lv-LV"/>
              </w:rPr>
            </w:pPr>
            <w:r w:rsidRPr="0067497D">
              <w:rPr>
                <w:rFonts w:ascii="Times New Roman" w:eastAsia="Times New Roman" w:hAnsi="Times New Roman"/>
                <w:sz w:val="24"/>
                <w:szCs w:val="24"/>
                <w:lang w:eastAsia="lv-LV"/>
              </w:rPr>
              <w:t xml:space="preserve">3) pārskatīt termiņus, kādos iesniedz investīciju projektus; </w:t>
            </w:r>
          </w:p>
          <w:p w14:paraId="57835672" w14:textId="4176D3C7" w:rsidR="0067497D" w:rsidRPr="0067497D" w:rsidRDefault="0067497D" w:rsidP="008B415E">
            <w:pPr>
              <w:spacing w:after="0" w:line="240" w:lineRule="auto"/>
              <w:jc w:val="both"/>
              <w:rPr>
                <w:rFonts w:ascii="Times New Roman" w:eastAsia="Times New Roman" w:hAnsi="Times New Roman"/>
                <w:sz w:val="24"/>
                <w:szCs w:val="24"/>
                <w:lang w:eastAsia="lv-LV"/>
              </w:rPr>
            </w:pPr>
            <w:r w:rsidRPr="0067497D">
              <w:rPr>
                <w:rFonts w:ascii="Times New Roman" w:eastAsia="Times New Roman" w:hAnsi="Times New Roman"/>
                <w:sz w:val="24"/>
                <w:szCs w:val="24"/>
                <w:lang w:eastAsia="lv-LV"/>
              </w:rPr>
              <w:t xml:space="preserve">4) priekšlikumi par nosacījumos iekļauto iedzīvotāju skaitu pašvaldībā un izglītojamo skaitu pašvaldībā. </w:t>
            </w:r>
          </w:p>
          <w:p w14:paraId="7DA315FC" w14:textId="4AEEFB7A" w:rsidR="00E5323B" w:rsidRPr="0067497D" w:rsidRDefault="0067497D" w:rsidP="0067497D">
            <w:pPr>
              <w:spacing w:after="0" w:line="240" w:lineRule="auto"/>
              <w:jc w:val="both"/>
              <w:rPr>
                <w:rFonts w:ascii="Times New Roman" w:eastAsia="Times New Roman" w:hAnsi="Times New Roman"/>
                <w:lang w:eastAsia="lv-LV"/>
              </w:rPr>
            </w:pPr>
            <w:r w:rsidRPr="0067497D">
              <w:rPr>
                <w:rFonts w:ascii="Times New Roman" w:eastAsia="Times New Roman" w:hAnsi="Times New Roman"/>
                <w:sz w:val="24"/>
                <w:szCs w:val="24"/>
                <w:lang w:eastAsia="lv-LV"/>
              </w:rPr>
              <w:lastRenderedPageBreak/>
              <w:t>Saņemtie viedokļi tika izvērtēti un ņemti vērā vai daļēji ņemti vērā, tai skaitā iekļaujot papildus informāciju anotācijā.</w:t>
            </w:r>
            <w:r>
              <w:rPr>
                <w:rFonts w:ascii="Times New Roman" w:eastAsia="Times New Roman" w:hAnsi="Times New Roman"/>
                <w:lang w:eastAsia="lv-LV"/>
              </w:rPr>
              <w:t xml:space="preserve"> </w:t>
            </w:r>
          </w:p>
        </w:tc>
      </w:tr>
      <w:tr w:rsidR="00A0737C" w:rsidRPr="00915126" w14:paraId="2495FA39" w14:textId="77777777" w:rsidTr="07C8E3B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8F40FB5" w14:textId="3E50CEC4"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lastRenderedPageBreak/>
              <w:t>4.</w:t>
            </w:r>
          </w:p>
        </w:tc>
        <w:tc>
          <w:tcPr>
            <w:tcW w:w="1700" w:type="pct"/>
            <w:tcBorders>
              <w:top w:val="outset" w:sz="6" w:space="0" w:color="auto"/>
              <w:left w:val="outset" w:sz="6" w:space="0" w:color="auto"/>
              <w:bottom w:val="outset" w:sz="6" w:space="0" w:color="auto"/>
              <w:right w:val="outset" w:sz="6" w:space="0" w:color="auto"/>
            </w:tcBorders>
            <w:hideMark/>
          </w:tcPr>
          <w:p w14:paraId="060B7630"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00C1C457" w14:textId="77777777" w:rsidR="00E5323B" w:rsidRPr="000155D6" w:rsidRDefault="002140A9"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Nav</w:t>
            </w:r>
            <w:r w:rsidR="00AF40CE">
              <w:rPr>
                <w:rFonts w:ascii="Times New Roman" w:eastAsia="Times New Roman" w:hAnsi="Times New Roman"/>
                <w:iCs/>
                <w:sz w:val="24"/>
                <w:szCs w:val="24"/>
                <w:lang w:eastAsia="lv-LV"/>
              </w:rPr>
              <w:t>.</w:t>
            </w:r>
          </w:p>
        </w:tc>
      </w:tr>
    </w:tbl>
    <w:p w14:paraId="28AD3487"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A0737C" w:rsidRPr="00915126" w14:paraId="75D9CDE5" w14:textId="77777777" w:rsidTr="441553D7">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7C4D987" w14:textId="77777777" w:rsidR="00655F2C" w:rsidRPr="000155D6" w:rsidRDefault="00E5323B" w:rsidP="00916BC9">
            <w:pPr>
              <w:spacing w:after="0" w:line="240" w:lineRule="auto"/>
              <w:jc w:val="center"/>
              <w:rPr>
                <w:rFonts w:ascii="Times New Roman" w:eastAsia="Times New Roman" w:hAnsi="Times New Roman"/>
                <w:b/>
                <w:bCs/>
                <w:iCs/>
                <w:sz w:val="24"/>
                <w:szCs w:val="24"/>
                <w:lang w:eastAsia="lv-LV"/>
              </w:rPr>
            </w:pPr>
            <w:r w:rsidRPr="000155D6">
              <w:rPr>
                <w:rFonts w:ascii="Times New Roman" w:eastAsia="Times New Roman" w:hAnsi="Times New Roman"/>
                <w:b/>
                <w:bCs/>
                <w:iCs/>
                <w:sz w:val="24"/>
                <w:szCs w:val="24"/>
                <w:lang w:eastAsia="lv-LV"/>
              </w:rPr>
              <w:t>VII. Tiesību akta projekta izpildes nodrošināšana un tās ietekme uz institūcijām</w:t>
            </w:r>
          </w:p>
        </w:tc>
      </w:tr>
      <w:tr w:rsidR="00A0737C" w:rsidRPr="00915126" w14:paraId="5B5594B8"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3FBCB514"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457B8B45"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tcPr>
          <w:p w14:paraId="2F9AA917" w14:textId="77777777" w:rsidR="00E5323B" w:rsidRPr="00B44E10" w:rsidRDefault="441553D7" w:rsidP="70A5D980">
            <w:pPr>
              <w:spacing w:after="0" w:line="240" w:lineRule="auto"/>
              <w:jc w:val="both"/>
              <w:rPr>
                <w:rFonts w:ascii="Times New Roman" w:eastAsia="Times New Roman" w:hAnsi="Times New Roman"/>
                <w:color w:val="0070C0"/>
                <w:sz w:val="24"/>
                <w:szCs w:val="24"/>
                <w:lang w:eastAsia="lv-LV"/>
              </w:rPr>
            </w:pPr>
            <w:r w:rsidRPr="00911D57">
              <w:rPr>
                <w:rFonts w:ascii="Times New Roman" w:eastAsia="Times New Roman" w:hAnsi="Times New Roman"/>
                <w:sz w:val="24"/>
                <w:szCs w:val="24"/>
                <w:lang w:eastAsia="lv-LV"/>
              </w:rPr>
              <w:t xml:space="preserve">Pašvaldības, </w:t>
            </w:r>
            <w:r w:rsidR="00D90DB9" w:rsidRPr="00911D57">
              <w:rPr>
                <w:rFonts w:ascii="Times New Roman" w:eastAsia="Times New Roman" w:hAnsi="Times New Roman"/>
                <w:sz w:val="24"/>
                <w:szCs w:val="24"/>
                <w:lang w:eastAsia="lv-LV"/>
              </w:rPr>
              <w:t xml:space="preserve">IZM, </w:t>
            </w:r>
            <w:r w:rsidRPr="00911D57">
              <w:rPr>
                <w:rFonts w:ascii="Times New Roman" w:eastAsia="Times New Roman" w:hAnsi="Times New Roman"/>
                <w:sz w:val="24"/>
                <w:szCs w:val="24"/>
                <w:lang w:eastAsia="lv-LV"/>
              </w:rPr>
              <w:t xml:space="preserve">VARAM, </w:t>
            </w:r>
            <w:r w:rsidR="006363A9">
              <w:rPr>
                <w:rFonts w:ascii="Times New Roman" w:eastAsia="Times New Roman" w:hAnsi="Times New Roman"/>
                <w:sz w:val="24"/>
                <w:szCs w:val="24"/>
                <w:lang w:eastAsia="lv-LV"/>
              </w:rPr>
              <w:t xml:space="preserve">Kultūras ministrija </w:t>
            </w:r>
            <w:r w:rsidRPr="00911D57">
              <w:rPr>
                <w:rFonts w:ascii="Times New Roman" w:eastAsia="Times New Roman" w:hAnsi="Times New Roman"/>
                <w:sz w:val="24"/>
                <w:szCs w:val="24"/>
                <w:lang w:eastAsia="lv-LV"/>
              </w:rPr>
              <w:t>Finanšu ministrija, Valsts kase.</w:t>
            </w:r>
          </w:p>
        </w:tc>
      </w:tr>
      <w:tr w:rsidR="00A0737C" w:rsidRPr="00915126" w14:paraId="6EA30BA3"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D374DFA"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4DB768AE"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Projekta izpildes ietekme uz pārvaldes funkcijām un institucionālo struktūru.</w:t>
            </w:r>
            <w:r w:rsidRPr="000155D6">
              <w:rPr>
                <w:rFonts w:ascii="Times New Roman" w:eastAsia="Times New Roman" w:hAnsi="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tcPr>
          <w:p w14:paraId="1037B49B" w14:textId="77777777" w:rsidR="002E1914" w:rsidRPr="00911D57" w:rsidRDefault="002E1914" w:rsidP="00400EE4">
            <w:pPr>
              <w:spacing w:after="120" w:line="240" w:lineRule="auto"/>
              <w:jc w:val="both"/>
              <w:rPr>
                <w:rFonts w:ascii="Times New Roman" w:eastAsia="Times New Roman" w:hAnsi="Times New Roman"/>
                <w:iCs/>
                <w:sz w:val="24"/>
                <w:szCs w:val="24"/>
                <w:lang w:eastAsia="lv-LV"/>
              </w:rPr>
            </w:pPr>
            <w:r w:rsidRPr="00911D57">
              <w:rPr>
                <w:rFonts w:ascii="Times New Roman" w:eastAsia="Times New Roman" w:hAnsi="Times New Roman"/>
                <w:iCs/>
                <w:sz w:val="24"/>
                <w:szCs w:val="24"/>
                <w:lang w:eastAsia="lv-LV"/>
              </w:rPr>
              <w:t>Noteikumu projektam nav ietekmes uz pārvaldes funkcijām un institucionālo struktūru.</w:t>
            </w:r>
          </w:p>
          <w:p w14:paraId="4418462C" w14:textId="77777777" w:rsidR="002E1914" w:rsidRPr="00911D57" w:rsidRDefault="002E1914" w:rsidP="002E1914">
            <w:pPr>
              <w:spacing w:after="0" w:line="240" w:lineRule="auto"/>
              <w:jc w:val="both"/>
              <w:rPr>
                <w:rFonts w:ascii="Times New Roman" w:eastAsia="Times New Roman" w:hAnsi="Times New Roman"/>
                <w:iCs/>
                <w:sz w:val="24"/>
                <w:szCs w:val="24"/>
                <w:lang w:eastAsia="lv-LV"/>
              </w:rPr>
            </w:pPr>
            <w:r w:rsidRPr="00911D57">
              <w:rPr>
                <w:rFonts w:ascii="Times New Roman" w:eastAsia="Times New Roman" w:hAnsi="Times New Roman"/>
                <w:iCs/>
                <w:sz w:val="24"/>
                <w:szCs w:val="24"/>
                <w:lang w:eastAsia="lv-LV"/>
              </w:rPr>
              <w:t>Noteikumu projekta izpildes rezultātā netiek paplašinātas vai sašaurinātas esošo institūciju funkcijas, kā arī nav nepieciešams veidot jaunas institūcijas, likvidēt vai reorganizēt esošās institūcijas.</w:t>
            </w:r>
          </w:p>
          <w:p w14:paraId="7248D1BC" w14:textId="77777777" w:rsidR="00E5323B" w:rsidRPr="00400EE4" w:rsidRDefault="002E1914" w:rsidP="002140A9">
            <w:pPr>
              <w:spacing w:after="0" w:line="240" w:lineRule="auto"/>
              <w:jc w:val="both"/>
              <w:rPr>
                <w:rFonts w:ascii="Times New Roman" w:eastAsia="Times New Roman" w:hAnsi="Times New Roman"/>
                <w:iCs/>
                <w:sz w:val="24"/>
                <w:szCs w:val="24"/>
                <w:lang w:eastAsia="lv-LV"/>
              </w:rPr>
            </w:pPr>
            <w:r w:rsidRPr="00911D57">
              <w:rPr>
                <w:rFonts w:ascii="Times New Roman" w:eastAsia="Times New Roman" w:hAnsi="Times New Roman"/>
                <w:iCs/>
                <w:sz w:val="24"/>
                <w:szCs w:val="24"/>
                <w:lang w:eastAsia="lv-LV"/>
              </w:rPr>
              <w:t>Noteikumu projekta izpilde nodrošināma pieejamo cilvēkresursu ietvaros.</w:t>
            </w:r>
          </w:p>
        </w:tc>
      </w:tr>
      <w:tr w:rsidR="00A0737C" w:rsidRPr="00915126" w14:paraId="2D62152B" w14:textId="77777777" w:rsidTr="441553D7">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0024D40" w14:textId="77777777" w:rsidR="00655F2C"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735A4C6A" w14:textId="77777777" w:rsidR="00E5323B" w:rsidRPr="000155D6" w:rsidRDefault="00E5323B" w:rsidP="00E5323B">
            <w:pPr>
              <w:spacing w:after="0" w:line="240" w:lineRule="auto"/>
              <w:rPr>
                <w:rFonts w:ascii="Times New Roman" w:eastAsia="Times New Roman" w:hAnsi="Times New Roman"/>
                <w:iCs/>
                <w:sz w:val="24"/>
                <w:szCs w:val="24"/>
                <w:lang w:eastAsia="lv-LV"/>
              </w:rPr>
            </w:pPr>
            <w:r w:rsidRPr="000155D6">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tcPr>
          <w:p w14:paraId="6A32793D" w14:textId="77777777" w:rsidR="00E5323B" w:rsidRPr="00B44E10" w:rsidRDefault="002140A9" w:rsidP="00E5323B">
            <w:pPr>
              <w:spacing w:after="0" w:line="240" w:lineRule="auto"/>
              <w:rPr>
                <w:rFonts w:ascii="Times New Roman" w:eastAsia="Times New Roman" w:hAnsi="Times New Roman"/>
                <w:iCs/>
                <w:color w:val="0070C0"/>
                <w:sz w:val="24"/>
                <w:szCs w:val="24"/>
                <w:lang w:eastAsia="lv-LV"/>
              </w:rPr>
            </w:pPr>
            <w:r w:rsidRPr="00911D57">
              <w:rPr>
                <w:rFonts w:ascii="Times New Roman" w:eastAsia="Times New Roman" w:hAnsi="Times New Roman"/>
                <w:sz w:val="24"/>
                <w:szCs w:val="24"/>
                <w:lang w:eastAsia="lv-LV"/>
              </w:rPr>
              <w:t>Nav</w:t>
            </w:r>
            <w:r w:rsidR="00AF40CE">
              <w:rPr>
                <w:rFonts w:ascii="Times New Roman" w:eastAsia="Times New Roman" w:hAnsi="Times New Roman"/>
                <w:sz w:val="24"/>
                <w:szCs w:val="24"/>
                <w:lang w:eastAsia="lv-LV"/>
              </w:rPr>
              <w:t>.</w:t>
            </w:r>
          </w:p>
        </w:tc>
      </w:tr>
    </w:tbl>
    <w:p w14:paraId="26D2DDB3" w14:textId="77777777" w:rsidR="002140A9" w:rsidRPr="000155D6" w:rsidRDefault="002140A9" w:rsidP="002140A9">
      <w:pPr>
        <w:spacing w:after="0" w:line="240" w:lineRule="auto"/>
        <w:jc w:val="both"/>
        <w:rPr>
          <w:rFonts w:ascii="Times New Roman" w:eastAsia="Times New Roman" w:hAnsi="Times New Roman"/>
          <w:sz w:val="24"/>
          <w:szCs w:val="24"/>
        </w:rPr>
      </w:pPr>
    </w:p>
    <w:p w14:paraId="028FF605" w14:textId="77777777" w:rsidR="00AA1485" w:rsidRDefault="00AA1485" w:rsidP="00AA1485">
      <w:pPr>
        <w:tabs>
          <w:tab w:val="left" w:pos="6237"/>
        </w:tabs>
        <w:spacing w:after="0" w:line="240" w:lineRule="auto"/>
        <w:rPr>
          <w:rFonts w:ascii="Times New Roman" w:hAnsi="Times New Roman"/>
          <w:bCs/>
          <w:sz w:val="24"/>
          <w:szCs w:val="24"/>
        </w:rPr>
      </w:pPr>
    </w:p>
    <w:p w14:paraId="67DDD70F" w14:textId="77777777" w:rsidR="00AA1485" w:rsidRPr="00254D59" w:rsidRDefault="00AA1485" w:rsidP="00AA1485">
      <w:pPr>
        <w:tabs>
          <w:tab w:val="left" w:pos="6237"/>
        </w:tabs>
        <w:spacing w:after="0" w:line="240" w:lineRule="auto"/>
        <w:rPr>
          <w:rFonts w:ascii="Times New Roman" w:hAnsi="Times New Roman"/>
          <w:bCs/>
          <w:sz w:val="24"/>
          <w:szCs w:val="24"/>
        </w:rPr>
      </w:pPr>
      <w:r w:rsidRPr="00254D59">
        <w:rPr>
          <w:rFonts w:ascii="Times New Roman" w:hAnsi="Times New Roman"/>
          <w:bCs/>
          <w:sz w:val="24"/>
          <w:szCs w:val="24"/>
        </w:rPr>
        <w:t>Izglītības un zinātnes ministre</w:t>
      </w:r>
      <w:r w:rsidRPr="00254D59">
        <w:rPr>
          <w:rFonts w:ascii="Times New Roman" w:hAnsi="Times New Roman"/>
          <w:bCs/>
          <w:sz w:val="24"/>
          <w:szCs w:val="24"/>
        </w:rPr>
        <w:tab/>
      </w:r>
      <w:r w:rsidRPr="00254D59">
        <w:rPr>
          <w:rFonts w:ascii="Times New Roman" w:hAnsi="Times New Roman"/>
          <w:bCs/>
          <w:sz w:val="24"/>
          <w:szCs w:val="24"/>
        </w:rPr>
        <w:tab/>
      </w:r>
      <w:r w:rsidRPr="00254D59">
        <w:rPr>
          <w:rFonts w:ascii="Times New Roman" w:hAnsi="Times New Roman"/>
          <w:bCs/>
          <w:sz w:val="24"/>
          <w:szCs w:val="24"/>
        </w:rPr>
        <w:tab/>
        <w:t>I. Šuplinska</w:t>
      </w:r>
    </w:p>
    <w:p w14:paraId="449051F6" w14:textId="77777777" w:rsidR="00AA1485" w:rsidRPr="00254D59" w:rsidRDefault="00AA1485" w:rsidP="00AA1485">
      <w:pPr>
        <w:tabs>
          <w:tab w:val="left" w:pos="6237"/>
        </w:tabs>
        <w:spacing w:after="0" w:line="240" w:lineRule="auto"/>
        <w:rPr>
          <w:rFonts w:ascii="Times New Roman" w:hAnsi="Times New Roman"/>
          <w:sz w:val="24"/>
          <w:szCs w:val="24"/>
        </w:rPr>
      </w:pPr>
    </w:p>
    <w:p w14:paraId="6FA53058" w14:textId="77777777" w:rsidR="00AA1485" w:rsidRPr="00254D59" w:rsidRDefault="00AA1485" w:rsidP="00AA1485">
      <w:pPr>
        <w:tabs>
          <w:tab w:val="left" w:pos="6237"/>
        </w:tabs>
        <w:spacing w:after="0" w:line="240" w:lineRule="auto"/>
        <w:rPr>
          <w:rFonts w:ascii="Times New Roman" w:hAnsi="Times New Roman"/>
          <w:sz w:val="24"/>
          <w:szCs w:val="24"/>
        </w:rPr>
      </w:pPr>
    </w:p>
    <w:p w14:paraId="2F3C81FA" w14:textId="77777777" w:rsidR="00AA1485" w:rsidRPr="00254D59" w:rsidRDefault="00AA1485" w:rsidP="00AA1485">
      <w:pPr>
        <w:tabs>
          <w:tab w:val="left" w:pos="6237"/>
        </w:tabs>
        <w:spacing w:after="0" w:line="240" w:lineRule="auto"/>
        <w:rPr>
          <w:rFonts w:ascii="Times New Roman" w:hAnsi="Times New Roman"/>
          <w:sz w:val="24"/>
          <w:szCs w:val="24"/>
        </w:rPr>
      </w:pPr>
      <w:r w:rsidRPr="00254D59">
        <w:rPr>
          <w:rFonts w:ascii="Times New Roman" w:hAnsi="Times New Roman"/>
          <w:sz w:val="24"/>
          <w:szCs w:val="24"/>
        </w:rPr>
        <w:t xml:space="preserve">Vīza: </w:t>
      </w:r>
    </w:p>
    <w:p w14:paraId="3F531DC6" w14:textId="77777777" w:rsidR="00AA1485" w:rsidRPr="00254D59" w:rsidRDefault="00AA1485" w:rsidP="00AA1485">
      <w:pPr>
        <w:spacing w:after="0" w:line="240" w:lineRule="auto"/>
        <w:jc w:val="both"/>
        <w:rPr>
          <w:rFonts w:ascii="Times New Roman" w:hAnsi="Times New Roman"/>
          <w:sz w:val="24"/>
          <w:szCs w:val="24"/>
        </w:rPr>
      </w:pPr>
      <w:r>
        <w:rPr>
          <w:rFonts w:ascii="Times New Roman" w:hAnsi="Times New Roman"/>
          <w:sz w:val="24"/>
          <w:szCs w:val="24"/>
        </w:rPr>
        <w:t>V</w:t>
      </w:r>
      <w:r w:rsidRPr="00244949">
        <w:rPr>
          <w:rFonts w:ascii="Times New Roman" w:hAnsi="Times New Roman"/>
          <w:sz w:val="24"/>
          <w:szCs w:val="24"/>
        </w:rPr>
        <w:t>alsts sekretār</w:t>
      </w:r>
      <w:r w:rsidR="00E77C8E">
        <w:rPr>
          <w:rFonts w:ascii="Times New Roman" w:hAnsi="Times New Roman"/>
          <w:sz w:val="24"/>
          <w:szCs w:val="24"/>
        </w:rPr>
        <w:t xml:space="preserve">s </w:t>
      </w:r>
      <w:r w:rsidRPr="00244949">
        <w:rPr>
          <w:rFonts w:ascii="Times New Roman" w:hAnsi="Times New Roman"/>
          <w:sz w:val="24"/>
          <w:szCs w:val="24"/>
        </w:rPr>
        <w:tab/>
      </w:r>
      <w:r w:rsidRPr="00244949">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77C8E">
        <w:rPr>
          <w:rFonts w:ascii="Times New Roman" w:hAnsi="Times New Roman"/>
          <w:sz w:val="24"/>
          <w:szCs w:val="24"/>
        </w:rPr>
        <w:t xml:space="preserve">                                    </w:t>
      </w:r>
      <w:r>
        <w:rPr>
          <w:rFonts w:ascii="Times New Roman" w:hAnsi="Times New Roman"/>
          <w:sz w:val="24"/>
          <w:szCs w:val="24"/>
        </w:rPr>
        <w:t>J. Volberts</w:t>
      </w:r>
    </w:p>
    <w:p w14:paraId="72AA197B" w14:textId="77777777" w:rsidR="00AA1485" w:rsidRDefault="00AA1485" w:rsidP="00AA1485">
      <w:pPr>
        <w:spacing w:after="0" w:line="240" w:lineRule="auto"/>
        <w:rPr>
          <w:rFonts w:ascii="Times New Roman" w:hAnsi="Times New Roman"/>
          <w:noProof/>
          <w:sz w:val="20"/>
          <w:szCs w:val="24"/>
        </w:rPr>
      </w:pPr>
    </w:p>
    <w:p w14:paraId="02A07AC0" w14:textId="77777777" w:rsidR="002140A9" w:rsidRDefault="002140A9" w:rsidP="002140A9">
      <w:pPr>
        <w:tabs>
          <w:tab w:val="left" w:pos="720"/>
        </w:tabs>
        <w:spacing w:after="0" w:line="240" w:lineRule="auto"/>
        <w:ind w:right="57"/>
        <w:jc w:val="both"/>
        <w:rPr>
          <w:rFonts w:ascii="Times New Roman" w:eastAsia="Times New Roman" w:hAnsi="Times New Roman"/>
          <w:sz w:val="24"/>
          <w:szCs w:val="24"/>
        </w:rPr>
      </w:pPr>
    </w:p>
    <w:p w14:paraId="6191BCFD" w14:textId="77777777" w:rsidR="00AA1485" w:rsidRDefault="00AA1485" w:rsidP="002140A9">
      <w:pPr>
        <w:tabs>
          <w:tab w:val="left" w:pos="720"/>
        </w:tabs>
        <w:spacing w:after="0" w:line="240" w:lineRule="auto"/>
        <w:ind w:right="57"/>
        <w:jc w:val="both"/>
        <w:rPr>
          <w:rFonts w:ascii="Times New Roman" w:eastAsia="Times New Roman" w:hAnsi="Times New Roman"/>
          <w:sz w:val="24"/>
          <w:szCs w:val="24"/>
        </w:rPr>
      </w:pPr>
    </w:p>
    <w:p w14:paraId="2F0C1A51" w14:textId="77777777" w:rsidR="00AA1485" w:rsidRPr="00336E9F" w:rsidRDefault="00AA1485" w:rsidP="002140A9">
      <w:pPr>
        <w:tabs>
          <w:tab w:val="left" w:pos="720"/>
        </w:tabs>
        <w:spacing w:after="0" w:line="240" w:lineRule="auto"/>
        <w:ind w:right="57"/>
        <w:jc w:val="both"/>
        <w:rPr>
          <w:rFonts w:ascii="Times New Roman" w:eastAsia="Times New Roman" w:hAnsi="Times New Roman"/>
          <w:sz w:val="20"/>
          <w:szCs w:val="20"/>
        </w:rPr>
      </w:pPr>
    </w:p>
    <w:p w14:paraId="7E5A6F30" w14:textId="77777777" w:rsidR="00FF1760" w:rsidRPr="00336E9F" w:rsidRDefault="00FF1760" w:rsidP="00FF1760">
      <w:pPr>
        <w:tabs>
          <w:tab w:val="left" w:pos="2340"/>
          <w:tab w:val="center" w:pos="4153"/>
          <w:tab w:val="right" w:pos="8306"/>
        </w:tabs>
        <w:spacing w:after="0" w:line="240" w:lineRule="auto"/>
        <w:jc w:val="both"/>
        <w:rPr>
          <w:rFonts w:ascii="Times New Roman" w:hAnsi="Times New Roman"/>
          <w:iCs/>
          <w:color w:val="000000"/>
          <w:sz w:val="20"/>
          <w:szCs w:val="20"/>
          <w:shd w:val="clear" w:color="auto" w:fill="FFFFFF"/>
          <w:lang w:eastAsia="lv-LV"/>
        </w:rPr>
      </w:pPr>
      <w:r w:rsidRPr="00336E9F">
        <w:rPr>
          <w:rFonts w:ascii="Times New Roman" w:hAnsi="Times New Roman"/>
          <w:color w:val="000000"/>
          <w:sz w:val="20"/>
          <w:szCs w:val="20"/>
          <w:lang w:eastAsia="lv-LV"/>
        </w:rPr>
        <w:t>I</w:t>
      </w:r>
      <w:r w:rsidR="009E4F96" w:rsidRPr="00336E9F">
        <w:rPr>
          <w:rFonts w:ascii="Times New Roman" w:hAnsi="Times New Roman"/>
          <w:color w:val="000000"/>
          <w:sz w:val="20"/>
          <w:szCs w:val="20"/>
          <w:lang w:eastAsia="lv-LV"/>
        </w:rPr>
        <w:t>nga</w:t>
      </w:r>
      <w:r w:rsidRPr="00336E9F">
        <w:rPr>
          <w:rFonts w:ascii="Times New Roman" w:hAnsi="Times New Roman"/>
          <w:color w:val="000000"/>
          <w:sz w:val="20"/>
          <w:szCs w:val="20"/>
          <w:lang w:eastAsia="lv-LV"/>
        </w:rPr>
        <w:t> Griķe,</w:t>
      </w:r>
      <w:r w:rsidR="00A17310" w:rsidRPr="00336E9F">
        <w:rPr>
          <w:rFonts w:ascii="Times New Roman" w:hAnsi="Times New Roman"/>
          <w:color w:val="000000"/>
          <w:sz w:val="20"/>
          <w:szCs w:val="20"/>
          <w:lang w:eastAsia="lv-LV"/>
        </w:rPr>
        <w:t>67</w:t>
      </w:r>
      <w:r w:rsidR="00F55ECC" w:rsidRPr="00336E9F">
        <w:rPr>
          <w:rFonts w:ascii="Times New Roman" w:hAnsi="Times New Roman"/>
          <w:color w:val="000000"/>
          <w:sz w:val="20"/>
          <w:szCs w:val="20"/>
          <w:lang w:eastAsia="lv-LV"/>
        </w:rPr>
        <w:t>047826</w:t>
      </w:r>
      <w:r w:rsidRPr="00336E9F">
        <w:rPr>
          <w:rFonts w:ascii="Times New Roman" w:hAnsi="Times New Roman"/>
          <w:color w:val="000000"/>
          <w:sz w:val="20"/>
          <w:szCs w:val="20"/>
          <w:lang w:eastAsia="lv-LV"/>
        </w:rPr>
        <w:t xml:space="preserve"> </w:t>
      </w:r>
    </w:p>
    <w:p w14:paraId="6E687580" w14:textId="77777777" w:rsidR="00FF1760" w:rsidRDefault="004B20B3" w:rsidP="00FF1760">
      <w:pPr>
        <w:tabs>
          <w:tab w:val="left" w:pos="2340"/>
          <w:tab w:val="center" w:pos="4153"/>
          <w:tab w:val="right" w:pos="8306"/>
        </w:tabs>
        <w:spacing w:after="0" w:line="240" w:lineRule="auto"/>
        <w:jc w:val="both"/>
      </w:pPr>
      <w:hyperlink r:id="rId11" w:history="1">
        <w:r w:rsidR="00196BC1" w:rsidRPr="008B1531">
          <w:rPr>
            <w:rStyle w:val="Hyperlink"/>
            <w:rFonts w:ascii="Times New Roman" w:hAnsi="Times New Roman"/>
            <w:iCs/>
            <w:sz w:val="20"/>
            <w:szCs w:val="20"/>
            <w:shd w:val="clear" w:color="auto" w:fill="FFFFFF"/>
            <w:lang w:eastAsia="lv-LV"/>
          </w:rPr>
          <w:t>Inga.Grike@izm.gov.lv</w:t>
        </w:r>
      </w:hyperlink>
    </w:p>
    <w:p w14:paraId="3870B373" w14:textId="77777777" w:rsidR="00BA6C42" w:rsidRDefault="00BA6C42" w:rsidP="00FF1760">
      <w:pPr>
        <w:tabs>
          <w:tab w:val="left" w:pos="2340"/>
          <w:tab w:val="center" w:pos="4153"/>
          <w:tab w:val="right" w:pos="8306"/>
        </w:tabs>
        <w:spacing w:after="0" w:line="240" w:lineRule="auto"/>
        <w:jc w:val="both"/>
      </w:pPr>
    </w:p>
    <w:p w14:paraId="56A117AC" w14:textId="77777777" w:rsidR="00BA6C42" w:rsidRPr="00BA6C42" w:rsidRDefault="00BA6C42" w:rsidP="00BA6C42">
      <w:pPr>
        <w:spacing w:after="0" w:line="240" w:lineRule="auto"/>
        <w:rPr>
          <w:rFonts w:ascii="Times New Roman" w:hAnsi="Times New Roman"/>
          <w:sz w:val="20"/>
          <w:szCs w:val="20"/>
        </w:rPr>
      </w:pPr>
      <w:r w:rsidRPr="00BA6C42">
        <w:rPr>
          <w:rFonts w:ascii="Times New Roman" w:hAnsi="Times New Roman"/>
          <w:sz w:val="20"/>
          <w:szCs w:val="20"/>
        </w:rPr>
        <w:t>E.Lore, 67047715</w:t>
      </w:r>
    </w:p>
    <w:p w14:paraId="7D15F39A" w14:textId="77777777" w:rsidR="00BA6C42" w:rsidRPr="00BA6C42" w:rsidRDefault="004B20B3" w:rsidP="00BA6C42">
      <w:pPr>
        <w:spacing w:after="0" w:line="240" w:lineRule="auto"/>
        <w:rPr>
          <w:rFonts w:ascii="Times New Roman" w:hAnsi="Times New Roman"/>
          <w:sz w:val="20"/>
          <w:szCs w:val="20"/>
        </w:rPr>
      </w:pPr>
      <w:hyperlink r:id="rId12" w:history="1">
        <w:r w:rsidR="00BA6C42" w:rsidRPr="00BA6C42">
          <w:rPr>
            <w:rStyle w:val="Hyperlink"/>
            <w:rFonts w:ascii="Times New Roman" w:hAnsi="Times New Roman"/>
            <w:sz w:val="20"/>
            <w:szCs w:val="20"/>
          </w:rPr>
          <w:t>Edgars.Lore@izm.gov.lv</w:t>
        </w:r>
      </w:hyperlink>
      <w:r w:rsidR="00BA6C42" w:rsidRPr="00BA6C42">
        <w:rPr>
          <w:rFonts w:ascii="Times New Roman" w:hAnsi="Times New Roman"/>
          <w:sz w:val="20"/>
          <w:szCs w:val="20"/>
        </w:rPr>
        <w:t xml:space="preserve"> </w:t>
      </w:r>
    </w:p>
    <w:p w14:paraId="4E2F5E25" w14:textId="77777777" w:rsidR="00BA6C42" w:rsidRPr="00336E9F" w:rsidRDefault="00BA6C42" w:rsidP="00FF1760">
      <w:pPr>
        <w:tabs>
          <w:tab w:val="left" w:pos="2340"/>
          <w:tab w:val="center" w:pos="4153"/>
          <w:tab w:val="right" w:pos="8306"/>
        </w:tabs>
        <w:spacing w:after="0" w:line="240" w:lineRule="auto"/>
        <w:jc w:val="both"/>
        <w:rPr>
          <w:rFonts w:ascii="Times New Roman" w:hAnsi="Times New Roman"/>
          <w:iCs/>
          <w:color w:val="1F497D"/>
          <w:sz w:val="20"/>
          <w:szCs w:val="20"/>
          <w:shd w:val="clear" w:color="auto" w:fill="FFFFFF"/>
          <w:lang w:eastAsia="lv-LV"/>
        </w:rPr>
      </w:pPr>
    </w:p>
    <w:sectPr w:rsidR="00BA6C42" w:rsidRPr="00336E9F" w:rsidSect="00B46425">
      <w:headerReference w:type="default" r:id="rId13"/>
      <w:footerReference w:type="default" r:id="rId14"/>
      <w:footerReference w:type="first" r:id="rId15"/>
      <w:pgSz w:w="11906" w:h="16838"/>
      <w:pgMar w:top="993"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35BF2" w14:textId="77777777" w:rsidR="004B20B3" w:rsidRDefault="004B20B3" w:rsidP="00894C55">
      <w:pPr>
        <w:spacing w:after="0" w:line="240" w:lineRule="auto"/>
      </w:pPr>
      <w:r>
        <w:separator/>
      </w:r>
    </w:p>
  </w:endnote>
  <w:endnote w:type="continuationSeparator" w:id="0">
    <w:p w14:paraId="7FB3E45F" w14:textId="77777777" w:rsidR="004B20B3" w:rsidRDefault="004B20B3" w:rsidP="00894C55">
      <w:pPr>
        <w:spacing w:after="0" w:line="240" w:lineRule="auto"/>
      </w:pPr>
      <w:r>
        <w:continuationSeparator/>
      </w:r>
    </w:p>
  </w:endnote>
  <w:endnote w:type="continuationNotice" w:id="1">
    <w:p w14:paraId="2C5C4743" w14:textId="77777777" w:rsidR="004B20B3" w:rsidRDefault="004B20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AFAD7" w14:textId="1241FAA2" w:rsidR="00D57F95" w:rsidRPr="00ED0781" w:rsidRDefault="00ED0781" w:rsidP="00ED0781">
    <w:pPr>
      <w:pStyle w:val="Footer"/>
    </w:pPr>
    <w:r w:rsidRPr="00ED0781">
      <w:rPr>
        <w:rFonts w:ascii="Times New Roman" w:hAnsi="Times New Roman"/>
        <w:sz w:val="20"/>
        <w:szCs w:val="20"/>
      </w:rPr>
      <w:t>IZMAnot_Aizdevumi135_07042021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2F446" w14:textId="56960A90" w:rsidR="00D57F95" w:rsidRPr="00ED0781" w:rsidRDefault="00ED0781" w:rsidP="00ED0781">
    <w:pPr>
      <w:pStyle w:val="Footer"/>
    </w:pPr>
    <w:r w:rsidRPr="00ED0781">
      <w:rPr>
        <w:rFonts w:ascii="Times New Roman" w:hAnsi="Times New Roman"/>
        <w:sz w:val="20"/>
        <w:szCs w:val="20"/>
      </w:rPr>
      <w:t>IZMAnot_Aizdevumi135_07042021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C582A" w14:textId="77777777" w:rsidR="004B20B3" w:rsidRDefault="004B20B3" w:rsidP="00894C55">
      <w:pPr>
        <w:spacing w:after="0" w:line="240" w:lineRule="auto"/>
      </w:pPr>
      <w:r>
        <w:separator/>
      </w:r>
    </w:p>
  </w:footnote>
  <w:footnote w:type="continuationSeparator" w:id="0">
    <w:p w14:paraId="170E57E4" w14:textId="77777777" w:rsidR="004B20B3" w:rsidRDefault="004B20B3" w:rsidP="00894C55">
      <w:pPr>
        <w:spacing w:after="0" w:line="240" w:lineRule="auto"/>
      </w:pPr>
      <w:r>
        <w:continuationSeparator/>
      </w:r>
    </w:p>
  </w:footnote>
  <w:footnote w:type="continuationNotice" w:id="1">
    <w:p w14:paraId="09AA55D9" w14:textId="77777777" w:rsidR="004B20B3" w:rsidRDefault="004B20B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B1C3E" w14:textId="77777777" w:rsidR="00D57F95" w:rsidRPr="00C25B49" w:rsidRDefault="00D57F95">
    <w:pPr>
      <w:pStyle w:val="Header"/>
      <w:jc w:val="center"/>
      <w:rPr>
        <w:rFonts w:ascii="Times New Roman" w:hAnsi="Times New Roman"/>
        <w:sz w:val="24"/>
        <w:szCs w:val="20"/>
      </w:rPr>
    </w:pPr>
    <w:r w:rsidRPr="00C25B49">
      <w:rPr>
        <w:rFonts w:ascii="Times New Roman" w:hAnsi="Times New Roman"/>
        <w:sz w:val="24"/>
        <w:szCs w:val="20"/>
      </w:rPr>
      <w:fldChar w:fldCharType="begin"/>
    </w:r>
    <w:r w:rsidRPr="00C25B49">
      <w:rPr>
        <w:rFonts w:ascii="Times New Roman" w:hAnsi="Times New Roman"/>
        <w:sz w:val="24"/>
        <w:szCs w:val="20"/>
      </w:rPr>
      <w:instrText xml:space="preserve"> PAGE   \* MERGEFORMAT </w:instrText>
    </w:r>
    <w:r w:rsidRPr="00C25B49">
      <w:rPr>
        <w:rFonts w:ascii="Times New Roman" w:hAnsi="Times New Roman"/>
        <w:sz w:val="24"/>
        <w:szCs w:val="20"/>
      </w:rPr>
      <w:fldChar w:fldCharType="separate"/>
    </w:r>
    <w:r w:rsidR="00E86D6B">
      <w:rPr>
        <w:rFonts w:ascii="Times New Roman" w:hAnsi="Times New Roman"/>
        <w:noProof/>
        <w:sz w:val="24"/>
        <w:szCs w:val="20"/>
      </w:rPr>
      <w:t>4</w:t>
    </w:r>
    <w:r w:rsidRPr="00C25B49">
      <w:rPr>
        <w:rFonts w:ascii="Times New Roman" w:hAnsi="Times New Roman"/>
        <w:noProof/>
        <w:sz w:val="24"/>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220A"/>
    <w:multiLevelType w:val="hybridMultilevel"/>
    <w:tmpl w:val="C33C78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45091EB8"/>
    <w:multiLevelType w:val="hybridMultilevel"/>
    <w:tmpl w:val="3FC014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48B179A8"/>
    <w:multiLevelType w:val="hybridMultilevel"/>
    <w:tmpl w:val="E03840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4B0366E3"/>
    <w:multiLevelType w:val="hybridMultilevel"/>
    <w:tmpl w:val="F23683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7D1840"/>
    <w:multiLevelType w:val="hybridMultilevel"/>
    <w:tmpl w:val="7C9E21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72056B9F"/>
    <w:multiLevelType w:val="hybridMultilevel"/>
    <w:tmpl w:val="1DDCD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066B"/>
    <w:rsid w:val="00000C51"/>
    <w:rsid w:val="00005CAA"/>
    <w:rsid w:val="00014FEB"/>
    <w:rsid w:val="000155D6"/>
    <w:rsid w:val="00021FD6"/>
    <w:rsid w:val="00022331"/>
    <w:rsid w:val="00037191"/>
    <w:rsid w:val="00044416"/>
    <w:rsid w:val="00047876"/>
    <w:rsid w:val="00047B08"/>
    <w:rsid w:val="00050289"/>
    <w:rsid w:val="00050364"/>
    <w:rsid w:val="00064990"/>
    <w:rsid w:val="0007115D"/>
    <w:rsid w:val="00071E29"/>
    <w:rsid w:val="0007658B"/>
    <w:rsid w:val="00091DBB"/>
    <w:rsid w:val="00093CE9"/>
    <w:rsid w:val="00094538"/>
    <w:rsid w:val="000A020D"/>
    <w:rsid w:val="000A132C"/>
    <w:rsid w:val="000A4E50"/>
    <w:rsid w:val="000B17EA"/>
    <w:rsid w:val="000C6CCA"/>
    <w:rsid w:val="000C7E32"/>
    <w:rsid w:val="000D08B3"/>
    <w:rsid w:val="000D0B2E"/>
    <w:rsid w:val="000D1890"/>
    <w:rsid w:val="000D2A1F"/>
    <w:rsid w:val="000D53EA"/>
    <w:rsid w:val="000D631A"/>
    <w:rsid w:val="000D6C4C"/>
    <w:rsid w:val="000D7BD8"/>
    <w:rsid w:val="000E0445"/>
    <w:rsid w:val="000E49D0"/>
    <w:rsid w:val="000E543C"/>
    <w:rsid w:val="000F29FF"/>
    <w:rsid w:val="000F7ED9"/>
    <w:rsid w:val="001025AE"/>
    <w:rsid w:val="00110ADB"/>
    <w:rsid w:val="00113CAF"/>
    <w:rsid w:val="00135062"/>
    <w:rsid w:val="00143A0E"/>
    <w:rsid w:val="001449DB"/>
    <w:rsid w:val="00146C3E"/>
    <w:rsid w:val="00146D55"/>
    <w:rsid w:val="00152EDD"/>
    <w:rsid w:val="00156F7A"/>
    <w:rsid w:val="001624B5"/>
    <w:rsid w:val="00162BA5"/>
    <w:rsid w:val="001669ED"/>
    <w:rsid w:val="00171142"/>
    <w:rsid w:val="00174908"/>
    <w:rsid w:val="00185D81"/>
    <w:rsid w:val="001950E3"/>
    <w:rsid w:val="00195320"/>
    <w:rsid w:val="00196BC1"/>
    <w:rsid w:val="001A02A0"/>
    <w:rsid w:val="001A2584"/>
    <w:rsid w:val="001C1F8A"/>
    <w:rsid w:val="001D39AE"/>
    <w:rsid w:val="001D6B68"/>
    <w:rsid w:val="001E06E1"/>
    <w:rsid w:val="001E24F4"/>
    <w:rsid w:val="001E5C4F"/>
    <w:rsid w:val="001E653E"/>
    <w:rsid w:val="001E6B8B"/>
    <w:rsid w:val="001F5A1F"/>
    <w:rsid w:val="00200116"/>
    <w:rsid w:val="00205947"/>
    <w:rsid w:val="00210279"/>
    <w:rsid w:val="0021058C"/>
    <w:rsid w:val="002140A9"/>
    <w:rsid w:val="00214B02"/>
    <w:rsid w:val="00216B94"/>
    <w:rsid w:val="00221489"/>
    <w:rsid w:val="0022631C"/>
    <w:rsid w:val="00233F5D"/>
    <w:rsid w:val="00241753"/>
    <w:rsid w:val="00243426"/>
    <w:rsid w:val="00245B8A"/>
    <w:rsid w:val="002460FF"/>
    <w:rsid w:val="002624FB"/>
    <w:rsid w:val="00265DDF"/>
    <w:rsid w:val="00266CEB"/>
    <w:rsid w:val="00270AF7"/>
    <w:rsid w:val="002715A3"/>
    <w:rsid w:val="00273A0D"/>
    <w:rsid w:val="00276D18"/>
    <w:rsid w:val="002839BC"/>
    <w:rsid w:val="00292178"/>
    <w:rsid w:val="00293007"/>
    <w:rsid w:val="0029352C"/>
    <w:rsid w:val="00294FF9"/>
    <w:rsid w:val="002A06D1"/>
    <w:rsid w:val="002A09BF"/>
    <w:rsid w:val="002A0B3D"/>
    <w:rsid w:val="002A184F"/>
    <w:rsid w:val="002A4085"/>
    <w:rsid w:val="002A520D"/>
    <w:rsid w:val="002B077D"/>
    <w:rsid w:val="002B18AE"/>
    <w:rsid w:val="002B5A5A"/>
    <w:rsid w:val="002C247A"/>
    <w:rsid w:val="002C7670"/>
    <w:rsid w:val="002D12E8"/>
    <w:rsid w:val="002D17F4"/>
    <w:rsid w:val="002E1914"/>
    <w:rsid w:val="002E1C05"/>
    <w:rsid w:val="002E211D"/>
    <w:rsid w:val="002E457C"/>
    <w:rsid w:val="002E4DB6"/>
    <w:rsid w:val="002F1BBD"/>
    <w:rsid w:val="00301ED5"/>
    <w:rsid w:val="00307ADE"/>
    <w:rsid w:val="0031061B"/>
    <w:rsid w:val="00313152"/>
    <w:rsid w:val="00314DED"/>
    <w:rsid w:val="003202C3"/>
    <w:rsid w:val="003279BB"/>
    <w:rsid w:val="00332B53"/>
    <w:rsid w:val="00333716"/>
    <w:rsid w:val="00336C9D"/>
    <w:rsid w:val="00336E9F"/>
    <w:rsid w:val="0033777F"/>
    <w:rsid w:val="0034437D"/>
    <w:rsid w:val="00344CC5"/>
    <w:rsid w:val="003558A1"/>
    <w:rsid w:val="003613F9"/>
    <w:rsid w:val="0037005E"/>
    <w:rsid w:val="00371620"/>
    <w:rsid w:val="00372679"/>
    <w:rsid w:val="00372FB3"/>
    <w:rsid w:val="0037489E"/>
    <w:rsid w:val="0037508E"/>
    <w:rsid w:val="00375938"/>
    <w:rsid w:val="0038541C"/>
    <w:rsid w:val="003864F7"/>
    <w:rsid w:val="0039310A"/>
    <w:rsid w:val="003A03FD"/>
    <w:rsid w:val="003A21D6"/>
    <w:rsid w:val="003A3F00"/>
    <w:rsid w:val="003B0BF9"/>
    <w:rsid w:val="003B4005"/>
    <w:rsid w:val="003B5C77"/>
    <w:rsid w:val="003C0596"/>
    <w:rsid w:val="003D35C4"/>
    <w:rsid w:val="003E034D"/>
    <w:rsid w:val="003E0791"/>
    <w:rsid w:val="003E3E69"/>
    <w:rsid w:val="003F28AC"/>
    <w:rsid w:val="003F4977"/>
    <w:rsid w:val="003F5D89"/>
    <w:rsid w:val="00400EE4"/>
    <w:rsid w:val="0040326C"/>
    <w:rsid w:val="00414E5A"/>
    <w:rsid w:val="00423A91"/>
    <w:rsid w:val="00425767"/>
    <w:rsid w:val="00425E73"/>
    <w:rsid w:val="00430785"/>
    <w:rsid w:val="0043347F"/>
    <w:rsid w:val="0043613D"/>
    <w:rsid w:val="004454FE"/>
    <w:rsid w:val="00447A8D"/>
    <w:rsid w:val="00450259"/>
    <w:rsid w:val="0045443D"/>
    <w:rsid w:val="00456E40"/>
    <w:rsid w:val="004631A7"/>
    <w:rsid w:val="004668AC"/>
    <w:rsid w:val="00467562"/>
    <w:rsid w:val="004675A1"/>
    <w:rsid w:val="00470E79"/>
    <w:rsid w:val="0047145C"/>
    <w:rsid w:val="00471F27"/>
    <w:rsid w:val="004751C1"/>
    <w:rsid w:val="00480010"/>
    <w:rsid w:val="004913C1"/>
    <w:rsid w:val="00492676"/>
    <w:rsid w:val="00494BE0"/>
    <w:rsid w:val="004A108E"/>
    <w:rsid w:val="004A5047"/>
    <w:rsid w:val="004B0EB0"/>
    <w:rsid w:val="004B20B3"/>
    <w:rsid w:val="004B451A"/>
    <w:rsid w:val="004B642D"/>
    <w:rsid w:val="004E1B87"/>
    <w:rsid w:val="004F54FE"/>
    <w:rsid w:val="004F5FB7"/>
    <w:rsid w:val="004F61FA"/>
    <w:rsid w:val="004F7196"/>
    <w:rsid w:val="0050178F"/>
    <w:rsid w:val="00514504"/>
    <w:rsid w:val="00520289"/>
    <w:rsid w:val="00533A9E"/>
    <w:rsid w:val="005353B9"/>
    <w:rsid w:val="005375F8"/>
    <w:rsid w:val="0054010A"/>
    <w:rsid w:val="00541776"/>
    <w:rsid w:val="005445D7"/>
    <w:rsid w:val="0054557E"/>
    <w:rsid w:val="00546A33"/>
    <w:rsid w:val="005554EA"/>
    <w:rsid w:val="0056386C"/>
    <w:rsid w:val="00565E50"/>
    <w:rsid w:val="00571AF0"/>
    <w:rsid w:val="00573AA6"/>
    <w:rsid w:val="00574E17"/>
    <w:rsid w:val="00575E6E"/>
    <w:rsid w:val="00576E66"/>
    <w:rsid w:val="00577F2D"/>
    <w:rsid w:val="00586304"/>
    <w:rsid w:val="00590B61"/>
    <w:rsid w:val="00594EA4"/>
    <w:rsid w:val="0059623B"/>
    <w:rsid w:val="005A20CB"/>
    <w:rsid w:val="005A2BE3"/>
    <w:rsid w:val="005A511D"/>
    <w:rsid w:val="005C5B14"/>
    <w:rsid w:val="005D634C"/>
    <w:rsid w:val="005E09DD"/>
    <w:rsid w:val="005E40B7"/>
    <w:rsid w:val="005F39B0"/>
    <w:rsid w:val="005F6614"/>
    <w:rsid w:val="00607335"/>
    <w:rsid w:val="006103ED"/>
    <w:rsid w:val="006106E8"/>
    <w:rsid w:val="00623339"/>
    <w:rsid w:val="00624A4E"/>
    <w:rsid w:val="00631ECB"/>
    <w:rsid w:val="00635F46"/>
    <w:rsid w:val="006363A9"/>
    <w:rsid w:val="00642E03"/>
    <w:rsid w:val="006449ED"/>
    <w:rsid w:val="00650104"/>
    <w:rsid w:val="00652745"/>
    <w:rsid w:val="00652A4A"/>
    <w:rsid w:val="00655558"/>
    <w:rsid w:val="00655F2C"/>
    <w:rsid w:val="00663F4D"/>
    <w:rsid w:val="006707C5"/>
    <w:rsid w:val="0067083D"/>
    <w:rsid w:val="006717F3"/>
    <w:rsid w:val="0067497D"/>
    <w:rsid w:val="00675B56"/>
    <w:rsid w:val="00683BD8"/>
    <w:rsid w:val="006841D1"/>
    <w:rsid w:val="00687744"/>
    <w:rsid w:val="00694710"/>
    <w:rsid w:val="00697D3A"/>
    <w:rsid w:val="006A16F6"/>
    <w:rsid w:val="006B1BB3"/>
    <w:rsid w:val="006B25A7"/>
    <w:rsid w:val="006B6296"/>
    <w:rsid w:val="006C552B"/>
    <w:rsid w:val="006C7483"/>
    <w:rsid w:val="006D432E"/>
    <w:rsid w:val="006D6B10"/>
    <w:rsid w:val="006D7A74"/>
    <w:rsid w:val="006E1081"/>
    <w:rsid w:val="006E384D"/>
    <w:rsid w:val="006E469E"/>
    <w:rsid w:val="006E7699"/>
    <w:rsid w:val="006F6D37"/>
    <w:rsid w:val="006F7EC4"/>
    <w:rsid w:val="007168F2"/>
    <w:rsid w:val="007203DF"/>
    <w:rsid w:val="00720585"/>
    <w:rsid w:val="0072273E"/>
    <w:rsid w:val="0072394D"/>
    <w:rsid w:val="00723FE3"/>
    <w:rsid w:val="007257C7"/>
    <w:rsid w:val="00727BE2"/>
    <w:rsid w:val="00727EF4"/>
    <w:rsid w:val="007465CA"/>
    <w:rsid w:val="00752971"/>
    <w:rsid w:val="0075466D"/>
    <w:rsid w:val="007557BD"/>
    <w:rsid w:val="00756018"/>
    <w:rsid w:val="00757D57"/>
    <w:rsid w:val="00773AF6"/>
    <w:rsid w:val="00782DF4"/>
    <w:rsid w:val="00783644"/>
    <w:rsid w:val="00792198"/>
    <w:rsid w:val="00793A43"/>
    <w:rsid w:val="00793B15"/>
    <w:rsid w:val="00794A08"/>
    <w:rsid w:val="00795F71"/>
    <w:rsid w:val="007A19BB"/>
    <w:rsid w:val="007B070B"/>
    <w:rsid w:val="007B505D"/>
    <w:rsid w:val="007B730B"/>
    <w:rsid w:val="007B7394"/>
    <w:rsid w:val="007C1A0C"/>
    <w:rsid w:val="007D4BFE"/>
    <w:rsid w:val="007E0895"/>
    <w:rsid w:val="007E1A1A"/>
    <w:rsid w:val="007E5F7A"/>
    <w:rsid w:val="007E6C42"/>
    <w:rsid w:val="007E73AB"/>
    <w:rsid w:val="007F0C1E"/>
    <w:rsid w:val="007F564B"/>
    <w:rsid w:val="007F7E80"/>
    <w:rsid w:val="008028CA"/>
    <w:rsid w:val="00803336"/>
    <w:rsid w:val="008058F7"/>
    <w:rsid w:val="008157DF"/>
    <w:rsid w:val="00816C11"/>
    <w:rsid w:val="00817C7A"/>
    <w:rsid w:val="00825C0D"/>
    <w:rsid w:val="008265C6"/>
    <w:rsid w:val="008308B1"/>
    <w:rsid w:val="00842513"/>
    <w:rsid w:val="00845049"/>
    <w:rsid w:val="0085042C"/>
    <w:rsid w:val="00860698"/>
    <w:rsid w:val="00866AEA"/>
    <w:rsid w:val="00872764"/>
    <w:rsid w:val="008728C5"/>
    <w:rsid w:val="00885498"/>
    <w:rsid w:val="00894C55"/>
    <w:rsid w:val="008A60E3"/>
    <w:rsid w:val="008A6998"/>
    <w:rsid w:val="008B415E"/>
    <w:rsid w:val="008C0924"/>
    <w:rsid w:val="008C6144"/>
    <w:rsid w:val="008D02E0"/>
    <w:rsid w:val="008D0E30"/>
    <w:rsid w:val="008D41D7"/>
    <w:rsid w:val="008D7A3F"/>
    <w:rsid w:val="008E2539"/>
    <w:rsid w:val="008E56EF"/>
    <w:rsid w:val="008F3DB1"/>
    <w:rsid w:val="0090136A"/>
    <w:rsid w:val="00902E8F"/>
    <w:rsid w:val="00904177"/>
    <w:rsid w:val="00911D57"/>
    <w:rsid w:val="00915126"/>
    <w:rsid w:val="00916BC9"/>
    <w:rsid w:val="00916E02"/>
    <w:rsid w:val="00917342"/>
    <w:rsid w:val="009204D7"/>
    <w:rsid w:val="00921E45"/>
    <w:rsid w:val="00926E9B"/>
    <w:rsid w:val="0092767A"/>
    <w:rsid w:val="0093371B"/>
    <w:rsid w:val="00940334"/>
    <w:rsid w:val="00940FCA"/>
    <w:rsid w:val="00943AFB"/>
    <w:rsid w:val="00946FC8"/>
    <w:rsid w:val="009530CE"/>
    <w:rsid w:val="00953AA4"/>
    <w:rsid w:val="00960C11"/>
    <w:rsid w:val="00964CA9"/>
    <w:rsid w:val="00965A34"/>
    <w:rsid w:val="00976F4C"/>
    <w:rsid w:val="0098004C"/>
    <w:rsid w:val="0098222D"/>
    <w:rsid w:val="0099061C"/>
    <w:rsid w:val="00991B89"/>
    <w:rsid w:val="00992304"/>
    <w:rsid w:val="00997D1D"/>
    <w:rsid w:val="009A2654"/>
    <w:rsid w:val="009A7C09"/>
    <w:rsid w:val="009B74BD"/>
    <w:rsid w:val="009C21DE"/>
    <w:rsid w:val="009C4D2C"/>
    <w:rsid w:val="009D2DF4"/>
    <w:rsid w:val="009D521D"/>
    <w:rsid w:val="009D590B"/>
    <w:rsid w:val="009D5FAA"/>
    <w:rsid w:val="009E01AA"/>
    <w:rsid w:val="009E4F96"/>
    <w:rsid w:val="009E69FD"/>
    <w:rsid w:val="009F0206"/>
    <w:rsid w:val="009F5C73"/>
    <w:rsid w:val="00A0092D"/>
    <w:rsid w:val="00A0737C"/>
    <w:rsid w:val="00A10FC3"/>
    <w:rsid w:val="00A11A61"/>
    <w:rsid w:val="00A1534D"/>
    <w:rsid w:val="00A17310"/>
    <w:rsid w:val="00A232EC"/>
    <w:rsid w:val="00A25A0C"/>
    <w:rsid w:val="00A331FB"/>
    <w:rsid w:val="00A34148"/>
    <w:rsid w:val="00A349EB"/>
    <w:rsid w:val="00A475C5"/>
    <w:rsid w:val="00A50E83"/>
    <w:rsid w:val="00A51614"/>
    <w:rsid w:val="00A56078"/>
    <w:rsid w:val="00A5633F"/>
    <w:rsid w:val="00A6073E"/>
    <w:rsid w:val="00A653FF"/>
    <w:rsid w:val="00A6592F"/>
    <w:rsid w:val="00A74357"/>
    <w:rsid w:val="00A77CC8"/>
    <w:rsid w:val="00A87306"/>
    <w:rsid w:val="00A96828"/>
    <w:rsid w:val="00AA1485"/>
    <w:rsid w:val="00AB1100"/>
    <w:rsid w:val="00AB7D8C"/>
    <w:rsid w:val="00AB7F86"/>
    <w:rsid w:val="00AC6F7D"/>
    <w:rsid w:val="00AE389A"/>
    <w:rsid w:val="00AE41A9"/>
    <w:rsid w:val="00AE5567"/>
    <w:rsid w:val="00AF0B9D"/>
    <w:rsid w:val="00AF1239"/>
    <w:rsid w:val="00AF1B73"/>
    <w:rsid w:val="00AF40CE"/>
    <w:rsid w:val="00AF6050"/>
    <w:rsid w:val="00B01D40"/>
    <w:rsid w:val="00B02DF8"/>
    <w:rsid w:val="00B030B2"/>
    <w:rsid w:val="00B040C1"/>
    <w:rsid w:val="00B07441"/>
    <w:rsid w:val="00B16480"/>
    <w:rsid w:val="00B17B0F"/>
    <w:rsid w:val="00B2099C"/>
    <w:rsid w:val="00B21601"/>
    <w:rsid w:val="00B2165C"/>
    <w:rsid w:val="00B227A6"/>
    <w:rsid w:val="00B233DA"/>
    <w:rsid w:val="00B23978"/>
    <w:rsid w:val="00B26607"/>
    <w:rsid w:val="00B318E8"/>
    <w:rsid w:val="00B31D5C"/>
    <w:rsid w:val="00B3700D"/>
    <w:rsid w:val="00B43401"/>
    <w:rsid w:val="00B44E10"/>
    <w:rsid w:val="00B46425"/>
    <w:rsid w:val="00B53FDF"/>
    <w:rsid w:val="00B57306"/>
    <w:rsid w:val="00B60680"/>
    <w:rsid w:val="00B61B7C"/>
    <w:rsid w:val="00B62F8B"/>
    <w:rsid w:val="00B67C6C"/>
    <w:rsid w:val="00B70BED"/>
    <w:rsid w:val="00B712B6"/>
    <w:rsid w:val="00B73C5B"/>
    <w:rsid w:val="00B76CB0"/>
    <w:rsid w:val="00B83501"/>
    <w:rsid w:val="00B836F0"/>
    <w:rsid w:val="00B92E2B"/>
    <w:rsid w:val="00B96FE9"/>
    <w:rsid w:val="00BA20AA"/>
    <w:rsid w:val="00BA3BC2"/>
    <w:rsid w:val="00BA6C42"/>
    <w:rsid w:val="00BB3C91"/>
    <w:rsid w:val="00BC2890"/>
    <w:rsid w:val="00BD0C23"/>
    <w:rsid w:val="00BD206E"/>
    <w:rsid w:val="00BD4425"/>
    <w:rsid w:val="00BD4658"/>
    <w:rsid w:val="00BD7975"/>
    <w:rsid w:val="00BE296A"/>
    <w:rsid w:val="00BE44B5"/>
    <w:rsid w:val="00BF327E"/>
    <w:rsid w:val="00C02253"/>
    <w:rsid w:val="00C117AD"/>
    <w:rsid w:val="00C14422"/>
    <w:rsid w:val="00C144F8"/>
    <w:rsid w:val="00C209FE"/>
    <w:rsid w:val="00C2177F"/>
    <w:rsid w:val="00C24CDC"/>
    <w:rsid w:val="00C25B49"/>
    <w:rsid w:val="00C26C7C"/>
    <w:rsid w:val="00C30D70"/>
    <w:rsid w:val="00C36ECC"/>
    <w:rsid w:val="00C576AD"/>
    <w:rsid w:val="00C576F1"/>
    <w:rsid w:val="00C611D4"/>
    <w:rsid w:val="00C62907"/>
    <w:rsid w:val="00CA05AF"/>
    <w:rsid w:val="00CA6288"/>
    <w:rsid w:val="00CA79CA"/>
    <w:rsid w:val="00CB33C3"/>
    <w:rsid w:val="00CC0D2D"/>
    <w:rsid w:val="00CC7783"/>
    <w:rsid w:val="00CC7EE3"/>
    <w:rsid w:val="00CD5234"/>
    <w:rsid w:val="00CD64CA"/>
    <w:rsid w:val="00CE01EF"/>
    <w:rsid w:val="00CE5657"/>
    <w:rsid w:val="00CE5BF5"/>
    <w:rsid w:val="00CF3737"/>
    <w:rsid w:val="00CF3A10"/>
    <w:rsid w:val="00CF6C0F"/>
    <w:rsid w:val="00CF7CF7"/>
    <w:rsid w:val="00D03026"/>
    <w:rsid w:val="00D054D3"/>
    <w:rsid w:val="00D071CA"/>
    <w:rsid w:val="00D0787B"/>
    <w:rsid w:val="00D133F8"/>
    <w:rsid w:val="00D14A3E"/>
    <w:rsid w:val="00D14CCB"/>
    <w:rsid w:val="00D15B66"/>
    <w:rsid w:val="00D15E30"/>
    <w:rsid w:val="00D22320"/>
    <w:rsid w:val="00D224D0"/>
    <w:rsid w:val="00D47AE9"/>
    <w:rsid w:val="00D57F95"/>
    <w:rsid w:val="00D60749"/>
    <w:rsid w:val="00D63527"/>
    <w:rsid w:val="00D73EF9"/>
    <w:rsid w:val="00D740E8"/>
    <w:rsid w:val="00D7562F"/>
    <w:rsid w:val="00D75EC3"/>
    <w:rsid w:val="00D80015"/>
    <w:rsid w:val="00D80D30"/>
    <w:rsid w:val="00D81CEC"/>
    <w:rsid w:val="00D83726"/>
    <w:rsid w:val="00D85870"/>
    <w:rsid w:val="00D85A48"/>
    <w:rsid w:val="00D8788F"/>
    <w:rsid w:val="00D90DB9"/>
    <w:rsid w:val="00DA22E6"/>
    <w:rsid w:val="00DC4757"/>
    <w:rsid w:val="00DC50B0"/>
    <w:rsid w:val="00DC55B6"/>
    <w:rsid w:val="00DD45D9"/>
    <w:rsid w:val="00DD6AC2"/>
    <w:rsid w:val="00DE0A0D"/>
    <w:rsid w:val="00DE0C5B"/>
    <w:rsid w:val="00DE2479"/>
    <w:rsid w:val="00DE2677"/>
    <w:rsid w:val="00DE4C91"/>
    <w:rsid w:val="00DF000E"/>
    <w:rsid w:val="00DF540E"/>
    <w:rsid w:val="00E002BF"/>
    <w:rsid w:val="00E01AF4"/>
    <w:rsid w:val="00E03B1F"/>
    <w:rsid w:val="00E1311E"/>
    <w:rsid w:val="00E1504E"/>
    <w:rsid w:val="00E17212"/>
    <w:rsid w:val="00E23ECE"/>
    <w:rsid w:val="00E343A4"/>
    <w:rsid w:val="00E3716B"/>
    <w:rsid w:val="00E42107"/>
    <w:rsid w:val="00E5195F"/>
    <w:rsid w:val="00E5323B"/>
    <w:rsid w:val="00E62A67"/>
    <w:rsid w:val="00E633B6"/>
    <w:rsid w:val="00E719B2"/>
    <w:rsid w:val="00E733D0"/>
    <w:rsid w:val="00E74D64"/>
    <w:rsid w:val="00E77C8E"/>
    <w:rsid w:val="00E8046B"/>
    <w:rsid w:val="00E8048A"/>
    <w:rsid w:val="00E84E4E"/>
    <w:rsid w:val="00E86D6B"/>
    <w:rsid w:val="00E8749E"/>
    <w:rsid w:val="00E87E99"/>
    <w:rsid w:val="00E90C01"/>
    <w:rsid w:val="00E9242F"/>
    <w:rsid w:val="00E93DD8"/>
    <w:rsid w:val="00EA12A5"/>
    <w:rsid w:val="00EA2F89"/>
    <w:rsid w:val="00EA4085"/>
    <w:rsid w:val="00EA486E"/>
    <w:rsid w:val="00EB5D4C"/>
    <w:rsid w:val="00EB71E0"/>
    <w:rsid w:val="00EC147F"/>
    <w:rsid w:val="00EC23E4"/>
    <w:rsid w:val="00EC3355"/>
    <w:rsid w:val="00EC3D4F"/>
    <w:rsid w:val="00EC54B2"/>
    <w:rsid w:val="00ED0781"/>
    <w:rsid w:val="00ED18EF"/>
    <w:rsid w:val="00EE7865"/>
    <w:rsid w:val="00EF18F6"/>
    <w:rsid w:val="00EF23E1"/>
    <w:rsid w:val="00EF3C78"/>
    <w:rsid w:val="00EF4199"/>
    <w:rsid w:val="00EF6FB9"/>
    <w:rsid w:val="00F06102"/>
    <w:rsid w:val="00F07CBA"/>
    <w:rsid w:val="00F14ACB"/>
    <w:rsid w:val="00F1729C"/>
    <w:rsid w:val="00F236FC"/>
    <w:rsid w:val="00F25B29"/>
    <w:rsid w:val="00F26B8C"/>
    <w:rsid w:val="00F3276E"/>
    <w:rsid w:val="00F34EB9"/>
    <w:rsid w:val="00F40423"/>
    <w:rsid w:val="00F41089"/>
    <w:rsid w:val="00F55ECC"/>
    <w:rsid w:val="00F56DD5"/>
    <w:rsid w:val="00F57B0C"/>
    <w:rsid w:val="00F6344C"/>
    <w:rsid w:val="00F662F0"/>
    <w:rsid w:val="00F66DFA"/>
    <w:rsid w:val="00F8629D"/>
    <w:rsid w:val="00F90D13"/>
    <w:rsid w:val="00F91225"/>
    <w:rsid w:val="00F92983"/>
    <w:rsid w:val="00F95A99"/>
    <w:rsid w:val="00FA3346"/>
    <w:rsid w:val="00FA4401"/>
    <w:rsid w:val="00FA456C"/>
    <w:rsid w:val="00FA6BA1"/>
    <w:rsid w:val="00FB0856"/>
    <w:rsid w:val="00FB0D16"/>
    <w:rsid w:val="00FC02CD"/>
    <w:rsid w:val="00FC44ED"/>
    <w:rsid w:val="00FC6DB8"/>
    <w:rsid w:val="00FD153F"/>
    <w:rsid w:val="00FD295C"/>
    <w:rsid w:val="00FE0A12"/>
    <w:rsid w:val="00FE3CCC"/>
    <w:rsid w:val="00FE6AAB"/>
    <w:rsid w:val="00FF1760"/>
    <w:rsid w:val="00FF6F6C"/>
    <w:rsid w:val="07C8E3B3"/>
    <w:rsid w:val="3DAEB44B"/>
    <w:rsid w:val="441553D7"/>
    <w:rsid w:val="70A5D980"/>
    <w:rsid w:val="77531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2AD687"/>
  <w15:chartTrackingRefBased/>
  <w15:docId w15:val="{2DB6B252-900C-4F1E-8F2D-D55A48730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3B1F"/>
    <w:pPr>
      <w:spacing w:after="160" w:line="259" w:lineRule="auto"/>
    </w:pPr>
    <w:rPr>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uiPriority w:val="99"/>
    <w:semiHidden/>
    <w:rsid w:val="00E90C01"/>
    <w:rPr>
      <w:color w:val="808080"/>
    </w:rPr>
  </w:style>
  <w:style w:type="character" w:styleId="FollowedHyperlink">
    <w:name w:val="FollowedHyperlink"/>
    <w:uiPriority w:val="99"/>
    <w:semiHidden/>
    <w:unhideWhenUsed/>
    <w:rsid w:val="003E0791"/>
    <w:rPr>
      <w:color w:val="954F72"/>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28AC"/>
    <w:rPr>
      <w:rFonts w:ascii="Tahoma" w:hAnsi="Tahoma" w:cs="Tahoma"/>
      <w:sz w:val="16"/>
      <w:szCs w:val="16"/>
    </w:rPr>
  </w:style>
  <w:style w:type="character" w:styleId="CommentReference">
    <w:name w:val="annotation reference"/>
    <w:uiPriority w:val="99"/>
    <w:semiHidden/>
    <w:unhideWhenUsed/>
    <w:rsid w:val="00205947"/>
    <w:rPr>
      <w:sz w:val="16"/>
      <w:szCs w:val="16"/>
    </w:rPr>
  </w:style>
  <w:style w:type="paragraph" w:styleId="CommentText">
    <w:name w:val="annotation text"/>
    <w:basedOn w:val="Normal"/>
    <w:link w:val="CommentTextChar"/>
    <w:uiPriority w:val="99"/>
    <w:semiHidden/>
    <w:unhideWhenUsed/>
    <w:rsid w:val="00205947"/>
    <w:pPr>
      <w:spacing w:line="240" w:lineRule="auto"/>
    </w:pPr>
    <w:rPr>
      <w:sz w:val="20"/>
      <w:szCs w:val="20"/>
    </w:rPr>
  </w:style>
  <w:style w:type="character" w:customStyle="1" w:styleId="CommentTextChar">
    <w:name w:val="Comment Text Char"/>
    <w:link w:val="CommentText"/>
    <w:uiPriority w:val="99"/>
    <w:semiHidden/>
    <w:rsid w:val="00205947"/>
    <w:rPr>
      <w:sz w:val="20"/>
      <w:szCs w:val="20"/>
    </w:rPr>
  </w:style>
  <w:style w:type="paragraph" w:styleId="CommentSubject">
    <w:name w:val="annotation subject"/>
    <w:basedOn w:val="CommentText"/>
    <w:next w:val="CommentText"/>
    <w:link w:val="CommentSubjectChar"/>
    <w:uiPriority w:val="99"/>
    <w:semiHidden/>
    <w:unhideWhenUsed/>
    <w:rsid w:val="00E719B2"/>
    <w:rPr>
      <w:b/>
      <w:bCs/>
    </w:rPr>
  </w:style>
  <w:style w:type="character" w:customStyle="1" w:styleId="CommentSubjectChar">
    <w:name w:val="Comment Subject Char"/>
    <w:link w:val="CommentSubject"/>
    <w:uiPriority w:val="99"/>
    <w:semiHidden/>
    <w:rsid w:val="00E719B2"/>
    <w:rPr>
      <w:b/>
      <w:bCs/>
      <w:sz w:val="20"/>
      <w:szCs w:val="20"/>
    </w:rPr>
  </w:style>
  <w:style w:type="paragraph" w:customStyle="1" w:styleId="tv213">
    <w:name w:val="tv213"/>
    <w:basedOn w:val="Normal"/>
    <w:rsid w:val="00294FF9"/>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CF3A10"/>
    <w:pPr>
      <w:ind w:left="720"/>
      <w:contextualSpacing/>
    </w:pPr>
  </w:style>
  <w:style w:type="table" w:styleId="TableGrid">
    <w:name w:val="Table Grid"/>
    <w:basedOn w:val="TableNormal"/>
    <w:uiPriority w:val="59"/>
    <w:rsid w:val="00FB41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uiPriority w:val="99"/>
    <w:semiHidden/>
    <w:unhideWhenUsed/>
    <w:rsid w:val="00D85870"/>
    <w:rPr>
      <w:color w:val="605E5C"/>
      <w:shd w:val="clear" w:color="auto" w:fill="E1DFDD"/>
    </w:rPr>
  </w:style>
  <w:style w:type="paragraph" w:styleId="FootnoteText">
    <w:name w:val="footnote text"/>
    <w:basedOn w:val="Normal"/>
    <w:link w:val="FootnoteTextChar"/>
    <w:uiPriority w:val="99"/>
    <w:semiHidden/>
    <w:unhideWhenUsed/>
    <w:rsid w:val="00447A8D"/>
    <w:pPr>
      <w:spacing w:after="0" w:line="240" w:lineRule="auto"/>
    </w:pPr>
    <w:rPr>
      <w:sz w:val="20"/>
      <w:szCs w:val="20"/>
    </w:rPr>
  </w:style>
  <w:style w:type="character" w:customStyle="1" w:styleId="FootnoteTextChar">
    <w:name w:val="Footnote Text Char"/>
    <w:link w:val="FootnoteText"/>
    <w:uiPriority w:val="99"/>
    <w:semiHidden/>
    <w:rsid w:val="00447A8D"/>
    <w:rPr>
      <w:sz w:val="20"/>
      <w:szCs w:val="20"/>
    </w:rPr>
  </w:style>
  <w:style w:type="character" w:styleId="FootnoteReference">
    <w:name w:val="footnote reference"/>
    <w:uiPriority w:val="99"/>
    <w:semiHidden/>
    <w:unhideWhenUsed/>
    <w:rsid w:val="00447A8D"/>
    <w:rPr>
      <w:vertAlign w:val="superscript"/>
    </w:rPr>
  </w:style>
  <w:style w:type="character" w:customStyle="1" w:styleId="UnresolvedMention2">
    <w:name w:val="Unresolved Mention2"/>
    <w:uiPriority w:val="99"/>
    <w:semiHidden/>
    <w:unhideWhenUsed/>
    <w:rsid w:val="00E92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199825041">
      <w:bodyDiv w:val="1"/>
      <w:marLeft w:val="0"/>
      <w:marRight w:val="0"/>
      <w:marTop w:val="0"/>
      <w:marBottom w:val="0"/>
      <w:divBdr>
        <w:top w:val="none" w:sz="0" w:space="0" w:color="auto"/>
        <w:left w:val="none" w:sz="0" w:space="0" w:color="auto"/>
        <w:bottom w:val="none" w:sz="0" w:space="0" w:color="auto"/>
        <w:right w:val="none" w:sz="0" w:space="0" w:color="auto"/>
      </w:divBdr>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513879173">
      <w:bodyDiv w:val="1"/>
      <w:marLeft w:val="0"/>
      <w:marRight w:val="0"/>
      <w:marTop w:val="0"/>
      <w:marBottom w:val="0"/>
      <w:divBdr>
        <w:top w:val="none" w:sz="0" w:space="0" w:color="auto"/>
        <w:left w:val="none" w:sz="0" w:space="0" w:color="auto"/>
        <w:bottom w:val="none" w:sz="0" w:space="0" w:color="auto"/>
        <w:right w:val="none" w:sz="0" w:space="0" w:color="auto"/>
      </w:divBdr>
      <w:divsChild>
        <w:div w:id="561136559">
          <w:marLeft w:val="720"/>
          <w:marRight w:val="0"/>
          <w:marTop w:val="0"/>
          <w:marBottom w:val="0"/>
          <w:divBdr>
            <w:top w:val="none" w:sz="0" w:space="0" w:color="auto"/>
            <w:left w:val="none" w:sz="0" w:space="0" w:color="auto"/>
            <w:bottom w:val="none" w:sz="0" w:space="0" w:color="auto"/>
            <w:right w:val="none" w:sz="0" w:space="0" w:color="auto"/>
          </w:divBdr>
        </w:div>
        <w:div w:id="669871697">
          <w:marLeft w:val="0"/>
          <w:marRight w:val="0"/>
          <w:marTop w:val="0"/>
          <w:marBottom w:val="0"/>
          <w:divBdr>
            <w:top w:val="none" w:sz="0" w:space="0" w:color="auto"/>
            <w:left w:val="none" w:sz="0" w:space="0" w:color="auto"/>
            <w:bottom w:val="none" w:sz="0" w:space="0" w:color="auto"/>
            <w:right w:val="none" w:sz="0" w:space="0" w:color="auto"/>
          </w:divBdr>
        </w:div>
        <w:div w:id="798258184">
          <w:marLeft w:val="0"/>
          <w:marRight w:val="0"/>
          <w:marTop w:val="0"/>
          <w:marBottom w:val="0"/>
          <w:divBdr>
            <w:top w:val="none" w:sz="0" w:space="0" w:color="auto"/>
            <w:left w:val="none" w:sz="0" w:space="0" w:color="auto"/>
            <w:bottom w:val="none" w:sz="0" w:space="0" w:color="auto"/>
            <w:right w:val="none" w:sz="0" w:space="0" w:color="auto"/>
          </w:divBdr>
        </w:div>
        <w:div w:id="1043359739">
          <w:marLeft w:val="0"/>
          <w:marRight w:val="0"/>
          <w:marTop w:val="0"/>
          <w:marBottom w:val="0"/>
          <w:divBdr>
            <w:top w:val="none" w:sz="0" w:space="0" w:color="auto"/>
            <w:left w:val="none" w:sz="0" w:space="0" w:color="auto"/>
            <w:bottom w:val="none" w:sz="0" w:space="0" w:color="auto"/>
            <w:right w:val="none" w:sz="0" w:space="0" w:color="auto"/>
          </w:divBdr>
        </w:div>
        <w:div w:id="1709913960">
          <w:marLeft w:val="720"/>
          <w:marRight w:val="0"/>
          <w:marTop w:val="0"/>
          <w:marBottom w:val="0"/>
          <w:divBdr>
            <w:top w:val="none" w:sz="0" w:space="0" w:color="auto"/>
            <w:left w:val="none" w:sz="0" w:space="0" w:color="auto"/>
            <w:bottom w:val="none" w:sz="0" w:space="0" w:color="auto"/>
            <w:right w:val="none" w:sz="0" w:space="0" w:color="auto"/>
          </w:divBdr>
        </w:div>
        <w:div w:id="1913923409">
          <w:marLeft w:val="720"/>
          <w:marRight w:val="0"/>
          <w:marTop w:val="0"/>
          <w:marBottom w:val="0"/>
          <w:divBdr>
            <w:top w:val="none" w:sz="0" w:space="0" w:color="auto"/>
            <w:left w:val="none" w:sz="0" w:space="0" w:color="auto"/>
            <w:bottom w:val="none" w:sz="0" w:space="0" w:color="auto"/>
            <w:right w:val="none" w:sz="0" w:space="0" w:color="auto"/>
          </w:divBdr>
        </w:div>
      </w:divsChild>
    </w:div>
    <w:div w:id="725568589">
      <w:bodyDiv w:val="1"/>
      <w:marLeft w:val="0"/>
      <w:marRight w:val="0"/>
      <w:marTop w:val="0"/>
      <w:marBottom w:val="0"/>
      <w:divBdr>
        <w:top w:val="none" w:sz="0" w:space="0" w:color="auto"/>
        <w:left w:val="none" w:sz="0" w:space="0" w:color="auto"/>
        <w:bottom w:val="none" w:sz="0" w:space="0" w:color="auto"/>
        <w:right w:val="none" w:sz="0" w:space="0" w:color="auto"/>
      </w:divBdr>
    </w:div>
    <w:div w:id="979261271">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1603105908">
      <w:bodyDiv w:val="1"/>
      <w:marLeft w:val="0"/>
      <w:marRight w:val="0"/>
      <w:marTop w:val="0"/>
      <w:marBottom w:val="0"/>
      <w:divBdr>
        <w:top w:val="none" w:sz="0" w:space="0" w:color="auto"/>
        <w:left w:val="none" w:sz="0" w:space="0" w:color="auto"/>
        <w:bottom w:val="none" w:sz="0" w:space="0" w:color="auto"/>
        <w:right w:val="none" w:sz="0" w:space="0" w:color="auto"/>
      </w:divBdr>
    </w:div>
    <w:div w:id="179898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m.gov.lv/lv/sabiedribas-lidzdaliba/sabiedriskajai-apspriesanai-nodotie-normativo-aktu-projekt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dgars.Lore@izm.gov.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ga.Grike@izm.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sts@izm.gov.lv" TargetMode="External"/><Relationship Id="rId4" Type="http://schemas.openxmlformats.org/officeDocument/2006/relationships/settings" Target="settings.xml"/><Relationship Id="rId9" Type="http://schemas.openxmlformats.org/officeDocument/2006/relationships/hyperlink" Target="https://www.izm.gov.lv/lv/sabiedribas-lidzdaliba/sabiedriskajai-apspriesanai-nodotie-normativo-aktu-projekt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E3C96-0483-4F74-9AEF-5A29459F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9989</Words>
  <Characters>5694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Ministru kabineta noteikumu projekta anotācija</vt:lpstr>
    </vt:vector>
  </TitlesOfParts>
  <Company>Iestādes nosaukums</Company>
  <LinksUpToDate>false</LinksUpToDate>
  <CharactersWithSpaces>15652</CharactersWithSpaces>
  <SharedDoc>false</SharedDoc>
  <HLinks>
    <vt:vector size="30" baseType="variant">
      <vt:variant>
        <vt:i4>5177463</vt:i4>
      </vt:variant>
      <vt:variant>
        <vt:i4>12</vt:i4>
      </vt:variant>
      <vt:variant>
        <vt:i4>0</vt:i4>
      </vt:variant>
      <vt:variant>
        <vt:i4>5</vt:i4>
      </vt:variant>
      <vt:variant>
        <vt:lpwstr>mailto:Edgars.Lore@izm.gov.lv</vt:lpwstr>
      </vt:variant>
      <vt:variant>
        <vt:lpwstr/>
      </vt:variant>
      <vt:variant>
        <vt:i4>7864407</vt:i4>
      </vt:variant>
      <vt:variant>
        <vt:i4>9</vt:i4>
      </vt:variant>
      <vt:variant>
        <vt:i4>0</vt:i4>
      </vt:variant>
      <vt:variant>
        <vt:i4>5</vt:i4>
      </vt:variant>
      <vt:variant>
        <vt:lpwstr>mailto:Inga.Grike@izm.gov.lv</vt:lpwstr>
      </vt:variant>
      <vt:variant>
        <vt:lpwstr/>
      </vt:variant>
      <vt:variant>
        <vt:i4>7012362</vt:i4>
      </vt:variant>
      <vt:variant>
        <vt:i4>6</vt:i4>
      </vt:variant>
      <vt:variant>
        <vt:i4>0</vt:i4>
      </vt:variant>
      <vt:variant>
        <vt:i4>5</vt:i4>
      </vt:variant>
      <vt:variant>
        <vt:lpwstr>mailto:pasts@izm.gov.lv</vt:lpwstr>
      </vt:variant>
      <vt:variant>
        <vt:lpwstr/>
      </vt:variant>
      <vt:variant>
        <vt:i4>6029318</vt:i4>
      </vt:variant>
      <vt:variant>
        <vt:i4>3</vt:i4>
      </vt:variant>
      <vt:variant>
        <vt:i4>0</vt:i4>
      </vt:variant>
      <vt:variant>
        <vt:i4>5</vt:i4>
      </vt:variant>
      <vt:variant>
        <vt:lpwstr>https://www.izm.gov.lv/lv/sabiedribas-lidzdaliba/sabiedriskajai-apspriesanai-nodotie-normativo-aktu-projekti</vt:lpwstr>
      </vt:variant>
      <vt:variant>
        <vt:lpwstr/>
      </vt:variant>
      <vt:variant>
        <vt:i4>6029318</vt:i4>
      </vt:variant>
      <vt:variant>
        <vt:i4>0</vt:i4>
      </vt:variant>
      <vt:variant>
        <vt:i4>0</vt:i4>
      </vt:variant>
      <vt:variant>
        <vt:i4>5</vt:i4>
      </vt:variant>
      <vt:variant>
        <vt:lpwstr>https://www.izm.gov.lv/lv/sabiedribas-lidzdaliba/sabiedriskajai-apspriesanai-nodotie-normativo-aktu-projekti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anotācija</dc:title>
  <dc:subject>Anotācija</dc:subject>
  <dc:creator>Inga Griķe</dc:creator>
  <cp:keywords/>
  <dc:description>67047826, inga.grike@izm.gov.lv</dc:description>
  <cp:lastModifiedBy>Edgars Lore</cp:lastModifiedBy>
  <cp:revision>11</cp:revision>
  <dcterms:created xsi:type="dcterms:W3CDTF">2021-03-22T13:26:00Z</dcterms:created>
  <dcterms:modified xsi:type="dcterms:W3CDTF">2021-04-06T20:14:00Z</dcterms:modified>
  <cp:category>IZM</cp:category>
</cp:coreProperties>
</file>