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10 -->
  <w:body>
    <w:p w:rsidR="00BD51D8" w:rsidRPr="00C4169D" w:rsidP="00BD51D8">
      <w:pPr>
        <w:pStyle w:val="Header"/>
        <w:ind w:left="-57" w:firstLine="341"/>
        <w:jc w:val="center"/>
        <w:rPr>
          <w:rFonts w:ascii="Times New Roman" w:hAnsi="Times New Roman"/>
          <w:b/>
          <w:spacing w:val="300"/>
          <w:sz w:val="24"/>
          <w:szCs w:val="24"/>
        </w:rPr>
      </w:pPr>
      <w:r w:rsidRPr="00C4169D">
        <w:rPr>
          <w:rFonts w:ascii="Times New Roman" w:hAnsi="Times New Roman"/>
          <w:b/>
          <w:spacing w:val="300"/>
          <w:sz w:val="24"/>
          <w:szCs w:val="24"/>
        </w:rPr>
        <w:t>RĪKOJUMS</w:t>
      </w:r>
    </w:p>
    <w:p w:rsidR="00BD51D8" w:rsidRPr="0075098F" w:rsidP="00BD51D8">
      <w:pPr>
        <w:pStyle w:val="Header"/>
        <w:tabs>
          <w:tab w:val="left" w:pos="720"/>
        </w:tabs>
        <w:ind w:left="-1701" w:right="-1134"/>
        <w:jc w:val="center"/>
        <w:rPr>
          <w:rFonts w:ascii="Times New Roman" w:hAnsi="Times New Roman"/>
          <w:spacing w:val="20"/>
          <w:sz w:val="16"/>
          <w:szCs w:val="16"/>
        </w:rPr>
      </w:pPr>
    </w:p>
    <w:p w:rsidR="00BD51D8" w:rsidRPr="0075098F" w:rsidP="00BD51D8">
      <w:pPr>
        <w:pStyle w:val="Header"/>
        <w:tabs>
          <w:tab w:val="left" w:pos="720"/>
        </w:tabs>
        <w:ind w:left="-1701" w:right="-1134"/>
        <w:jc w:val="center"/>
        <w:rPr>
          <w:rFonts w:ascii="Times New Roman" w:hAnsi="Times New Roman"/>
          <w:spacing w:val="20"/>
          <w:sz w:val="8"/>
          <w:szCs w:val="8"/>
          <w:lang w:eastAsia="lv-LV"/>
        </w:rPr>
      </w:pPr>
      <w:r>
        <w:rPr>
          <w:rFonts w:ascii="Times New Roman" w:hAnsi="Times New Roman"/>
          <w:spacing w:val="20"/>
          <w:sz w:val="16"/>
          <w:szCs w:val="16"/>
        </w:rPr>
        <w:t xml:space="preserve">         </w:t>
      </w:r>
      <w:r w:rsidRPr="0075098F">
        <w:rPr>
          <w:rFonts w:ascii="Times New Roman" w:hAnsi="Times New Roman"/>
          <w:spacing w:val="20"/>
          <w:sz w:val="16"/>
          <w:szCs w:val="16"/>
        </w:rPr>
        <w:t>Rīgā</w:t>
      </w:r>
    </w:p>
    <w:tbl>
      <w:tblPr>
        <w:tblStyle w:val="TableGrid"/>
        <w:tblW w:w="0" w:type="auto"/>
        <w:tblInd w:w="988" w:type="dxa"/>
        <w:tblLook w:val="04A0"/>
      </w:tblPr>
      <w:tblGrid>
        <w:gridCol w:w="2835"/>
        <w:gridCol w:w="1701"/>
        <w:gridCol w:w="2861"/>
      </w:tblGrid>
      <w:tr w:rsidTr="00F54900">
        <w:tblPrEx>
          <w:tblW w:w="0" w:type="auto"/>
          <w:tblInd w:w="988" w:type="dxa"/>
          <w:tblLook w:val="04A0"/>
        </w:tblPrEx>
        <w:trPr>
          <w:trHeight w:val="20"/>
        </w:trPr>
        <w:tc>
          <w:tcPr>
            <w:tcW w:w="2835" w:type="dxa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:rsidR="00BD51D8" w:rsidRPr="00AD2050" w:rsidP="00B82502">
            <w:pPr>
              <w:spacing w:after="0"/>
              <w:ind w:left="-103" w:hanging="142"/>
              <w:jc w:val="center"/>
            </w:pPr>
            <w:r>
              <w:t xml:space="preserve">    Datums skatāms</w:t>
            </w:r>
            <w:r w:rsidRPr="00AD2050">
              <w:t xml:space="preserve"> laika </w:t>
            </w:r>
            <w:r>
              <w:t>z</w:t>
            </w:r>
            <w:r w:rsidRPr="00AD2050">
              <w:t>īmogā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51D8" w:rsidRPr="00DB6FE1" w:rsidP="008B5092">
            <w:pPr>
              <w:spacing w:after="0"/>
              <w:jc w:val="right"/>
              <w:rPr>
                <w:sz w:val="16"/>
                <w:szCs w:val="16"/>
              </w:rPr>
            </w:pPr>
            <w:r w:rsidRPr="00DB6FE1">
              <w:rPr>
                <w:sz w:val="16"/>
                <w:szCs w:val="16"/>
              </w:rPr>
              <w:t>Nr.</w:t>
            </w:r>
          </w:p>
        </w:tc>
        <w:tc>
          <w:tcPr>
            <w:tcW w:w="2835" w:type="dxa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:rsidR="00BD51D8" w:rsidRPr="00F712AC" w:rsidP="008B509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1-2e/2018</w:t>
            </w:r>
            <w:r>
              <w:rPr>
                <w:noProof/>
                <w:sz w:val="28"/>
                <w:szCs w:val="28"/>
              </w:rPr>
              <w:t>/38</w:t>
            </w:r>
          </w:p>
        </w:tc>
      </w:tr>
    </w:tbl>
    <w:p w:rsidR="00BD51D8" w:rsidRPr="0075098F" w:rsidP="00BD51D8">
      <w:pPr>
        <w:pStyle w:val="Header"/>
        <w:rPr>
          <w:rFonts w:ascii="Times New Roman" w:hAnsi="Times New Roman"/>
          <w:sz w:val="16"/>
          <w:szCs w:val="16"/>
        </w:rPr>
      </w:pPr>
    </w:p>
    <w:p w:rsidR="00BD51D8" w:rsidP="00BD51D8">
      <w:pPr>
        <w:pStyle w:val="Heading3"/>
        <w:spacing w:before="0"/>
        <w:ind w:left="-1620" w:right="-1134"/>
        <w:jc w:val="center"/>
        <w:rPr>
          <w:rFonts w:ascii="Times New Roman" w:hAnsi="Times New Roman"/>
        </w:rPr>
      </w:pPr>
    </w:p>
    <w:p w:rsidR="00FE1606" w:rsidRPr="00EA125F" w:rsidP="00FE160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EA125F">
        <w:rPr>
          <w:rFonts w:ascii="Times New Roman" w:hAnsi="Times New Roman"/>
          <w:b/>
          <w:sz w:val="26"/>
          <w:szCs w:val="26"/>
        </w:rPr>
        <w:t>Par Izglītī</w:t>
      </w:r>
      <w:r w:rsidR="001514CB">
        <w:rPr>
          <w:rFonts w:ascii="Times New Roman" w:hAnsi="Times New Roman"/>
          <w:b/>
          <w:sz w:val="26"/>
          <w:szCs w:val="26"/>
        </w:rPr>
        <w:t>bas un zinātnes ministrijas 2018</w:t>
      </w:r>
      <w:r w:rsidRPr="00EA125F">
        <w:rPr>
          <w:rFonts w:ascii="Times New Roman" w:hAnsi="Times New Roman"/>
          <w:b/>
          <w:sz w:val="26"/>
          <w:szCs w:val="26"/>
        </w:rPr>
        <w:t>.gada valsts budžeta programmas 09.00.00 “Sports” apakšprogrammas 09.04.00 “Sporta būves” līdzekļu sadalījumu</w:t>
      </w:r>
    </w:p>
    <w:p w:rsidR="00FE1606" w:rsidRPr="00EA125F" w:rsidP="00FE160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E1606" w:rsidRPr="00EA125F" w:rsidP="00FE1606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bookmarkStart w:id="0" w:name="_GoBack"/>
      <w:bookmarkEnd w:id="0"/>
      <w:r w:rsidRPr="00EA125F">
        <w:rPr>
          <w:rFonts w:ascii="Times New Roman" w:hAnsi="Times New Roman"/>
          <w:sz w:val="26"/>
          <w:szCs w:val="26"/>
        </w:rPr>
        <w:t>Pamatojoties uz Spor</w:t>
      </w:r>
      <w:r>
        <w:rPr>
          <w:rFonts w:ascii="Times New Roman" w:hAnsi="Times New Roman"/>
          <w:sz w:val="26"/>
          <w:szCs w:val="26"/>
        </w:rPr>
        <w:t xml:space="preserve">ta likuma 5.panta pirmajā daļā un </w:t>
      </w:r>
      <w:r w:rsidRPr="00EA125F">
        <w:rPr>
          <w:rFonts w:ascii="Times New Roman" w:hAnsi="Times New Roman"/>
          <w:sz w:val="26"/>
          <w:szCs w:val="26"/>
        </w:rPr>
        <w:t>12.panta pirmajā daļā, Ministru kabineta 2003.gada 16.septembra noteikumu Nr.528 “Izglītības un zinātnes ministrijas nolikums” 5.21.</w:t>
      </w:r>
      <w:r w:rsidRPr="009E6241">
        <w:rPr>
          <w:rFonts w:ascii="Times New Roman" w:hAnsi="Times New Roman"/>
          <w:sz w:val="26"/>
          <w:szCs w:val="26"/>
          <w:vertAlign w:val="superscript"/>
        </w:rPr>
        <w:t>5</w:t>
      </w:r>
      <w:r>
        <w:rPr>
          <w:rFonts w:ascii="Times New Roman" w:hAnsi="Times New Roman"/>
          <w:sz w:val="26"/>
          <w:szCs w:val="26"/>
          <w:vertAlign w:val="superscript"/>
        </w:rPr>
        <w:t xml:space="preserve"> </w:t>
      </w:r>
      <w:r w:rsidRPr="00EA125F">
        <w:rPr>
          <w:rFonts w:ascii="Times New Roman" w:hAnsi="Times New Roman"/>
          <w:sz w:val="26"/>
          <w:szCs w:val="26"/>
        </w:rPr>
        <w:t>apakšpunktā, kā arī Izglītības un zinātnes ministrijas 2010.gada 4.oktobra reglamenta Nr.27 “Finanšu piešķiršanas sportam komisijas reglaments” 34.punktā noteikto, saskaņā ar</w:t>
      </w:r>
      <w:r w:rsidR="001514CB">
        <w:rPr>
          <w:rFonts w:ascii="Times New Roman" w:hAnsi="Times New Roman"/>
          <w:sz w:val="26"/>
          <w:szCs w:val="26"/>
        </w:rPr>
        <w:t xml:space="preserve"> likumu “Par valsts budžetu 2018</w:t>
      </w:r>
      <w:r w:rsidRPr="00EA125F">
        <w:rPr>
          <w:rFonts w:ascii="Times New Roman" w:hAnsi="Times New Roman"/>
          <w:sz w:val="26"/>
          <w:szCs w:val="26"/>
        </w:rPr>
        <w:t>.gadam” šim mērķim paredzēto līdzekļu ietvaros, ievērojot ar Izglītī</w:t>
      </w:r>
      <w:r w:rsidR="001514CB">
        <w:rPr>
          <w:rFonts w:ascii="Times New Roman" w:hAnsi="Times New Roman"/>
          <w:sz w:val="26"/>
          <w:szCs w:val="26"/>
        </w:rPr>
        <w:t>bas un zinātnes ministrijas 2017</w:t>
      </w:r>
      <w:r w:rsidRPr="00EA125F">
        <w:rPr>
          <w:rFonts w:ascii="Times New Roman" w:hAnsi="Times New Roman"/>
          <w:sz w:val="26"/>
          <w:szCs w:val="26"/>
        </w:rPr>
        <w:t xml:space="preserve">.gada </w:t>
      </w:r>
      <w:r w:rsidR="001514CB">
        <w:rPr>
          <w:rFonts w:ascii="Times New Roman" w:hAnsi="Times New Roman"/>
          <w:sz w:val="26"/>
          <w:szCs w:val="26"/>
        </w:rPr>
        <w:t>18</w:t>
      </w:r>
      <w:r w:rsidRPr="00EA125F">
        <w:rPr>
          <w:rFonts w:ascii="Times New Roman" w:hAnsi="Times New Roman"/>
          <w:sz w:val="26"/>
          <w:szCs w:val="26"/>
        </w:rPr>
        <w:t>.</w:t>
      </w:r>
      <w:r w:rsidR="001514CB">
        <w:rPr>
          <w:rFonts w:ascii="Times New Roman" w:hAnsi="Times New Roman"/>
          <w:sz w:val="26"/>
          <w:szCs w:val="26"/>
        </w:rPr>
        <w:t>decembra rīkojumu Nr.01-09.1e/443</w:t>
      </w:r>
      <w:r w:rsidRPr="00EA125F">
        <w:rPr>
          <w:rFonts w:ascii="Times New Roman" w:hAnsi="Times New Roman"/>
          <w:sz w:val="26"/>
          <w:szCs w:val="26"/>
        </w:rPr>
        <w:t xml:space="preserve"> “Par Finanšu piešķiršanas sportam komisijas izveidi” izveidotās Finanšu pie</w:t>
      </w:r>
      <w:r w:rsidR="001514CB">
        <w:rPr>
          <w:rFonts w:ascii="Times New Roman" w:hAnsi="Times New Roman"/>
          <w:sz w:val="26"/>
          <w:szCs w:val="26"/>
        </w:rPr>
        <w:t>šķiršanas sportam komisijas 2018</w:t>
      </w:r>
      <w:r w:rsidRPr="00EA125F">
        <w:rPr>
          <w:rFonts w:ascii="Times New Roman" w:hAnsi="Times New Roman"/>
          <w:sz w:val="26"/>
          <w:szCs w:val="26"/>
        </w:rPr>
        <w:t xml:space="preserve">.gada </w:t>
      </w:r>
      <w:r w:rsidR="001514CB">
        <w:rPr>
          <w:rFonts w:ascii="Times New Roman" w:hAnsi="Times New Roman"/>
          <w:sz w:val="26"/>
          <w:szCs w:val="26"/>
        </w:rPr>
        <w:t>9</w:t>
      </w:r>
      <w:r w:rsidRPr="00EA125F">
        <w:rPr>
          <w:rFonts w:ascii="Times New Roman" w:hAnsi="Times New Roman"/>
          <w:sz w:val="26"/>
          <w:szCs w:val="26"/>
        </w:rPr>
        <w:t>.</w:t>
      </w:r>
      <w:r w:rsidR="001514CB">
        <w:rPr>
          <w:rFonts w:ascii="Times New Roman" w:hAnsi="Times New Roman"/>
          <w:sz w:val="26"/>
          <w:szCs w:val="26"/>
        </w:rPr>
        <w:t>janvāra</w:t>
      </w:r>
      <w:r w:rsidRPr="00EA125F">
        <w:rPr>
          <w:rFonts w:ascii="Times New Roman" w:hAnsi="Times New Roman"/>
          <w:sz w:val="26"/>
          <w:szCs w:val="26"/>
        </w:rPr>
        <w:t xml:space="preserve"> sēdē nolemto</w:t>
      </w:r>
      <w:r w:rsidR="001514CB">
        <w:rPr>
          <w:rFonts w:ascii="Times New Roman" w:hAnsi="Times New Roman"/>
          <w:sz w:val="26"/>
          <w:szCs w:val="26"/>
        </w:rPr>
        <w:t xml:space="preserve"> (prot.Nr.1</w:t>
      </w:r>
      <w:r w:rsidRPr="00EA125F">
        <w:rPr>
          <w:rFonts w:ascii="Times New Roman" w:hAnsi="Times New Roman"/>
          <w:sz w:val="26"/>
          <w:szCs w:val="26"/>
        </w:rPr>
        <w:t>), kā arī, ņemot vērā Latvija</w:t>
      </w:r>
      <w:r w:rsidR="001514CB">
        <w:rPr>
          <w:rFonts w:ascii="Times New Roman" w:hAnsi="Times New Roman"/>
          <w:sz w:val="26"/>
          <w:szCs w:val="26"/>
        </w:rPr>
        <w:t>s Nacionālās sporta padomes 2018</w:t>
      </w:r>
      <w:r w:rsidRPr="00EA125F">
        <w:rPr>
          <w:rFonts w:ascii="Times New Roman" w:hAnsi="Times New Roman"/>
          <w:sz w:val="26"/>
          <w:szCs w:val="26"/>
        </w:rPr>
        <w:t xml:space="preserve">.gada </w:t>
      </w:r>
      <w:r w:rsidR="001514CB">
        <w:rPr>
          <w:rFonts w:ascii="Times New Roman" w:hAnsi="Times New Roman"/>
          <w:sz w:val="26"/>
          <w:szCs w:val="26"/>
        </w:rPr>
        <w:t>23</w:t>
      </w:r>
      <w:r w:rsidRPr="00EA125F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janvāra</w:t>
      </w:r>
      <w:r w:rsidRPr="00EA125F">
        <w:rPr>
          <w:rFonts w:ascii="Times New Roman" w:hAnsi="Times New Roman"/>
          <w:sz w:val="26"/>
          <w:szCs w:val="26"/>
        </w:rPr>
        <w:t xml:space="preserve"> sēdē izteikto priekšlikumu (prot.Nr.</w:t>
      </w:r>
      <w:r w:rsidR="001514CB">
        <w:rPr>
          <w:rFonts w:ascii="Times New Roman" w:hAnsi="Times New Roman"/>
          <w:sz w:val="26"/>
          <w:szCs w:val="26"/>
        </w:rPr>
        <w:t>1</w:t>
      </w:r>
      <w:r w:rsidRPr="00EA125F">
        <w:rPr>
          <w:rFonts w:ascii="Times New Roman" w:hAnsi="Times New Roman"/>
          <w:sz w:val="26"/>
          <w:szCs w:val="26"/>
        </w:rPr>
        <w:t xml:space="preserve"> 3.§., </w:t>
      </w:r>
      <w:r w:rsidR="001514CB">
        <w:rPr>
          <w:rFonts w:ascii="Times New Roman" w:hAnsi="Times New Roman"/>
          <w:sz w:val="26"/>
          <w:szCs w:val="26"/>
        </w:rPr>
        <w:t>3.2</w:t>
      </w:r>
      <w:r w:rsidRPr="00EA125F">
        <w:rPr>
          <w:rFonts w:ascii="Times New Roman" w:hAnsi="Times New Roman"/>
          <w:sz w:val="26"/>
          <w:szCs w:val="26"/>
        </w:rPr>
        <w:t>. un 3.</w:t>
      </w:r>
      <w:r w:rsidR="001514CB">
        <w:rPr>
          <w:rFonts w:ascii="Times New Roman" w:hAnsi="Times New Roman"/>
          <w:sz w:val="26"/>
          <w:szCs w:val="26"/>
        </w:rPr>
        <w:t>5</w:t>
      </w:r>
      <w:r w:rsidRPr="00EA125F">
        <w:rPr>
          <w:rFonts w:ascii="Times New Roman" w:hAnsi="Times New Roman"/>
          <w:sz w:val="26"/>
          <w:szCs w:val="26"/>
        </w:rPr>
        <w:t>.apakšpunkts), noteikt šādu Izglītī</w:t>
      </w:r>
      <w:r w:rsidR="001514CB">
        <w:rPr>
          <w:rFonts w:ascii="Times New Roman" w:hAnsi="Times New Roman"/>
          <w:sz w:val="26"/>
          <w:szCs w:val="26"/>
        </w:rPr>
        <w:t>bas un zinātnes ministrijas 2018</w:t>
      </w:r>
      <w:r w:rsidRPr="00EA125F">
        <w:rPr>
          <w:rFonts w:ascii="Times New Roman" w:hAnsi="Times New Roman"/>
          <w:sz w:val="26"/>
          <w:szCs w:val="26"/>
        </w:rPr>
        <w:t>.gada valsts budžeta programmas 09.00.00 “Sports” apakšprogrammas 09.04.00 “Sporta būves” līdzekļu sadalījumu:</w:t>
      </w:r>
    </w:p>
    <w:p w:rsidR="00FE1606" w:rsidRPr="00EA125F" w:rsidP="00FE1606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2"/>
        <w:gridCol w:w="6978"/>
        <w:gridCol w:w="1701"/>
      </w:tblGrid>
      <w:tr w:rsidTr="005C1547">
        <w:tblPrEx>
          <w:tblW w:w="9351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c>
          <w:tcPr>
            <w:tcW w:w="672" w:type="dxa"/>
            <w:shd w:val="clear" w:color="auto" w:fill="FFFFFF"/>
            <w:vAlign w:val="center"/>
          </w:tcPr>
          <w:p w:rsidR="00FE1606" w:rsidRPr="00EA125F" w:rsidP="005C15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A125F">
              <w:rPr>
                <w:rFonts w:ascii="Times New Roman" w:hAnsi="Times New Roman"/>
                <w:b/>
                <w:sz w:val="26"/>
                <w:szCs w:val="26"/>
              </w:rPr>
              <w:t>Nr.</w:t>
            </w:r>
          </w:p>
          <w:p w:rsidR="00FE1606" w:rsidRPr="00EA125F" w:rsidP="005C15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A125F">
              <w:rPr>
                <w:rFonts w:ascii="Times New Roman" w:hAnsi="Times New Roman"/>
                <w:b/>
                <w:sz w:val="26"/>
                <w:szCs w:val="26"/>
              </w:rPr>
              <w:t>p.k.</w:t>
            </w:r>
          </w:p>
        </w:tc>
        <w:tc>
          <w:tcPr>
            <w:tcW w:w="6978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FE1606" w:rsidRPr="00EA125F" w:rsidP="005C15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A125F">
              <w:rPr>
                <w:rFonts w:ascii="Times New Roman" w:hAnsi="Times New Roman"/>
                <w:b/>
                <w:sz w:val="26"/>
                <w:szCs w:val="26"/>
              </w:rPr>
              <w:t>Dotācijas mērķis (saņēmējs)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FE1606" w:rsidRPr="00EA125F" w:rsidP="005C15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Dotācijas apmērs</w:t>
            </w:r>
          </w:p>
        </w:tc>
      </w:tr>
      <w:tr w:rsidTr="005C1547">
        <w:tblPrEx>
          <w:tblW w:w="9351" w:type="dxa"/>
          <w:tblLayout w:type="fixed"/>
          <w:tblLook w:val="04A0"/>
        </w:tblPrEx>
        <w:tc>
          <w:tcPr>
            <w:tcW w:w="9351" w:type="dxa"/>
            <w:gridSpan w:val="3"/>
            <w:shd w:val="clear" w:color="auto" w:fill="F2F2F2"/>
          </w:tcPr>
          <w:p w:rsidR="00FE1606" w:rsidRPr="00EA125F" w:rsidP="005C15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A125F">
              <w:rPr>
                <w:rFonts w:ascii="Times New Roman" w:hAnsi="Times New Roman"/>
                <w:b/>
                <w:bCs/>
                <w:sz w:val="26"/>
                <w:szCs w:val="26"/>
              </w:rPr>
              <w:t>Dotācija valsts īpašumā esošo nacionālo sporta bāzu saimnieciskās darbības nodrošināšanai</w:t>
            </w:r>
          </w:p>
        </w:tc>
      </w:tr>
      <w:tr w:rsidTr="005C1547">
        <w:tblPrEx>
          <w:tblW w:w="9351" w:type="dxa"/>
          <w:tblLayout w:type="fixed"/>
          <w:tblLook w:val="04A0"/>
        </w:tblPrEx>
        <w:tc>
          <w:tcPr>
            <w:tcW w:w="672" w:type="dxa"/>
          </w:tcPr>
          <w:p w:rsidR="00FE1606" w:rsidRPr="00EA125F" w:rsidP="005C154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A125F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6978" w:type="dxa"/>
          </w:tcPr>
          <w:p w:rsidR="00FE1606" w:rsidRPr="00EA125F" w:rsidP="005C154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A125F">
              <w:rPr>
                <w:rFonts w:ascii="Times New Roman" w:hAnsi="Times New Roman"/>
                <w:sz w:val="26"/>
                <w:szCs w:val="26"/>
              </w:rPr>
              <w:t>SIA “Bobsleja un kamaniņu trase “Sigulda””</w:t>
            </w:r>
          </w:p>
        </w:tc>
        <w:tc>
          <w:tcPr>
            <w:tcW w:w="1701" w:type="dxa"/>
          </w:tcPr>
          <w:p w:rsidR="00FE1606" w:rsidRPr="00EA125F" w:rsidP="005C154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314</w:t>
            </w:r>
            <w:r w:rsidRPr="00EA125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425</w:t>
            </w:r>
          </w:p>
        </w:tc>
      </w:tr>
      <w:tr w:rsidTr="005C1547">
        <w:tblPrEx>
          <w:tblW w:w="9351" w:type="dxa"/>
          <w:tblLayout w:type="fixed"/>
          <w:tblLook w:val="04A0"/>
        </w:tblPrEx>
        <w:tc>
          <w:tcPr>
            <w:tcW w:w="672" w:type="dxa"/>
          </w:tcPr>
          <w:p w:rsidR="00FE1606" w:rsidRPr="00EA125F" w:rsidP="005C154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A125F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6978" w:type="dxa"/>
          </w:tcPr>
          <w:p w:rsidR="00FE1606" w:rsidRPr="00EA125F" w:rsidP="005C154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A125F">
              <w:rPr>
                <w:rFonts w:ascii="Times New Roman" w:hAnsi="Times New Roman"/>
                <w:sz w:val="26"/>
                <w:szCs w:val="26"/>
              </w:rPr>
              <w:t>VSIA “Kultūras un sporta centrs “Daugavas stadions””</w:t>
            </w:r>
          </w:p>
        </w:tc>
        <w:tc>
          <w:tcPr>
            <w:tcW w:w="1701" w:type="dxa"/>
          </w:tcPr>
          <w:p w:rsidR="00FE1606" w:rsidRPr="00EA125F" w:rsidP="005C154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180</w:t>
            </w:r>
            <w:r w:rsidRPr="00EA125F">
              <w:rPr>
                <w:rFonts w:ascii="Times New Roman" w:hAnsi="Times New Roman"/>
                <w:sz w:val="26"/>
                <w:szCs w:val="26"/>
              </w:rPr>
              <w:t xml:space="preserve"> 000</w:t>
            </w:r>
          </w:p>
        </w:tc>
      </w:tr>
      <w:tr w:rsidTr="005C1547">
        <w:tblPrEx>
          <w:tblW w:w="9351" w:type="dxa"/>
          <w:tblLayout w:type="fixed"/>
          <w:tblLook w:val="04A0"/>
        </w:tblPrEx>
        <w:tc>
          <w:tcPr>
            <w:tcW w:w="672" w:type="dxa"/>
          </w:tcPr>
          <w:p w:rsidR="00FE1606" w:rsidRPr="00EA125F" w:rsidP="005C154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A125F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6978" w:type="dxa"/>
          </w:tcPr>
          <w:p w:rsidR="00FE1606" w:rsidRPr="00EA125F" w:rsidP="005C154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A125F">
              <w:rPr>
                <w:rFonts w:ascii="Times New Roman" w:hAnsi="Times New Roman"/>
                <w:sz w:val="26"/>
                <w:szCs w:val="26"/>
              </w:rPr>
              <w:t>SIA “Tenisa centrs “Lielupe””</w:t>
            </w:r>
          </w:p>
        </w:tc>
        <w:tc>
          <w:tcPr>
            <w:tcW w:w="1701" w:type="dxa"/>
          </w:tcPr>
          <w:p w:rsidR="00FE1606" w:rsidRPr="00EA125F" w:rsidP="005C154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36</w:t>
            </w:r>
            <w:r w:rsidRPr="00EA125F">
              <w:rPr>
                <w:rFonts w:ascii="Times New Roman" w:hAnsi="Times New Roman"/>
                <w:sz w:val="26"/>
                <w:szCs w:val="26"/>
              </w:rPr>
              <w:t xml:space="preserve"> 000</w:t>
            </w:r>
          </w:p>
        </w:tc>
      </w:tr>
      <w:tr w:rsidTr="005C1547">
        <w:tblPrEx>
          <w:tblW w:w="9351" w:type="dxa"/>
          <w:tblLayout w:type="fixed"/>
          <w:tblLook w:val="04A0"/>
        </w:tblPrEx>
        <w:tc>
          <w:tcPr>
            <w:tcW w:w="672" w:type="dxa"/>
          </w:tcPr>
          <w:p w:rsidR="00FE1606" w:rsidRPr="00EA125F" w:rsidP="005C154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A125F"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6978" w:type="dxa"/>
          </w:tcPr>
          <w:p w:rsidR="00FE1606" w:rsidRPr="00EA125F" w:rsidP="005C154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A125F">
              <w:rPr>
                <w:rFonts w:ascii="Times New Roman" w:hAnsi="Times New Roman"/>
                <w:sz w:val="26"/>
                <w:szCs w:val="26"/>
              </w:rPr>
              <w:t>SI</w:t>
            </w:r>
            <w:r>
              <w:rPr>
                <w:rFonts w:ascii="Times New Roman" w:hAnsi="Times New Roman"/>
                <w:sz w:val="26"/>
                <w:szCs w:val="26"/>
              </w:rPr>
              <w:t>A “Sporta centrs “Mežaparks””</w:t>
            </w:r>
            <w:r w:rsidRPr="00EA125F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701" w:type="dxa"/>
          </w:tcPr>
          <w:p w:rsidR="00FE1606" w:rsidRPr="00EA125F" w:rsidP="005C154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64</w:t>
            </w:r>
            <w:r w:rsidRPr="00EA125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344</w:t>
            </w:r>
          </w:p>
        </w:tc>
      </w:tr>
      <w:tr w:rsidTr="005C1547">
        <w:tblPrEx>
          <w:tblW w:w="9351" w:type="dxa"/>
          <w:tblLayout w:type="fixed"/>
          <w:tblLook w:val="04A0"/>
        </w:tblPrEx>
        <w:tc>
          <w:tcPr>
            <w:tcW w:w="672" w:type="dxa"/>
          </w:tcPr>
          <w:p w:rsidR="00FE1606" w:rsidRPr="00EA125F" w:rsidP="005C154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A125F"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6978" w:type="dxa"/>
          </w:tcPr>
          <w:p w:rsidR="00FE1606" w:rsidRPr="007D3998" w:rsidP="005C154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D3998">
              <w:rPr>
                <w:rFonts w:ascii="Times New Roman" w:hAnsi="Times New Roman"/>
                <w:sz w:val="26"/>
                <w:szCs w:val="26"/>
              </w:rPr>
              <w:t>Bērnu un jauniešu sporta burāšanas centra (Pāvu ielā 14, Rīgā) uzturēšanai</w:t>
            </w:r>
          </w:p>
        </w:tc>
        <w:tc>
          <w:tcPr>
            <w:tcW w:w="1701" w:type="dxa"/>
          </w:tcPr>
          <w:p w:rsidR="00FE1606" w:rsidRPr="007D3998" w:rsidP="005C154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3998">
              <w:rPr>
                <w:rFonts w:ascii="Times New Roman" w:hAnsi="Times New Roman"/>
                <w:sz w:val="26"/>
                <w:szCs w:val="26"/>
              </w:rPr>
              <w:t>24 188</w:t>
            </w:r>
          </w:p>
        </w:tc>
      </w:tr>
      <w:tr w:rsidTr="005C1547">
        <w:tblPrEx>
          <w:tblW w:w="9351" w:type="dxa"/>
          <w:tblLayout w:type="fixed"/>
          <w:tblLook w:val="04A0"/>
        </w:tblPrEx>
        <w:tc>
          <w:tcPr>
            <w:tcW w:w="672" w:type="dxa"/>
          </w:tcPr>
          <w:p w:rsidR="00FE1606" w:rsidRPr="00EA125F" w:rsidP="005C154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A125F">
              <w:rPr>
                <w:rFonts w:ascii="Times New Roman" w:hAnsi="Times New Roman"/>
                <w:sz w:val="26"/>
                <w:szCs w:val="26"/>
              </w:rPr>
              <w:t>6.</w:t>
            </w:r>
          </w:p>
        </w:tc>
        <w:tc>
          <w:tcPr>
            <w:tcW w:w="6978" w:type="dxa"/>
          </w:tcPr>
          <w:p w:rsidR="00FE1606" w:rsidRPr="00EA125F" w:rsidP="005C154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A125F">
              <w:rPr>
                <w:rFonts w:ascii="Times New Roman" w:hAnsi="Times New Roman"/>
                <w:sz w:val="26"/>
                <w:szCs w:val="26"/>
              </w:rPr>
              <w:t>Biedrībai “Latvijas Jātnieku federācija” (Sporta centram “Kleisti”)</w:t>
            </w:r>
          </w:p>
        </w:tc>
        <w:tc>
          <w:tcPr>
            <w:tcW w:w="1701" w:type="dxa"/>
          </w:tcPr>
          <w:p w:rsidR="00FE1606" w:rsidRPr="00EA125F" w:rsidP="005C154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Pr="00EA125F">
              <w:rPr>
                <w:rFonts w:ascii="Times New Roman" w:hAnsi="Times New Roman"/>
                <w:sz w:val="26"/>
                <w:szCs w:val="26"/>
              </w:rPr>
              <w:t xml:space="preserve"> 000</w:t>
            </w:r>
          </w:p>
        </w:tc>
      </w:tr>
      <w:tr w:rsidTr="005C1547">
        <w:tblPrEx>
          <w:tblW w:w="9351" w:type="dxa"/>
          <w:tblLayout w:type="fixed"/>
          <w:tblLook w:val="04A0"/>
        </w:tblPrEx>
        <w:tc>
          <w:tcPr>
            <w:tcW w:w="9351" w:type="dxa"/>
            <w:gridSpan w:val="3"/>
            <w:shd w:val="clear" w:color="auto" w:fill="F2F2F2"/>
          </w:tcPr>
          <w:p w:rsidR="00FE1606" w:rsidRPr="00EA125F" w:rsidP="005C15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2018</w:t>
            </w:r>
            <w:r w:rsidRPr="00EA125F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.gada valsts budžetā iezīmētais mērķfinansējums investīcijām valsts nozīmes sporta infrastruktūras attīstības projektiem saskaņā ar </w:t>
            </w:r>
            <w:r w:rsidRPr="00EA125F">
              <w:rPr>
                <w:rFonts w:ascii="Times New Roman" w:hAnsi="Times New Roman"/>
                <w:b/>
                <w:bCs/>
                <w:sz w:val="26"/>
                <w:szCs w:val="26"/>
              </w:rPr>
              <w:br/>
              <w:t>Ministru kabineta un Saeimas lēmumiem</w:t>
            </w:r>
          </w:p>
        </w:tc>
      </w:tr>
      <w:tr w:rsidTr="005C1547">
        <w:tblPrEx>
          <w:tblW w:w="9351" w:type="dxa"/>
          <w:tblLayout w:type="fixed"/>
          <w:tblLook w:val="04A0"/>
        </w:tblPrEx>
        <w:tc>
          <w:tcPr>
            <w:tcW w:w="672" w:type="dxa"/>
          </w:tcPr>
          <w:p w:rsidR="00FE1606" w:rsidRPr="00EA125F" w:rsidP="005C154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  <w:r w:rsidRPr="00EA125F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78" w:type="dxa"/>
            <w:vAlign w:val="center"/>
          </w:tcPr>
          <w:p w:rsidR="00FE1606" w:rsidRPr="00EA125F" w:rsidP="005C154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14ECA">
              <w:rPr>
                <w:rFonts w:ascii="Times New Roman" w:hAnsi="Times New Roman"/>
                <w:sz w:val="26"/>
                <w:szCs w:val="26"/>
              </w:rPr>
              <w:t xml:space="preserve">Valmieras pilsētas pašvaldībai </w:t>
            </w:r>
            <w:r w:rsidRPr="00D14ECA">
              <w:rPr>
                <w:rFonts w:ascii="Times New Roman" w:hAnsi="Times New Roman"/>
                <w:sz w:val="26"/>
                <w:szCs w:val="26"/>
              </w:rPr>
              <w:t>J.Daliņa</w:t>
            </w:r>
            <w:r w:rsidRPr="00D14ECA">
              <w:rPr>
                <w:rFonts w:ascii="Times New Roman" w:hAnsi="Times New Roman"/>
                <w:sz w:val="26"/>
                <w:szCs w:val="26"/>
              </w:rPr>
              <w:t xml:space="preserve"> stadiona rekonstrukcijas un vieglatlētikas manēžas būvniecībai</w:t>
            </w:r>
          </w:p>
        </w:tc>
        <w:tc>
          <w:tcPr>
            <w:tcW w:w="1701" w:type="dxa"/>
          </w:tcPr>
          <w:p w:rsidR="00FE1606" w:rsidRPr="00EA125F" w:rsidP="005C154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3 200 000</w:t>
            </w:r>
          </w:p>
        </w:tc>
      </w:tr>
      <w:tr w:rsidTr="005C1547">
        <w:tblPrEx>
          <w:tblW w:w="9351" w:type="dxa"/>
          <w:tblLayout w:type="fixed"/>
          <w:tblLook w:val="04A0"/>
        </w:tblPrEx>
        <w:tc>
          <w:tcPr>
            <w:tcW w:w="672" w:type="dxa"/>
          </w:tcPr>
          <w:p w:rsidR="00FE1606" w:rsidRPr="00EA125F" w:rsidP="005C154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  <w:r w:rsidRPr="00EA125F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78" w:type="dxa"/>
            <w:vAlign w:val="center"/>
          </w:tcPr>
          <w:p w:rsidR="00FE1606" w:rsidRPr="00EA125F" w:rsidP="005C154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14ECA">
              <w:rPr>
                <w:rFonts w:ascii="Times New Roman" w:hAnsi="Times New Roman"/>
                <w:sz w:val="26"/>
                <w:szCs w:val="26"/>
              </w:rPr>
              <w:t>SIA “Tenisa centrs “Lielupe”” attīstības projekta īstenošanai</w:t>
            </w:r>
          </w:p>
        </w:tc>
        <w:tc>
          <w:tcPr>
            <w:tcW w:w="1701" w:type="dxa"/>
          </w:tcPr>
          <w:p w:rsidR="00FE1606" w:rsidRPr="00EA125F" w:rsidP="001514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4 933 452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</w:p>
        </w:tc>
      </w:tr>
      <w:tr w:rsidTr="005C1547">
        <w:tblPrEx>
          <w:tblW w:w="9351" w:type="dxa"/>
          <w:tblLayout w:type="fixed"/>
          <w:tblLook w:val="04A0"/>
        </w:tblPrEx>
        <w:tc>
          <w:tcPr>
            <w:tcW w:w="672" w:type="dxa"/>
          </w:tcPr>
          <w:p w:rsidR="00FE1606" w:rsidRPr="00EA125F" w:rsidP="005C154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Pr="00EA125F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78" w:type="dxa"/>
            <w:vAlign w:val="center"/>
          </w:tcPr>
          <w:p w:rsidR="00FE1606" w:rsidRPr="00EA125F" w:rsidP="005C154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14ECA">
              <w:rPr>
                <w:rFonts w:ascii="Times New Roman" w:hAnsi="Times New Roman"/>
                <w:sz w:val="26"/>
                <w:szCs w:val="26"/>
              </w:rPr>
              <w:t>Ventspils pilsētas pašvaldībai Olimpiskā centra “Ventspils” attīstības projekta īstenošanai</w:t>
            </w:r>
          </w:p>
        </w:tc>
        <w:tc>
          <w:tcPr>
            <w:tcW w:w="1701" w:type="dxa"/>
          </w:tcPr>
          <w:p w:rsidR="00FE1606" w:rsidRPr="00EA125F" w:rsidP="005C15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1 550 000</w:t>
            </w:r>
          </w:p>
        </w:tc>
      </w:tr>
      <w:tr w:rsidTr="005C1547">
        <w:tblPrEx>
          <w:tblW w:w="9351" w:type="dxa"/>
          <w:tblLayout w:type="fixed"/>
          <w:tblLook w:val="04A0"/>
        </w:tblPrEx>
        <w:tc>
          <w:tcPr>
            <w:tcW w:w="672" w:type="dxa"/>
          </w:tcPr>
          <w:p w:rsidR="00FE1606" w:rsidRPr="00EA125F" w:rsidP="005C154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  <w:r w:rsidRPr="00EA125F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78" w:type="dxa"/>
            <w:vAlign w:val="center"/>
          </w:tcPr>
          <w:p w:rsidR="00FE1606" w:rsidRPr="00EA125F" w:rsidP="001514C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14ECA">
              <w:rPr>
                <w:rFonts w:ascii="Times New Roman" w:hAnsi="Times New Roman"/>
                <w:sz w:val="26"/>
                <w:szCs w:val="26"/>
              </w:rPr>
              <w:t xml:space="preserve">Liepājas pilsētas pašvaldībai </w:t>
            </w:r>
            <w:r>
              <w:rPr>
                <w:rFonts w:ascii="Times New Roman" w:hAnsi="Times New Roman"/>
                <w:sz w:val="26"/>
                <w:szCs w:val="26"/>
              </w:rPr>
              <w:t>slēgto tenisa kortu būvniecībai</w:t>
            </w:r>
          </w:p>
        </w:tc>
        <w:tc>
          <w:tcPr>
            <w:tcW w:w="1701" w:type="dxa"/>
          </w:tcPr>
          <w:p w:rsidR="00FE1606" w:rsidRPr="00EA125F" w:rsidP="005C15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1 550 000</w:t>
            </w:r>
          </w:p>
        </w:tc>
      </w:tr>
      <w:tr w:rsidTr="005C1547">
        <w:tblPrEx>
          <w:tblW w:w="9351" w:type="dxa"/>
          <w:tblLayout w:type="fixed"/>
          <w:tblLook w:val="04A0"/>
        </w:tblPrEx>
        <w:tc>
          <w:tcPr>
            <w:tcW w:w="672" w:type="dxa"/>
          </w:tcPr>
          <w:p w:rsidR="00FE1606" w:rsidRPr="00EA125F" w:rsidP="005C154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11.</w:t>
            </w:r>
          </w:p>
        </w:tc>
        <w:tc>
          <w:tcPr>
            <w:tcW w:w="6978" w:type="dxa"/>
            <w:vAlign w:val="center"/>
          </w:tcPr>
          <w:p w:rsidR="00FE1606" w:rsidRPr="00EA125F" w:rsidP="005C154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Jēkabpils</w:t>
            </w:r>
            <w:r w:rsidRPr="00D14ECA">
              <w:rPr>
                <w:rFonts w:ascii="Times New Roman" w:hAnsi="Times New Roman"/>
                <w:sz w:val="26"/>
                <w:szCs w:val="26"/>
              </w:rPr>
              <w:t xml:space="preserve"> pilsētas pašvaldībai </w:t>
            </w:r>
            <w:r>
              <w:rPr>
                <w:rFonts w:ascii="Times New Roman" w:hAnsi="Times New Roman"/>
                <w:sz w:val="26"/>
                <w:szCs w:val="26"/>
              </w:rPr>
              <w:t>Jēkabpils multifunkcionālās halles būvniecībai</w:t>
            </w:r>
          </w:p>
        </w:tc>
        <w:tc>
          <w:tcPr>
            <w:tcW w:w="1701" w:type="dxa"/>
          </w:tcPr>
          <w:p w:rsidR="00FE1606" w:rsidRPr="00EA125F" w:rsidP="001514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1 </w:t>
            </w:r>
            <w:r w:rsidR="001514CB">
              <w:rPr>
                <w:rFonts w:ascii="Times New Roman" w:hAnsi="Times New Roman"/>
                <w:bCs/>
                <w:sz w:val="26"/>
                <w:szCs w:val="26"/>
              </w:rPr>
              <w:t>088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="001514CB">
              <w:rPr>
                <w:rFonts w:ascii="Times New Roman" w:hAnsi="Times New Roman"/>
                <w:bCs/>
                <w:sz w:val="26"/>
                <w:szCs w:val="26"/>
              </w:rPr>
              <w:t>021</w:t>
            </w:r>
          </w:p>
        </w:tc>
      </w:tr>
      <w:tr w:rsidTr="005C1547">
        <w:tblPrEx>
          <w:tblW w:w="9351" w:type="dxa"/>
          <w:tblLayout w:type="fixed"/>
          <w:tblLook w:val="04A0"/>
        </w:tblPrEx>
        <w:tc>
          <w:tcPr>
            <w:tcW w:w="672" w:type="dxa"/>
          </w:tcPr>
          <w:p w:rsidR="00FE1606" w:rsidRPr="00EA125F" w:rsidP="005C154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12.</w:t>
            </w:r>
          </w:p>
        </w:tc>
        <w:tc>
          <w:tcPr>
            <w:tcW w:w="6978" w:type="dxa"/>
            <w:vAlign w:val="center"/>
          </w:tcPr>
          <w:p w:rsidR="00FE1606" w:rsidRPr="00EA125F" w:rsidP="001514C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Madonas novada</w:t>
            </w:r>
            <w:r w:rsidRPr="00D14ECA">
              <w:rPr>
                <w:rFonts w:ascii="Times New Roman" w:hAnsi="Times New Roman"/>
                <w:sz w:val="26"/>
                <w:szCs w:val="26"/>
              </w:rPr>
              <w:t xml:space="preserve"> pašvaldībai </w:t>
            </w:r>
            <w:r>
              <w:rPr>
                <w:rFonts w:ascii="Times New Roman" w:hAnsi="Times New Roman"/>
                <w:sz w:val="26"/>
                <w:szCs w:val="26"/>
              </w:rPr>
              <w:t>biatlona un slēpošanas bāzes “Smeceres sils” attīstībai</w:t>
            </w:r>
          </w:p>
        </w:tc>
        <w:tc>
          <w:tcPr>
            <w:tcW w:w="1701" w:type="dxa"/>
          </w:tcPr>
          <w:p w:rsidR="00FE1606" w:rsidRPr="00EA125F" w:rsidP="005C15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500 000</w:t>
            </w:r>
          </w:p>
        </w:tc>
      </w:tr>
      <w:tr w:rsidTr="005C1547">
        <w:tblPrEx>
          <w:tblW w:w="9351" w:type="dxa"/>
          <w:tblLayout w:type="fixed"/>
          <w:tblLook w:val="04A0"/>
        </w:tblPrEx>
        <w:tc>
          <w:tcPr>
            <w:tcW w:w="672" w:type="dxa"/>
          </w:tcPr>
          <w:p w:rsidR="00FE1606" w:rsidP="005C154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13.</w:t>
            </w:r>
          </w:p>
        </w:tc>
        <w:tc>
          <w:tcPr>
            <w:tcW w:w="6978" w:type="dxa"/>
            <w:vAlign w:val="center"/>
          </w:tcPr>
          <w:p w:rsidR="00FE1606" w:rsidRPr="00EA125F" w:rsidP="005C154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514CB">
              <w:rPr>
                <w:rFonts w:ascii="Times New Roman" w:hAnsi="Times New Roman"/>
                <w:sz w:val="26"/>
                <w:szCs w:val="26"/>
              </w:rPr>
              <w:t>Papildus investīcijas valsts nozīmes sporta infrastruktūras attīstības projektu īstenošanai</w:t>
            </w:r>
          </w:p>
        </w:tc>
        <w:tc>
          <w:tcPr>
            <w:tcW w:w="1701" w:type="dxa"/>
          </w:tcPr>
          <w:p w:rsidR="00FE1606" w:rsidRPr="00EA125F" w:rsidP="005C15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5 900 000</w:t>
            </w:r>
          </w:p>
        </w:tc>
      </w:tr>
      <w:tr w:rsidTr="005C1547">
        <w:tblPrEx>
          <w:tblW w:w="9351" w:type="dxa"/>
          <w:tblLayout w:type="fixed"/>
          <w:tblLook w:val="04A0"/>
        </w:tblPrEx>
        <w:tc>
          <w:tcPr>
            <w:tcW w:w="7650" w:type="dxa"/>
            <w:gridSpan w:val="2"/>
            <w:tcBorders>
              <w:bottom w:val="single" w:sz="4" w:space="0" w:color="auto"/>
            </w:tcBorders>
          </w:tcPr>
          <w:p w:rsidR="00FE1606" w:rsidRPr="00EA125F" w:rsidP="005C154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EA125F">
              <w:rPr>
                <w:rFonts w:ascii="Times New Roman" w:hAnsi="Times New Roman"/>
                <w:b/>
                <w:sz w:val="26"/>
                <w:szCs w:val="26"/>
              </w:rPr>
              <w:t>KOPĀ: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FE1606" w:rsidRPr="00EA125F" w:rsidP="005C15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19 349 430</w:t>
            </w:r>
          </w:p>
        </w:tc>
      </w:tr>
    </w:tbl>
    <w:p w:rsidR="00FE1606" w:rsidRPr="00EA125F" w:rsidP="00925A8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E1606" w:rsidP="00FE1606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925A85" w:rsidP="00FE1606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FE1606" w:rsidRPr="00EA125F" w:rsidP="00FE1606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Izglītības un zinātnes ministrs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</w:t>
      </w:r>
      <w:r>
        <w:rPr>
          <w:rFonts w:ascii="Times New Roman" w:hAnsi="Times New Roman"/>
          <w:sz w:val="26"/>
          <w:szCs w:val="26"/>
        </w:rPr>
        <w:t>K.Šadurskis</w:t>
      </w:r>
    </w:p>
    <w:p w:rsidR="00FE1606" w:rsidRPr="00EA125F" w:rsidP="00FE1606">
      <w:pPr>
        <w:spacing w:after="0" w:line="240" w:lineRule="auto"/>
        <w:jc w:val="both"/>
        <w:rPr>
          <w:rFonts w:ascii="Times New Roman" w:hAnsi="Times New Roman"/>
        </w:rPr>
      </w:pPr>
    </w:p>
    <w:p w:rsidR="00FE1606" w:rsidRPr="00EA125F" w:rsidP="00FE1606">
      <w:pPr>
        <w:spacing w:after="0" w:line="240" w:lineRule="auto"/>
        <w:jc w:val="both"/>
        <w:rPr>
          <w:rFonts w:ascii="Times New Roman" w:hAnsi="Times New Roman"/>
        </w:rPr>
      </w:pPr>
    </w:p>
    <w:p w:rsidR="00FE1606" w:rsidRPr="00EA125F" w:rsidP="00FE1606">
      <w:pPr>
        <w:spacing w:after="0" w:line="240" w:lineRule="auto"/>
        <w:jc w:val="both"/>
        <w:rPr>
          <w:rFonts w:ascii="Times New Roman" w:hAnsi="Times New Roman"/>
        </w:rPr>
      </w:pPr>
    </w:p>
    <w:p w:rsidR="00FE1606" w:rsidP="00FE1606">
      <w:pPr>
        <w:spacing w:after="0" w:line="240" w:lineRule="auto"/>
        <w:jc w:val="both"/>
        <w:rPr>
          <w:rFonts w:ascii="Times New Roman" w:hAnsi="Times New Roman"/>
        </w:rPr>
      </w:pPr>
    </w:p>
    <w:p w:rsidR="00FE1606" w:rsidP="00FE1606">
      <w:pPr>
        <w:spacing w:after="0" w:line="240" w:lineRule="auto"/>
        <w:jc w:val="both"/>
        <w:rPr>
          <w:rFonts w:ascii="Times New Roman" w:hAnsi="Times New Roman"/>
        </w:rPr>
      </w:pPr>
    </w:p>
    <w:p w:rsidR="00FE1606" w:rsidP="00FE1606">
      <w:pPr>
        <w:spacing w:after="0" w:line="240" w:lineRule="auto"/>
        <w:jc w:val="both"/>
        <w:rPr>
          <w:rFonts w:ascii="Times New Roman" w:hAnsi="Times New Roman"/>
        </w:rPr>
      </w:pPr>
    </w:p>
    <w:p w:rsidR="00FE1606" w:rsidRPr="00EA125F" w:rsidP="00FE1606">
      <w:pPr>
        <w:spacing w:after="0" w:line="240" w:lineRule="auto"/>
        <w:jc w:val="both"/>
        <w:rPr>
          <w:rFonts w:ascii="Times New Roman" w:hAnsi="Times New Roman"/>
        </w:rPr>
      </w:pPr>
    </w:p>
    <w:p w:rsidR="00FE1606" w:rsidP="00FE1606">
      <w:pPr>
        <w:spacing w:after="0" w:line="240" w:lineRule="auto"/>
        <w:jc w:val="both"/>
        <w:rPr>
          <w:rFonts w:ascii="Times New Roman" w:hAnsi="Times New Roman"/>
          <w:color w:val="7F7F7F" w:themeColor="text1" w:themeTint="80"/>
        </w:rPr>
      </w:pPr>
      <w:r>
        <w:rPr>
          <w:rFonts w:ascii="Times New Roman" w:hAnsi="Times New Roman"/>
        </w:rPr>
        <w:tab/>
      </w:r>
      <w:r w:rsidRPr="00B738EF">
        <w:rPr>
          <w:rFonts w:ascii="Times New Roman" w:hAnsi="Times New Roman"/>
          <w:color w:val="7F7F7F" w:themeColor="text1" w:themeTint="80"/>
        </w:rPr>
        <w:t>Kaspars Randohs 67047982</w:t>
      </w:r>
    </w:p>
    <w:p w:rsidR="00925A85" w:rsidRPr="00EA125F" w:rsidP="00925A8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fldChar w:fldCharType="begin"/>
      </w:r>
      <w:r>
        <w:instrText xml:space="preserve"> HYPERLINK "mailto:kaspars.randohs@izm.gov.lv" </w:instrText>
      </w:r>
      <w:r>
        <w:fldChar w:fldCharType="separate"/>
      </w:r>
      <w:r w:rsidRPr="003B0FAC">
        <w:rPr>
          <w:rStyle w:val="Hyperlink"/>
          <w:rFonts w:ascii="Times New Roman" w:hAnsi="Times New Roman"/>
        </w:rPr>
        <w:t>kaspars.randohs@izm.gov.lv</w:t>
      </w:r>
      <w:r>
        <w:fldChar w:fldCharType="end"/>
      </w:r>
      <w:r>
        <w:rPr>
          <w:rFonts w:ascii="Times New Roman" w:hAnsi="Times New Roman"/>
          <w:color w:val="7F7F7F" w:themeColor="text1" w:themeTint="80"/>
        </w:rPr>
        <w:t xml:space="preserve"> </w:t>
      </w:r>
    </w:p>
    <w:p w:rsidR="00F2080D" w:rsidP="00AD0FD7">
      <w:pPr>
        <w:spacing w:after="0" w:line="240" w:lineRule="auto"/>
        <w:ind w:left="720" w:firstLine="851"/>
        <w:rPr>
          <w:rFonts w:ascii="Times New Roman" w:hAnsi="Times New Roman"/>
          <w:sz w:val="28"/>
          <w:szCs w:val="28"/>
        </w:rPr>
      </w:pPr>
    </w:p>
    <w:p w:rsidR="00B82502" w:rsidRPr="00B82502" w:rsidP="00AD0FD7">
      <w:pPr>
        <w:spacing w:after="0" w:line="240" w:lineRule="auto"/>
        <w:ind w:left="720" w:firstLine="851"/>
        <w:rPr>
          <w:rFonts w:ascii="Times New Roman" w:hAnsi="Times New Roman"/>
          <w:sz w:val="28"/>
          <w:szCs w:val="28"/>
        </w:rPr>
      </w:pPr>
    </w:p>
    <w:p w:rsidR="00B82502" w:rsidRPr="00EC4B5A" w:rsidP="00AD0FD7">
      <w:pPr>
        <w:spacing w:after="0" w:line="240" w:lineRule="auto"/>
        <w:ind w:firstLine="851"/>
        <w:rPr>
          <w:rFonts w:ascii="Times New Roman" w:hAnsi="Times New Roman"/>
          <w:sz w:val="20"/>
          <w:szCs w:val="24"/>
        </w:rPr>
      </w:pPr>
    </w:p>
    <w:sectPr w:rsidSect="001514CB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type w:val="continuous"/>
      <w:pgSz w:w="11920" w:h="16840"/>
      <w:pgMar w:top="1134" w:right="1147" w:bottom="1276" w:left="1418" w:header="709" w:footer="709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1296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51F9F" w:rsidRPr="004B0842" w:rsidP="00951F9F">
    <w:pPr>
      <w:spacing w:after="0" w:line="240" w:lineRule="auto"/>
      <w:jc w:val="center"/>
      <w:rPr>
        <w:rFonts w:ascii="Times New Roman" w:hAnsi="Times New Roman"/>
        <w:b/>
        <w:caps/>
      </w:rPr>
    </w:pPr>
    <w:r w:rsidRPr="004B0842">
      <w:rPr>
        <w:rFonts w:ascii="Times New Roman" w:hAnsi="Times New Roman"/>
        <w:b/>
        <w:caps/>
      </w:rPr>
      <w:t xml:space="preserve">Dokuments parakstīts ar drošu elektronisko parakstu Un </w:t>
    </w:r>
  </w:p>
  <w:p w:rsidR="00951F9F" w:rsidRPr="004B0842" w:rsidP="00951F9F">
    <w:pPr>
      <w:spacing w:after="0" w:line="240" w:lineRule="auto"/>
      <w:jc w:val="center"/>
      <w:rPr>
        <w:rFonts w:ascii="Times New Roman" w:hAnsi="Times New Roman"/>
        <w:b/>
        <w:caps/>
      </w:rPr>
    </w:pPr>
    <w:r w:rsidRPr="004B0842">
      <w:rPr>
        <w:rFonts w:ascii="Times New Roman" w:hAnsi="Times New Roman"/>
        <w:b/>
        <w:caps/>
      </w:rPr>
      <w:t>satur laika zīmogu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6A5D" w:rsidRPr="004B0842" w:rsidP="00436A5D">
    <w:pPr>
      <w:spacing w:after="0" w:line="240" w:lineRule="auto"/>
      <w:jc w:val="center"/>
      <w:rPr>
        <w:rFonts w:ascii="Times New Roman" w:hAnsi="Times New Roman"/>
        <w:b/>
        <w:caps/>
      </w:rPr>
    </w:pPr>
    <w:r w:rsidRPr="004B0842">
      <w:rPr>
        <w:rFonts w:ascii="Times New Roman" w:hAnsi="Times New Roman"/>
        <w:b/>
        <w:caps/>
      </w:rPr>
      <w:t xml:space="preserve">Dokuments parakstīts ar drošu elektronisko parakstu Un </w:t>
    </w:r>
  </w:p>
  <w:p w:rsidR="00436A5D" w:rsidRPr="004B0842" w:rsidP="00436A5D">
    <w:pPr>
      <w:spacing w:after="0" w:line="240" w:lineRule="auto"/>
      <w:jc w:val="center"/>
      <w:rPr>
        <w:rFonts w:ascii="Times New Roman" w:hAnsi="Times New Roman"/>
        <w:b/>
        <w:caps/>
      </w:rPr>
    </w:pPr>
    <w:r w:rsidRPr="004B0842">
      <w:rPr>
        <w:rFonts w:ascii="Times New Roman" w:hAnsi="Times New Roman"/>
        <w:b/>
        <w:caps/>
      </w:rPr>
      <w:t>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1296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/>
        <w:sz w:val="28"/>
      </w:rPr>
      <w:id w:val="2054030935"/>
      <w:docPartObj>
        <w:docPartGallery w:val="Page Numbers (Top of Page)"/>
        <w:docPartUnique/>
      </w:docPartObj>
    </w:sdtPr>
    <w:sdtEndPr>
      <w:rPr>
        <w:noProof/>
      </w:rPr>
    </w:sdtEndPr>
    <w:sdtContent>
      <w:p w:rsidR="00EC4B5A" w:rsidRPr="00EC4B5A">
        <w:pPr>
          <w:pStyle w:val="Header"/>
          <w:jc w:val="center"/>
          <w:rPr>
            <w:rFonts w:ascii="Times New Roman" w:hAnsi="Times New Roman"/>
            <w:sz w:val="28"/>
          </w:rPr>
        </w:pPr>
        <w:r w:rsidRPr="00EC4B5A">
          <w:rPr>
            <w:rFonts w:ascii="Times New Roman" w:hAnsi="Times New Roman"/>
            <w:sz w:val="28"/>
          </w:rPr>
          <w:fldChar w:fldCharType="begin"/>
        </w:r>
        <w:r w:rsidRPr="00EC4B5A">
          <w:rPr>
            <w:rFonts w:ascii="Times New Roman" w:hAnsi="Times New Roman"/>
            <w:sz w:val="28"/>
          </w:rPr>
          <w:instrText xml:space="preserve"> PAGE   \* MERGEFORMAT </w:instrText>
        </w:r>
        <w:r w:rsidRPr="00EC4B5A">
          <w:rPr>
            <w:rFonts w:ascii="Times New Roman" w:hAnsi="Times New Roman"/>
            <w:sz w:val="28"/>
          </w:rPr>
          <w:fldChar w:fldCharType="separate"/>
        </w:r>
        <w:r w:rsidR="00FF234E">
          <w:rPr>
            <w:rFonts w:ascii="Times New Roman" w:hAnsi="Times New Roman"/>
            <w:noProof/>
            <w:sz w:val="28"/>
          </w:rPr>
          <w:t>2</w:t>
        </w:r>
        <w:r w:rsidRPr="00EC4B5A">
          <w:rPr>
            <w:rFonts w:ascii="Times New Roman" w:hAnsi="Times New Roman"/>
            <w:noProof/>
            <w:sz w:val="28"/>
          </w:rPr>
          <w:fldChar w:fldCharType="end"/>
        </w:r>
      </w:p>
    </w:sdtContent>
  </w:sdt>
  <w:p w:rsidR="00EC4B5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45D03" w:rsidP="00545D03">
    <w:pPr>
      <w:pStyle w:val="Header"/>
      <w:rPr>
        <w:rFonts w:ascii="Times New Roman" w:hAnsi="Times New Roman"/>
      </w:rPr>
    </w:pPr>
  </w:p>
  <w:p w:rsidR="00545D03" w:rsidP="00545D03">
    <w:pPr>
      <w:pStyle w:val="Header"/>
      <w:rPr>
        <w:rFonts w:ascii="Times New Roman" w:hAnsi="Times New Roman"/>
      </w:rPr>
    </w:pPr>
  </w:p>
  <w:p w:rsidR="00545D03" w:rsidP="00545D03">
    <w:pPr>
      <w:pStyle w:val="Header"/>
      <w:rPr>
        <w:rFonts w:ascii="Times New Roman" w:hAnsi="Times New Roman"/>
      </w:rPr>
    </w:pPr>
  </w:p>
  <w:p w:rsidR="00545D03" w:rsidP="00545D03">
    <w:pPr>
      <w:pStyle w:val="Header"/>
      <w:rPr>
        <w:rFonts w:ascii="Times New Roman" w:hAnsi="Times New Roman"/>
      </w:rPr>
    </w:pPr>
  </w:p>
  <w:p w:rsidR="00545D03" w:rsidP="00545D03">
    <w:pPr>
      <w:pStyle w:val="Header"/>
      <w:rPr>
        <w:rFonts w:ascii="Times New Roman" w:hAnsi="Times New Roman"/>
      </w:rPr>
    </w:pPr>
  </w:p>
  <w:p w:rsidR="00545D03" w:rsidP="00545D03">
    <w:pPr>
      <w:pStyle w:val="Header"/>
      <w:rPr>
        <w:rFonts w:ascii="Times New Roman" w:hAnsi="Times New Roman"/>
      </w:rPr>
    </w:pPr>
  </w:p>
  <w:p w:rsidR="00545D03" w:rsidP="00545D03">
    <w:pPr>
      <w:pStyle w:val="Header"/>
      <w:rPr>
        <w:rFonts w:ascii="Times New Roman" w:hAnsi="Times New Roman"/>
      </w:rPr>
    </w:pPr>
  </w:p>
  <w:p w:rsidR="00545D03" w:rsidP="00545D03">
    <w:pPr>
      <w:pStyle w:val="Header"/>
      <w:rPr>
        <w:rFonts w:ascii="Times New Roman" w:hAnsi="Times New Roman"/>
      </w:rPr>
    </w:pPr>
  </w:p>
  <w:p w:rsidR="00545D03" w:rsidP="00545D03">
    <w:pPr>
      <w:pStyle w:val="Header"/>
      <w:rPr>
        <w:rFonts w:ascii="Times New Roman" w:hAnsi="Times New Roman"/>
      </w:rPr>
    </w:pPr>
  </w:p>
  <w:p w:rsidR="00545D03" w:rsidP="00545D03">
    <w:pPr>
      <w:pStyle w:val="Header"/>
      <w:rPr>
        <w:rFonts w:ascii="Times New Roman" w:hAnsi="Times New Roman"/>
      </w:rPr>
    </w:pPr>
  </w:p>
  <w:p w:rsidR="00545D03" w:rsidRPr="00815277" w:rsidP="00545D03">
    <w:pPr>
      <w:pStyle w:val="Header"/>
      <w:rPr>
        <w:rFonts w:ascii="Times New Roman" w:hAnsi="Times New Roman"/>
      </w:rPr>
    </w:pPr>
    <w:r>
      <w:rPr>
        <w:noProof/>
        <w:lang w:eastAsia="lv-LV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1085850</wp:posOffset>
          </wp:positionH>
          <wp:positionV relativeFrom="page">
            <wp:posOffset>742950</wp:posOffset>
          </wp:positionV>
          <wp:extent cx="5936615" cy="1033145"/>
          <wp:effectExtent l="0" t="0" r="6985" b="0"/>
          <wp:wrapNone/>
          <wp:docPr id="10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7655870" name="Picture 40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936615" cy="1033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lv-LV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1171575</wp:posOffset>
              </wp:positionH>
              <wp:positionV relativeFrom="page">
                <wp:posOffset>2030730</wp:posOffset>
              </wp:positionV>
              <wp:extent cx="5838825" cy="314325"/>
              <wp:effectExtent l="0" t="0" r="9525" b="9525"/>
              <wp:wrapNone/>
              <wp:docPr id="3" name="Text Box 4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3882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45D03" w:rsidP="00545D03">
                          <w:pPr>
                            <w:spacing w:after="0" w:line="194" w:lineRule="exact"/>
                            <w:ind w:left="20" w:right="-45"/>
                            <w:jc w:val="center"/>
                            <w:rPr>
                              <w:rFonts w:ascii="Times New Roman" w:eastAsia="Times New Roman" w:hAnsi="Times New Roman"/>
                              <w:sz w:val="17"/>
                              <w:szCs w:val="17"/>
                            </w:rPr>
                          </w:pPr>
                          <w:r w:rsidRPr="0021556E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Vaļņu iela 2, Rīga, LV - 1050, tālr. 67226209, fakss 67223905, e-pasts pasts@izm.gov.lv, www.izm.gov.lv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3" o:spid="_x0000_s2049" type="#_x0000_t202" style="width:459.75pt;height:24.75pt;margin-top:159.9pt;margin-left:92.2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4144" filled="f" stroked="f">
              <v:textbox inset="0,0,0,0">
                <w:txbxContent>
                  <w:p w:rsidR="00545D03" w:rsidP="00545D03">
                    <w:pPr>
                      <w:spacing w:after="0" w:line="194" w:lineRule="exact"/>
                      <w:ind w:left="20" w:right="-45"/>
                      <w:jc w:val="center"/>
                      <w:rPr>
                        <w:rFonts w:ascii="Times New Roman" w:eastAsia="Times New Roman" w:hAnsi="Times New Roman"/>
                        <w:sz w:val="17"/>
                        <w:szCs w:val="17"/>
                      </w:rPr>
                    </w:pPr>
                    <w:r w:rsidRPr="0021556E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Vaļņu iela 2, Rīga, LV - 1050, tālr. 67226209, fakss 67223905, e-pasts pasts@izm.gov.lv, www.izm.gov.lv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lv-LV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1850390</wp:posOffset>
              </wp:positionH>
              <wp:positionV relativeFrom="page">
                <wp:posOffset>1903095</wp:posOffset>
              </wp:positionV>
              <wp:extent cx="4397375" cy="1270"/>
              <wp:effectExtent l="0" t="0" r="22225" b="17780"/>
              <wp:wrapNone/>
              <wp:docPr id="1" name="Group 4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4397375" cy="1270"/>
                        <a:chOff x="2915" y="2998"/>
                        <a:chExt cx="6926" cy="2"/>
                      </a:xfrm>
                    </wpg:grpSpPr>
                    <wps:wsp xmlns:wps="http://schemas.microsoft.com/office/word/2010/wordprocessingShape">
                      <wps:cNvPr id="2" name="Freeform 42"/>
                      <wps:cNvSpPr/>
                      <wps:spPr bwMode="auto">
                        <a:xfrm>
                          <a:off x="2915" y="2998"/>
                          <a:ext cx="6926" cy="2"/>
                        </a:xfrm>
                        <a:custGeom>
                          <a:avLst/>
                          <a:gdLst>
                            <a:gd name="T0" fmla="+- 0 2915 2915"/>
                            <a:gd name="T1" fmla="*/ T0 w 6926"/>
                            <a:gd name="T2" fmla="+- 0 9841 2915"/>
                            <a:gd name="T3" fmla="*/ T2 w 6926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6926" stroke="1">
                              <a:moveTo>
                                <a:pt x="0" y="0"/>
                              </a:moveTo>
                              <a:lnTo>
                                <a:pt x="692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1" o:spid="_x0000_s2050" style="width:346.25pt;height:0.1pt;margin-top:149.85pt;margin-left:145.7pt;mso-position-horizontal-relative:page;mso-position-vertical-relative:page;position:absolute;z-index:-251656192" coordorigin="2915,2998" coordsize="6926,2">
              <v:shape id="Freeform 42" o:spid="_x0000_s2051" style="width:6926;height:2;left:2915;mso-wrap-style:square;position:absolute;top:2998;visibility:visible;v-text-anchor:top" coordsize="6926,2" path="m,l6926,e" filled="f" strokecolor="#231f20" strokeweight="0.25pt">
                <v:path arrowok="t" o:connecttype="custom" o:connectlocs="0,0;6926,0" o:connectangles="0,0"/>
              </v:shape>
            </v:group>
          </w:pict>
        </mc:Fallback>
      </mc:AlternateContent>
    </w:r>
  </w:p>
  <w:p w:rsidR="00545D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1D"/>
    <w:multiLevelType w:val="multilevel"/>
    <w:tmpl w:val="E8A2284C"/>
    <w:lvl w:ilvl="0">
      <w:start w:val="1"/>
      <w:numFmt w:val="bullet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1">
    <w:nsid w:val="FFFFFF7C"/>
    <w:multiLevelType w:val="singleLevel"/>
    <w:tmpl w:val="32567E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1">
    <w:nsid w:val="FFFFFF7D"/>
    <w:multiLevelType w:val="singleLevel"/>
    <w:tmpl w:val="3D8C87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1">
    <w:nsid w:val="FFFFFF7E"/>
    <w:multiLevelType w:val="singleLevel"/>
    <w:tmpl w:val="802234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1">
    <w:nsid w:val="FFFFFF7F"/>
    <w:multiLevelType w:val="singleLevel"/>
    <w:tmpl w:val="890AD6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1">
    <w:nsid w:val="FFFFFF80"/>
    <w:multiLevelType w:val="singleLevel"/>
    <w:tmpl w:val="8CFE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1">
    <w:nsid w:val="FFFFFF81"/>
    <w:multiLevelType w:val="singleLevel"/>
    <w:tmpl w:val="06C4ED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1">
    <w:nsid w:val="FFFFFF82"/>
    <w:multiLevelType w:val="singleLevel"/>
    <w:tmpl w:val="381ABE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1">
    <w:nsid w:val="FFFFFF83"/>
    <w:multiLevelType w:val="singleLevel"/>
    <w:tmpl w:val="5D60A5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1">
    <w:nsid w:val="FFFFFF88"/>
    <w:multiLevelType w:val="singleLevel"/>
    <w:tmpl w:val="2D543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1">
    <w:nsid w:val="FFFFFF89"/>
    <w:multiLevelType w:val="singleLevel"/>
    <w:tmpl w:val="D2CEA0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474"/>
    <w:rsid w:val="00006384"/>
    <w:rsid w:val="000120DB"/>
    <w:rsid w:val="00030349"/>
    <w:rsid w:val="001009A5"/>
    <w:rsid w:val="00124173"/>
    <w:rsid w:val="001514CB"/>
    <w:rsid w:val="001E6FBF"/>
    <w:rsid w:val="0021556E"/>
    <w:rsid w:val="00275B9E"/>
    <w:rsid w:val="002B3077"/>
    <w:rsid w:val="002E1474"/>
    <w:rsid w:val="00335032"/>
    <w:rsid w:val="003B0FAC"/>
    <w:rsid w:val="00436A5D"/>
    <w:rsid w:val="00493308"/>
    <w:rsid w:val="004B0842"/>
    <w:rsid w:val="004B48FD"/>
    <w:rsid w:val="004B6949"/>
    <w:rsid w:val="00535564"/>
    <w:rsid w:val="00545D03"/>
    <w:rsid w:val="00586438"/>
    <w:rsid w:val="005C1547"/>
    <w:rsid w:val="005C4574"/>
    <w:rsid w:val="0065527F"/>
    <w:rsid w:val="00663C3A"/>
    <w:rsid w:val="00671551"/>
    <w:rsid w:val="006C1639"/>
    <w:rsid w:val="006D6E2A"/>
    <w:rsid w:val="00736626"/>
    <w:rsid w:val="00747CCB"/>
    <w:rsid w:val="0075098F"/>
    <w:rsid w:val="007704BD"/>
    <w:rsid w:val="007A7503"/>
    <w:rsid w:val="007B3BA5"/>
    <w:rsid w:val="007B48EC"/>
    <w:rsid w:val="007B6A32"/>
    <w:rsid w:val="007D3998"/>
    <w:rsid w:val="007E4D1F"/>
    <w:rsid w:val="00815277"/>
    <w:rsid w:val="0081527B"/>
    <w:rsid w:val="00876C21"/>
    <w:rsid w:val="008B5092"/>
    <w:rsid w:val="008F1DDB"/>
    <w:rsid w:val="00912963"/>
    <w:rsid w:val="00925A85"/>
    <w:rsid w:val="00951F9F"/>
    <w:rsid w:val="00954D5A"/>
    <w:rsid w:val="009E6241"/>
    <w:rsid w:val="00A16225"/>
    <w:rsid w:val="00A17275"/>
    <w:rsid w:val="00AC5E2E"/>
    <w:rsid w:val="00AC7D93"/>
    <w:rsid w:val="00AD0FD7"/>
    <w:rsid w:val="00AD2050"/>
    <w:rsid w:val="00B738EF"/>
    <w:rsid w:val="00B82502"/>
    <w:rsid w:val="00B86B57"/>
    <w:rsid w:val="00B92364"/>
    <w:rsid w:val="00BD51D8"/>
    <w:rsid w:val="00BE2408"/>
    <w:rsid w:val="00BF0082"/>
    <w:rsid w:val="00C4169D"/>
    <w:rsid w:val="00C47F57"/>
    <w:rsid w:val="00C55B68"/>
    <w:rsid w:val="00C839A6"/>
    <w:rsid w:val="00CA5DF3"/>
    <w:rsid w:val="00CC73C1"/>
    <w:rsid w:val="00D03CE6"/>
    <w:rsid w:val="00D11EDD"/>
    <w:rsid w:val="00D14ECA"/>
    <w:rsid w:val="00D21FA6"/>
    <w:rsid w:val="00D5522F"/>
    <w:rsid w:val="00D55B4B"/>
    <w:rsid w:val="00D7507B"/>
    <w:rsid w:val="00DB6FE1"/>
    <w:rsid w:val="00E365CE"/>
    <w:rsid w:val="00E63E9A"/>
    <w:rsid w:val="00EA125F"/>
    <w:rsid w:val="00EC4B5A"/>
    <w:rsid w:val="00F2080D"/>
    <w:rsid w:val="00F45E72"/>
    <w:rsid w:val="00F54900"/>
    <w:rsid w:val="00F60586"/>
    <w:rsid w:val="00F67373"/>
    <w:rsid w:val="00F712AC"/>
    <w:rsid w:val="00FE1606"/>
    <w:rsid w:val="00FF234E"/>
  </w:rsids>
  <m:mathPr>
    <m:mathFont m:val="Cambria Math"/>
    <m:dispDef m:val="0"/>
    <m:wrapRight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  <w:lang w:val="lv-LV"/>
    </w:rPr>
  </w:style>
  <w:style w:type="paragraph" w:styleId="Heading1">
    <w:name w:val="heading 1"/>
    <w:basedOn w:val="Normal"/>
    <w:next w:val="Normal"/>
    <w:link w:val="Heading1Char"/>
    <w:qFormat/>
    <w:rsid w:val="00F2080D"/>
    <w:pPr>
      <w:keepNext/>
      <w:widowControl/>
      <w:spacing w:after="0" w:line="240" w:lineRule="auto"/>
      <w:outlineLvl w:val="0"/>
    </w:pPr>
    <w:rPr>
      <w:rFonts w:ascii="Times New Roman" w:eastAsia="Times New Roman" w:hAnsi="Times New Roman"/>
      <w:sz w:val="28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51D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5277"/>
  </w:style>
  <w:style w:type="paragraph" w:styleId="Footer">
    <w:name w:val="footer"/>
    <w:basedOn w:val="Normal"/>
    <w:link w:val="Foot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277"/>
  </w:style>
  <w:style w:type="character" w:customStyle="1" w:styleId="body1">
    <w:name w:val="body1"/>
    <w:rsid w:val="00D21FA6"/>
    <w:rPr>
      <w:rFonts w:ascii="Verdana" w:hAnsi="Verdana" w:hint="default"/>
      <w:color w:val="000000"/>
      <w:sz w:val="14"/>
      <w:szCs w:val="14"/>
    </w:rPr>
  </w:style>
  <w:style w:type="character" w:styleId="Hyperlink">
    <w:name w:val="Hyperlink"/>
    <w:uiPriority w:val="99"/>
    <w:unhideWhenUsed/>
    <w:rsid w:val="00D21FA6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21FA6"/>
    <w:pPr>
      <w:widowControl/>
      <w:spacing w:after="0" w:line="240" w:lineRule="auto"/>
    </w:pPr>
    <w:rPr>
      <w:szCs w:val="21"/>
    </w:rPr>
  </w:style>
  <w:style w:type="character" w:customStyle="1" w:styleId="PlainTextChar">
    <w:name w:val="Plain Text Char"/>
    <w:link w:val="PlainText"/>
    <w:uiPriority w:val="99"/>
    <w:semiHidden/>
    <w:rsid w:val="00D21FA6"/>
    <w:rPr>
      <w:rFonts w:ascii="Calibri" w:eastAsia="Calibri" w:hAnsi="Calibri" w:cs="Times New Roman"/>
      <w:szCs w:val="21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3034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839A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F2080D"/>
    <w:rPr>
      <w:rFonts w:ascii="Times New Roman" w:eastAsia="Times New Roman" w:hAnsi="Times New Roman"/>
      <w:sz w:val="28"/>
      <w:szCs w:val="24"/>
      <w:lang w:val="lv-LV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51D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1795</Words>
  <Characters>1024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2018-01-18T09:03:00Z</dcterms:created>
  <dcterms:modified xsi:type="dcterms:W3CDTF">2018-01-18T09:22:00Z</dcterms:modified>
</cp:coreProperties>
</file>