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2D03" w14:textId="77777777" w:rsidR="00E56F66" w:rsidRPr="00602BF4" w:rsidRDefault="00E56F66" w:rsidP="002110C2">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602BF4">
        <w:rPr>
          <w:rFonts w:ascii="Times New Roman" w:eastAsia="Times New Roman" w:hAnsi="Times New Roman" w:cs="Times New Roman"/>
          <w:b/>
          <w:bCs/>
          <w:color w:val="000000" w:themeColor="text1"/>
          <w:sz w:val="24"/>
          <w:szCs w:val="24"/>
          <w:lang w:eastAsia="lv-LV"/>
        </w:rPr>
        <w:t>Ministru kabineta noteikumu projekta</w:t>
      </w:r>
    </w:p>
    <w:p w14:paraId="018C9E37" w14:textId="77777777" w:rsidR="00E56F66" w:rsidRPr="00602BF4" w:rsidRDefault="00E56F66" w:rsidP="002110C2">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602BF4">
        <w:rPr>
          <w:rFonts w:ascii="Times New Roman" w:eastAsia="Times New Roman" w:hAnsi="Times New Roman" w:cs="Times New Roman"/>
          <w:b/>
          <w:bCs/>
          <w:color w:val="000000" w:themeColor="text1"/>
          <w:sz w:val="24"/>
          <w:szCs w:val="24"/>
          <w:lang w:eastAsia="lv-LV"/>
        </w:rPr>
        <w:t>“Grozījumi Ministru kabineta 2016. gada 5. jūlija noteikumos Nr. 447 “Par valsts budžeta mērķdotāciju pedagogu darba samaksai pašvaldību vispārējās izglītības iestādēs un valsts augstskolu vispārējās vidējās izglītības iestādēs”</w:t>
      </w:r>
    </w:p>
    <w:p w14:paraId="0A9E5A75" w14:textId="77777777" w:rsidR="00E5323B" w:rsidRPr="00602BF4" w:rsidRDefault="00E56F66" w:rsidP="002110C2">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602BF4">
        <w:rPr>
          <w:rFonts w:ascii="Times New Roman" w:eastAsia="Times New Roman" w:hAnsi="Times New Roman" w:cs="Times New Roman"/>
          <w:b/>
          <w:bCs/>
          <w:color w:val="000000" w:themeColor="text1"/>
          <w:sz w:val="24"/>
          <w:szCs w:val="24"/>
          <w:lang w:eastAsia="lv-LV"/>
        </w:rPr>
        <w:t>sākotnējās ietekmes novērtējuma ziņojums (anotācija)</w:t>
      </w:r>
    </w:p>
    <w:p w14:paraId="7800F000" w14:textId="77777777" w:rsidR="00E56F66" w:rsidRPr="00602BF4" w:rsidRDefault="00E56F66" w:rsidP="002110C2">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BD74BC" w:rsidRPr="00602BF4" w14:paraId="56AD1D4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042FDD" w14:textId="77777777" w:rsidR="00655F2C" w:rsidRPr="00602BF4" w:rsidRDefault="00E5323B" w:rsidP="002110C2">
            <w:pPr>
              <w:spacing w:after="0" w:line="240" w:lineRule="auto"/>
              <w:rPr>
                <w:rFonts w:ascii="Times New Roman" w:eastAsia="Times New Roman" w:hAnsi="Times New Roman" w:cs="Times New Roman"/>
                <w:b/>
                <w:bCs/>
                <w:iCs/>
                <w:color w:val="000000" w:themeColor="text1"/>
                <w:sz w:val="24"/>
                <w:szCs w:val="24"/>
                <w:lang w:eastAsia="lv-LV"/>
              </w:rPr>
            </w:pPr>
            <w:r w:rsidRPr="00602BF4">
              <w:rPr>
                <w:rFonts w:ascii="Times New Roman" w:eastAsia="Times New Roman" w:hAnsi="Times New Roman" w:cs="Times New Roman"/>
                <w:b/>
                <w:bCs/>
                <w:iCs/>
                <w:color w:val="000000" w:themeColor="text1"/>
                <w:sz w:val="24"/>
                <w:szCs w:val="24"/>
                <w:lang w:eastAsia="lv-LV"/>
              </w:rPr>
              <w:t>Tiesību akta projekta anotācijas kopsavilkums</w:t>
            </w:r>
          </w:p>
        </w:tc>
      </w:tr>
      <w:tr w:rsidR="00BD74BC" w:rsidRPr="00602BF4" w14:paraId="3B1FDB1F"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A483D00" w14:textId="77777777" w:rsidR="00E5323B"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948389B" w14:textId="4A1DAD44" w:rsidR="00063AE6" w:rsidRPr="00602BF4" w:rsidRDefault="00063AE6" w:rsidP="002110C2">
            <w:pPr>
              <w:spacing w:after="0" w:line="240" w:lineRule="auto"/>
              <w:ind w:firstLine="271"/>
              <w:jc w:val="both"/>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 xml:space="preserve">Tiesību akta projekta mērķis ir nodrošināt nepārtrauktību pedagogu darba samaksas aprēķinos un finansējuma piešķiršanā, ievērojot 2020. gada </w:t>
            </w:r>
            <w:r w:rsidR="007B17F1">
              <w:rPr>
                <w:rFonts w:ascii="Times New Roman" w:eastAsia="Times New Roman" w:hAnsi="Times New Roman" w:cs="Times New Roman"/>
                <w:iCs/>
                <w:color w:val="000000" w:themeColor="text1"/>
                <w:sz w:val="24"/>
                <w:szCs w:val="24"/>
                <w:lang w:eastAsia="lv-LV"/>
              </w:rPr>
              <w:t>23</w:t>
            </w:r>
            <w:r w:rsidRPr="00602BF4">
              <w:rPr>
                <w:rFonts w:ascii="Times New Roman" w:eastAsia="Times New Roman" w:hAnsi="Times New Roman" w:cs="Times New Roman"/>
                <w:iCs/>
                <w:color w:val="000000" w:themeColor="text1"/>
                <w:sz w:val="24"/>
                <w:szCs w:val="24"/>
                <w:lang w:eastAsia="lv-LV"/>
              </w:rPr>
              <w:t xml:space="preserve">. jūnijā </w:t>
            </w:r>
            <w:r w:rsidR="007B17F1">
              <w:rPr>
                <w:rFonts w:ascii="Times New Roman" w:eastAsia="Times New Roman" w:hAnsi="Times New Roman" w:cs="Times New Roman"/>
                <w:iCs/>
                <w:color w:val="000000" w:themeColor="text1"/>
                <w:sz w:val="24"/>
                <w:szCs w:val="24"/>
                <w:lang w:eastAsia="lv-LV"/>
              </w:rPr>
              <w:t xml:space="preserve">spēkā stājušos </w:t>
            </w:r>
            <w:r w:rsidRPr="00602BF4">
              <w:rPr>
                <w:rFonts w:ascii="Times New Roman" w:eastAsia="Times New Roman" w:hAnsi="Times New Roman" w:cs="Times New Roman"/>
                <w:iCs/>
                <w:color w:val="000000" w:themeColor="text1"/>
                <w:sz w:val="24"/>
                <w:szCs w:val="24"/>
                <w:lang w:eastAsia="lv-LV"/>
              </w:rPr>
              <w:t xml:space="preserve">Administratīvo teritoriju un apdzīvoto vietu likumu, kā arī veikt precizējumus </w:t>
            </w:r>
            <w:r w:rsidR="000855E4">
              <w:rPr>
                <w:rFonts w:ascii="Times New Roman" w:eastAsia="Times New Roman" w:hAnsi="Times New Roman" w:cs="Times New Roman"/>
                <w:iCs/>
                <w:color w:val="000000" w:themeColor="text1"/>
                <w:sz w:val="24"/>
                <w:szCs w:val="24"/>
                <w:lang w:eastAsia="lv-LV"/>
              </w:rPr>
              <w:t>finansējuma aprēķināšanā attiecībā uz valsts ģimnāzijām, izglītības programmu apguvi ģimenē un tālmācības formā, kā arī izglītības iestāžu savstarpējiem līgumiem. Tiesību akta projekts</w:t>
            </w:r>
            <w:r w:rsidR="000855E4" w:rsidRPr="00602BF4">
              <w:rPr>
                <w:rFonts w:ascii="Times New Roman" w:eastAsia="Times New Roman" w:hAnsi="Times New Roman" w:cs="Times New Roman"/>
                <w:iCs/>
                <w:color w:val="000000" w:themeColor="text1"/>
                <w:sz w:val="24"/>
                <w:szCs w:val="24"/>
                <w:lang w:eastAsia="lv-LV"/>
              </w:rPr>
              <w:t xml:space="preserve"> </w:t>
            </w:r>
            <w:r w:rsidRPr="00602BF4">
              <w:rPr>
                <w:rFonts w:ascii="Times New Roman" w:eastAsia="Times New Roman" w:hAnsi="Times New Roman" w:cs="Times New Roman"/>
                <w:iCs/>
                <w:color w:val="000000" w:themeColor="text1"/>
                <w:sz w:val="24"/>
                <w:szCs w:val="24"/>
                <w:lang w:eastAsia="lv-LV"/>
              </w:rPr>
              <w:t xml:space="preserve">stāsies spēkā </w:t>
            </w:r>
            <w:r w:rsidR="000855E4">
              <w:rPr>
                <w:rFonts w:ascii="Times New Roman" w:eastAsia="Times New Roman" w:hAnsi="Times New Roman" w:cs="Times New Roman"/>
                <w:iCs/>
                <w:color w:val="000000" w:themeColor="text1"/>
                <w:sz w:val="24"/>
                <w:szCs w:val="24"/>
                <w:lang w:eastAsia="lv-LV"/>
              </w:rPr>
              <w:t>2021. gada 1. </w:t>
            </w:r>
            <w:r w:rsidR="00381BEC">
              <w:rPr>
                <w:rFonts w:ascii="Times New Roman" w:eastAsia="Times New Roman" w:hAnsi="Times New Roman" w:cs="Times New Roman"/>
                <w:iCs/>
                <w:color w:val="000000" w:themeColor="text1"/>
                <w:sz w:val="24"/>
                <w:szCs w:val="24"/>
                <w:lang w:eastAsia="lv-LV"/>
              </w:rPr>
              <w:t>septembrī</w:t>
            </w:r>
            <w:r w:rsidR="00241524">
              <w:rPr>
                <w:rFonts w:ascii="Times New Roman" w:eastAsia="Times New Roman" w:hAnsi="Times New Roman" w:cs="Times New Roman"/>
                <w:iCs/>
                <w:color w:val="000000" w:themeColor="text1"/>
                <w:sz w:val="24"/>
                <w:szCs w:val="24"/>
                <w:lang w:eastAsia="lv-LV"/>
              </w:rPr>
              <w:t>, atsevišķai normai kā spēkā stāšanās termiņu nosakot 2022. gada 1. augustu</w:t>
            </w:r>
            <w:r w:rsidRPr="00602BF4">
              <w:rPr>
                <w:rFonts w:ascii="Times New Roman" w:eastAsia="Times New Roman" w:hAnsi="Times New Roman" w:cs="Times New Roman"/>
                <w:iCs/>
                <w:color w:val="000000" w:themeColor="text1"/>
                <w:sz w:val="24"/>
                <w:szCs w:val="24"/>
                <w:lang w:eastAsia="lv-LV"/>
              </w:rPr>
              <w:t xml:space="preserve">.  </w:t>
            </w:r>
          </w:p>
          <w:p w14:paraId="01C3444C" w14:textId="77777777" w:rsidR="00950E61" w:rsidRPr="00602BF4" w:rsidRDefault="00950E61">
            <w:pPr>
              <w:spacing w:after="0" w:line="240" w:lineRule="auto"/>
              <w:jc w:val="both"/>
              <w:rPr>
                <w:rFonts w:ascii="Times New Roman" w:eastAsia="Times New Roman" w:hAnsi="Times New Roman" w:cs="Times New Roman"/>
                <w:iCs/>
                <w:color w:val="000000" w:themeColor="text1"/>
                <w:sz w:val="24"/>
                <w:szCs w:val="24"/>
                <w:lang w:eastAsia="lv-LV"/>
              </w:rPr>
            </w:pPr>
          </w:p>
        </w:tc>
      </w:tr>
    </w:tbl>
    <w:p w14:paraId="502600FD" w14:textId="56A292AF" w:rsidR="00E5323B"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955"/>
        <w:gridCol w:w="5519"/>
      </w:tblGrid>
      <w:tr w:rsidR="00BD74BC" w:rsidRPr="00602BF4" w14:paraId="04D4E6B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00DAC0" w14:textId="77777777" w:rsidR="00655F2C" w:rsidRPr="00602BF4" w:rsidRDefault="00E5323B">
            <w:pPr>
              <w:spacing w:after="0" w:line="240" w:lineRule="auto"/>
              <w:rPr>
                <w:rFonts w:ascii="Times New Roman" w:eastAsia="Times New Roman" w:hAnsi="Times New Roman" w:cs="Times New Roman"/>
                <w:b/>
                <w:bCs/>
                <w:iCs/>
                <w:color w:val="000000" w:themeColor="text1"/>
                <w:sz w:val="24"/>
                <w:szCs w:val="24"/>
                <w:lang w:eastAsia="lv-LV"/>
              </w:rPr>
            </w:pPr>
            <w:r w:rsidRPr="00602BF4">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BD74BC" w:rsidRPr="00602BF4" w14:paraId="1C784B7B" w14:textId="77777777" w:rsidTr="002627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6A3FB0E"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1.</w:t>
            </w:r>
          </w:p>
        </w:tc>
        <w:tc>
          <w:tcPr>
            <w:tcW w:w="1615" w:type="pct"/>
            <w:tcBorders>
              <w:top w:val="outset" w:sz="6" w:space="0" w:color="auto"/>
              <w:left w:val="outset" w:sz="6" w:space="0" w:color="auto"/>
              <w:bottom w:val="outset" w:sz="6" w:space="0" w:color="auto"/>
              <w:right w:val="outset" w:sz="6" w:space="0" w:color="auto"/>
            </w:tcBorders>
            <w:hideMark/>
          </w:tcPr>
          <w:p w14:paraId="0BE33C9A" w14:textId="77777777" w:rsidR="00E5323B" w:rsidRPr="00602BF4" w:rsidRDefault="00E5323B">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Pamatojums</w:t>
            </w:r>
          </w:p>
        </w:tc>
        <w:tc>
          <w:tcPr>
            <w:tcW w:w="3023" w:type="pct"/>
            <w:tcBorders>
              <w:top w:val="outset" w:sz="6" w:space="0" w:color="auto"/>
              <w:left w:val="outset" w:sz="6" w:space="0" w:color="auto"/>
              <w:bottom w:val="outset" w:sz="6" w:space="0" w:color="auto"/>
              <w:right w:val="outset" w:sz="6" w:space="0" w:color="auto"/>
            </w:tcBorders>
            <w:hideMark/>
          </w:tcPr>
          <w:p w14:paraId="2798A4CE" w14:textId="4645CCAB" w:rsidR="007E1BFA" w:rsidRPr="00602BF4" w:rsidRDefault="000855E4">
            <w:pPr>
              <w:pStyle w:val="NormalWeb"/>
              <w:spacing w:before="0" w:beforeAutospacing="0" w:after="0" w:afterAutospacing="0"/>
              <w:ind w:firstLine="249"/>
              <w:jc w:val="both"/>
              <w:rPr>
                <w:iCs/>
                <w:color w:val="000000" w:themeColor="text1"/>
                <w:lang w:val="lv-LV" w:eastAsia="lv-LV"/>
              </w:rPr>
            </w:pPr>
            <w:r>
              <w:rPr>
                <w:color w:val="000000" w:themeColor="text1"/>
                <w:lang w:val="lv-LV"/>
              </w:rPr>
              <w:t>Ministru kabineta noteikumu projekts “</w:t>
            </w:r>
            <w:r w:rsidRPr="000855E4">
              <w:rPr>
                <w:color w:val="000000" w:themeColor="text1"/>
                <w:lang w:val="lv-LV"/>
              </w:rPr>
              <w:t>Grozījumi Ministru kabineta 2016.</w:t>
            </w:r>
            <w:r>
              <w:rPr>
                <w:color w:val="000000" w:themeColor="text1"/>
                <w:lang w:val="lv-LV"/>
              </w:rPr>
              <w:t> </w:t>
            </w:r>
            <w:r w:rsidRPr="000855E4">
              <w:rPr>
                <w:color w:val="000000" w:themeColor="text1"/>
                <w:lang w:val="lv-LV"/>
              </w:rPr>
              <w:t>gada 5.</w:t>
            </w:r>
            <w:r>
              <w:rPr>
                <w:color w:val="000000" w:themeColor="text1"/>
                <w:lang w:val="lv-LV"/>
              </w:rPr>
              <w:t> </w:t>
            </w:r>
            <w:r w:rsidRPr="000855E4">
              <w:rPr>
                <w:color w:val="000000" w:themeColor="text1"/>
                <w:lang w:val="lv-LV"/>
              </w:rPr>
              <w:t>jūlija noteikumos Nr.</w:t>
            </w:r>
            <w:r>
              <w:rPr>
                <w:color w:val="000000" w:themeColor="text1"/>
                <w:lang w:val="lv-LV"/>
              </w:rPr>
              <w:t> </w:t>
            </w:r>
            <w:r w:rsidRPr="000855E4">
              <w:rPr>
                <w:color w:val="000000" w:themeColor="text1"/>
                <w:lang w:val="lv-LV"/>
              </w:rPr>
              <w:t>447 “Par valsts budžeta mērķdotāciju pedagogu darba samaksai pašvaldību vispārējās izglītības iestādēs un valsts augstskolu vispārējās vidējās izglītības iestādēs</w:t>
            </w:r>
            <w:r>
              <w:rPr>
                <w:color w:val="000000" w:themeColor="text1"/>
                <w:lang w:val="lv-LV"/>
              </w:rPr>
              <w:t xml:space="preserve">” (turpmāk </w:t>
            </w:r>
            <w:r w:rsidR="008C28AC">
              <w:rPr>
                <w:color w:val="000000" w:themeColor="text1"/>
                <w:lang w:val="lv-LV"/>
              </w:rPr>
              <w:t>–</w:t>
            </w:r>
            <w:r>
              <w:rPr>
                <w:color w:val="000000" w:themeColor="text1"/>
                <w:lang w:val="lv-LV"/>
              </w:rPr>
              <w:t xml:space="preserve"> </w:t>
            </w:r>
            <w:r w:rsidR="008C28AC">
              <w:rPr>
                <w:color w:val="000000" w:themeColor="text1"/>
                <w:lang w:val="lv-LV"/>
              </w:rPr>
              <w:t xml:space="preserve">projekts) </w:t>
            </w:r>
            <w:r w:rsidR="003C6277" w:rsidRPr="00602BF4">
              <w:rPr>
                <w:color w:val="000000" w:themeColor="text1"/>
                <w:lang w:val="lv-LV"/>
              </w:rPr>
              <w:t>ir sagatavots</w:t>
            </w:r>
            <w:r w:rsidR="00BA0A6F" w:rsidRPr="00602BF4">
              <w:rPr>
                <w:color w:val="000000" w:themeColor="text1"/>
                <w:lang w:val="lv-LV"/>
              </w:rPr>
              <w:t xml:space="preserve"> pēc </w:t>
            </w:r>
            <w:r w:rsidR="00156C42" w:rsidRPr="00602BF4">
              <w:rPr>
                <w:color w:val="000000" w:themeColor="text1"/>
                <w:lang w:val="lv-LV"/>
              </w:rPr>
              <w:t>Izglītības un zinātnes</w:t>
            </w:r>
            <w:r w:rsidR="00BA0A6F" w:rsidRPr="00602BF4">
              <w:rPr>
                <w:color w:val="000000" w:themeColor="text1"/>
                <w:lang w:val="lv-LV"/>
              </w:rPr>
              <w:t xml:space="preserve"> ministrijas</w:t>
            </w:r>
            <w:r w:rsidR="00587A15" w:rsidRPr="00602BF4">
              <w:rPr>
                <w:color w:val="000000" w:themeColor="text1"/>
                <w:lang w:val="lv-LV"/>
              </w:rPr>
              <w:t xml:space="preserve"> (turpmāk – ministrija)</w:t>
            </w:r>
            <w:r w:rsidR="00BA0A6F" w:rsidRPr="00602BF4">
              <w:rPr>
                <w:color w:val="000000" w:themeColor="text1"/>
                <w:lang w:val="lv-LV"/>
              </w:rPr>
              <w:t xml:space="preserve"> iniciatīvas</w:t>
            </w:r>
            <w:r w:rsidR="00823318" w:rsidRPr="00602BF4">
              <w:rPr>
                <w:color w:val="000000" w:themeColor="text1"/>
                <w:lang w:val="lv-LV"/>
              </w:rPr>
              <w:t xml:space="preserve">, </w:t>
            </w:r>
            <w:r w:rsidR="008C28AC">
              <w:rPr>
                <w:color w:val="000000" w:themeColor="text1"/>
                <w:lang w:val="lv-LV"/>
              </w:rPr>
              <w:t xml:space="preserve">tostarp </w:t>
            </w:r>
            <w:r w:rsidR="004D26B6" w:rsidRPr="00602BF4">
              <w:rPr>
                <w:color w:val="000000" w:themeColor="text1"/>
                <w:lang w:val="lv-LV"/>
              </w:rPr>
              <w:t xml:space="preserve">ņemot vērā </w:t>
            </w:r>
            <w:r w:rsidR="00BA0A6F" w:rsidRPr="00602BF4">
              <w:rPr>
                <w:color w:val="000000" w:themeColor="text1"/>
                <w:lang w:val="lv-LV"/>
              </w:rPr>
              <w:t xml:space="preserve">izmaiņas </w:t>
            </w:r>
            <w:r w:rsidR="00EA7467" w:rsidRPr="00602BF4">
              <w:rPr>
                <w:iCs/>
                <w:color w:val="000000" w:themeColor="text1"/>
                <w:lang w:val="lv-LV" w:eastAsia="lv-LV"/>
              </w:rPr>
              <w:t>administratīvi teritoriāl</w:t>
            </w:r>
            <w:r w:rsidR="00DE498B" w:rsidRPr="00602BF4">
              <w:rPr>
                <w:iCs/>
                <w:color w:val="000000" w:themeColor="text1"/>
                <w:lang w:val="lv-LV" w:eastAsia="lv-LV"/>
              </w:rPr>
              <w:t xml:space="preserve">ā </w:t>
            </w:r>
            <w:r w:rsidR="00EA7467" w:rsidRPr="00602BF4">
              <w:rPr>
                <w:iCs/>
                <w:color w:val="000000" w:themeColor="text1"/>
                <w:lang w:val="lv-LV" w:eastAsia="lv-LV"/>
              </w:rPr>
              <w:t>iedalījum</w:t>
            </w:r>
            <w:r w:rsidR="00DE498B" w:rsidRPr="00602BF4">
              <w:rPr>
                <w:iCs/>
                <w:color w:val="000000" w:themeColor="text1"/>
                <w:lang w:val="lv-LV" w:eastAsia="lv-LV"/>
              </w:rPr>
              <w:t>a</w:t>
            </w:r>
            <w:r w:rsidR="005C5CC3" w:rsidRPr="00602BF4">
              <w:rPr>
                <w:iCs/>
                <w:color w:val="000000" w:themeColor="text1"/>
                <w:lang w:val="lv-LV" w:eastAsia="lv-LV"/>
              </w:rPr>
              <w:t xml:space="preserve"> nosaukumos</w:t>
            </w:r>
            <w:r w:rsidR="00EA7467" w:rsidRPr="00602BF4">
              <w:rPr>
                <w:color w:val="000000" w:themeColor="text1"/>
                <w:lang w:val="lv-LV"/>
              </w:rPr>
              <w:t xml:space="preserve"> atbilstoši </w:t>
            </w:r>
            <w:r w:rsidR="00EA7467" w:rsidRPr="00602BF4">
              <w:rPr>
                <w:iCs/>
                <w:color w:val="000000" w:themeColor="text1"/>
                <w:lang w:val="lv-LV" w:eastAsia="lv-LV"/>
              </w:rPr>
              <w:t>jaunajā Administratīvo teritoriju un apdzīvoto vietu likumā noteiktajam</w:t>
            </w:r>
            <w:r w:rsidR="008C28AC">
              <w:rPr>
                <w:iCs/>
                <w:color w:val="000000" w:themeColor="text1"/>
                <w:lang w:val="lv-LV" w:eastAsia="lv-LV"/>
              </w:rPr>
              <w:t>.</w:t>
            </w:r>
          </w:p>
          <w:p w14:paraId="5E812BC0" w14:textId="5992140E" w:rsidR="005F353C" w:rsidRPr="00602BF4" w:rsidRDefault="005F353C">
            <w:pPr>
              <w:pStyle w:val="NormalWeb"/>
              <w:spacing w:before="0" w:beforeAutospacing="0" w:after="0" w:afterAutospacing="0"/>
              <w:ind w:firstLine="249"/>
              <w:jc w:val="both"/>
              <w:rPr>
                <w:iCs/>
                <w:color w:val="000000" w:themeColor="text1"/>
                <w:lang w:val="lv-LV" w:eastAsia="lv-LV"/>
              </w:rPr>
            </w:pPr>
          </w:p>
        </w:tc>
      </w:tr>
      <w:tr w:rsidR="00ED4B31" w:rsidRPr="00602BF4" w14:paraId="0A2A5F65" w14:textId="77777777" w:rsidTr="002627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DF46248" w14:textId="7CF258FD" w:rsidR="00ED4B31" w:rsidRPr="00602BF4" w:rsidRDefault="00ED4B31" w:rsidP="00ED4B31">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2.</w:t>
            </w:r>
          </w:p>
        </w:tc>
        <w:tc>
          <w:tcPr>
            <w:tcW w:w="1615" w:type="pct"/>
            <w:tcBorders>
              <w:top w:val="outset" w:sz="6" w:space="0" w:color="auto"/>
              <w:left w:val="outset" w:sz="6" w:space="0" w:color="auto"/>
              <w:bottom w:val="outset" w:sz="6" w:space="0" w:color="auto"/>
              <w:right w:val="outset" w:sz="6" w:space="0" w:color="auto"/>
            </w:tcBorders>
            <w:hideMark/>
          </w:tcPr>
          <w:p w14:paraId="336B51A1" w14:textId="77777777" w:rsidR="00ED4B31" w:rsidRPr="00602BF4" w:rsidRDefault="00ED4B31" w:rsidP="00ED4B31">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37274F6D"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7A1EDC70"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0CFBBEB5"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30CFEFB6"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342BD74F"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10EFC266"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59018E95"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2BC7C791" w14:textId="77777777" w:rsidR="00ED4B31" w:rsidRPr="00602BF4" w:rsidRDefault="00ED4B31" w:rsidP="00ED4B31">
            <w:pPr>
              <w:spacing w:after="0"/>
              <w:rPr>
                <w:rFonts w:ascii="Times New Roman" w:eastAsia="Times New Roman" w:hAnsi="Times New Roman" w:cs="Times New Roman"/>
                <w:color w:val="000000" w:themeColor="text1"/>
                <w:sz w:val="24"/>
                <w:szCs w:val="24"/>
                <w:lang w:eastAsia="lv-LV"/>
              </w:rPr>
            </w:pPr>
          </w:p>
          <w:p w14:paraId="2A3FCC8F" w14:textId="1B278C71" w:rsidR="00ED4B31" w:rsidRDefault="00ED4B31" w:rsidP="00ED4B31">
            <w:pPr>
              <w:tabs>
                <w:tab w:val="left" w:pos="960"/>
              </w:tabs>
              <w:spacing w:after="0"/>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ab/>
            </w:r>
          </w:p>
          <w:p w14:paraId="62C61221" w14:textId="77777777" w:rsidR="00ED4B31" w:rsidRPr="00477323" w:rsidRDefault="00ED4B31" w:rsidP="00ED4B31">
            <w:pPr>
              <w:rPr>
                <w:rFonts w:ascii="Times New Roman" w:eastAsia="Times New Roman" w:hAnsi="Times New Roman" w:cs="Times New Roman"/>
                <w:sz w:val="24"/>
                <w:szCs w:val="24"/>
                <w:lang w:eastAsia="lv-LV"/>
              </w:rPr>
            </w:pPr>
          </w:p>
          <w:p w14:paraId="574392E8" w14:textId="5667AF8A" w:rsidR="00ED4B31" w:rsidRPr="00477323" w:rsidRDefault="00ED4B31" w:rsidP="00ED4B31">
            <w:pPr>
              <w:jc w:val="center"/>
              <w:rPr>
                <w:rFonts w:ascii="Times New Roman" w:eastAsia="Times New Roman" w:hAnsi="Times New Roman" w:cs="Times New Roman"/>
                <w:sz w:val="24"/>
                <w:szCs w:val="24"/>
                <w:lang w:eastAsia="lv-LV"/>
              </w:rPr>
            </w:pPr>
          </w:p>
        </w:tc>
        <w:tc>
          <w:tcPr>
            <w:tcW w:w="3023" w:type="pct"/>
            <w:tcBorders>
              <w:top w:val="outset" w:sz="6" w:space="0" w:color="auto"/>
              <w:left w:val="outset" w:sz="6" w:space="0" w:color="auto"/>
              <w:bottom w:val="outset" w:sz="6" w:space="0" w:color="auto"/>
              <w:right w:val="outset" w:sz="6" w:space="0" w:color="auto"/>
            </w:tcBorders>
          </w:tcPr>
          <w:p w14:paraId="591A5DAC" w14:textId="77777777" w:rsidR="00ED4B31" w:rsidRPr="00602BF4" w:rsidRDefault="00ED4B31" w:rsidP="00ED4B31">
            <w:pPr>
              <w:pStyle w:val="tv213"/>
              <w:spacing w:before="0" w:beforeAutospacing="0" w:after="0" w:afterAutospacing="0"/>
              <w:ind w:firstLine="323"/>
              <w:jc w:val="both"/>
              <w:rPr>
                <w:color w:val="000000" w:themeColor="text1"/>
              </w:rPr>
            </w:pPr>
            <w:r w:rsidRPr="00602BF4">
              <w:rPr>
                <w:color w:val="000000" w:themeColor="text1"/>
              </w:rPr>
              <w:lastRenderedPageBreak/>
              <w:t xml:space="preserve">2020. gada 23. jūnijā ir stājies spēkā jauns Administratīvo teritoriju un apdzīvoto vietu likums. Likums nosaka administratīvo teritoriju un novadu teritoriālā iedalījuma vienību izveidošanas, uzskaites, robežu grozīšanas un administratīvā centra noteikšanas nosacījumus un kārtību, kā arī apdzīvotās vietas statusa noteikšanas, apdzīvoto vietu uzskaites kārtību un institūciju kompetenci šajos jautājumos. </w:t>
            </w:r>
          </w:p>
          <w:p w14:paraId="63887888" w14:textId="77777777" w:rsidR="00ED4B31" w:rsidRDefault="00ED4B31" w:rsidP="00ED4B31">
            <w:pPr>
              <w:pStyle w:val="tv213"/>
              <w:spacing w:before="0" w:beforeAutospacing="0" w:after="0" w:afterAutospacing="0"/>
              <w:ind w:firstLine="323"/>
              <w:jc w:val="both"/>
              <w:rPr>
                <w:color w:val="000000" w:themeColor="text1"/>
              </w:rPr>
            </w:pPr>
            <w:r w:rsidRPr="00602BF4">
              <w:rPr>
                <w:color w:val="000000" w:themeColor="text1"/>
              </w:rPr>
              <w:t xml:space="preserve">Ņemot vērā, ka </w:t>
            </w:r>
            <w:r>
              <w:rPr>
                <w:color w:val="000000" w:themeColor="text1"/>
              </w:rPr>
              <w:t>a</w:t>
            </w:r>
            <w:r w:rsidRPr="00602BF4">
              <w:rPr>
                <w:color w:val="000000" w:themeColor="text1"/>
              </w:rPr>
              <w:t xml:space="preserve">dministratīvi teritoriālās reformas ietvaros ir mainījies administratīvi teritoriālais iedalījums, </w:t>
            </w:r>
            <w:r>
              <w:rPr>
                <w:color w:val="000000" w:themeColor="text1"/>
              </w:rPr>
              <w:t>ir</w:t>
            </w:r>
            <w:r w:rsidRPr="00602BF4">
              <w:rPr>
                <w:color w:val="000000" w:themeColor="text1"/>
              </w:rPr>
              <w:t xml:space="preserve"> nepieciešams </w:t>
            </w:r>
            <w:r>
              <w:rPr>
                <w:color w:val="000000" w:themeColor="text1"/>
              </w:rPr>
              <w:t xml:space="preserve">arī </w:t>
            </w:r>
            <w:r w:rsidRPr="00602BF4">
              <w:rPr>
                <w:color w:val="000000" w:themeColor="text1"/>
              </w:rPr>
              <w:t xml:space="preserve">Ministru kabineta 2016. gada 5. jūlija noteikumos Nr. 447 “Par valsts budžeta mērķdotāciju pedagogu darba samaksai pašvaldību vispārējās izglītības iestādēs un valsts augstskolu vispārējās vidējās izglītības iestādēs” (turpmāk – noteikumi Nr. 447) precizēt  administratīvo teritoriju </w:t>
            </w:r>
            <w:r w:rsidRPr="00602BF4">
              <w:rPr>
                <w:color w:val="000000" w:themeColor="text1"/>
              </w:rPr>
              <w:lastRenderedPageBreak/>
              <w:t>iedalījuma nosaukumus.</w:t>
            </w:r>
            <w:r>
              <w:rPr>
                <w:color w:val="000000" w:themeColor="text1"/>
              </w:rPr>
              <w:t xml:space="preserve"> Tādējādi noteikumu Nr. 447 tekstā tiek aizstāsti vārdi </w:t>
            </w:r>
            <w:r w:rsidRPr="00CF3BA6">
              <w:rPr>
                <w:color w:val="000000" w:themeColor="text1"/>
              </w:rPr>
              <w:t>“</w:t>
            </w:r>
            <w:r>
              <w:rPr>
                <w:color w:val="000000" w:themeColor="text1"/>
              </w:rPr>
              <w:t>republikas pilsētas” ar vārdu  “valstspilsētas</w:t>
            </w:r>
            <w:r w:rsidRPr="00CF3BA6">
              <w:rPr>
                <w:color w:val="000000" w:themeColor="text1"/>
              </w:rPr>
              <w:t>”</w:t>
            </w:r>
            <w:r>
              <w:rPr>
                <w:color w:val="000000" w:themeColor="text1"/>
              </w:rPr>
              <w:t xml:space="preserve">, kā arī atbilstoši sakārtots vārda </w:t>
            </w:r>
            <w:r w:rsidRPr="00CF3BA6">
              <w:rPr>
                <w:color w:val="000000" w:themeColor="text1"/>
              </w:rPr>
              <w:t>“</w:t>
            </w:r>
            <w:r>
              <w:rPr>
                <w:color w:val="000000" w:themeColor="text1"/>
              </w:rPr>
              <w:t>pašvaldība” lietojums.</w:t>
            </w:r>
          </w:p>
          <w:p w14:paraId="0584EC93" w14:textId="77777777" w:rsidR="00ED4B31" w:rsidRDefault="00ED4B31" w:rsidP="00ED4B31">
            <w:pPr>
              <w:pStyle w:val="tv213"/>
              <w:spacing w:before="0" w:beforeAutospacing="0" w:after="0" w:afterAutospacing="0"/>
              <w:ind w:firstLine="365"/>
              <w:jc w:val="both"/>
            </w:pPr>
            <w:r>
              <w:rPr>
                <w:color w:val="000000" w:themeColor="text1"/>
              </w:rPr>
              <w:t xml:space="preserve">Atbilstoši ministrijas rīcībā esošajai informācijai katru mācību gadu nozīmīgs izglītojamo skaits, tostarp 2020./2021. mācību gadā 12% no izglītojamiem, kas apgūst izglītības programmu tālmācības izglītības ieguves formā, mācās ilgāk par vienu gadu vienā un tajā pašā klasē, un šāda atkārtotība rada nepieciešamību ekonomiskāk lietot valsts budžeta un pedagogu laika resursu. Ievērojot minēto, attiecīgs regulējums tika nostiprināts </w:t>
            </w:r>
            <w:r w:rsidRPr="00602BF4">
              <w:rPr>
                <w:color w:val="000000" w:themeColor="text1"/>
              </w:rPr>
              <w:t>Ministru kabineta 2020. gada 25. augusta noteikum</w:t>
            </w:r>
            <w:r>
              <w:rPr>
                <w:color w:val="000000" w:themeColor="text1"/>
              </w:rPr>
              <w:t>u</w:t>
            </w:r>
            <w:r w:rsidRPr="00602BF4">
              <w:rPr>
                <w:color w:val="000000" w:themeColor="text1"/>
              </w:rPr>
              <w:t xml:space="preserve"> Nr. 538 "Kārtība, kādā valsts finansē darba samaksu pedagogiem privātajās izglītības iestādēs" </w:t>
            </w:r>
            <w:r>
              <w:rPr>
                <w:color w:val="000000" w:themeColor="text1"/>
              </w:rPr>
              <w:t xml:space="preserve">(turpmāk – noteikumi Nr. 538) </w:t>
            </w:r>
            <w:r w:rsidRPr="00602BF4">
              <w:rPr>
                <w:color w:val="000000" w:themeColor="text1"/>
              </w:rPr>
              <w:t>8. punkt</w:t>
            </w:r>
            <w:r>
              <w:rPr>
                <w:color w:val="000000" w:themeColor="text1"/>
              </w:rPr>
              <w:t>ā, kas</w:t>
            </w:r>
            <w:r w:rsidRPr="00602BF4">
              <w:rPr>
                <w:color w:val="000000" w:themeColor="text1"/>
              </w:rPr>
              <w:t xml:space="preserve"> nosaka, ka uz pusi mazāks koeficients ir piemērojams gadījumos, kad skolēns vienā un tajā pašā klasē tālmācības formā īstenotajās vispārējās vidējās izglītības programmās mācās ilgāk par vienu mācību gadu</w:t>
            </w:r>
            <w:r>
              <w:rPr>
                <w:color w:val="000000" w:themeColor="text1"/>
              </w:rPr>
              <w:t>. Šādu skolēnu skaitam p</w:t>
            </w:r>
            <w:r>
              <w:t xml:space="preserve">rivāto izglītības iestāžu gadījumā ministrija aprēķina dotāciju pedagogu darba samaksai, piemērojot koeficientu 0,3. </w:t>
            </w:r>
          </w:p>
          <w:p w14:paraId="57747DD8" w14:textId="4E160AD0" w:rsidR="00ED4B31" w:rsidRPr="00602BF4" w:rsidRDefault="00ED4B31" w:rsidP="00ED4B31">
            <w:pPr>
              <w:pStyle w:val="tv213"/>
              <w:spacing w:before="0" w:beforeAutospacing="0" w:after="0" w:afterAutospacing="0"/>
              <w:ind w:firstLine="365"/>
              <w:jc w:val="both"/>
              <w:rPr>
                <w:color w:val="000000" w:themeColor="text1"/>
              </w:rPr>
            </w:pPr>
            <w:r>
              <w:rPr>
                <w:color w:val="000000" w:themeColor="text1"/>
              </w:rPr>
              <w:t xml:space="preserve">Ņemot vērā </w:t>
            </w:r>
            <w:r w:rsidRPr="00602BF4">
              <w:rPr>
                <w:color w:val="000000" w:themeColor="text1"/>
              </w:rPr>
              <w:t>2020. gada 12. novembrī pieņemt</w:t>
            </w:r>
            <w:r>
              <w:rPr>
                <w:color w:val="000000" w:themeColor="text1"/>
              </w:rPr>
              <w:t>os</w:t>
            </w:r>
            <w:r w:rsidRPr="00602BF4">
              <w:rPr>
                <w:color w:val="000000" w:themeColor="text1"/>
              </w:rPr>
              <w:t xml:space="preserve"> </w:t>
            </w:r>
            <w:r>
              <w:rPr>
                <w:color w:val="000000" w:themeColor="text1"/>
              </w:rPr>
              <w:t>grozījumus</w:t>
            </w:r>
            <w:r w:rsidRPr="00602BF4">
              <w:rPr>
                <w:color w:val="000000" w:themeColor="text1"/>
              </w:rPr>
              <w:t xml:space="preserve"> Izglītības likumā (stājās spēkā 2020. gada 20. novembrī</w:t>
            </w:r>
            <w:r>
              <w:rPr>
                <w:color w:val="000000" w:themeColor="text1"/>
              </w:rPr>
              <w:t>; skat. Izglītības likuma 36. panta otro daļu</w:t>
            </w:r>
            <w:r w:rsidRPr="00602BF4">
              <w:rPr>
                <w:color w:val="000000" w:themeColor="text1"/>
              </w:rPr>
              <w:t>), kuri tika izstrādāti</w:t>
            </w:r>
            <w:r>
              <w:rPr>
                <w:color w:val="000000" w:themeColor="text1"/>
              </w:rPr>
              <w:t>,</w:t>
            </w:r>
            <w:r w:rsidRPr="00602BF4">
              <w:rPr>
                <w:color w:val="000000" w:themeColor="text1"/>
              </w:rPr>
              <w:t xml:space="preserve"> </w:t>
            </w:r>
            <w:r>
              <w:rPr>
                <w:color w:val="000000" w:themeColor="text1"/>
              </w:rPr>
              <w:t xml:space="preserve">tostarp </w:t>
            </w:r>
            <w:r w:rsidRPr="00602BF4">
              <w:rPr>
                <w:color w:val="000000" w:themeColor="text1"/>
              </w:rPr>
              <w:t>ņ</w:t>
            </w:r>
            <w:r w:rsidRPr="00602BF4">
              <w:rPr>
                <w:rFonts w:eastAsia="Calibri"/>
                <w:color w:val="000000" w:themeColor="text1"/>
              </w:rPr>
              <w:t>emot vērā Covid-19 izraisītos epidemioloģiskās drošības ierobežojumus un nepieciešamību izglītības iestādēm nodrošināt kvalitatīvu mācību procesa norisi attālinātajās mācībās</w:t>
            </w:r>
            <w:r>
              <w:rPr>
                <w:rFonts w:eastAsia="Calibri"/>
                <w:color w:val="000000" w:themeColor="text1"/>
              </w:rPr>
              <w:t xml:space="preserve">, un to, ka arī noteikumu Nr. 416 12.10. apakšpunkts paredz izglītības iestādes tiesības vispārējās vidējās izglītības programmas īstenošanas ietvaros iesaistīt partnerus, piemēram, augstākās izglītības iestādes, </w:t>
            </w:r>
            <w:r w:rsidRPr="00FD015A">
              <w:rPr>
                <w:rFonts w:eastAsia="Calibri"/>
                <w:color w:val="000000" w:themeColor="text1"/>
              </w:rPr>
              <w:t>lai nodrošinātu atsevišķu skolēnam plānoto rezultātu sasniegšanu vai kursu apgūšanu</w:t>
            </w:r>
            <w:r w:rsidR="00E64E2A">
              <w:rPr>
                <w:rFonts w:eastAsia="Calibri"/>
                <w:color w:val="000000" w:themeColor="text1"/>
              </w:rPr>
              <w:t xml:space="preserve">, </w:t>
            </w:r>
            <w:r>
              <w:rPr>
                <w:rFonts w:eastAsia="Calibri"/>
                <w:color w:val="000000" w:themeColor="text1"/>
              </w:rPr>
              <w:t>projekts papildināts ar 12.</w:t>
            </w:r>
            <w:r w:rsidRPr="009502B3">
              <w:rPr>
                <w:rFonts w:eastAsia="Calibri"/>
                <w:color w:val="000000" w:themeColor="text1"/>
                <w:vertAlign w:val="superscript"/>
              </w:rPr>
              <w:t>4</w:t>
            </w:r>
            <w:r>
              <w:rPr>
                <w:rFonts w:eastAsia="Calibri"/>
                <w:color w:val="000000" w:themeColor="text1"/>
              </w:rPr>
              <w:t xml:space="preserve"> un 12.</w:t>
            </w:r>
            <w:r w:rsidRPr="009502B3">
              <w:rPr>
                <w:rFonts w:eastAsia="Calibri"/>
                <w:color w:val="000000" w:themeColor="text1"/>
                <w:vertAlign w:val="superscript"/>
              </w:rPr>
              <w:t>5</w:t>
            </w:r>
            <w:r>
              <w:rPr>
                <w:rFonts w:eastAsia="Calibri"/>
                <w:color w:val="000000" w:themeColor="text1"/>
              </w:rPr>
              <w:t xml:space="preserve"> punkt</w:t>
            </w:r>
            <w:r w:rsidR="007E6F08">
              <w:rPr>
                <w:rFonts w:eastAsia="Calibri"/>
                <w:color w:val="000000" w:themeColor="text1"/>
              </w:rPr>
              <w:t>u</w:t>
            </w:r>
            <w:r>
              <w:rPr>
                <w:rFonts w:eastAsia="Calibri"/>
                <w:color w:val="000000" w:themeColor="text1"/>
              </w:rPr>
              <w:t xml:space="preserve">, kas </w:t>
            </w:r>
            <w:r w:rsidRPr="00602BF4">
              <w:rPr>
                <w:rFonts w:eastAsia="Calibri"/>
                <w:color w:val="000000" w:themeColor="text1"/>
              </w:rPr>
              <w:t xml:space="preserve">paredz </w:t>
            </w:r>
            <w:r>
              <w:rPr>
                <w:rFonts w:eastAsia="Calibri"/>
                <w:color w:val="000000" w:themeColor="text1"/>
              </w:rPr>
              <w:t xml:space="preserve">iespēju </w:t>
            </w:r>
            <w:r w:rsidRPr="00602BF4">
              <w:rPr>
                <w:rFonts w:eastAsia="Calibri"/>
                <w:color w:val="000000" w:themeColor="text1"/>
              </w:rPr>
              <w:t>izglītības iestādēm slēgt savstarpējus līgumus par mācību priekšmetu vai to daļu īstenošanu vispārējās vidējās izglītības programmas ietvaros, jo tieši vispārējās vidējās izglītības programmās līdz ar pilnveidotā mācību satura ieviešanas uzsākšanu ir notikusi būtiska mācību pieejas maiņa, paredzēta intensīvāka tehnoloģisko rīku un risinājumu izmantošana, kā arī pedagogu un izglītības iestāžu sadarbība. Sadarbības partneru iesaiste ir viens no iespējamiem risinājumiem izglītības iestādei</w:t>
            </w:r>
            <w:r>
              <w:rPr>
                <w:rFonts w:eastAsia="Calibri"/>
                <w:color w:val="000000" w:themeColor="text1"/>
              </w:rPr>
              <w:t>, tostarp</w:t>
            </w:r>
            <w:r w:rsidRPr="00602BF4">
              <w:rPr>
                <w:rFonts w:eastAsia="Calibri"/>
                <w:color w:val="000000" w:themeColor="text1"/>
              </w:rPr>
              <w:t xml:space="preserve"> attālinātās mācībās</w:t>
            </w:r>
            <w:r>
              <w:rPr>
                <w:rFonts w:eastAsia="Calibri"/>
                <w:color w:val="000000" w:themeColor="text1"/>
              </w:rPr>
              <w:t>,</w:t>
            </w:r>
            <w:r w:rsidRPr="00602BF4">
              <w:rPr>
                <w:rFonts w:eastAsia="Calibri"/>
                <w:color w:val="000000" w:themeColor="text1"/>
              </w:rPr>
              <w:t xml:space="preserve"> piedāvāt un īstenot mācību priekšmetus (kursus) vispārējās vidējās izglītības programmas ietvaros. Vienlaikus </w:t>
            </w:r>
            <w:r>
              <w:rPr>
                <w:rFonts w:eastAsia="Calibri"/>
                <w:color w:val="000000" w:themeColor="text1"/>
              </w:rPr>
              <w:t>Izglītības likuma 36. panta otrā daļa paredz pienākumu</w:t>
            </w:r>
            <w:r w:rsidRPr="00602BF4">
              <w:rPr>
                <w:rFonts w:eastAsia="Calibri"/>
                <w:color w:val="000000" w:themeColor="text1"/>
              </w:rPr>
              <w:t xml:space="preserve">, slēdzot savstarpēju sadarbības līgumu par mācību priekšmetu </w:t>
            </w:r>
            <w:r w:rsidRPr="00602BF4">
              <w:rPr>
                <w:rFonts w:eastAsia="Calibri"/>
                <w:color w:val="000000" w:themeColor="text1"/>
              </w:rPr>
              <w:lastRenderedPageBreak/>
              <w:t>vai to daļu īstenošanu vispārējās vidējās izglītības programmas ietvaros, tajā vienoties:</w:t>
            </w:r>
          </w:p>
          <w:p w14:paraId="2B0CBB62" w14:textId="77777777" w:rsidR="00ED4B31" w:rsidRPr="00602BF4" w:rsidRDefault="00ED4B31" w:rsidP="00ED4B31">
            <w:pPr>
              <w:spacing w:after="0" w:line="240" w:lineRule="auto"/>
              <w:contextualSpacing/>
              <w:jc w:val="both"/>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602BF4">
              <w:rPr>
                <w:rFonts w:ascii="Times New Roman" w:eastAsia="Times New Roman" w:hAnsi="Times New Roman" w:cs="Times New Roman"/>
                <w:color w:val="000000" w:themeColor="text1"/>
                <w:sz w:val="24"/>
                <w:szCs w:val="24"/>
                <w:lang w:eastAsia="lv-LV"/>
              </w:rPr>
              <w:t>par mācību priekšmetu īstenošanas veidu un programmu;</w:t>
            </w:r>
          </w:p>
          <w:p w14:paraId="227D785E" w14:textId="77777777" w:rsidR="00ED4B31" w:rsidRPr="00602BF4" w:rsidRDefault="00ED4B31" w:rsidP="00ED4B31">
            <w:pPr>
              <w:spacing w:after="0" w:line="240" w:lineRule="auto"/>
              <w:contextualSpacing/>
              <w:jc w:val="both"/>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602BF4">
              <w:rPr>
                <w:rFonts w:ascii="Times New Roman" w:eastAsia="Times New Roman" w:hAnsi="Times New Roman" w:cs="Times New Roman"/>
                <w:color w:val="000000" w:themeColor="text1"/>
                <w:sz w:val="24"/>
                <w:szCs w:val="24"/>
                <w:lang w:eastAsia="lv-LV"/>
              </w:rPr>
              <w:t>par izglītojamo mācību sasniegumu vērtēšanas kārtību;</w:t>
            </w:r>
          </w:p>
          <w:p w14:paraId="427F78DA" w14:textId="77777777" w:rsidR="00ED4B31" w:rsidRPr="00602BF4" w:rsidRDefault="00ED4B31" w:rsidP="00ED4B31">
            <w:pPr>
              <w:spacing w:after="0" w:line="240" w:lineRule="auto"/>
              <w:contextualSpacing/>
              <w:jc w:val="both"/>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 par izglītojamo iegūto vērtējumu paziņošanas kārtību;</w:t>
            </w:r>
          </w:p>
          <w:p w14:paraId="2F4C20B5" w14:textId="77777777" w:rsidR="00ED4B31" w:rsidRPr="00602BF4" w:rsidRDefault="00ED4B31" w:rsidP="00ED4B31">
            <w:pPr>
              <w:spacing w:after="0" w:line="240" w:lineRule="auto"/>
              <w:contextualSpacing/>
              <w:jc w:val="both"/>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w:t>
            </w:r>
            <w:r w:rsidRPr="00602BF4">
              <w:rPr>
                <w:rFonts w:ascii="Times New Roman" w:eastAsia="Times New Roman" w:hAnsi="Times New Roman" w:cs="Times New Roman"/>
                <w:color w:val="000000" w:themeColor="text1"/>
                <w:sz w:val="24"/>
                <w:szCs w:val="24"/>
                <w:lang w:eastAsia="lv-LV"/>
              </w:rPr>
              <w:t>par mācību priekšmetu apguvē iesaistāmajiem izglītojamajiem;</w:t>
            </w:r>
          </w:p>
          <w:p w14:paraId="168F8D9B" w14:textId="77777777" w:rsidR="00ED4B31" w:rsidRPr="00602BF4" w:rsidRDefault="00ED4B31" w:rsidP="00ED4B31">
            <w:pPr>
              <w:spacing w:after="0" w:line="240" w:lineRule="auto"/>
              <w:contextualSpacing/>
              <w:jc w:val="both"/>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 par mācību priekšmetu īstenošanas izdevumiem un to apmaksas kārtību;</w:t>
            </w:r>
          </w:p>
          <w:p w14:paraId="1C384296" w14:textId="77777777" w:rsidR="00ED4B31" w:rsidRPr="00602BF4" w:rsidRDefault="00ED4B31" w:rsidP="00ED4B31">
            <w:pPr>
              <w:spacing w:after="0" w:line="240" w:lineRule="auto"/>
              <w:contextualSpacing/>
              <w:jc w:val="both"/>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 par citiem izglītības iestāžu skatījumā būtiskiem nosacījumiem.</w:t>
            </w:r>
          </w:p>
          <w:p w14:paraId="355F2EB6" w14:textId="77777777" w:rsidR="00ED4B31" w:rsidRPr="00602BF4" w:rsidRDefault="00ED4B31" w:rsidP="00ED4B31">
            <w:pPr>
              <w:spacing w:after="0" w:line="257" w:lineRule="auto"/>
              <w:ind w:firstLine="365"/>
              <w:contextualSpacing/>
              <w:jc w:val="both"/>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Līdz ar to</w:t>
            </w:r>
            <w:r>
              <w:rPr>
                <w:rFonts w:ascii="Times New Roman" w:eastAsia="Times New Roman" w:hAnsi="Times New Roman" w:cs="Times New Roman"/>
                <w:color w:val="000000" w:themeColor="text1"/>
                <w:sz w:val="24"/>
                <w:szCs w:val="24"/>
                <w:lang w:eastAsia="lv-LV"/>
              </w:rPr>
              <w:t xml:space="preserve"> </w:t>
            </w:r>
            <w:r w:rsidRPr="00602BF4">
              <w:rPr>
                <w:rFonts w:ascii="Times New Roman" w:eastAsia="Times New Roman" w:hAnsi="Times New Roman" w:cs="Times New Roman"/>
                <w:color w:val="000000" w:themeColor="text1"/>
                <w:sz w:val="24"/>
                <w:szCs w:val="24"/>
                <w:lang w:eastAsia="lv-LV"/>
              </w:rPr>
              <w:t xml:space="preserve">projekts paredz noteikt tiesības pašvaldībām </w:t>
            </w:r>
            <w:r>
              <w:rPr>
                <w:rFonts w:ascii="Times New Roman" w:eastAsia="Times New Roman" w:hAnsi="Times New Roman" w:cs="Times New Roman"/>
                <w:color w:val="000000" w:themeColor="text1"/>
                <w:sz w:val="24"/>
                <w:szCs w:val="24"/>
                <w:lang w:eastAsia="lv-LV"/>
              </w:rPr>
              <w:t xml:space="preserve">un valsts augstskolām </w:t>
            </w:r>
            <w:r w:rsidRPr="00602BF4">
              <w:rPr>
                <w:rFonts w:ascii="Times New Roman" w:eastAsia="Times New Roman" w:hAnsi="Times New Roman" w:cs="Times New Roman"/>
                <w:color w:val="000000" w:themeColor="text1"/>
                <w:sz w:val="24"/>
                <w:szCs w:val="24"/>
                <w:lang w:eastAsia="lv-LV"/>
              </w:rPr>
              <w:t xml:space="preserve">pārdalīt piešķirto finansējumu pedagogu darba samaksai un valsts sociālās apdrošināšanas iemaksām starp </w:t>
            </w:r>
            <w:r>
              <w:rPr>
                <w:rFonts w:ascii="Times New Roman" w:eastAsia="Times New Roman" w:hAnsi="Times New Roman" w:cs="Times New Roman"/>
                <w:color w:val="000000" w:themeColor="text1"/>
                <w:sz w:val="24"/>
                <w:szCs w:val="24"/>
                <w:lang w:eastAsia="lv-LV"/>
              </w:rPr>
              <w:t xml:space="preserve">to dibinātajām </w:t>
            </w:r>
            <w:r w:rsidRPr="00602BF4">
              <w:rPr>
                <w:rFonts w:ascii="Times New Roman" w:eastAsia="Times New Roman" w:hAnsi="Times New Roman" w:cs="Times New Roman"/>
                <w:color w:val="000000" w:themeColor="text1"/>
                <w:sz w:val="24"/>
                <w:szCs w:val="24"/>
                <w:lang w:eastAsia="lv-LV"/>
              </w:rPr>
              <w:t>izglītības iestādēm</w:t>
            </w:r>
            <w:r>
              <w:rPr>
                <w:rFonts w:ascii="Times New Roman" w:eastAsia="Times New Roman" w:hAnsi="Times New Roman" w:cs="Times New Roman"/>
                <w:color w:val="000000" w:themeColor="text1"/>
                <w:sz w:val="24"/>
                <w:szCs w:val="24"/>
                <w:lang w:eastAsia="lv-LV"/>
              </w:rPr>
              <w:t xml:space="preserve"> un pārskaitīt citu izglītības iestāžu dibinātājiem vai valsts dibinātām izglītības iestādēm, pamatojoties uz noslēgto līgumu</w:t>
            </w:r>
            <w:r w:rsidRPr="00602BF4">
              <w:rPr>
                <w:rFonts w:ascii="Times New Roman" w:eastAsia="Times New Roman" w:hAnsi="Times New Roman" w:cs="Times New Roman"/>
                <w:color w:val="000000" w:themeColor="text1"/>
                <w:sz w:val="24"/>
                <w:szCs w:val="24"/>
                <w:lang w:eastAsia="lv-LV"/>
              </w:rPr>
              <w:t xml:space="preserve"> par mācību priekšmetu vai to daļu īstenošanu vispārējās vidējās izglītības programmas ietvaros. </w:t>
            </w:r>
            <w:r w:rsidRPr="00BB20FD">
              <w:rPr>
                <w:rFonts w:ascii="Times New Roman" w:eastAsia="Times New Roman" w:hAnsi="Times New Roman" w:cs="Times New Roman"/>
                <w:color w:val="000000" w:themeColor="text1"/>
                <w:sz w:val="24"/>
                <w:szCs w:val="24"/>
                <w:lang w:eastAsia="lv-LV"/>
              </w:rPr>
              <w:t>Šādi līgumi var tikt slēgti gan ar attiecīgās pašvaldības</w:t>
            </w:r>
            <w:r>
              <w:rPr>
                <w:rFonts w:ascii="Times New Roman" w:eastAsia="Times New Roman" w:hAnsi="Times New Roman" w:cs="Times New Roman"/>
                <w:color w:val="000000" w:themeColor="text1"/>
                <w:sz w:val="24"/>
                <w:szCs w:val="24"/>
                <w:lang w:eastAsia="lv-LV"/>
              </w:rPr>
              <w:t xml:space="preserve"> vai valsts augstskolas</w:t>
            </w:r>
            <w:r w:rsidRPr="00BB20FD">
              <w:rPr>
                <w:rFonts w:ascii="Times New Roman" w:eastAsia="Times New Roman" w:hAnsi="Times New Roman" w:cs="Times New Roman"/>
                <w:color w:val="000000" w:themeColor="text1"/>
                <w:sz w:val="24"/>
                <w:szCs w:val="24"/>
                <w:lang w:eastAsia="lv-LV"/>
              </w:rPr>
              <w:t>, gan citu dibinātāju izglītības iestādēm, tostarp augstākās izglītības iestādēm</w:t>
            </w:r>
            <w:r>
              <w:rPr>
                <w:rFonts w:ascii="Times New Roman" w:eastAsia="Times New Roman" w:hAnsi="Times New Roman" w:cs="Times New Roman"/>
                <w:color w:val="000000" w:themeColor="text1"/>
                <w:sz w:val="24"/>
                <w:szCs w:val="24"/>
                <w:lang w:eastAsia="lv-LV"/>
              </w:rPr>
              <w:t>.</w:t>
            </w:r>
          </w:p>
          <w:p w14:paraId="1F8FDB21" w14:textId="77777777" w:rsidR="00ED4B31" w:rsidRDefault="00ED4B31" w:rsidP="00ED4B31">
            <w:pPr>
              <w:pStyle w:val="tv213"/>
              <w:spacing w:before="0" w:beforeAutospacing="0" w:after="0" w:afterAutospacing="0"/>
              <w:ind w:firstLine="365"/>
              <w:jc w:val="both"/>
              <w:rPr>
                <w:color w:val="000000" w:themeColor="text1"/>
              </w:rPr>
            </w:pPr>
            <w:r>
              <w:rPr>
                <w:color w:val="000000" w:themeColor="text1"/>
              </w:rPr>
              <w:t xml:space="preserve">Ievērojot to, ka </w:t>
            </w:r>
            <w:r w:rsidRPr="003F6F15">
              <w:rPr>
                <w:color w:val="000000" w:themeColor="text1"/>
              </w:rPr>
              <w:t xml:space="preserve">Ministru kabineta 2020. gada 11. augusta noteikumos Nr. 518 </w:t>
            </w:r>
            <w:r>
              <w:rPr>
                <w:color w:val="000000" w:themeColor="text1"/>
              </w:rPr>
              <w:t>“</w:t>
            </w:r>
            <w:r w:rsidRPr="003F6F15">
              <w:rPr>
                <w:color w:val="000000" w:themeColor="text1"/>
              </w:rPr>
              <w:t>Kārtība, kādā tiek piešķirts un anulēts valsts ģimnāzijas statuss</w:t>
            </w:r>
            <w:r>
              <w:rPr>
                <w:color w:val="000000" w:themeColor="text1"/>
              </w:rPr>
              <w:t>”</w:t>
            </w:r>
            <w:r w:rsidRPr="003F6F15">
              <w:rPr>
                <w:color w:val="000000" w:themeColor="text1"/>
              </w:rPr>
              <w:t xml:space="preserve"> </w:t>
            </w:r>
            <w:r>
              <w:rPr>
                <w:color w:val="000000" w:themeColor="text1"/>
              </w:rPr>
              <w:t xml:space="preserve">(turpmāk – noteikumi Nr. 518) </w:t>
            </w:r>
            <w:r w:rsidRPr="003F6F15">
              <w:rPr>
                <w:color w:val="000000" w:themeColor="text1"/>
              </w:rPr>
              <w:t>ietverti kritēriji un kārtība, kādā tiek piešķirts un anulēts valsts ģimnāzijas statuss, taču nav atrunāta kārtība, kādā veidā tiek vērtētas nepieciešamās finansējuma piešķiršanas izmaiņas</w:t>
            </w:r>
            <w:r>
              <w:rPr>
                <w:color w:val="000000" w:themeColor="text1"/>
              </w:rPr>
              <w:t>, projektā tiek precizēts 7.5. apakšpunkts, kas sekmē raitu darbību ministrijas pusē arī tajos gadījumos, ja valsts ģimnāzija neatbilst būtiskajiem kritērijiem, taču tai vēl nav formāli anulēts valsts ģimnāzijas statuss. Ministru kabineta 2018. gada 11. septembra noteikumi Nr. 583 “</w:t>
            </w:r>
            <w:r w:rsidRPr="00557BD0">
              <w:rPr>
                <w:color w:val="000000" w:themeColor="text1"/>
              </w:rPr>
              <w:t>Kritēriji un kārtība, kādā valsts piedalās vispārējās izglītības iestāžu pedagogu darba samaksas finansēšanā vidējās izglītības pakāpē</w:t>
            </w:r>
            <w:r>
              <w:rPr>
                <w:color w:val="000000" w:themeColor="text1"/>
              </w:rPr>
              <w:t xml:space="preserve">” (turpmāk – noteikumi Nr. 583) nosaka </w:t>
            </w:r>
            <w:r w:rsidRPr="00557BD0">
              <w:rPr>
                <w:color w:val="000000" w:themeColor="text1"/>
              </w:rPr>
              <w:t>kvalitātes kritērijus, minimāli pieļaujamo izglītojamo skaitu klašu grupā vidējās izglītības pakāpē pašvaldību, valsts augstskolu un privātajās vispārējās vidējās izglītības iestādēs, kā arī kritērijus maksimāli pieļaujamā izglītojamo skaita noteikšanai minētajās izglītības iestādēs</w:t>
            </w:r>
            <w:r>
              <w:rPr>
                <w:color w:val="000000" w:themeColor="text1"/>
              </w:rPr>
              <w:t xml:space="preserve">, kā arī nosaka kritērijus un kārtību, kādā valsts, </w:t>
            </w:r>
            <w:r w:rsidRPr="00557BD0">
              <w:rPr>
                <w:color w:val="000000" w:themeColor="text1"/>
              </w:rPr>
              <w:t xml:space="preserve">ņemot vērā minimāli pieļaujamo izglītojamo skaitu vidējās izglītības pakāpē, piedalās pašvaldību, valsts augstskolu un privāto vispārējās izglītības iestāžu vispārējās vidējās izglītības programmu īstenošanā iesaistīto pedagogu darba samaksas finansēšanā, ja </w:t>
            </w:r>
            <w:r w:rsidRPr="00557BD0">
              <w:rPr>
                <w:color w:val="000000" w:themeColor="text1"/>
              </w:rPr>
              <w:lastRenderedPageBreak/>
              <w:t>izglītības iestāde neatbilst šajos noteikumos minētajiem kvalitātes kritērijiem</w:t>
            </w:r>
            <w:r>
              <w:rPr>
                <w:color w:val="000000" w:themeColor="text1"/>
              </w:rPr>
              <w:t xml:space="preserve">. Kā kvalitātes kritēriji noteikumos Nr. 583 noteikti tie, kas saistīti ar akreditāciju (3.1. apakšpunkts) un ar 12. klases </w:t>
            </w:r>
            <w:r w:rsidRPr="00BA0E1B">
              <w:rPr>
                <w:color w:val="000000" w:themeColor="text1"/>
              </w:rPr>
              <w:t>izglītojamo kārtoto obligāto centralizēto eksāmenu rezultātu indeks</w:t>
            </w:r>
            <w:r>
              <w:rPr>
                <w:color w:val="000000" w:themeColor="text1"/>
              </w:rPr>
              <w:t>u (turpmāk – OCE indekss) (3.2. apakšpunkts). Minimāli pieļaujamais izglītojamo skaits noteikts  noteikumu Nr. 583 4. punktā. Ministrijā ir sagatavoti grozījumi minētajos noteikumos Nr. 583, kas ir izsludināti Valsts sekretāru sanāksmē 2021. gada 1. aprīlī (VSS-292). Ar minētajiem grozījumiem pilnveidoti noteikumi Nr. 583, tostarp izglītojamo skaita kritērijs un ar akreditāciju saistītais kritērijs, kā arī sākotnējās ietekmes novērtējuma ziņojumā (anotācijā) skaidrots, ka noteikumi Nr. 583 attiecināmi uz valsts ģimnāzijām. Vēršam uzmanību, ka noteikumu Nr. 518 10. punktā noteiktais izglītojamo skaits ir lielāks nekā noteikumu Nr. 583 grozījumos paredzētais; noteikumu Nr. 518 2.1. apakšpunktā (un attiecīgi 16. punktā) noteiktais OCE indekss ir augstāks nekā noteikumu Nr. 583 3.2. apakšpunktā (un attiecīgi 11. punktā) paredzētais; noteikumu Nr. 518 2.2.7. apakšpunktā tiks veikti grozījumi attiecībā uz kritēriju par akreditāciju (ņemot vērā to, ka 2020. gada 6. oktobrī tika pieņemti Ministru kabineta noteikumi Nr. 618 “</w:t>
            </w:r>
            <w:r w:rsidRPr="00B72E9E">
              <w:rPr>
                <w:color w:val="000000" w:themeColor="text1"/>
              </w:rPr>
              <w:t>Izglītības iestāžu, eksaminācijas centru, citu Izglītības likumā noteiktu institūciju un izglītības programmu akreditācijas un izglītības iestāžu vadītāju profesionālās darbības novērtēšanas kārtība</w:t>
            </w:r>
            <w:r>
              <w:rPr>
                <w:color w:val="000000" w:themeColor="text1"/>
              </w:rPr>
              <w:t xml:space="preserve">”, atbilstoši kuriem pilnveidota akreditācijas kārtība), tostarp paredzot, ka minētās prasības ir augstākas nekā noteikumu Nr. 583 grozījumos paredzētās. Līdz ar to, noteikumos Nr. 518 ietvertie kritēriji, kas ir analogi minētajiem ar valsts finansējuma piešķiršanu saistītajiem kritērijiem, kas ir ietverti noteikumos Nr. 583, taču augstāki, jo saistīti ar valsts ģimnāzijas īpašo statusu, var tikt vērtēti kontekstā ar valsts ģimnāzijām paredzētā papildu finansējuma (izglītojamo skaitam vidējās izglītības pakāpē piemērojot koeficientu 1,22) piešķiršanu. No minētā izriet, ka gadījumā, ja valsts ģimnāzija neatbildīs minētajiem noteikumos Nr. 518 ietvertajiem kritērijiem,  vispārējās vidējās izglītības programmu izglītojamo skaitam piemēros koeficientu 1, savukārt, ja neatbildīs arī noteikumos Nr. 583 ietvertajiem attiecīgajiem kritērijiem – tiks piemēroti noteikumi Nr. 583. </w:t>
            </w:r>
            <w:r w:rsidRPr="003F6F15">
              <w:rPr>
                <w:color w:val="000000" w:themeColor="text1"/>
              </w:rPr>
              <w:t xml:space="preserve">Līdz ar to šāds precizējums noteikumos Nr. 447 paātrina valsts finansējuma piešķiršanas izmaiņas arī </w:t>
            </w:r>
            <w:r>
              <w:rPr>
                <w:color w:val="000000" w:themeColor="text1"/>
              </w:rPr>
              <w:t xml:space="preserve">pirms </w:t>
            </w:r>
            <w:r w:rsidRPr="003F6F15">
              <w:rPr>
                <w:color w:val="000000" w:themeColor="text1"/>
              </w:rPr>
              <w:t xml:space="preserve">iespējamās valsts ģimnāzijas statusa anulēšanas </w:t>
            </w:r>
            <w:r>
              <w:rPr>
                <w:color w:val="000000" w:themeColor="text1"/>
              </w:rPr>
              <w:t xml:space="preserve">gadījuma, konstatējot neatbilstību būtiskiem kritērijiem, kas attiecībā uz citām vispārējās vidējās izglītības iestādēm </w:t>
            </w:r>
            <w:r>
              <w:rPr>
                <w:color w:val="000000" w:themeColor="text1"/>
              </w:rPr>
              <w:lastRenderedPageBreak/>
              <w:t>saistīti ar iespēju saņemt valsts finansējumu pedagogu darba samaksai vidējās izglītības pakāpē pēc būtības</w:t>
            </w:r>
            <w:r w:rsidRPr="003F6F15">
              <w:rPr>
                <w:color w:val="000000" w:themeColor="text1"/>
              </w:rPr>
              <w:t xml:space="preserve">. </w:t>
            </w:r>
          </w:p>
          <w:p w14:paraId="6CD640C0" w14:textId="77777777" w:rsidR="00ED4B31" w:rsidRDefault="00ED4B31" w:rsidP="00ED4B31">
            <w:pPr>
              <w:spacing w:after="0" w:line="240" w:lineRule="auto"/>
              <w:ind w:firstLine="50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Vienlaikus projekts paredz, ka augstāk minētā norma, kas attiecas uz izmaiņām mērķdotācijas aprēķinā pedagogu darba samaksai valsts ģimnāzijām, stāsies spēkā 2022. gada 1. augustā, ņemot vērā šādus apstākļus:</w:t>
            </w:r>
          </w:p>
          <w:p w14:paraId="727EF5B1" w14:textId="77777777" w:rsidR="00ED4B31" w:rsidRDefault="00ED4B31" w:rsidP="00ED4B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Covid-19 izplatības apstākļos, kad 12. klašu izglītojamie 2020./2021. mācību gadā lielākoties mācījušies attālināti, kas varētu ietekmēt arī mācību rezultātus, ir būtiski nepiemērot regulējumu par OCE indeksa izvērtēšanu;</w:t>
            </w:r>
          </w:p>
          <w:p w14:paraId="0BA46F88" w14:textId="77777777" w:rsidR="00ED4B31" w:rsidRDefault="00ED4B31" w:rsidP="00ED4B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arī attiecībā uz noteikumos Nr. 583 ietverto regulējumu m</w:t>
            </w:r>
            <w:r w:rsidRPr="004E7641">
              <w:rPr>
                <w:rFonts w:ascii="Times New Roman" w:hAnsi="Times New Roman" w:cs="Times New Roman"/>
                <w:color w:val="000000" w:themeColor="text1"/>
                <w:sz w:val="24"/>
                <w:szCs w:val="24"/>
              </w:rPr>
              <w:t>inistrija vienlaikus gatavo grozījumus Covid-19 infekcijas izplatības pārvaldības likumā, lai noteiktu, ka Izglītības likuma 60.panta 3.</w:t>
            </w:r>
            <w:r w:rsidRPr="00C82F15">
              <w:rPr>
                <w:rFonts w:ascii="Times New Roman" w:hAnsi="Times New Roman" w:cs="Times New Roman"/>
                <w:color w:val="000000" w:themeColor="text1"/>
                <w:sz w:val="24"/>
                <w:szCs w:val="24"/>
                <w:vertAlign w:val="superscript"/>
              </w:rPr>
              <w:t>2</w:t>
            </w:r>
            <w:r w:rsidRPr="004E7641">
              <w:rPr>
                <w:rFonts w:ascii="Times New Roman" w:hAnsi="Times New Roman" w:cs="Times New Roman"/>
                <w:color w:val="000000" w:themeColor="text1"/>
                <w:sz w:val="24"/>
                <w:szCs w:val="24"/>
              </w:rPr>
              <w:t xml:space="preserve"> daļu nepiemēro attiecībā uz izglītības iestāžu darbību 2020./2021.m.g., un ka līdz 2022. gada 31. augustam valsts nodrošina pašvaldību, valsts augstskolu un privāto vispārējās izglītības iestāžu īstenoto vispārējās izglītības programmu vidējās izglītības pakāpē nodarbināto pedagogu darba samaksu atbilstoši Izglītības likuma 59. panta otrās daļas un 60. panta trešās daļas noteikumiem. </w:t>
            </w:r>
            <w:r>
              <w:rPr>
                <w:rFonts w:ascii="Times New Roman" w:hAnsi="Times New Roman" w:cs="Times New Roman"/>
                <w:color w:val="000000" w:themeColor="text1"/>
                <w:sz w:val="24"/>
                <w:szCs w:val="24"/>
              </w:rPr>
              <w:t>Tādējādi atbilstoši noteikumiem Nr. 583 OCE</w:t>
            </w:r>
            <w:r w:rsidRPr="004E7641">
              <w:rPr>
                <w:rFonts w:ascii="Times New Roman" w:hAnsi="Times New Roman" w:cs="Times New Roman"/>
                <w:color w:val="000000" w:themeColor="text1"/>
                <w:sz w:val="24"/>
                <w:szCs w:val="24"/>
              </w:rPr>
              <w:t xml:space="preserve"> indeksa aprēķins un līdz ar to akreditācijas rezultāti ti</w:t>
            </w:r>
            <w:r>
              <w:rPr>
                <w:rFonts w:ascii="Times New Roman" w:hAnsi="Times New Roman" w:cs="Times New Roman"/>
                <w:color w:val="000000" w:themeColor="text1"/>
                <w:sz w:val="24"/>
                <w:szCs w:val="24"/>
              </w:rPr>
              <w:t>ks</w:t>
            </w:r>
            <w:r w:rsidRPr="004E7641">
              <w:rPr>
                <w:rFonts w:ascii="Times New Roman" w:hAnsi="Times New Roman" w:cs="Times New Roman"/>
                <w:color w:val="000000" w:themeColor="text1"/>
                <w:sz w:val="24"/>
                <w:szCs w:val="24"/>
              </w:rPr>
              <w:t xml:space="preserve"> kopā vērtēti kā izglītības iestādes sniegtās izglītības kvalitāte no 2021./2022.m.g.</w:t>
            </w:r>
          </w:p>
          <w:p w14:paraId="3E575AFF" w14:textId="29BC430E" w:rsidR="00ED4B31" w:rsidRPr="00C86826" w:rsidRDefault="00E64E2A" w:rsidP="00ED4B31">
            <w:pPr>
              <w:pStyle w:val="tv213"/>
              <w:spacing w:before="0" w:beforeAutospacing="0" w:after="0" w:afterAutospacing="0"/>
              <w:ind w:firstLine="365"/>
              <w:jc w:val="both"/>
              <w:rPr>
                <w:color w:val="000000" w:themeColor="text1"/>
              </w:rPr>
            </w:pPr>
            <w:r>
              <w:rPr>
                <w:color w:val="000000" w:themeColor="text1"/>
              </w:rPr>
              <w:t>Projekts tiek papildināts</w:t>
            </w:r>
            <w:r w:rsidRPr="00602BF4">
              <w:rPr>
                <w:color w:val="000000" w:themeColor="text1"/>
              </w:rPr>
              <w:t xml:space="preserve"> ar 7.7.</w:t>
            </w:r>
            <w:r w:rsidRPr="006D382A">
              <w:rPr>
                <w:color w:val="000000" w:themeColor="text1"/>
                <w:vertAlign w:val="superscript"/>
              </w:rPr>
              <w:t xml:space="preserve">1 </w:t>
            </w:r>
            <w:r w:rsidRPr="00602BF4">
              <w:rPr>
                <w:color w:val="000000" w:themeColor="text1"/>
              </w:rPr>
              <w:t>apakšpunkt</w:t>
            </w:r>
            <w:r>
              <w:rPr>
                <w:color w:val="000000" w:themeColor="text1"/>
              </w:rPr>
              <w:t xml:space="preserve">u, piemērojot </w:t>
            </w:r>
            <w:r w:rsidR="00ED4B31">
              <w:rPr>
                <w:color w:val="000000" w:themeColor="text1"/>
              </w:rPr>
              <w:t>jaunu aprēķina koeficientu 0,1 apmērā attiecībā uz i</w:t>
            </w:r>
            <w:r w:rsidR="00ED4B31" w:rsidRPr="00CA01B3">
              <w:rPr>
                <w:color w:val="000000" w:themeColor="text1"/>
              </w:rPr>
              <w:t>zglītojamiem, kas pamatizglītības, izņemot speciālās pamatizglītības, pirmā posma izglītības programmas daļā paredzēto mācību saturu apgūst ģimenē</w:t>
            </w:r>
            <w:r w:rsidR="00ED4B31">
              <w:rPr>
                <w:color w:val="000000" w:themeColor="text1"/>
              </w:rPr>
              <w:t xml:space="preserve">. </w:t>
            </w:r>
            <w:r w:rsidR="00ED4B31" w:rsidRPr="00602BF4">
              <w:rPr>
                <w:color w:val="000000" w:themeColor="text1"/>
              </w:rPr>
              <w:t>Saskaņā ar Izglītības likuma 8.</w:t>
            </w:r>
            <w:r w:rsidR="00ED4B31">
              <w:rPr>
                <w:color w:val="000000" w:themeColor="text1"/>
              </w:rPr>
              <w:t> </w:t>
            </w:r>
            <w:r w:rsidR="00ED4B31" w:rsidRPr="00602BF4">
              <w:rPr>
                <w:color w:val="000000" w:themeColor="text1"/>
              </w:rPr>
              <w:t>pant</w:t>
            </w:r>
            <w:r w:rsidR="00ED4B31">
              <w:rPr>
                <w:color w:val="000000" w:themeColor="text1"/>
              </w:rPr>
              <w:t>a pirmās daļas 4. punktu</w:t>
            </w:r>
            <w:r w:rsidR="00ED4B31" w:rsidRPr="00602BF4">
              <w:rPr>
                <w:color w:val="000000" w:themeColor="text1"/>
              </w:rPr>
              <w:t xml:space="preserve"> viena no izglītības ieguves formām ir izglītība ģimenē. </w:t>
            </w:r>
            <w:r w:rsidR="00ED4B31" w:rsidRPr="00CA01B3">
              <w:rPr>
                <w:color w:val="000000" w:themeColor="text1"/>
              </w:rPr>
              <w:t>Plašāks regulējums par mācību satura apguvi ģimenē noteikts Ministru kabineta 2015.</w:t>
            </w:r>
            <w:r w:rsidR="00ED4B31">
              <w:rPr>
                <w:color w:val="000000" w:themeColor="text1"/>
              </w:rPr>
              <w:t> </w:t>
            </w:r>
            <w:r w:rsidR="00ED4B31" w:rsidRPr="00CA01B3">
              <w:rPr>
                <w:color w:val="000000" w:themeColor="text1"/>
              </w:rPr>
              <w:t>gada 13.</w:t>
            </w:r>
            <w:r w:rsidR="00ED4B31">
              <w:rPr>
                <w:color w:val="000000" w:themeColor="text1"/>
              </w:rPr>
              <w:t> </w:t>
            </w:r>
            <w:r w:rsidR="00ED4B31" w:rsidRPr="00CA01B3">
              <w:rPr>
                <w:color w:val="000000" w:themeColor="text1"/>
              </w:rPr>
              <w:t>oktobra noteikumu Nr.</w:t>
            </w:r>
            <w:r w:rsidR="00ED4B31">
              <w:rPr>
                <w:color w:val="000000" w:themeColor="text1"/>
              </w:rPr>
              <w:t> </w:t>
            </w:r>
            <w:r w:rsidR="00ED4B31" w:rsidRPr="00CA01B3">
              <w:rPr>
                <w:color w:val="000000" w:themeColor="text1"/>
              </w:rPr>
              <w:t xml:space="preserve">591 “Kārtība, kādā izglītojamie tiek uzņemti vispārējās izglītības programmās, speciālajās izglītības iestādēs un speciālajās pirmsskolas izglītības grupās un atskaitīti no tām, kā arī pārcelti uz nākamo klasi” 22. punktā. Vienlaikus vēršama uzmanība, ka ir izstrādāts un sabiedriskajai apspriešanai nodots Ministru kabineta noteikumu projekts “Kārtība, kādā izglītojamie tiek uzņemti vispārējās izglītības programmās, speciālajās izglītības iestādēs un speciālajās pirmsskolas izglītības grupās un atskaitīti no tām, kā arī pārcelti uz nākamo klasi”, kas aizstās minētos noteikumus Nr. 591, un kuros ir ietverts pilnveidots regulējums par mācību satura apguvi ģimenē. </w:t>
            </w:r>
            <w:r w:rsidR="00ED4B31">
              <w:rPr>
                <w:color w:val="000000" w:themeColor="text1"/>
              </w:rPr>
              <w:t>Tieši m</w:t>
            </w:r>
            <w:r w:rsidR="00ED4B31" w:rsidRPr="00CA01B3">
              <w:rPr>
                <w:color w:val="000000" w:themeColor="text1"/>
              </w:rPr>
              <w:t xml:space="preserve">inētais noteikumu projekts paredz, ka </w:t>
            </w:r>
            <w:r w:rsidR="00ED4B31" w:rsidRPr="00B143A0">
              <w:rPr>
                <w:color w:val="000000" w:themeColor="text1"/>
              </w:rPr>
              <w:t xml:space="preserve">pamatizglītības, izņemot speciālās pamatizglītības, pirmā posma izglītības programmas </w:t>
            </w:r>
            <w:r w:rsidR="00ED4B31" w:rsidRPr="00B143A0">
              <w:rPr>
                <w:color w:val="000000" w:themeColor="text1"/>
              </w:rPr>
              <w:lastRenderedPageBreak/>
              <w:t>daļā paredzēto mācību saturu izglītojamais apgūst ģimenē</w:t>
            </w:r>
            <w:r w:rsidR="00ED4B31">
              <w:rPr>
                <w:color w:val="000000" w:themeColor="text1"/>
              </w:rPr>
              <w:t>, un citstarp</w:t>
            </w:r>
            <w:r w:rsidR="00ED4B31" w:rsidRPr="00B143A0">
              <w:rPr>
                <w:color w:val="000000" w:themeColor="text1"/>
              </w:rPr>
              <w:t xml:space="preserve"> </w:t>
            </w:r>
            <w:r w:rsidR="00ED4B31" w:rsidRPr="00CA01B3">
              <w:rPr>
                <w:color w:val="000000" w:themeColor="text1"/>
              </w:rPr>
              <w:t xml:space="preserve">izglītības iestāde nodrošina iespēju vecākam ne retāk kā reizi mēnesī saņemt mācību priekšmeta pedagoga konsultāciju, </w:t>
            </w:r>
            <w:r w:rsidR="00ED4B31">
              <w:rPr>
                <w:color w:val="000000" w:themeColor="text1"/>
              </w:rPr>
              <w:t>kā arī</w:t>
            </w:r>
            <w:r w:rsidR="00ED4B31" w:rsidRPr="00CA01B3">
              <w:rPr>
                <w:color w:val="000000" w:themeColor="text1"/>
              </w:rPr>
              <w:t xml:space="preserve"> izglītības iestāde ne retāk kā divas reizes semestrī novērtē izglītojamā mācību sniegumu. </w:t>
            </w:r>
            <w:r w:rsidR="00ED4B31">
              <w:rPr>
                <w:color w:val="000000" w:themeColor="text1"/>
              </w:rPr>
              <w:t xml:space="preserve">Ievērojot minēto, ir nepieciešams nodrošināt atbilstošu finansējuma apmēru. </w:t>
            </w:r>
            <w:r w:rsidR="00ED4B31" w:rsidRPr="00602BF4">
              <w:rPr>
                <w:color w:val="000000" w:themeColor="text1"/>
              </w:rPr>
              <w:t xml:space="preserve">Atkarībā no mācību plāna, </w:t>
            </w:r>
            <w:r w:rsidR="00ED4B31">
              <w:rPr>
                <w:color w:val="000000" w:themeColor="text1"/>
              </w:rPr>
              <w:t>kas noteikts 2018. gada 27. novembra Ministru kabineta noteikumos Nr. 747 "</w:t>
            </w:r>
            <w:r w:rsidR="00ED4B31" w:rsidRPr="003F6F15">
              <w:rPr>
                <w:color w:val="000000" w:themeColor="text1"/>
              </w:rPr>
              <w:t>Noteikumi par valsts pamatizglītības standartu un pamatizglītības programmu paraugiem</w:t>
            </w:r>
            <w:r w:rsidR="00ED4B31">
              <w:rPr>
                <w:color w:val="000000" w:themeColor="text1"/>
              </w:rPr>
              <w:t>"</w:t>
            </w:r>
            <w:r w:rsidR="00ED4B31" w:rsidRPr="00602BF4">
              <w:rPr>
                <w:color w:val="000000" w:themeColor="text1"/>
              </w:rPr>
              <w:t>, pedagoga slodze veidojas no 0,15 līdz 0,19 no 30 stundām nedēļā. Pārrēķinot to, ka</w:t>
            </w:r>
            <w:r w:rsidR="00ED4B31">
              <w:rPr>
                <w:color w:val="000000" w:themeColor="text1"/>
              </w:rPr>
              <w:t xml:space="preserve"> nepieciešamais pedagogu</w:t>
            </w:r>
            <w:r w:rsidR="00ED4B31" w:rsidRPr="00602BF4">
              <w:rPr>
                <w:color w:val="000000" w:themeColor="text1"/>
              </w:rPr>
              <w:t xml:space="preserve"> atbalsts izglītojamiem varētu </w:t>
            </w:r>
            <w:r w:rsidR="00ED4B31">
              <w:rPr>
                <w:color w:val="000000" w:themeColor="text1"/>
              </w:rPr>
              <w:t xml:space="preserve">tikt nodrošināts skolēnu grupu lielumā, kas </w:t>
            </w:r>
            <w:r w:rsidR="00ED4B31" w:rsidRPr="00602BF4">
              <w:rPr>
                <w:color w:val="000000" w:themeColor="text1"/>
              </w:rPr>
              <w:t>svārstīt</w:t>
            </w:r>
            <w:r w:rsidR="00ED4B31">
              <w:rPr>
                <w:color w:val="000000" w:themeColor="text1"/>
              </w:rPr>
              <w:t>o</w:t>
            </w:r>
            <w:r w:rsidR="00ED4B31" w:rsidRPr="00602BF4">
              <w:rPr>
                <w:color w:val="000000" w:themeColor="text1"/>
              </w:rPr>
              <w:t xml:space="preserve">s apmērā no 10 </w:t>
            </w:r>
            <w:r w:rsidR="00ED4B31">
              <w:rPr>
                <w:color w:val="000000" w:themeColor="text1"/>
              </w:rPr>
              <w:t xml:space="preserve">(vidējais skolēnu skaits mazā klasē) </w:t>
            </w:r>
            <w:r w:rsidR="00ED4B31" w:rsidRPr="00602BF4">
              <w:rPr>
                <w:color w:val="000000" w:themeColor="text1"/>
              </w:rPr>
              <w:t>līdz 1</w:t>
            </w:r>
            <w:r w:rsidR="00ED4B31">
              <w:rPr>
                <w:color w:val="000000" w:themeColor="text1"/>
              </w:rPr>
              <w:t>7</w:t>
            </w:r>
            <w:r w:rsidR="00ED4B31" w:rsidRPr="00602BF4">
              <w:rPr>
                <w:color w:val="000000" w:themeColor="text1"/>
              </w:rPr>
              <w:t xml:space="preserve"> skolēn</w:t>
            </w:r>
            <w:r w:rsidR="00ED4B31">
              <w:rPr>
                <w:color w:val="000000" w:themeColor="text1"/>
              </w:rPr>
              <w:t>iem (vidējais skolēnu skaits vidējā klasē)</w:t>
            </w:r>
            <w:r w:rsidR="00ED4B31" w:rsidRPr="00602BF4">
              <w:rPr>
                <w:color w:val="000000" w:themeColor="text1"/>
              </w:rPr>
              <w:t>, finanšu nodrošinājums atbilst</w:t>
            </w:r>
            <w:r w:rsidR="00ED4B31">
              <w:rPr>
                <w:color w:val="000000" w:themeColor="text1"/>
              </w:rPr>
              <w:t>u</w:t>
            </w:r>
            <w:r w:rsidR="00ED4B31" w:rsidRPr="00602BF4">
              <w:rPr>
                <w:color w:val="000000" w:themeColor="text1"/>
              </w:rPr>
              <w:t xml:space="preserve"> 0,1 koeficientam</w:t>
            </w:r>
            <w:r w:rsidR="00ED4B31">
              <w:rPr>
                <w:color w:val="000000" w:themeColor="text1"/>
              </w:rPr>
              <w:t>.</w:t>
            </w:r>
            <w:r w:rsidR="00ED4B31" w:rsidRPr="00602BF4">
              <w:rPr>
                <w:color w:val="000000" w:themeColor="text1"/>
              </w:rPr>
              <w:t xml:space="preserve"> </w:t>
            </w:r>
          </w:p>
          <w:p w14:paraId="384AB105" w14:textId="77777777" w:rsidR="00ED4B31" w:rsidRPr="002110C2" w:rsidRDefault="00ED4B31" w:rsidP="00ED4B31">
            <w:pPr>
              <w:spacing w:after="0" w:line="240" w:lineRule="auto"/>
              <w:ind w:firstLine="507"/>
              <w:jc w:val="both"/>
              <w:rPr>
                <w:rFonts w:ascii="Times New Roman" w:hAnsi="Times New Roman" w:cs="Times New Roman"/>
                <w:color w:val="000000" w:themeColor="text1"/>
                <w:sz w:val="24"/>
                <w:szCs w:val="24"/>
              </w:rPr>
            </w:pPr>
            <w:r w:rsidRPr="002110C2">
              <w:rPr>
                <w:rFonts w:ascii="Times New Roman" w:hAnsi="Times New Roman" w:cs="Times New Roman"/>
                <w:color w:val="000000" w:themeColor="text1"/>
                <w:sz w:val="24"/>
                <w:szCs w:val="24"/>
              </w:rPr>
              <w:t>Atbilstoši Administratīvo teritoriju un apdzīvoto vietu likuma pārejas noteikumu 2.</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punktā noteiktajam republikas pilsētu un novadu pašvaldības turpina pildīt savas funkcijas un uzdevumus normatīvajos aktos noteiktajā kārtībā līdz 2021.</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gada pašvaldību vēlēšanās ievēlētās pašvaldības domes pirmajai sēdei, kura tiek sasaukta šajā likumā noteiktajā kārtībā 2021.</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gada 1.</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jūlijā. Līdz 2021.</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gada 30.</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jūnijam pašvaldību darbībā ir piemērojami Ministru kabineta 2013.</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gada 19.</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marta noteikumi Nr.</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 xml:space="preserve">154 “Noteikumi par republikas pilsētu un novadu administratīvo teritoriju robežu aprakstu apstiprināšanu”. </w:t>
            </w:r>
          </w:p>
          <w:p w14:paraId="2475D221" w14:textId="77777777" w:rsidR="00ED4B31" w:rsidRPr="002110C2" w:rsidRDefault="00ED4B31" w:rsidP="00ED4B31">
            <w:pPr>
              <w:spacing w:after="0" w:line="240" w:lineRule="auto"/>
              <w:ind w:firstLine="507"/>
              <w:jc w:val="both"/>
              <w:rPr>
                <w:rFonts w:ascii="Times New Roman" w:hAnsi="Times New Roman" w:cs="Times New Roman"/>
                <w:color w:val="000000" w:themeColor="text1"/>
                <w:sz w:val="24"/>
                <w:szCs w:val="24"/>
              </w:rPr>
            </w:pPr>
            <w:r w:rsidRPr="002110C2">
              <w:rPr>
                <w:rFonts w:ascii="Times New Roman" w:hAnsi="Times New Roman" w:cs="Times New Roman"/>
                <w:color w:val="000000" w:themeColor="text1"/>
                <w:sz w:val="24"/>
                <w:szCs w:val="24"/>
              </w:rPr>
              <w:t>Minētā likuma pārejas noteikumu 6.</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punkts noteic, ka ar 2021.</w:t>
            </w:r>
            <w:r>
              <w:rPr>
                <w:rFonts w:ascii="Times New Roman" w:hAnsi="Times New Roman" w:cs="Times New Roman"/>
                <w:color w:val="000000" w:themeColor="text1"/>
                <w:sz w:val="24"/>
                <w:szCs w:val="24"/>
              </w:rPr>
              <w:t> </w:t>
            </w:r>
            <w:r w:rsidRPr="002110C2">
              <w:rPr>
                <w:rFonts w:ascii="Times New Roman" w:hAnsi="Times New Roman" w:cs="Times New Roman"/>
                <w:color w:val="000000" w:themeColor="text1"/>
                <w:sz w:val="24"/>
                <w:szCs w:val="24"/>
              </w:rPr>
              <w:t xml:space="preserve">gada pašvaldību vēlēšanās jaunievēlētās pašvaldības domes pirmo sēdi izbeidzas visu bijušo pašvaldību domju pilnvaras. Novada pašvaldība ir attiecīgajā novadā iekļauto pašvaldību institūciju, finanšu, mantas, tiesību un saistību pārņēmēja. </w:t>
            </w:r>
          </w:p>
          <w:p w14:paraId="570AF023" w14:textId="77777777" w:rsidR="00ED4B31" w:rsidRPr="00C86826" w:rsidRDefault="00ED4B31" w:rsidP="00ED4B31">
            <w:pPr>
              <w:spacing w:after="0" w:line="240" w:lineRule="auto"/>
              <w:ind w:firstLine="365"/>
              <w:jc w:val="both"/>
              <w:rPr>
                <w:rFonts w:ascii="Times New Roman" w:hAnsi="Times New Roman" w:cs="Times New Roman"/>
                <w:color w:val="000000" w:themeColor="text1"/>
                <w:sz w:val="24"/>
                <w:szCs w:val="24"/>
              </w:rPr>
            </w:pPr>
            <w:r w:rsidRPr="002110C2">
              <w:rPr>
                <w:rFonts w:ascii="Times New Roman" w:hAnsi="Times New Roman" w:cs="Times New Roman"/>
                <w:color w:val="000000" w:themeColor="text1"/>
                <w:sz w:val="24"/>
                <w:szCs w:val="24"/>
              </w:rPr>
              <w:t>Ņemot vērā iepriekš minēto, kā arī, lai pašvaldību sniegtā grāmatvedības informācija būtu patiesa, salīdzināma, savlaicīga, nozīmīga, saprotama un pilnīga, pārskatus nepieciešams iesniegt divas reizes budžeta gada ietvaros</w:t>
            </w:r>
            <w:r>
              <w:rPr>
                <w:rFonts w:ascii="Times New Roman" w:hAnsi="Times New Roman" w:cs="Times New Roman"/>
                <w:color w:val="000000" w:themeColor="text1"/>
                <w:sz w:val="24"/>
                <w:szCs w:val="24"/>
              </w:rPr>
              <w:t xml:space="preserve">, tādējādi atbilstoši minētajiem nosacījumiem ir papildināts </w:t>
            </w:r>
            <w:r w:rsidRPr="00C86826">
              <w:rPr>
                <w:rFonts w:ascii="Times New Roman" w:hAnsi="Times New Roman" w:cs="Times New Roman"/>
                <w:color w:val="000000" w:themeColor="text1"/>
                <w:sz w:val="24"/>
                <w:szCs w:val="24"/>
              </w:rPr>
              <w:t>projekts ar 23.</w:t>
            </w:r>
            <w:r w:rsidRPr="00C86826">
              <w:rPr>
                <w:rFonts w:ascii="Times New Roman" w:hAnsi="Times New Roman" w:cs="Times New Roman"/>
                <w:color w:val="000000" w:themeColor="text1"/>
                <w:sz w:val="24"/>
                <w:szCs w:val="24"/>
                <w:vertAlign w:val="superscript"/>
              </w:rPr>
              <w:t>7</w:t>
            </w:r>
            <w:r w:rsidRPr="00C86826">
              <w:rPr>
                <w:rFonts w:ascii="Times New Roman" w:hAnsi="Times New Roman" w:cs="Times New Roman"/>
                <w:color w:val="000000" w:themeColor="text1"/>
                <w:sz w:val="24"/>
                <w:szCs w:val="24"/>
              </w:rPr>
              <w:t>, 23.</w:t>
            </w:r>
            <w:r w:rsidRPr="00C86826">
              <w:rPr>
                <w:rFonts w:ascii="Times New Roman" w:hAnsi="Times New Roman" w:cs="Times New Roman"/>
                <w:color w:val="000000" w:themeColor="text1"/>
                <w:sz w:val="24"/>
                <w:szCs w:val="24"/>
                <w:vertAlign w:val="superscript"/>
              </w:rPr>
              <w:t>8</w:t>
            </w:r>
            <w:r w:rsidRPr="00C86826">
              <w:rPr>
                <w:rFonts w:ascii="Times New Roman" w:hAnsi="Times New Roman" w:cs="Times New Roman"/>
                <w:color w:val="000000" w:themeColor="text1"/>
                <w:sz w:val="24"/>
                <w:szCs w:val="24"/>
              </w:rPr>
              <w:t xml:space="preserve"> punktiem.</w:t>
            </w:r>
          </w:p>
          <w:p w14:paraId="59AB58BD" w14:textId="79CEAB6C" w:rsidR="00ED4B31" w:rsidRPr="00602BF4" w:rsidRDefault="00ED4B31" w:rsidP="00ED4B31">
            <w:pPr>
              <w:spacing w:after="0" w:line="240" w:lineRule="auto"/>
              <w:ind w:firstLine="50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Papildinot projektu ar </w:t>
            </w:r>
            <w:r w:rsidRPr="00C86826">
              <w:rPr>
                <w:rFonts w:ascii="Times New Roman" w:hAnsi="Times New Roman" w:cs="Times New Roman"/>
                <w:color w:val="000000" w:themeColor="text1"/>
                <w:sz w:val="24"/>
                <w:szCs w:val="24"/>
              </w:rPr>
              <w:t>23.</w:t>
            </w:r>
            <w:r w:rsidRPr="00C86826">
              <w:rPr>
                <w:rFonts w:ascii="Times New Roman" w:hAnsi="Times New Roman" w:cs="Times New Roman"/>
                <w:color w:val="000000" w:themeColor="text1"/>
                <w:sz w:val="24"/>
                <w:szCs w:val="24"/>
                <w:vertAlign w:val="superscript"/>
              </w:rPr>
              <w:t>9</w:t>
            </w:r>
            <w:r w:rsidRPr="00C868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punktu ir nodrošināta likuma “Par valsts budžetu 2021. gadam” 3. panta pirmās daļas 1) apakšpunktā mērķdotācijas pedagogu darba samaksai finansējuma apmēra nemainība. </w:t>
            </w:r>
            <w:r w:rsidRPr="00602BF4">
              <w:rPr>
                <w:rFonts w:ascii="Times New Roman" w:hAnsi="Times New Roman" w:cs="Times New Roman"/>
                <w:color w:val="000000" w:themeColor="text1"/>
                <w:sz w:val="24"/>
                <w:szCs w:val="24"/>
              </w:rPr>
              <w:t xml:space="preserve">Aprēķins mērķdotācijas pedagogu darba samaksai izglītības iestādēm 2021/2022. mācību gadam tiks veikts atbilstoši </w:t>
            </w:r>
            <w:r>
              <w:rPr>
                <w:rFonts w:ascii="Times New Roman" w:hAnsi="Times New Roman" w:cs="Times New Roman"/>
                <w:color w:val="000000" w:themeColor="text1"/>
                <w:sz w:val="24"/>
                <w:szCs w:val="24"/>
              </w:rPr>
              <w:t xml:space="preserve">noteikumu Nr. 447 9. punktā minētajam administratīvi teritoriālajam iedalījumam kontekstā ar </w:t>
            </w:r>
            <w:r w:rsidRPr="00602BF4">
              <w:rPr>
                <w:rFonts w:ascii="Times New Roman" w:hAnsi="Times New Roman" w:cs="Times New Roman"/>
                <w:color w:val="000000" w:themeColor="text1"/>
                <w:sz w:val="24"/>
                <w:szCs w:val="24"/>
              </w:rPr>
              <w:lastRenderedPageBreak/>
              <w:t>Administratīvo teritoriju un apdzīvoto vietu likum</w:t>
            </w:r>
            <w:r>
              <w:rPr>
                <w:rFonts w:ascii="Times New Roman" w:hAnsi="Times New Roman" w:cs="Times New Roman"/>
                <w:color w:val="000000" w:themeColor="text1"/>
                <w:sz w:val="24"/>
                <w:szCs w:val="24"/>
              </w:rPr>
              <w:t>ā</w:t>
            </w:r>
            <w:r w:rsidRPr="00602BF4">
              <w:rPr>
                <w:rFonts w:ascii="Times New Roman" w:hAnsi="Times New Roman" w:cs="Times New Roman"/>
                <w:color w:val="000000" w:themeColor="text1"/>
                <w:sz w:val="24"/>
                <w:szCs w:val="24"/>
              </w:rPr>
              <w:t xml:space="preserve">, kas bija spēkā līdz 2020. gada </w:t>
            </w:r>
            <w:r>
              <w:rPr>
                <w:rFonts w:ascii="Times New Roman" w:hAnsi="Times New Roman" w:cs="Times New Roman"/>
                <w:color w:val="000000" w:themeColor="text1"/>
                <w:sz w:val="24"/>
                <w:szCs w:val="24"/>
              </w:rPr>
              <w:t>22</w:t>
            </w:r>
            <w:r w:rsidRPr="00602BF4">
              <w:rPr>
                <w:rFonts w:ascii="Times New Roman" w:hAnsi="Times New Roman" w:cs="Times New Roman"/>
                <w:color w:val="000000" w:themeColor="text1"/>
                <w:sz w:val="24"/>
                <w:szCs w:val="24"/>
              </w:rPr>
              <w:t>.  jūnijam,</w:t>
            </w:r>
            <w:r>
              <w:rPr>
                <w:rFonts w:ascii="Times New Roman" w:hAnsi="Times New Roman" w:cs="Times New Roman"/>
                <w:color w:val="000000" w:themeColor="text1"/>
                <w:sz w:val="24"/>
                <w:szCs w:val="24"/>
              </w:rPr>
              <w:t xml:space="preserve"> noteiktajam administratīvi teritoriālajam iedalījumam,</w:t>
            </w:r>
            <w:r w:rsidRPr="00602BF4">
              <w:rPr>
                <w:rFonts w:ascii="Times New Roman" w:hAnsi="Times New Roman" w:cs="Times New Roman"/>
                <w:color w:val="000000" w:themeColor="text1"/>
                <w:sz w:val="24"/>
                <w:szCs w:val="24"/>
              </w:rPr>
              <w:t xml:space="preserve"> </w:t>
            </w:r>
            <w:r w:rsidRPr="00602BF4">
              <w:rPr>
                <w:rFonts w:ascii="Times New Roman" w:hAnsi="Times New Roman" w:cs="Times New Roman"/>
                <w:color w:val="000000" w:themeColor="text1"/>
                <w:sz w:val="24"/>
                <w:szCs w:val="24"/>
                <w:shd w:val="clear" w:color="auto" w:fill="FFFFFF"/>
              </w:rPr>
              <w:t xml:space="preserve">ievērojot </w:t>
            </w:r>
            <w:r>
              <w:rPr>
                <w:rFonts w:ascii="Times New Roman" w:hAnsi="Times New Roman" w:cs="Times New Roman"/>
                <w:color w:val="000000" w:themeColor="text1"/>
                <w:sz w:val="24"/>
                <w:szCs w:val="24"/>
                <w:shd w:val="clear" w:color="auto" w:fill="FFFFFF"/>
              </w:rPr>
              <w:t xml:space="preserve">Ministru kabineta </w:t>
            </w:r>
            <w:r w:rsidRPr="00602BF4">
              <w:rPr>
                <w:rFonts w:ascii="Times New Roman" w:hAnsi="Times New Roman" w:cs="Times New Roman"/>
                <w:color w:val="000000" w:themeColor="text1"/>
                <w:sz w:val="24"/>
                <w:szCs w:val="24"/>
                <w:shd w:val="clear" w:color="auto" w:fill="FFFFFF"/>
              </w:rPr>
              <w:t xml:space="preserve">2018. gada 15. janvāra rīkojumā Nr. 17 </w:t>
            </w:r>
            <w:r w:rsidRPr="00602BF4">
              <w:rPr>
                <w:rFonts w:ascii="Times New Roman" w:hAnsi="Times New Roman" w:cs="Times New Roman"/>
                <w:color w:val="000000" w:themeColor="text1"/>
                <w:sz w:val="24"/>
                <w:szCs w:val="24"/>
              </w:rPr>
              <w:t>“</w:t>
            </w:r>
            <w:r w:rsidRPr="00602BF4">
              <w:rPr>
                <w:rFonts w:ascii="Times New Roman" w:hAnsi="Times New Roman" w:cs="Times New Roman"/>
                <w:color w:val="000000" w:themeColor="text1"/>
                <w:sz w:val="24"/>
                <w:szCs w:val="24"/>
                <w:shd w:val="clear" w:color="auto" w:fill="FFFFFF"/>
              </w:rPr>
              <w:t xml:space="preserve">Par pedagogu darba samaksas pieauguma grafiku laikposmam no 2018. gada 1. septembra līdz 2022. gada 31. decembrim” noteikto par pedagogu darba samaksas pieaugumu, kas plānots no 2021. gada 1. septembra 830 </w:t>
            </w:r>
            <w:r w:rsidRPr="00E64E2A">
              <w:rPr>
                <w:rFonts w:ascii="Times New Roman" w:hAnsi="Times New Roman" w:cs="Times New Roman"/>
                <w:i/>
                <w:iCs/>
                <w:color w:val="000000" w:themeColor="text1"/>
                <w:sz w:val="24"/>
                <w:szCs w:val="24"/>
                <w:shd w:val="clear" w:color="auto" w:fill="FFFFFF"/>
              </w:rPr>
              <w:t>e</w:t>
            </w:r>
            <w:r w:rsidR="007E6F08" w:rsidRPr="00E64E2A">
              <w:rPr>
                <w:rFonts w:ascii="Times New Roman" w:hAnsi="Times New Roman" w:cs="Times New Roman"/>
                <w:i/>
                <w:iCs/>
                <w:color w:val="000000" w:themeColor="text1"/>
                <w:sz w:val="24"/>
                <w:szCs w:val="24"/>
                <w:shd w:val="clear" w:color="auto" w:fill="FFFFFF"/>
              </w:rPr>
              <w:t>u</w:t>
            </w:r>
            <w:r w:rsidRPr="00E64E2A">
              <w:rPr>
                <w:rFonts w:ascii="Times New Roman" w:hAnsi="Times New Roman" w:cs="Times New Roman"/>
                <w:i/>
                <w:iCs/>
                <w:color w:val="000000" w:themeColor="text1"/>
                <w:sz w:val="24"/>
                <w:szCs w:val="24"/>
                <w:shd w:val="clear" w:color="auto" w:fill="FFFFFF"/>
              </w:rPr>
              <w:t>ro</w:t>
            </w:r>
            <w:r w:rsidRPr="00602BF4">
              <w:rPr>
                <w:rFonts w:ascii="Times New Roman" w:hAnsi="Times New Roman" w:cs="Times New Roman"/>
                <w:color w:val="000000" w:themeColor="text1"/>
                <w:sz w:val="24"/>
                <w:szCs w:val="24"/>
                <w:shd w:val="clear" w:color="auto" w:fill="FFFFFF"/>
              </w:rPr>
              <w:t xml:space="preserve"> apmērā un nodrošināms no apstiprinātajiem budžeta līdzekļiem, kas noteikti likumā “Par vidēja termiņa budžeta ietvaru 2021., 2022. un 2023. gadam”</w:t>
            </w:r>
            <w:r w:rsidR="00E64E2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602BF4">
              <w:rPr>
                <w:rFonts w:ascii="Times New Roman" w:hAnsi="Times New Roman" w:cs="Times New Roman"/>
                <w:color w:val="000000" w:themeColor="text1"/>
                <w:sz w:val="24"/>
                <w:szCs w:val="24"/>
                <w:shd w:val="clear" w:color="auto" w:fill="FFFFFF"/>
              </w:rPr>
              <w:t xml:space="preserve">Aprēķināto finansējumu </w:t>
            </w:r>
            <w:r w:rsidRPr="00602BF4">
              <w:rPr>
                <w:rFonts w:ascii="Times New Roman" w:hAnsi="Times New Roman" w:cs="Times New Roman"/>
                <w:color w:val="000000" w:themeColor="text1"/>
                <w:sz w:val="24"/>
                <w:szCs w:val="24"/>
              </w:rPr>
              <w:t>2021./2022. mācību gadam ministrija pārskaitīs pašvaldībām</w:t>
            </w:r>
            <w:r>
              <w:rPr>
                <w:rFonts w:ascii="Times New Roman" w:hAnsi="Times New Roman" w:cs="Times New Roman"/>
                <w:color w:val="000000" w:themeColor="text1"/>
                <w:sz w:val="24"/>
                <w:szCs w:val="24"/>
              </w:rPr>
              <w:t xml:space="preserve"> atbilstoši pašvaldību administratīvajām teritorijām</w:t>
            </w:r>
            <w:r w:rsidRPr="00602BF4">
              <w:rPr>
                <w:rFonts w:ascii="Times New Roman" w:hAnsi="Times New Roman" w:cs="Times New Roman"/>
                <w:color w:val="000000" w:themeColor="text1"/>
                <w:sz w:val="24"/>
                <w:szCs w:val="24"/>
              </w:rPr>
              <w:t>, kādas ir spēkā no 2021. gada 1. jūlija.</w:t>
            </w:r>
            <w:r>
              <w:rPr>
                <w:rFonts w:ascii="Times New Roman" w:hAnsi="Times New Roman" w:cs="Times New Roman"/>
                <w:color w:val="000000" w:themeColor="text1"/>
                <w:sz w:val="24"/>
                <w:szCs w:val="24"/>
              </w:rPr>
              <w:t xml:space="preserve"> Šāda pieeja ļauj saglabāt nemainīgu valsts budžetā paredzēto finansējuma apmēru un vienlaikus arī nodrošina grāmatvedības prasību ievērošanu jaunajās administratīvi teritoriālajās vienības, kādas tās ir pēc 2021. gada 1. jūlija. </w:t>
            </w:r>
          </w:p>
          <w:p w14:paraId="1D782553" w14:textId="77777777" w:rsidR="00ED4B31" w:rsidRDefault="00ED4B31" w:rsidP="00ED4B31">
            <w:pPr>
              <w:spacing w:after="0" w:line="240" w:lineRule="auto"/>
              <w:ind w:firstLine="504"/>
              <w:jc w:val="both"/>
              <w:rPr>
                <w:rFonts w:ascii="Times New Roman" w:hAnsi="Times New Roman" w:cs="Times New Roman"/>
                <w:color w:val="000000" w:themeColor="text1"/>
                <w:sz w:val="24"/>
                <w:szCs w:val="24"/>
              </w:rPr>
            </w:pPr>
            <w:r w:rsidRPr="00602BF4">
              <w:rPr>
                <w:rFonts w:ascii="Times New Roman" w:eastAsia="Times New Roman" w:hAnsi="Times New Roman" w:cs="Times New Roman"/>
                <w:iCs/>
                <w:color w:val="000000" w:themeColor="text1"/>
                <w:sz w:val="24"/>
                <w:szCs w:val="24"/>
                <w:lang w:eastAsia="lv-LV"/>
              </w:rPr>
              <w:t xml:space="preserve">Noteikumus Nr. 447  ir plānots pārskatīt pēc tam, kad būs atbalstīti priekšlikumi pedagogu darba samaksas </w:t>
            </w:r>
            <w:r>
              <w:rPr>
                <w:rFonts w:ascii="Times New Roman" w:eastAsia="Times New Roman" w:hAnsi="Times New Roman" w:cs="Times New Roman"/>
                <w:iCs/>
                <w:color w:val="000000" w:themeColor="text1"/>
                <w:sz w:val="24"/>
                <w:szCs w:val="24"/>
                <w:lang w:eastAsia="lv-LV"/>
              </w:rPr>
              <w:t xml:space="preserve">modeļa </w:t>
            </w:r>
            <w:r w:rsidRPr="00602BF4">
              <w:rPr>
                <w:rFonts w:ascii="Times New Roman" w:eastAsia="Times New Roman" w:hAnsi="Times New Roman" w:cs="Times New Roman"/>
                <w:iCs/>
                <w:color w:val="000000" w:themeColor="text1"/>
                <w:sz w:val="24"/>
                <w:szCs w:val="24"/>
                <w:lang w:eastAsia="lv-LV"/>
              </w:rPr>
              <w:t>pilnveid</w:t>
            </w:r>
            <w:r>
              <w:rPr>
                <w:rFonts w:ascii="Times New Roman" w:eastAsia="Times New Roman" w:hAnsi="Times New Roman" w:cs="Times New Roman"/>
                <w:iCs/>
                <w:color w:val="000000" w:themeColor="text1"/>
                <w:sz w:val="24"/>
                <w:szCs w:val="24"/>
                <w:lang w:eastAsia="lv-LV"/>
              </w:rPr>
              <w:t>ei</w:t>
            </w:r>
            <w:r w:rsidRPr="00602BF4">
              <w:rPr>
                <w:rFonts w:ascii="Times New Roman" w:eastAsia="Times New Roman" w:hAnsi="Times New Roman" w:cs="Times New Roman"/>
                <w:iCs/>
                <w:color w:val="000000" w:themeColor="text1"/>
                <w:sz w:val="24"/>
                <w:szCs w:val="24"/>
                <w:lang w:eastAsia="lv-LV"/>
              </w:rPr>
              <w:t>. Ievērojot Ministru kabineta 2020. gada 20. oktobra sēdes protokollēmumā (prot. Nr.62 32</w:t>
            </w:r>
            <w:r w:rsidRPr="00602BF4">
              <w:rPr>
                <w:rFonts w:ascii="Times New Roman" w:hAnsi="Times New Roman" w:cs="Times New Roman"/>
                <w:color w:val="000000" w:themeColor="text1"/>
                <w:sz w:val="24"/>
                <w:szCs w:val="24"/>
              </w:rPr>
              <w:t xml:space="preserve">.§ 2. punkts) noteikto uzdevumu kontekstā ar informatīvā ziņojuma “Par kvalitatīvas vispārējās vidējās izglītības nodrošināšanas priekšnosacījumiem” 7. sadaļas </w:t>
            </w:r>
            <w:r>
              <w:rPr>
                <w:rFonts w:ascii="Times New Roman" w:hAnsi="Times New Roman" w:cs="Times New Roman"/>
                <w:color w:val="000000" w:themeColor="text1"/>
                <w:sz w:val="24"/>
                <w:szCs w:val="24"/>
              </w:rPr>
              <w:t>7</w:t>
            </w:r>
            <w:r w:rsidRPr="00602BF4">
              <w:rPr>
                <w:rFonts w:ascii="Times New Roman" w:hAnsi="Times New Roman" w:cs="Times New Roman"/>
                <w:color w:val="000000" w:themeColor="text1"/>
                <w:sz w:val="24"/>
                <w:szCs w:val="24"/>
              </w:rPr>
              <w:t>. punktu</w:t>
            </w:r>
            <w:r>
              <w:rPr>
                <w:rFonts w:ascii="Times New Roman" w:hAnsi="Times New Roman" w:cs="Times New Roman"/>
                <w:color w:val="000000" w:themeColor="text1"/>
                <w:sz w:val="24"/>
                <w:szCs w:val="24"/>
              </w:rPr>
              <w:t>,</w:t>
            </w:r>
            <w:r w:rsidRPr="00602B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ministrijā </w:t>
            </w:r>
            <w:r w:rsidRPr="00602BF4">
              <w:rPr>
                <w:rFonts w:ascii="Times New Roman" w:hAnsi="Times New Roman" w:cs="Times New Roman"/>
                <w:color w:val="000000" w:themeColor="text1"/>
                <w:sz w:val="24"/>
                <w:szCs w:val="24"/>
              </w:rPr>
              <w:t>izveidot</w:t>
            </w:r>
            <w:r>
              <w:rPr>
                <w:rFonts w:ascii="Times New Roman" w:hAnsi="Times New Roman" w:cs="Times New Roman"/>
                <w:color w:val="000000" w:themeColor="text1"/>
                <w:sz w:val="24"/>
                <w:szCs w:val="24"/>
              </w:rPr>
              <w:t>a</w:t>
            </w:r>
            <w:r w:rsidRPr="00602BF4">
              <w:rPr>
                <w:rFonts w:ascii="Times New Roman" w:hAnsi="Times New Roman" w:cs="Times New Roman"/>
                <w:color w:val="000000" w:themeColor="text1"/>
                <w:sz w:val="24"/>
                <w:szCs w:val="24"/>
              </w:rPr>
              <w:t xml:space="preserve"> starpinstitucionāl</w:t>
            </w:r>
            <w:r>
              <w:rPr>
                <w:rFonts w:ascii="Times New Roman" w:hAnsi="Times New Roman" w:cs="Times New Roman"/>
                <w:color w:val="000000" w:themeColor="text1"/>
                <w:sz w:val="24"/>
                <w:szCs w:val="24"/>
              </w:rPr>
              <w:t>a</w:t>
            </w:r>
            <w:r w:rsidRPr="00602BF4">
              <w:rPr>
                <w:rFonts w:ascii="Times New Roman" w:hAnsi="Times New Roman" w:cs="Times New Roman"/>
                <w:color w:val="000000" w:themeColor="text1"/>
                <w:sz w:val="24"/>
                <w:szCs w:val="24"/>
              </w:rPr>
              <w:t xml:space="preserve"> darba grup</w:t>
            </w:r>
            <w:r>
              <w:rPr>
                <w:rFonts w:ascii="Times New Roman" w:hAnsi="Times New Roman" w:cs="Times New Roman"/>
                <w:color w:val="000000" w:themeColor="text1"/>
                <w:sz w:val="24"/>
                <w:szCs w:val="24"/>
              </w:rPr>
              <w:t>a</w:t>
            </w:r>
            <w:r w:rsidRPr="00602BF4">
              <w:rPr>
                <w:rFonts w:ascii="Times New Roman" w:hAnsi="Times New Roman" w:cs="Times New Roman"/>
                <w:color w:val="000000" w:themeColor="text1"/>
                <w:sz w:val="24"/>
                <w:szCs w:val="24"/>
              </w:rPr>
              <w:t>. Ar ministrijas 2020. gada 19. oktobra rīkojumu Nr. 1-2e/20/326 “Par pedagogu darba samaksas pilnveides darba grupas izveidi” izveidota darba grupa, lai nodrošinātu  pedagogu darba samaksas finansēšanas modeļa pilnveidi un pašvaldību savstarpējo norēķinu sistēmas ietekmi uz izglītības iestāžu tīkla sakārtošanu izvērtējumu ar darba mandātu līdz 2021. gada 15. aprīlim (turpmāk – darba grupa). Darba grupa izstrādā priekšlikumus jaunam pedagogu darba samaksas modelim un tā finansēšanas kārtībai. Līdz ar to tiks izstrādāta jauna noteikumu Nr. 447 redakcija, kas stāsies spēkā ar 2022./2023. mācību gadu.</w:t>
            </w:r>
          </w:p>
          <w:p w14:paraId="253CB2C0" w14:textId="77777777" w:rsidR="00ED4B31" w:rsidRDefault="00ED4B31" w:rsidP="00ED4B31">
            <w:pPr>
              <w:spacing w:after="0" w:line="240" w:lineRule="auto"/>
              <w:ind w:firstLine="50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Vienlaikus ar projektu jaunā redakcijā izteikts noteikumu Nr. 447 1. un 2. pielikums, tos pilnveidojot atbilstoši tam, ka projekts paredz regulējumu par mērķdotācijas un dotācijas pārdali un pārskaitīšanu, pamatojoties uz </w:t>
            </w:r>
            <w:r w:rsidRPr="00D20BF3">
              <w:rPr>
                <w:rFonts w:ascii="Times New Roman" w:hAnsi="Times New Roman" w:cs="Times New Roman"/>
                <w:color w:val="000000" w:themeColor="text1"/>
                <w:sz w:val="24"/>
                <w:szCs w:val="24"/>
              </w:rPr>
              <w:t>izglītības iestāžu savstarpēji noslēgto Izglītības likuma 36.</w:t>
            </w:r>
            <w:r>
              <w:rPr>
                <w:rFonts w:ascii="Times New Roman" w:hAnsi="Times New Roman" w:cs="Times New Roman"/>
                <w:color w:val="000000" w:themeColor="text1"/>
                <w:sz w:val="24"/>
                <w:szCs w:val="24"/>
              </w:rPr>
              <w:t> </w:t>
            </w:r>
            <w:r w:rsidRPr="00D20BF3">
              <w:rPr>
                <w:rFonts w:ascii="Times New Roman" w:hAnsi="Times New Roman" w:cs="Times New Roman"/>
                <w:color w:val="000000" w:themeColor="text1"/>
                <w:sz w:val="24"/>
                <w:szCs w:val="24"/>
              </w:rPr>
              <w:t>panta otrajā daļā minēto līgumu par mācību priekšmetu vai to daļu īstenošanu vispārējās vidējās izglītības programmas ietvaros.</w:t>
            </w:r>
          </w:p>
          <w:p w14:paraId="24A2422C" w14:textId="77777777" w:rsidR="00ED4B31" w:rsidRDefault="00ED4B31" w:rsidP="00ED4B31">
            <w:pPr>
              <w:spacing w:after="0" w:line="240" w:lineRule="auto"/>
              <w:jc w:val="both"/>
              <w:rPr>
                <w:rFonts w:ascii="Times New Roman" w:hAnsi="Times New Roman" w:cs="Times New Roman"/>
                <w:color w:val="000000" w:themeColor="text1"/>
                <w:sz w:val="24"/>
                <w:szCs w:val="24"/>
              </w:rPr>
            </w:pPr>
          </w:p>
          <w:p w14:paraId="0A7A2000" w14:textId="7FD16454" w:rsidR="00ED4B31" w:rsidRPr="00B012E7" w:rsidRDefault="00ED4B31" w:rsidP="00ED4B31">
            <w:pPr>
              <w:spacing w:after="0" w:line="240" w:lineRule="auto"/>
              <w:jc w:val="both"/>
              <w:rPr>
                <w:rFonts w:ascii="Times New Roman" w:hAnsi="Times New Roman" w:cs="Times New Roman"/>
                <w:color w:val="000000" w:themeColor="text1"/>
                <w:sz w:val="24"/>
                <w:szCs w:val="24"/>
              </w:rPr>
            </w:pPr>
            <w:r w:rsidRPr="00B012E7">
              <w:rPr>
                <w:rFonts w:ascii="Times New Roman" w:hAnsi="Times New Roman" w:cs="Times New Roman"/>
                <w:color w:val="000000" w:themeColor="text1"/>
                <w:sz w:val="24"/>
                <w:szCs w:val="24"/>
              </w:rPr>
              <w:lastRenderedPageBreak/>
              <w:t>Projekts stāsies spēkā 2021. gada 1. </w:t>
            </w:r>
            <w:r>
              <w:rPr>
                <w:rFonts w:ascii="Times New Roman" w:hAnsi="Times New Roman" w:cs="Times New Roman"/>
                <w:color w:val="000000" w:themeColor="text1"/>
                <w:sz w:val="24"/>
                <w:szCs w:val="24"/>
              </w:rPr>
              <w:t xml:space="preserve">septembrī, kad uzsākas jaunais mācību gads, lai attiecīgi būtu iespējams veikt finansējuma aprēķināšanu un sadali atbilstoši jaunajam regulējumam.  </w:t>
            </w:r>
          </w:p>
        </w:tc>
      </w:tr>
      <w:tr w:rsidR="00ED4B31" w:rsidRPr="00602BF4" w14:paraId="2E9E4EF9" w14:textId="77777777" w:rsidTr="002627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9A4C6F" w14:textId="7A57DB01" w:rsidR="00ED4B31" w:rsidRPr="00602BF4" w:rsidRDefault="00ED4B31" w:rsidP="00ED4B31">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lastRenderedPageBreak/>
              <w:t>3.</w:t>
            </w:r>
          </w:p>
        </w:tc>
        <w:tc>
          <w:tcPr>
            <w:tcW w:w="1615" w:type="pct"/>
            <w:tcBorders>
              <w:top w:val="outset" w:sz="6" w:space="0" w:color="auto"/>
              <w:left w:val="outset" w:sz="6" w:space="0" w:color="auto"/>
              <w:bottom w:val="outset" w:sz="6" w:space="0" w:color="auto"/>
              <w:right w:val="outset" w:sz="6" w:space="0" w:color="auto"/>
            </w:tcBorders>
            <w:hideMark/>
          </w:tcPr>
          <w:p w14:paraId="3872EE47" w14:textId="77777777" w:rsidR="00ED4B31" w:rsidRPr="00602BF4" w:rsidRDefault="00ED4B31" w:rsidP="00ED4B31">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23" w:type="pct"/>
            <w:tcBorders>
              <w:top w:val="outset" w:sz="6" w:space="0" w:color="auto"/>
              <w:left w:val="outset" w:sz="6" w:space="0" w:color="auto"/>
              <w:bottom w:val="outset" w:sz="6" w:space="0" w:color="auto"/>
              <w:right w:val="outset" w:sz="6" w:space="0" w:color="auto"/>
            </w:tcBorders>
            <w:hideMark/>
          </w:tcPr>
          <w:p w14:paraId="2C2BFD39" w14:textId="5E526A39" w:rsidR="00ED4B31" w:rsidRPr="00602BF4" w:rsidRDefault="00ED4B31" w:rsidP="00ED4B3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Ministrija.</w:t>
            </w:r>
          </w:p>
        </w:tc>
      </w:tr>
      <w:tr w:rsidR="00ED4B31" w:rsidRPr="00602BF4" w14:paraId="7634EE01" w14:textId="77777777" w:rsidTr="002627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486314" w14:textId="77777777" w:rsidR="00ED4B31" w:rsidRPr="00602BF4" w:rsidRDefault="00ED4B31" w:rsidP="00ED4B31">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4.</w:t>
            </w:r>
          </w:p>
        </w:tc>
        <w:tc>
          <w:tcPr>
            <w:tcW w:w="1615" w:type="pct"/>
            <w:tcBorders>
              <w:top w:val="outset" w:sz="6" w:space="0" w:color="auto"/>
              <w:left w:val="outset" w:sz="6" w:space="0" w:color="auto"/>
              <w:bottom w:val="outset" w:sz="6" w:space="0" w:color="auto"/>
              <w:right w:val="outset" w:sz="6" w:space="0" w:color="auto"/>
            </w:tcBorders>
            <w:hideMark/>
          </w:tcPr>
          <w:p w14:paraId="160DA7B9" w14:textId="77777777" w:rsidR="00ED4B31" w:rsidRPr="00602BF4" w:rsidRDefault="00ED4B31" w:rsidP="00ED4B31">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Cita informācija</w:t>
            </w:r>
          </w:p>
        </w:tc>
        <w:tc>
          <w:tcPr>
            <w:tcW w:w="3023" w:type="pct"/>
            <w:tcBorders>
              <w:top w:val="outset" w:sz="6" w:space="0" w:color="auto"/>
              <w:left w:val="outset" w:sz="6" w:space="0" w:color="auto"/>
              <w:bottom w:val="outset" w:sz="6" w:space="0" w:color="auto"/>
              <w:right w:val="outset" w:sz="6" w:space="0" w:color="auto"/>
            </w:tcBorders>
            <w:hideMark/>
          </w:tcPr>
          <w:p w14:paraId="24E81330" w14:textId="77777777" w:rsidR="00ED4B31" w:rsidRPr="00602BF4" w:rsidRDefault="00ED4B31" w:rsidP="00ED4B31">
            <w:pPr>
              <w:spacing w:after="0" w:line="240" w:lineRule="auto"/>
              <w:jc w:val="both"/>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Nav.</w:t>
            </w:r>
          </w:p>
        </w:tc>
      </w:tr>
    </w:tbl>
    <w:p w14:paraId="679B86D6" w14:textId="77777777" w:rsidR="00E5323B"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74BC" w:rsidRPr="00602BF4" w14:paraId="4B07734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909DED" w14:textId="77777777" w:rsidR="00655F2C" w:rsidRPr="00602BF4" w:rsidRDefault="00E5323B" w:rsidP="00BB4763">
            <w:pPr>
              <w:spacing w:after="0" w:line="240" w:lineRule="auto"/>
              <w:jc w:val="center"/>
              <w:rPr>
                <w:rFonts w:ascii="Times New Roman" w:eastAsia="Times New Roman" w:hAnsi="Times New Roman" w:cs="Times New Roman"/>
                <w:b/>
                <w:bCs/>
                <w:iCs/>
                <w:color w:val="000000" w:themeColor="text1"/>
                <w:sz w:val="24"/>
                <w:szCs w:val="24"/>
                <w:lang w:eastAsia="lv-LV"/>
              </w:rPr>
            </w:pPr>
            <w:r w:rsidRPr="00602BF4">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BD74BC" w:rsidRPr="00602BF4" w14:paraId="777A784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DF2184"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615CF45"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DBD6FE5" w14:textId="55382187" w:rsidR="00E5323B" w:rsidRPr="00602BF4" w:rsidRDefault="005610BC" w:rsidP="001E494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Izglītības iestādes, to izglītojamie, pedagogi un dibinātāji.</w:t>
            </w:r>
          </w:p>
        </w:tc>
      </w:tr>
      <w:tr w:rsidR="00BD74BC" w:rsidRPr="00602BF4" w14:paraId="68F00DB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64748A"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8D78FA7"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0AEB204" w14:textId="656B0EA8" w:rsidR="00E5323B" w:rsidRPr="00602BF4" w:rsidRDefault="00C8771B" w:rsidP="001E4948">
            <w:pPr>
              <w:spacing w:after="0" w:line="240" w:lineRule="auto"/>
              <w:jc w:val="both"/>
              <w:rPr>
                <w:rFonts w:ascii="Times New Roman" w:eastAsia="Times New Roman" w:hAnsi="Times New Roman" w:cs="Times New Roman"/>
                <w:iCs/>
                <w:color w:val="000000" w:themeColor="text1"/>
                <w:sz w:val="24"/>
                <w:szCs w:val="24"/>
                <w:lang w:eastAsia="lv-LV"/>
              </w:rPr>
            </w:pPr>
            <w:r w:rsidRPr="00C8771B">
              <w:rPr>
                <w:rFonts w:ascii="Times New Roman" w:hAnsi="Times New Roman" w:cs="Times New Roman"/>
                <w:color w:val="000000" w:themeColor="text1"/>
                <w:sz w:val="24"/>
                <w:szCs w:val="24"/>
              </w:rPr>
              <w:t xml:space="preserve">Administratīvais slogs vienreizēji palielināsies pašvaldībām atbilstoši </w:t>
            </w:r>
            <w:r>
              <w:rPr>
                <w:rFonts w:ascii="Times New Roman" w:hAnsi="Times New Roman" w:cs="Times New Roman"/>
                <w:color w:val="000000" w:themeColor="text1"/>
                <w:sz w:val="24"/>
                <w:szCs w:val="24"/>
              </w:rPr>
              <w:t>tai normai</w:t>
            </w:r>
            <w:r w:rsidRPr="00C8771B">
              <w:rPr>
                <w:rFonts w:ascii="Times New Roman" w:hAnsi="Times New Roman" w:cs="Times New Roman"/>
                <w:color w:val="000000" w:themeColor="text1"/>
                <w:sz w:val="24"/>
                <w:szCs w:val="24"/>
              </w:rPr>
              <w:t xml:space="preserve"> projekt</w:t>
            </w:r>
            <w:r>
              <w:rPr>
                <w:rFonts w:ascii="Times New Roman" w:hAnsi="Times New Roman" w:cs="Times New Roman"/>
                <w:color w:val="000000" w:themeColor="text1"/>
                <w:sz w:val="24"/>
                <w:szCs w:val="24"/>
              </w:rPr>
              <w:t>ā</w:t>
            </w:r>
            <w:r w:rsidRPr="00C8771B">
              <w:rPr>
                <w:rFonts w:ascii="Times New Roman" w:hAnsi="Times New Roman" w:cs="Times New Roman"/>
                <w:color w:val="000000" w:themeColor="text1"/>
                <w:sz w:val="24"/>
                <w:szCs w:val="24"/>
              </w:rPr>
              <w:t>, kas nosaka, ka pašvaldības, atbilstoši pašvaldību administratīvajām teritorijām, kādas ir spēkā līdz 2021. gada 30. jūnijam, līdz 2021. gada 30. septembrim sagatavo un iesniedz pārskatu par laikposmā no 2021. gada 1. janvāra līdz 2021. gada 30. jūnijam saņemtā valsts finansējuma izlietojumu.</w:t>
            </w:r>
          </w:p>
        </w:tc>
      </w:tr>
      <w:tr w:rsidR="00BD74BC" w:rsidRPr="00602BF4" w14:paraId="5C56692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C4AB2D1"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8BAE281"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4903BE3" w14:textId="77777777" w:rsidR="00E5323B" w:rsidRPr="00602BF4" w:rsidRDefault="007313D8" w:rsidP="001E4948">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Projekts šo jomu neskar.</w:t>
            </w:r>
          </w:p>
        </w:tc>
      </w:tr>
      <w:tr w:rsidR="00BD74BC" w:rsidRPr="00602BF4" w14:paraId="01AED2A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0DCAF8"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E30944F"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8B6A398" w14:textId="3EB1AC4C" w:rsidR="00E5323B" w:rsidRPr="00602BF4" w:rsidRDefault="00C8771B" w:rsidP="001E4948">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Calibri" w:hAnsi="Times New Roman" w:cs="Times New Roman"/>
                <w:color w:val="000000" w:themeColor="text1"/>
                <w:sz w:val="24"/>
                <w:szCs w:val="24"/>
              </w:rPr>
              <w:t>Projekts šo jomu neskar.</w:t>
            </w:r>
          </w:p>
        </w:tc>
      </w:tr>
      <w:tr w:rsidR="00BD74BC" w:rsidRPr="00602BF4" w14:paraId="7096A1A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D4926F"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38027B87"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249B44C" w14:textId="77777777" w:rsidR="00E5323B" w:rsidRPr="00602BF4" w:rsidRDefault="00D550EA" w:rsidP="001E4948">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Nav.</w:t>
            </w:r>
          </w:p>
        </w:tc>
      </w:tr>
    </w:tbl>
    <w:p w14:paraId="5DC52A0F" w14:textId="77777777" w:rsidR="00E5323B"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 xml:space="preserve">  </w:t>
      </w:r>
    </w:p>
    <w:tbl>
      <w:tblPr>
        <w:tblW w:w="5334"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3"/>
        <w:gridCol w:w="1120"/>
        <w:gridCol w:w="983"/>
        <w:gridCol w:w="1120"/>
        <w:gridCol w:w="1160"/>
        <w:gridCol w:w="1120"/>
        <w:gridCol w:w="1111"/>
        <w:gridCol w:w="1633"/>
      </w:tblGrid>
      <w:tr w:rsidR="00A50254" w:rsidRPr="00602BF4" w14:paraId="3116E915" w14:textId="77777777" w:rsidTr="00BF50D9">
        <w:trPr>
          <w:tblCellSpacing w:w="15" w:type="dxa"/>
        </w:trPr>
        <w:tc>
          <w:tcPr>
            <w:tcW w:w="4970" w:type="pct"/>
            <w:gridSpan w:val="8"/>
            <w:tcBorders>
              <w:top w:val="outset" w:sz="6" w:space="0" w:color="auto"/>
              <w:left w:val="outset" w:sz="6" w:space="0" w:color="auto"/>
              <w:bottom w:val="outset" w:sz="6" w:space="0" w:color="auto"/>
              <w:right w:val="outset" w:sz="6" w:space="0" w:color="auto"/>
            </w:tcBorders>
            <w:vAlign w:val="center"/>
            <w:hideMark/>
          </w:tcPr>
          <w:p w14:paraId="5CF7FFA3" w14:textId="77777777" w:rsidR="00A50254" w:rsidRPr="00602BF4" w:rsidRDefault="00A50254" w:rsidP="00BF50D9">
            <w:pPr>
              <w:spacing w:after="0" w:line="240" w:lineRule="auto"/>
              <w:jc w:val="center"/>
              <w:rPr>
                <w:rFonts w:ascii="Times New Roman" w:eastAsia="Times New Roman" w:hAnsi="Times New Roman"/>
                <w:b/>
                <w:bCs/>
                <w:iCs/>
                <w:color w:val="000000" w:themeColor="text1"/>
                <w:sz w:val="24"/>
                <w:szCs w:val="24"/>
                <w:lang w:eastAsia="lv-LV"/>
              </w:rPr>
            </w:pPr>
            <w:r w:rsidRPr="00602BF4">
              <w:rPr>
                <w:rFonts w:ascii="Times New Roman" w:eastAsia="Times New Roman" w:hAnsi="Times New Roman"/>
                <w:b/>
                <w:bCs/>
                <w:iCs/>
                <w:color w:val="000000" w:themeColor="text1"/>
                <w:sz w:val="24"/>
                <w:szCs w:val="24"/>
                <w:lang w:eastAsia="lv-LV"/>
              </w:rPr>
              <w:t>III. Tiesību akta projekta ietekme uz valsts budžetu un pašvaldību budžetiem</w:t>
            </w:r>
          </w:p>
        </w:tc>
      </w:tr>
      <w:tr w:rsidR="00A50254" w:rsidRPr="00602BF4" w14:paraId="2ECA1655" w14:textId="77777777" w:rsidTr="00BF50D9">
        <w:trPr>
          <w:tblCellSpacing w:w="15" w:type="dxa"/>
        </w:trPr>
        <w:tc>
          <w:tcPr>
            <w:tcW w:w="687" w:type="pct"/>
            <w:vMerge w:val="restart"/>
            <w:tcBorders>
              <w:top w:val="outset" w:sz="6" w:space="0" w:color="auto"/>
              <w:left w:val="outset" w:sz="6" w:space="0" w:color="auto"/>
              <w:right w:val="outset" w:sz="6" w:space="0" w:color="auto"/>
            </w:tcBorders>
            <w:vAlign w:val="center"/>
            <w:hideMark/>
          </w:tcPr>
          <w:p w14:paraId="56F88E70"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Rādītāji</w:t>
            </w:r>
          </w:p>
        </w:tc>
        <w:tc>
          <w:tcPr>
            <w:tcW w:w="1086" w:type="pct"/>
            <w:gridSpan w:val="2"/>
            <w:vMerge w:val="restart"/>
            <w:tcBorders>
              <w:top w:val="outset" w:sz="6" w:space="0" w:color="auto"/>
              <w:left w:val="outset" w:sz="6" w:space="0" w:color="auto"/>
              <w:right w:val="outset" w:sz="6" w:space="0" w:color="auto"/>
            </w:tcBorders>
            <w:vAlign w:val="center"/>
          </w:tcPr>
          <w:p w14:paraId="187D474A"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2021.gads</w:t>
            </w:r>
          </w:p>
        </w:tc>
        <w:tc>
          <w:tcPr>
            <w:tcW w:w="3167" w:type="pct"/>
            <w:gridSpan w:val="5"/>
            <w:tcBorders>
              <w:top w:val="outset" w:sz="6" w:space="0" w:color="auto"/>
              <w:left w:val="outset" w:sz="6" w:space="0" w:color="auto"/>
              <w:bottom w:val="outset" w:sz="6" w:space="0" w:color="auto"/>
              <w:right w:val="outset" w:sz="6" w:space="0" w:color="auto"/>
            </w:tcBorders>
            <w:vAlign w:val="center"/>
          </w:tcPr>
          <w:p w14:paraId="1924AB3E"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Turpmākie trīs gadi (</w:t>
            </w:r>
            <w:r w:rsidRPr="00C43B90">
              <w:rPr>
                <w:rFonts w:ascii="Times New Roman" w:hAnsi="Times New Roman"/>
                <w:i/>
                <w:iCs/>
                <w:color w:val="000000"/>
                <w:sz w:val="20"/>
                <w:szCs w:val="20"/>
              </w:rPr>
              <w:t>euro</w:t>
            </w:r>
            <w:r w:rsidRPr="00C43B90">
              <w:rPr>
                <w:rFonts w:ascii="Times New Roman" w:hAnsi="Times New Roman"/>
                <w:color w:val="000000"/>
                <w:sz w:val="20"/>
                <w:szCs w:val="20"/>
              </w:rPr>
              <w:t>)</w:t>
            </w:r>
          </w:p>
        </w:tc>
      </w:tr>
      <w:tr w:rsidR="00A50254" w:rsidRPr="00602BF4" w14:paraId="3BE90F93" w14:textId="77777777" w:rsidTr="00BF50D9">
        <w:trPr>
          <w:tblCellSpacing w:w="15" w:type="dxa"/>
        </w:trPr>
        <w:tc>
          <w:tcPr>
            <w:tcW w:w="687" w:type="pct"/>
            <w:vMerge/>
            <w:tcBorders>
              <w:left w:val="outset" w:sz="6" w:space="0" w:color="auto"/>
              <w:right w:val="outset" w:sz="6" w:space="0" w:color="auto"/>
            </w:tcBorders>
            <w:vAlign w:val="center"/>
          </w:tcPr>
          <w:p w14:paraId="19C7862F"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p>
        </w:tc>
        <w:tc>
          <w:tcPr>
            <w:tcW w:w="1086" w:type="pct"/>
            <w:gridSpan w:val="2"/>
            <w:vMerge/>
            <w:tcBorders>
              <w:left w:val="outset" w:sz="6" w:space="0" w:color="auto"/>
              <w:bottom w:val="outset" w:sz="6" w:space="0" w:color="auto"/>
              <w:right w:val="outset" w:sz="6" w:space="0" w:color="auto"/>
            </w:tcBorders>
            <w:vAlign w:val="center"/>
          </w:tcPr>
          <w:p w14:paraId="1673819C"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p>
        </w:tc>
        <w:tc>
          <w:tcPr>
            <w:tcW w:w="1197" w:type="pct"/>
            <w:gridSpan w:val="2"/>
            <w:tcBorders>
              <w:top w:val="outset" w:sz="6" w:space="0" w:color="auto"/>
              <w:left w:val="outset" w:sz="6" w:space="0" w:color="auto"/>
              <w:bottom w:val="outset" w:sz="6" w:space="0" w:color="auto"/>
              <w:right w:val="outset" w:sz="6" w:space="0" w:color="auto"/>
            </w:tcBorders>
            <w:vAlign w:val="center"/>
          </w:tcPr>
          <w:p w14:paraId="683FEA8D"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2022.gads</w:t>
            </w:r>
          </w:p>
        </w:tc>
        <w:tc>
          <w:tcPr>
            <w:tcW w:w="1148" w:type="pct"/>
            <w:gridSpan w:val="2"/>
            <w:tcBorders>
              <w:top w:val="outset" w:sz="6" w:space="0" w:color="auto"/>
              <w:left w:val="outset" w:sz="6" w:space="0" w:color="auto"/>
              <w:bottom w:val="outset" w:sz="6" w:space="0" w:color="auto"/>
              <w:right w:val="outset" w:sz="6" w:space="0" w:color="auto"/>
            </w:tcBorders>
            <w:vAlign w:val="center"/>
          </w:tcPr>
          <w:p w14:paraId="77161BDB"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2023.gads</w:t>
            </w:r>
          </w:p>
        </w:tc>
        <w:tc>
          <w:tcPr>
            <w:tcW w:w="792" w:type="pct"/>
            <w:tcBorders>
              <w:top w:val="outset" w:sz="6" w:space="0" w:color="auto"/>
              <w:left w:val="outset" w:sz="6" w:space="0" w:color="auto"/>
              <w:bottom w:val="outset" w:sz="6" w:space="0" w:color="auto"/>
              <w:right w:val="outset" w:sz="6" w:space="0" w:color="auto"/>
            </w:tcBorders>
            <w:vAlign w:val="center"/>
          </w:tcPr>
          <w:p w14:paraId="26378B55"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2024.gads</w:t>
            </w:r>
          </w:p>
        </w:tc>
      </w:tr>
      <w:tr w:rsidR="00A50254" w:rsidRPr="00602BF4" w14:paraId="44B5AF63" w14:textId="77777777" w:rsidTr="00BF50D9">
        <w:trPr>
          <w:tblCellSpacing w:w="15" w:type="dxa"/>
        </w:trPr>
        <w:tc>
          <w:tcPr>
            <w:tcW w:w="687" w:type="pct"/>
            <w:vMerge/>
            <w:tcBorders>
              <w:left w:val="outset" w:sz="6" w:space="0" w:color="auto"/>
              <w:bottom w:val="outset" w:sz="6" w:space="0" w:color="auto"/>
              <w:right w:val="outset" w:sz="6" w:space="0" w:color="auto"/>
            </w:tcBorders>
            <w:vAlign w:val="center"/>
          </w:tcPr>
          <w:p w14:paraId="7707501E"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6E99874E"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saskaņā ar valsts budžetu kārtējam gadam</w:t>
            </w:r>
          </w:p>
        </w:tc>
        <w:tc>
          <w:tcPr>
            <w:tcW w:w="501" w:type="pct"/>
            <w:tcBorders>
              <w:top w:val="outset" w:sz="6" w:space="0" w:color="auto"/>
              <w:left w:val="outset" w:sz="6" w:space="0" w:color="auto"/>
              <w:bottom w:val="outset" w:sz="6" w:space="0" w:color="auto"/>
              <w:right w:val="outset" w:sz="6" w:space="0" w:color="auto"/>
            </w:tcBorders>
            <w:vAlign w:val="center"/>
          </w:tcPr>
          <w:p w14:paraId="12E8B7A5"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izmaiņas kārtējā gadā, salīdzinot ar valsts budžetu kārtējam gadam</w:t>
            </w:r>
          </w:p>
        </w:tc>
        <w:tc>
          <w:tcPr>
            <w:tcW w:w="584" w:type="pct"/>
            <w:tcBorders>
              <w:top w:val="outset" w:sz="6" w:space="0" w:color="auto"/>
              <w:left w:val="outset" w:sz="6" w:space="0" w:color="auto"/>
              <w:bottom w:val="outset" w:sz="6" w:space="0" w:color="auto"/>
              <w:right w:val="outset" w:sz="6" w:space="0" w:color="auto"/>
            </w:tcBorders>
            <w:vAlign w:val="center"/>
          </w:tcPr>
          <w:p w14:paraId="04D9F59C"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saskaņā ar vidēja termiņa budžeta ietvaru</w:t>
            </w:r>
          </w:p>
        </w:tc>
        <w:tc>
          <w:tcPr>
            <w:tcW w:w="597" w:type="pct"/>
            <w:tcBorders>
              <w:top w:val="outset" w:sz="6" w:space="0" w:color="auto"/>
              <w:left w:val="outset" w:sz="6" w:space="0" w:color="auto"/>
              <w:bottom w:val="outset" w:sz="6" w:space="0" w:color="auto"/>
              <w:right w:val="outset" w:sz="6" w:space="0" w:color="auto"/>
            </w:tcBorders>
            <w:vAlign w:val="center"/>
          </w:tcPr>
          <w:p w14:paraId="38B00BC8"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izmaiņas, salīdzinot ar vidēja termiņa budžeta ietvaru 2022. gadam</w:t>
            </w:r>
          </w:p>
        </w:tc>
        <w:tc>
          <w:tcPr>
            <w:tcW w:w="565" w:type="pct"/>
            <w:tcBorders>
              <w:top w:val="outset" w:sz="6" w:space="0" w:color="auto"/>
              <w:left w:val="outset" w:sz="6" w:space="0" w:color="auto"/>
              <w:bottom w:val="outset" w:sz="6" w:space="0" w:color="auto"/>
              <w:right w:val="outset" w:sz="6" w:space="0" w:color="auto"/>
            </w:tcBorders>
            <w:vAlign w:val="center"/>
          </w:tcPr>
          <w:p w14:paraId="54C0D4A4"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saskaņā ar vidēja termiņa budžeta ietvaru</w:t>
            </w:r>
          </w:p>
        </w:tc>
        <w:tc>
          <w:tcPr>
            <w:tcW w:w="569" w:type="pct"/>
            <w:tcBorders>
              <w:top w:val="outset" w:sz="6" w:space="0" w:color="auto"/>
              <w:left w:val="outset" w:sz="6" w:space="0" w:color="auto"/>
              <w:bottom w:val="outset" w:sz="6" w:space="0" w:color="auto"/>
              <w:right w:val="outset" w:sz="6" w:space="0" w:color="auto"/>
            </w:tcBorders>
            <w:vAlign w:val="center"/>
          </w:tcPr>
          <w:p w14:paraId="04AA8161"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izmaiņas, salīdzinot ar vidēja termiņa budžeta ietvaru 2023. gadam</w:t>
            </w:r>
          </w:p>
        </w:tc>
        <w:tc>
          <w:tcPr>
            <w:tcW w:w="792" w:type="pct"/>
            <w:tcBorders>
              <w:top w:val="outset" w:sz="6" w:space="0" w:color="auto"/>
              <w:left w:val="outset" w:sz="6" w:space="0" w:color="auto"/>
              <w:bottom w:val="outset" w:sz="6" w:space="0" w:color="auto"/>
              <w:right w:val="outset" w:sz="6" w:space="0" w:color="auto"/>
            </w:tcBorders>
            <w:vAlign w:val="center"/>
          </w:tcPr>
          <w:p w14:paraId="1C322C00" w14:textId="77777777" w:rsidR="00A50254" w:rsidRDefault="00A50254" w:rsidP="00BF50D9">
            <w:pPr>
              <w:spacing w:after="0" w:line="240" w:lineRule="auto"/>
              <w:jc w:val="center"/>
              <w:rPr>
                <w:rFonts w:ascii="Times New Roman" w:hAnsi="Times New Roman"/>
                <w:color w:val="000000"/>
                <w:sz w:val="20"/>
                <w:szCs w:val="20"/>
              </w:rPr>
            </w:pPr>
            <w:r w:rsidRPr="00C43B90">
              <w:rPr>
                <w:rFonts w:ascii="Times New Roman" w:hAnsi="Times New Roman"/>
                <w:color w:val="000000"/>
                <w:sz w:val="20"/>
                <w:szCs w:val="20"/>
              </w:rPr>
              <w:t>izmaiņas,</w:t>
            </w:r>
          </w:p>
          <w:p w14:paraId="4BCEB399" w14:textId="77777777" w:rsidR="00A50254" w:rsidRDefault="00A50254" w:rsidP="00BF50D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salīdzinot</w:t>
            </w:r>
          </w:p>
          <w:p w14:paraId="53CCC5E1" w14:textId="77777777" w:rsidR="00A50254" w:rsidRDefault="00A50254" w:rsidP="00BF50D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ar vidēja</w:t>
            </w:r>
          </w:p>
          <w:p w14:paraId="71D025A6" w14:textId="77777777" w:rsidR="00A50254" w:rsidRDefault="00A50254" w:rsidP="00BF50D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termiņa</w:t>
            </w:r>
          </w:p>
          <w:p w14:paraId="59413422" w14:textId="77777777" w:rsidR="00A50254" w:rsidRDefault="00A50254" w:rsidP="00BF50D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budžeta</w:t>
            </w:r>
          </w:p>
          <w:p w14:paraId="3579ECAC" w14:textId="77777777" w:rsidR="00A50254" w:rsidRDefault="00A50254" w:rsidP="00BF50D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ietvaru</w:t>
            </w:r>
          </w:p>
          <w:p w14:paraId="217940AD" w14:textId="77777777" w:rsidR="00A50254" w:rsidRDefault="00A50254" w:rsidP="00BF50D9">
            <w:pPr>
              <w:spacing w:after="0" w:line="240" w:lineRule="auto"/>
              <w:jc w:val="center"/>
              <w:rPr>
                <w:rFonts w:ascii="Times New Roman" w:hAnsi="Times New Roman"/>
                <w:color w:val="000000"/>
                <w:sz w:val="20"/>
                <w:szCs w:val="20"/>
              </w:rPr>
            </w:pPr>
            <w:r w:rsidRPr="00C43B90">
              <w:rPr>
                <w:rFonts w:ascii="Times New Roman" w:hAnsi="Times New Roman"/>
                <w:color w:val="000000"/>
                <w:sz w:val="20"/>
                <w:szCs w:val="20"/>
              </w:rPr>
              <w:t>2023.</w:t>
            </w:r>
          </w:p>
          <w:p w14:paraId="43B2FD8C"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color w:val="000000"/>
                <w:sz w:val="20"/>
                <w:szCs w:val="20"/>
              </w:rPr>
              <w:t>gadam</w:t>
            </w:r>
          </w:p>
        </w:tc>
      </w:tr>
      <w:tr w:rsidR="00A50254" w:rsidRPr="00602BF4" w14:paraId="2A71AE47"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center"/>
          </w:tcPr>
          <w:p w14:paraId="09164667"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1</w:t>
            </w:r>
          </w:p>
        </w:tc>
        <w:tc>
          <w:tcPr>
            <w:tcW w:w="570" w:type="pct"/>
            <w:tcBorders>
              <w:top w:val="outset" w:sz="6" w:space="0" w:color="auto"/>
              <w:left w:val="outset" w:sz="6" w:space="0" w:color="auto"/>
              <w:bottom w:val="outset" w:sz="6" w:space="0" w:color="auto"/>
              <w:right w:val="outset" w:sz="6" w:space="0" w:color="auto"/>
            </w:tcBorders>
            <w:vAlign w:val="center"/>
          </w:tcPr>
          <w:p w14:paraId="3697A44D"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2</w:t>
            </w:r>
          </w:p>
        </w:tc>
        <w:tc>
          <w:tcPr>
            <w:tcW w:w="501" w:type="pct"/>
            <w:tcBorders>
              <w:top w:val="outset" w:sz="6" w:space="0" w:color="auto"/>
              <w:left w:val="outset" w:sz="6" w:space="0" w:color="auto"/>
              <w:bottom w:val="outset" w:sz="6" w:space="0" w:color="auto"/>
              <w:right w:val="outset" w:sz="6" w:space="0" w:color="auto"/>
            </w:tcBorders>
            <w:vAlign w:val="center"/>
          </w:tcPr>
          <w:p w14:paraId="7286F15D"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3</w:t>
            </w:r>
          </w:p>
        </w:tc>
        <w:tc>
          <w:tcPr>
            <w:tcW w:w="584" w:type="pct"/>
            <w:tcBorders>
              <w:top w:val="outset" w:sz="6" w:space="0" w:color="auto"/>
              <w:left w:val="outset" w:sz="6" w:space="0" w:color="auto"/>
              <w:bottom w:val="outset" w:sz="6" w:space="0" w:color="auto"/>
              <w:right w:val="outset" w:sz="6" w:space="0" w:color="auto"/>
            </w:tcBorders>
            <w:vAlign w:val="center"/>
          </w:tcPr>
          <w:p w14:paraId="3DE6835B"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4</w:t>
            </w:r>
          </w:p>
        </w:tc>
        <w:tc>
          <w:tcPr>
            <w:tcW w:w="597" w:type="pct"/>
            <w:tcBorders>
              <w:top w:val="outset" w:sz="6" w:space="0" w:color="auto"/>
              <w:left w:val="outset" w:sz="6" w:space="0" w:color="auto"/>
              <w:bottom w:val="outset" w:sz="6" w:space="0" w:color="auto"/>
              <w:right w:val="outset" w:sz="6" w:space="0" w:color="auto"/>
            </w:tcBorders>
            <w:vAlign w:val="center"/>
          </w:tcPr>
          <w:p w14:paraId="4F4A1C97"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5</w:t>
            </w:r>
          </w:p>
        </w:tc>
        <w:tc>
          <w:tcPr>
            <w:tcW w:w="565" w:type="pct"/>
            <w:tcBorders>
              <w:top w:val="outset" w:sz="6" w:space="0" w:color="auto"/>
              <w:left w:val="outset" w:sz="6" w:space="0" w:color="auto"/>
              <w:bottom w:val="outset" w:sz="6" w:space="0" w:color="auto"/>
              <w:right w:val="outset" w:sz="6" w:space="0" w:color="auto"/>
            </w:tcBorders>
            <w:vAlign w:val="center"/>
          </w:tcPr>
          <w:p w14:paraId="6937A139"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6</w:t>
            </w:r>
          </w:p>
        </w:tc>
        <w:tc>
          <w:tcPr>
            <w:tcW w:w="569" w:type="pct"/>
            <w:tcBorders>
              <w:top w:val="outset" w:sz="6" w:space="0" w:color="auto"/>
              <w:left w:val="outset" w:sz="6" w:space="0" w:color="auto"/>
              <w:bottom w:val="outset" w:sz="6" w:space="0" w:color="auto"/>
              <w:right w:val="outset" w:sz="6" w:space="0" w:color="auto"/>
            </w:tcBorders>
            <w:vAlign w:val="center"/>
          </w:tcPr>
          <w:p w14:paraId="1630F5C8"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7</w:t>
            </w:r>
          </w:p>
        </w:tc>
        <w:tc>
          <w:tcPr>
            <w:tcW w:w="792" w:type="pct"/>
            <w:tcBorders>
              <w:top w:val="outset" w:sz="6" w:space="0" w:color="auto"/>
              <w:left w:val="outset" w:sz="6" w:space="0" w:color="auto"/>
              <w:bottom w:val="outset" w:sz="6" w:space="0" w:color="auto"/>
              <w:right w:val="outset" w:sz="6" w:space="0" w:color="auto"/>
            </w:tcBorders>
            <w:vAlign w:val="center"/>
          </w:tcPr>
          <w:p w14:paraId="6F51A69C" w14:textId="77777777" w:rsidR="00A50254" w:rsidRPr="005F730A" w:rsidRDefault="00A50254" w:rsidP="00BF50D9">
            <w:pPr>
              <w:spacing w:after="0" w:line="240" w:lineRule="auto"/>
              <w:jc w:val="center"/>
              <w:rPr>
                <w:rFonts w:ascii="Times New Roman" w:eastAsia="Times New Roman" w:hAnsi="Times New Roman"/>
                <w:bCs/>
                <w:iCs/>
                <w:color w:val="000000" w:themeColor="text1"/>
                <w:sz w:val="16"/>
                <w:szCs w:val="16"/>
                <w:lang w:eastAsia="lv-LV"/>
              </w:rPr>
            </w:pPr>
            <w:r w:rsidRPr="005F730A">
              <w:rPr>
                <w:rFonts w:ascii="Times New Roman" w:hAnsi="Times New Roman"/>
                <w:color w:val="000000"/>
                <w:sz w:val="16"/>
                <w:szCs w:val="16"/>
              </w:rPr>
              <w:t>8</w:t>
            </w:r>
          </w:p>
        </w:tc>
      </w:tr>
      <w:tr w:rsidR="00A50254" w:rsidRPr="00602BF4" w14:paraId="3B9B5452"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66379A28" w14:textId="77777777" w:rsidR="00A50254" w:rsidRPr="00602BF4" w:rsidRDefault="00A50254" w:rsidP="00BF50D9">
            <w:pPr>
              <w:spacing w:after="0" w:line="240" w:lineRule="auto"/>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1. Budžeta ieņēmumi:</w:t>
            </w:r>
          </w:p>
        </w:tc>
        <w:tc>
          <w:tcPr>
            <w:tcW w:w="570" w:type="pct"/>
            <w:tcBorders>
              <w:top w:val="outset" w:sz="6" w:space="0" w:color="auto"/>
              <w:left w:val="outset" w:sz="6" w:space="0" w:color="auto"/>
              <w:bottom w:val="outset" w:sz="6" w:space="0" w:color="auto"/>
              <w:right w:val="outset" w:sz="6" w:space="0" w:color="auto"/>
            </w:tcBorders>
            <w:vAlign w:val="bottom"/>
          </w:tcPr>
          <w:p w14:paraId="7E21CB7E"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308</w:t>
            </w:r>
            <w:r>
              <w:rPr>
                <w:rFonts w:ascii="Times New Roman" w:hAnsi="Times New Roman"/>
                <w:b/>
                <w:bCs/>
                <w:color w:val="000000"/>
                <w:sz w:val="20"/>
                <w:szCs w:val="20"/>
              </w:rPr>
              <w:t> </w:t>
            </w:r>
            <w:r w:rsidRPr="00C43B90">
              <w:rPr>
                <w:rFonts w:ascii="Times New Roman" w:hAnsi="Times New Roman"/>
                <w:b/>
                <w:bCs/>
                <w:color w:val="000000"/>
                <w:sz w:val="20"/>
                <w:szCs w:val="20"/>
              </w:rPr>
              <w:t>275</w:t>
            </w:r>
            <w:r>
              <w:rPr>
                <w:rFonts w:ascii="Times New Roman" w:hAnsi="Times New Roman"/>
                <w:b/>
                <w:bCs/>
                <w:color w:val="000000"/>
                <w:sz w:val="20"/>
                <w:szCs w:val="20"/>
              </w:rPr>
              <w:t> </w:t>
            </w:r>
            <w:r w:rsidRPr="00C43B90">
              <w:rPr>
                <w:rFonts w:ascii="Times New Roman" w:hAnsi="Times New Roman"/>
                <w:b/>
                <w:bCs/>
                <w:color w:val="000000"/>
                <w:sz w:val="20"/>
                <w:szCs w:val="20"/>
              </w:rPr>
              <w:t>128</w:t>
            </w:r>
          </w:p>
        </w:tc>
        <w:tc>
          <w:tcPr>
            <w:tcW w:w="501" w:type="pct"/>
            <w:tcBorders>
              <w:top w:val="outset" w:sz="6" w:space="0" w:color="auto"/>
              <w:left w:val="outset" w:sz="6" w:space="0" w:color="auto"/>
              <w:bottom w:val="outset" w:sz="6" w:space="0" w:color="auto"/>
              <w:right w:val="outset" w:sz="6" w:space="0" w:color="auto"/>
            </w:tcBorders>
            <w:vAlign w:val="bottom"/>
          </w:tcPr>
          <w:p w14:paraId="71888E3E"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1EC5C8E7"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318</w:t>
            </w:r>
            <w:r>
              <w:rPr>
                <w:rFonts w:ascii="Times New Roman" w:hAnsi="Times New Roman"/>
                <w:b/>
                <w:bCs/>
                <w:color w:val="000000"/>
                <w:sz w:val="20"/>
                <w:szCs w:val="20"/>
              </w:rPr>
              <w:t> </w:t>
            </w:r>
            <w:r w:rsidRPr="00C43B90">
              <w:rPr>
                <w:rFonts w:ascii="Times New Roman" w:hAnsi="Times New Roman"/>
                <w:b/>
                <w:bCs/>
                <w:color w:val="000000"/>
                <w:sz w:val="20"/>
                <w:szCs w:val="20"/>
              </w:rPr>
              <w:t>306</w:t>
            </w:r>
            <w:r>
              <w:rPr>
                <w:rFonts w:ascii="Times New Roman" w:hAnsi="Times New Roman"/>
                <w:b/>
                <w:bCs/>
                <w:color w:val="000000"/>
                <w:sz w:val="20"/>
                <w:szCs w:val="20"/>
              </w:rPr>
              <w:t> </w:t>
            </w:r>
            <w:r w:rsidRPr="00C43B90">
              <w:rPr>
                <w:rFonts w:ascii="Times New Roman" w:hAnsi="Times New Roman"/>
                <w:b/>
                <w:bCs/>
                <w:color w:val="000000"/>
                <w:sz w:val="20"/>
                <w:szCs w:val="20"/>
              </w:rPr>
              <w:t>950</w:t>
            </w:r>
          </w:p>
        </w:tc>
        <w:tc>
          <w:tcPr>
            <w:tcW w:w="597" w:type="pct"/>
            <w:tcBorders>
              <w:top w:val="outset" w:sz="6" w:space="0" w:color="auto"/>
              <w:left w:val="outset" w:sz="6" w:space="0" w:color="auto"/>
              <w:bottom w:val="outset" w:sz="6" w:space="0" w:color="auto"/>
              <w:right w:val="outset" w:sz="6" w:space="0" w:color="auto"/>
            </w:tcBorders>
            <w:vAlign w:val="bottom"/>
          </w:tcPr>
          <w:p w14:paraId="24B8FA72"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676CA78D"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318</w:t>
            </w:r>
            <w:r>
              <w:rPr>
                <w:rFonts w:ascii="Times New Roman" w:hAnsi="Times New Roman"/>
                <w:b/>
                <w:bCs/>
                <w:color w:val="000000"/>
                <w:sz w:val="20"/>
                <w:szCs w:val="20"/>
              </w:rPr>
              <w:t> </w:t>
            </w:r>
            <w:r w:rsidRPr="00C43B90">
              <w:rPr>
                <w:rFonts w:ascii="Times New Roman" w:hAnsi="Times New Roman"/>
                <w:b/>
                <w:bCs/>
                <w:color w:val="000000"/>
                <w:sz w:val="20"/>
                <w:szCs w:val="20"/>
              </w:rPr>
              <w:t>306</w:t>
            </w:r>
            <w:r>
              <w:rPr>
                <w:rFonts w:ascii="Times New Roman" w:hAnsi="Times New Roman"/>
                <w:b/>
                <w:bCs/>
                <w:color w:val="000000"/>
                <w:sz w:val="20"/>
                <w:szCs w:val="20"/>
              </w:rPr>
              <w:t> </w:t>
            </w:r>
            <w:r w:rsidRPr="00C43B90">
              <w:rPr>
                <w:rFonts w:ascii="Times New Roman" w:hAnsi="Times New Roman"/>
                <w:b/>
                <w:bCs/>
                <w:color w:val="000000"/>
                <w:sz w:val="20"/>
                <w:szCs w:val="20"/>
              </w:rPr>
              <w:t>950</w:t>
            </w:r>
          </w:p>
        </w:tc>
        <w:tc>
          <w:tcPr>
            <w:tcW w:w="569" w:type="pct"/>
            <w:tcBorders>
              <w:top w:val="outset" w:sz="6" w:space="0" w:color="auto"/>
              <w:left w:val="outset" w:sz="6" w:space="0" w:color="auto"/>
              <w:bottom w:val="outset" w:sz="6" w:space="0" w:color="auto"/>
              <w:right w:val="outset" w:sz="6" w:space="0" w:color="auto"/>
            </w:tcBorders>
            <w:vAlign w:val="bottom"/>
          </w:tcPr>
          <w:p w14:paraId="4E64B8A5"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090C656A"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
                <w:bCs/>
                <w:color w:val="000000"/>
                <w:sz w:val="20"/>
                <w:szCs w:val="20"/>
              </w:rPr>
              <w:t>0</w:t>
            </w:r>
          </w:p>
        </w:tc>
      </w:tr>
      <w:tr w:rsidR="00A50254" w:rsidRPr="00602BF4" w14:paraId="56618196"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50FEAC33" w14:textId="77777777" w:rsidR="00A50254" w:rsidRPr="00602BF4" w:rsidRDefault="00A50254" w:rsidP="00BF50D9">
            <w:pPr>
              <w:spacing w:after="0" w:line="240" w:lineRule="auto"/>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 xml:space="preserve">1.1.valsts pamatbudžets, tai skaitā ieņēmumi no maksas </w:t>
            </w:r>
            <w:r w:rsidRPr="00C43B90">
              <w:rPr>
                <w:rFonts w:ascii="Times New Roman" w:hAnsi="Times New Roman"/>
                <w:bCs/>
                <w:color w:val="000000"/>
                <w:sz w:val="20"/>
                <w:szCs w:val="20"/>
              </w:rPr>
              <w:lastRenderedPageBreak/>
              <w:t>pakalpojumiem un citi pašu ieņēmumi</w:t>
            </w:r>
          </w:p>
        </w:tc>
        <w:tc>
          <w:tcPr>
            <w:tcW w:w="570" w:type="pct"/>
            <w:tcBorders>
              <w:top w:val="outset" w:sz="6" w:space="0" w:color="auto"/>
              <w:left w:val="outset" w:sz="6" w:space="0" w:color="auto"/>
              <w:bottom w:val="outset" w:sz="6" w:space="0" w:color="auto"/>
              <w:right w:val="outset" w:sz="6" w:space="0" w:color="auto"/>
            </w:tcBorders>
            <w:vAlign w:val="bottom"/>
          </w:tcPr>
          <w:p w14:paraId="5520F545"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lastRenderedPageBreak/>
              <w:t>308</w:t>
            </w:r>
            <w:r>
              <w:rPr>
                <w:rFonts w:ascii="Times New Roman" w:hAnsi="Times New Roman"/>
                <w:bCs/>
                <w:color w:val="000000"/>
                <w:sz w:val="20"/>
                <w:szCs w:val="20"/>
              </w:rPr>
              <w:t> </w:t>
            </w:r>
            <w:r w:rsidRPr="00C43B90">
              <w:rPr>
                <w:rFonts w:ascii="Times New Roman" w:hAnsi="Times New Roman"/>
                <w:bCs/>
                <w:color w:val="000000"/>
                <w:sz w:val="20"/>
                <w:szCs w:val="20"/>
              </w:rPr>
              <w:t>275</w:t>
            </w:r>
            <w:r>
              <w:rPr>
                <w:rFonts w:ascii="Times New Roman" w:hAnsi="Times New Roman"/>
                <w:bCs/>
                <w:color w:val="000000"/>
                <w:sz w:val="20"/>
                <w:szCs w:val="20"/>
              </w:rPr>
              <w:t> </w:t>
            </w:r>
            <w:r w:rsidRPr="00C43B90">
              <w:rPr>
                <w:rFonts w:ascii="Times New Roman" w:hAnsi="Times New Roman"/>
                <w:bCs/>
                <w:color w:val="000000"/>
                <w:sz w:val="20"/>
                <w:szCs w:val="20"/>
              </w:rPr>
              <w:t>128</w:t>
            </w:r>
          </w:p>
        </w:tc>
        <w:tc>
          <w:tcPr>
            <w:tcW w:w="501" w:type="pct"/>
            <w:tcBorders>
              <w:top w:val="outset" w:sz="6" w:space="0" w:color="auto"/>
              <w:left w:val="outset" w:sz="6" w:space="0" w:color="auto"/>
              <w:bottom w:val="outset" w:sz="6" w:space="0" w:color="auto"/>
              <w:right w:val="outset" w:sz="6" w:space="0" w:color="auto"/>
            </w:tcBorders>
            <w:vAlign w:val="bottom"/>
          </w:tcPr>
          <w:p w14:paraId="6C6E429D"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5CFE661D"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318</w:t>
            </w:r>
            <w:r>
              <w:rPr>
                <w:rFonts w:ascii="Times New Roman" w:hAnsi="Times New Roman"/>
                <w:bCs/>
                <w:color w:val="000000"/>
                <w:sz w:val="20"/>
                <w:szCs w:val="20"/>
              </w:rPr>
              <w:t> </w:t>
            </w:r>
            <w:r w:rsidRPr="00C43B90">
              <w:rPr>
                <w:rFonts w:ascii="Times New Roman" w:hAnsi="Times New Roman"/>
                <w:bCs/>
                <w:color w:val="000000"/>
                <w:sz w:val="20"/>
                <w:szCs w:val="20"/>
              </w:rPr>
              <w:t>306</w:t>
            </w:r>
            <w:r>
              <w:rPr>
                <w:rFonts w:ascii="Times New Roman" w:hAnsi="Times New Roman"/>
                <w:bCs/>
                <w:color w:val="000000"/>
                <w:sz w:val="20"/>
                <w:szCs w:val="20"/>
              </w:rPr>
              <w:t> </w:t>
            </w:r>
            <w:r w:rsidRPr="00C43B90">
              <w:rPr>
                <w:rFonts w:ascii="Times New Roman" w:hAnsi="Times New Roman"/>
                <w:bCs/>
                <w:color w:val="000000"/>
                <w:sz w:val="20"/>
                <w:szCs w:val="20"/>
              </w:rPr>
              <w:t>950</w:t>
            </w:r>
          </w:p>
        </w:tc>
        <w:tc>
          <w:tcPr>
            <w:tcW w:w="597" w:type="pct"/>
            <w:tcBorders>
              <w:top w:val="outset" w:sz="6" w:space="0" w:color="auto"/>
              <w:left w:val="outset" w:sz="6" w:space="0" w:color="auto"/>
              <w:bottom w:val="outset" w:sz="6" w:space="0" w:color="auto"/>
              <w:right w:val="outset" w:sz="6" w:space="0" w:color="auto"/>
            </w:tcBorders>
            <w:vAlign w:val="bottom"/>
          </w:tcPr>
          <w:p w14:paraId="26A041BA"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6D063237"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318</w:t>
            </w:r>
            <w:r>
              <w:rPr>
                <w:rFonts w:ascii="Times New Roman" w:hAnsi="Times New Roman"/>
                <w:bCs/>
                <w:color w:val="000000"/>
                <w:sz w:val="20"/>
                <w:szCs w:val="20"/>
              </w:rPr>
              <w:t> </w:t>
            </w:r>
            <w:r w:rsidRPr="00C43B90">
              <w:rPr>
                <w:rFonts w:ascii="Times New Roman" w:hAnsi="Times New Roman"/>
                <w:bCs/>
                <w:color w:val="000000"/>
                <w:sz w:val="20"/>
                <w:szCs w:val="20"/>
              </w:rPr>
              <w:t>306</w:t>
            </w:r>
            <w:r>
              <w:rPr>
                <w:rFonts w:ascii="Times New Roman" w:hAnsi="Times New Roman"/>
                <w:bCs/>
                <w:color w:val="000000"/>
                <w:sz w:val="20"/>
                <w:szCs w:val="20"/>
              </w:rPr>
              <w:t> </w:t>
            </w:r>
            <w:r w:rsidRPr="00C43B90">
              <w:rPr>
                <w:rFonts w:ascii="Times New Roman" w:hAnsi="Times New Roman"/>
                <w:bCs/>
                <w:color w:val="000000"/>
                <w:sz w:val="20"/>
                <w:szCs w:val="20"/>
              </w:rPr>
              <w:t>950</w:t>
            </w:r>
          </w:p>
        </w:tc>
        <w:tc>
          <w:tcPr>
            <w:tcW w:w="569" w:type="pct"/>
            <w:tcBorders>
              <w:top w:val="outset" w:sz="6" w:space="0" w:color="auto"/>
              <w:left w:val="outset" w:sz="6" w:space="0" w:color="auto"/>
              <w:bottom w:val="outset" w:sz="6" w:space="0" w:color="auto"/>
              <w:right w:val="outset" w:sz="6" w:space="0" w:color="auto"/>
            </w:tcBorders>
            <w:vAlign w:val="bottom"/>
          </w:tcPr>
          <w:p w14:paraId="21C16A48"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14172134"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r>
      <w:tr w:rsidR="00A50254" w:rsidRPr="00602BF4" w14:paraId="2210FD3D"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75B52C15" w14:textId="77777777" w:rsidR="00A50254" w:rsidRPr="00602BF4" w:rsidRDefault="00A50254" w:rsidP="00BF50D9">
            <w:pPr>
              <w:spacing w:after="0" w:line="240" w:lineRule="auto"/>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lastRenderedPageBreak/>
              <w:t>1.2.valsts speciālais budžets</w:t>
            </w:r>
          </w:p>
        </w:tc>
        <w:tc>
          <w:tcPr>
            <w:tcW w:w="570" w:type="pct"/>
            <w:tcBorders>
              <w:top w:val="outset" w:sz="6" w:space="0" w:color="auto"/>
              <w:left w:val="outset" w:sz="6" w:space="0" w:color="auto"/>
              <w:bottom w:val="outset" w:sz="6" w:space="0" w:color="auto"/>
              <w:right w:val="outset" w:sz="6" w:space="0" w:color="auto"/>
            </w:tcBorders>
            <w:vAlign w:val="bottom"/>
          </w:tcPr>
          <w:p w14:paraId="4269249B"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56AE1544"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6F72AC10"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1D3FE444"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3724C152"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18193E9C"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1B8395A8"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r>
      <w:tr w:rsidR="00A50254" w:rsidRPr="00602BF4" w14:paraId="5D2D5725"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00CFD146" w14:textId="77777777" w:rsidR="00A50254" w:rsidRPr="00602BF4" w:rsidRDefault="00A50254" w:rsidP="00BF50D9">
            <w:pPr>
              <w:spacing w:after="0" w:line="240" w:lineRule="auto"/>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1.3.pašvaldību budžets</w:t>
            </w:r>
          </w:p>
        </w:tc>
        <w:tc>
          <w:tcPr>
            <w:tcW w:w="570" w:type="pct"/>
            <w:tcBorders>
              <w:top w:val="outset" w:sz="6" w:space="0" w:color="auto"/>
              <w:left w:val="outset" w:sz="6" w:space="0" w:color="auto"/>
              <w:bottom w:val="outset" w:sz="6" w:space="0" w:color="auto"/>
              <w:right w:val="outset" w:sz="6" w:space="0" w:color="auto"/>
            </w:tcBorders>
            <w:vAlign w:val="bottom"/>
          </w:tcPr>
          <w:p w14:paraId="3F9C222D"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63D7F795"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6F41EF42"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4F84B8E7"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31B64E8F"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39F09938"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5E32C7F1" w14:textId="77777777" w:rsidR="00A50254" w:rsidRPr="00602BF4" w:rsidRDefault="00A50254" w:rsidP="00BF50D9">
            <w:pPr>
              <w:spacing w:after="0" w:line="240" w:lineRule="auto"/>
              <w:jc w:val="center"/>
              <w:rPr>
                <w:rFonts w:ascii="Times New Roman" w:eastAsia="Times New Roman" w:hAnsi="Times New Roman"/>
                <w:bCs/>
                <w:iCs/>
                <w:color w:val="000000" w:themeColor="text1"/>
                <w:sz w:val="24"/>
                <w:szCs w:val="24"/>
                <w:lang w:eastAsia="lv-LV"/>
              </w:rPr>
            </w:pPr>
            <w:r w:rsidRPr="00C43B90">
              <w:rPr>
                <w:rFonts w:ascii="Times New Roman" w:hAnsi="Times New Roman"/>
                <w:bCs/>
                <w:color w:val="000000"/>
                <w:sz w:val="20"/>
                <w:szCs w:val="20"/>
              </w:rPr>
              <w:t>0</w:t>
            </w:r>
          </w:p>
        </w:tc>
      </w:tr>
      <w:tr w:rsidR="00A50254" w:rsidRPr="00602BF4" w14:paraId="460FAF65"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2F75042E"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
                <w:bCs/>
                <w:color w:val="000000"/>
                <w:sz w:val="20"/>
                <w:szCs w:val="20"/>
              </w:rPr>
              <w:t>2. Budžeta izdevumi:</w:t>
            </w:r>
          </w:p>
        </w:tc>
        <w:tc>
          <w:tcPr>
            <w:tcW w:w="570" w:type="pct"/>
            <w:tcBorders>
              <w:top w:val="outset" w:sz="6" w:space="0" w:color="auto"/>
              <w:left w:val="outset" w:sz="6" w:space="0" w:color="auto"/>
              <w:bottom w:val="outset" w:sz="6" w:space="0" w:color="auto"/>
              <w:right w:val="outset" w:sz="6" w:space="0" w:color="auto"/>
            </w:tcBorders>
            <w:vAlign w:val="bottom"/>
          </w:tcPr>
          <w:p w14:paraId="372E151B"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308</w:t>
            </w:r>
            <w:r>
              <w:rPr>
                <w:rFonts w:ascii="Times New Roman" w:hAnsi="Times New Roman"/>
                <w:b/>
                <w:bCs/>
                <w:color w:val="000000"/>
                <w:sz w:val="20"/>
                <w:szCs w:val="20"/>
              </w:rPr>
              <w:t> </w:t>
            </w:r>
            <w:r w:rsidRPr="00C43B90">
              <w:rPr>
                <w:rFonts w:ascii="Times New Roman" w:hAnsi="Times New Roman"/>
                <w:b/>
                <w:bCs/>
                <w:color w:val="000000"/>
                <w:sz w:val="20"/>
                <w:szCs w:val="20"/>
              </w:rPr>
              <w:t>275</w:t>
            </w:r>
            <w:r>
              <w:rPr>
                <w:rFonts w:ascii="Times New Roman" w:hAnsi="Times New Roman"/>
                <w:b/>
                <w:bCs/>
                <w:color w:val="000000"/>
                <w:sz w:val="20"/>
                <w:szCs w:val="20"/>
              </w:rPr>
              <w:t> </w:t>
            </w:r>
            <w:r w:rsidRPr="00C43B90">
              <w:rPr>
                <w:rFonts w:ascii="Times New Roman" w:hAnsi="Times New Roman"/>
                <w:b/>
                <w:bCs/>
                <w:color w:val="000000"/>
                <w:sz w:val="20"/>
                <w:szCs w:val="20"/>
              </w:rPr>
              <w:t>128</w:t>
            </w:r>
          </w:p>
        </w:tc>
        <w:tc>
          <w:tcPr>
            <w:tcW w:w="501" w:type="pct"/>
            <w:tcBorders>
              <w:top w:val="outset" w:sz="6" w:space="0" w:color="auto"/>
              <w:left w:val="outset" w:sz="6" w:space="0" w:color="auto"/>
              <w:bottom w:val="outset" w:sz="6" w:space="0" w:color="auto"/>
              <w:right w:val="outset" w:sz="6" w:space="0" w:color="auto"/>
            </w:tcBorders>
            <w:vAlign w:val="bottom"/>
          </w:tcPr>
          <w:p w14:paraId="7DEC6FB7"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7286C78C"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318</w:t>
            </w:r>
            <w:r>
              <w:rPr>
                <w:rFonts w:ascii="Times New Roman" w:hAnsi="Times New Roman"/>
                <w:b/>
                <w:bCs/>
                <w:color w:val="000000"/>
                <w:sz w:val="20"/>
                <w:szCs w:val="20"/>
              </w:rPr>
              <w:t> </w:t>
            </w:r>
            <w:r w:rsidRPr="00C43B90">
              <w:rPr>
                <w:rFonts w:ascii="Times New Roman" w:hAnsi="Times New Roman"/>
                <w:b/>
                <w:bCs/>
                <w:color w:val="000000"/>
                <w:sz w:val="20"/>
                <w:szCs w:val="20"/>
              </w:rPr>
              <w:t>306</w:t>
            </w:r>
            <w:r>
              <w:rPr>
                <w:rFonts w:ascii="Times New Roman" w:hAnsi="Times New Roman"/>
                <w:b/>
                <w:bCs/>
                <w:color w:val="000000"/>
                <w:sz w:val="20"/>
                <w:szCs w:val="20"/>
              </w:rPr>
              <w:t> </w:t>
            </w:r>
            <w:r w:rsidRPr="00C43B90">
              <w:rPr>
                <w:rFonts w:ascii="Times New Roman" w:hAnsi="Times New Roman"/>
                <w:b/>
                <w:bCs/>
                <w:color w:val="000000"/>
                <w:sz w:val="20"/>
                <w:szCs w:val="20"/>
              </w:rPr>
              <w:t>950</w:t>
            </w:r>
          </w:p>
        </w:tc>
        <w:tc>
          <w:tcPr>
            <w:tcW w:w="597" w:type="pct"/>
            <w:tcBorders>
              <w:top w:val="outset" w:sz="6" w:space="0" w:color="auto"/>
              <w:left w:val="outset" w:sz="6" w:space="0" w:color="auto"/>
              <w:bottom w:val="outset" w:sz="6" w:space="0" w:color="auto"/>
              <w:right w:val="outset" w:sz="6" w:space="0" w:color="auto"/>
            </w:tcBorders>
            <w:vAlign w:val="bottom"/>
          </w:tcPr>
          <w:p w14:paraId="37A240AB"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6697AEDE"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318</w:t>
            </w:r>
            <w:r>
              <w:rPr>
                <w:rFonts w:ascii="Times New Roman" w:hAnsi="Times New Roman"/>
                <w:b/>
                <w:bCs/>
                <w:color w:val="000000"/>
                <w:sz w:val="20"/>
                <w:szCs w:val="20"/>
              </w:rPr>
              <w:t> </w:t>
            </w:r>
            <w:r w:rsidRPr="00C43B90">
              <w:rPr>
                <w:rFonts w:ascii="Times New Roman" w:hAnsi="Times New Roman"/>
                <w:b/>
                <w:bCs/>
                <w:color w:val="000000"/>
                <w:sz w:val="20"/>
                <w:szCs w:val="20"/>
              </w:rPr>
              <w:t>306</w:t>
            </w:r>
            <w:r>
              <w:rPr>
                <w:rFonts w:ascii="Times New Roman" w:hAnsi="Times New Roman"/>
                <w:b/>
                <w:bCs/>
                <w:color w:val="000000"/>
                <w:sz w:val="20"/>
                <w:szCs w:val="20"/>
              </w:rPr>
              <w:t> </w:t>
            </w:r>
            <w:r w:rsidRPr="00C43B90">
              <w:rPr>
                <w:rFonts w:ascii="Times New Roman" w:hAnsi="Times New Roman"/>
                <w:b/>
                <w:bCs/>
                <w:color w:val="000000"/>
                <w:sz w:val="20"/>
                <w:szCs w:val="20"/>
              </w:rPr>
              <w:t>950</w:t>
            </w:r>
          </w:p>
        </w:tc>
        <w:tc>
          <w:tcPr>
            <w:tcW w:w="569" w:type="pct"/>
            <w:tcBorders>
              <w:top w:val="outset" w:sz="6" w:space="0" w:color="auto"/>
              <w:left w:val="outset" w:sz="6" w:space="0" w:color="auto"/>
              <w:bottom w:val="outset" w:sz="6" w:space="0" w:color="auto"/>
              <w:right w:val="outset" w:sz="6" w:space="0" w:color="auto"/>
            </w:tcBorders>
            <w:vAlign w:val="bottom"/>
          </w:tcPr>
          <w:p w14:paraId="641C772D"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3314F535"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r>
      <w:tr w:rsidR="00A50254" w:rsidRPr="00602BF4" w14:paraId="4E345250"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62C897EC"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2.1.valsts pamatbudžets</w:t>
            </w:r>
          </w:p>
        </w:tc>
        <w:tc>
          <w:tcPr>
            <w:tcW w:w="570" w:type="pct"/>
            <w:tcBorders>
              <w:top w:val="outset" w:sz="6" w:space="0" w:color="auto"/>
              <w:left w:val="outset" w:sz="6" w:space="0" w:color="auto"/>
              <w:bottom w:val="outset" w:sz="6" w:space="0" w:color="auto"/>
              <w:right w:val="outset" w:sz="6" w:space="0" w:color="auto"/>
            </w:tcBorders>
            <w:vAlign w:val="bottom"/>
          </w:tcPr>
          <w:p w14:paraId="44791798"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308</w:t>
            </w:r>
            <w:r>
              <w:rPr>
                <w:rFonts w:ascii="Times New Roman" w:hAnsi="Times New Roman"/>
                <w:bCs/>
                <w:color w:val="000000"/>
                <w:sz w:val="20"/>
                <w:szCs w:val="20"/>
              </w:rPr>
              <w:t> </w:t>
            </w:r>
            <w:r w:rsidRPr="00C43B90">
              <w:rPr>
                <w:rFonts w:ascii="Times New Roman" w:hAnsi="Times New Roman"/>
                <w:bCs/>
                <w:color w:val="000000"/>
                <w:sz w:val="20"/>
                <w:szCs w:val="20"/>
              </w:rPr>
              <w:t>275</w:t>
            </w:r>
            <w:r>
              <w:rPr>
                <w:rFonts w:ascii="Times New Roman" w:hAnsi="Times New Roman"/>
                <w:bCs/>
                <w:color w:val="000000"/>
                <w:sz w:val="20"/>
                <w:szCs w:val="20"/>
              </w:rPr>
              <w:t> </w:t>
            </w:r>
            <w:r w:rsidRPr="00C43B90">
              <w:rPr>
                <w:rFonts w:ascii="Times New Roman" w:hAnsi="Times New Roman"/>
                <w:bCs/>
                <w:color w:val="000000"/>
                <w:sz w:val="20"/>
                <w:szCs w:val="20"/>
              </w:rPr>
              <w:t>128</w:t>
            </w:r>
          </w:p>
        </w:tc>
        <w:tc>
          <w:tcPr>
            <w:tcW w:w="501" w:type="pct"/>
            <w:tcBorders>
              <w:top w:val="outset" w:sz="6" w:space="0" w:color="auto"/>
              <w:left w:val="outset" w:sz="6" w:space="0" w:color="auto"/>
              <w:bottom w:val="outset" w:sz="6" w:space="0" w:color="auto"/>
              <w:right w:val="outset" w:sz="6" w:space="0" w:color="auto"/>
            </w:tcBorders>
            <w:vAlign w:val="bottom"/>
          </w:tcPr>
          <w:p w14:paraId="748AFA68"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12B55FF8"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318</w:t>
            </w:r>
            <w:r>
              <w:rPr>
                <w:rFonts w:ascii="Times New Roman" w:hAnsi="Times New Roman"/>
                <w:bCs/>
                <w:color w:val="000000"/>
                <w:sz w:val="20"/>
                <w:szCs w:val="20"/>
              </w:rPr>
              <w:t> </w:t>
            </w:r>
            <w:r w:rsidRPr="00C43B90">
              <w:rPr>
                <w:rFonts w:ascii="Times New Roman" w:hAnsi="Times New Roman"/>
                <w:bCs/>
                <w:color w:val="000000"/>
                <w:sz w:val="20"/>
                <w:szCs w:val="20"/>
              </w:rPr>
              <w:t>306</w:t>
            </w:r>
            <w:r>
              <w:rPr>
                <w:rFonts w:ascii="Times New Roman" w:hAnsi="Times New Roman"/>
                <w:bCs/>
                <w:color w:val="000000"/>
                <w:sz w:val="20"/>
                <w:szCs w:val="20"/>
              </w:rPr>
              <w:t> </w:t>
            </w:r>
            <w:r w:rsidRPr="00C43B90">
              <w:rPr>
                <w:rFonts w:ascii="Times New Roman" w:hAnsi="Times New Roman"/>
                <w:bCs/>
                <w:color w:val="000000"/>
                <w:sz w:val="20"/>
                <w:szCs w:val="20"/>
              </w:rPr>
              <w:t>950</w:t>
            </w:r>
          </w:p>
        </w:tc>
        <w:tc>
          <w:tcPr>
            <w:tcW w:w="597" w:type="pct"/>
            <w:tcBorders>
              <w:top w:val="outset" w:sz="6" w:space="0" w:color="auto"/>
              <w:left w:val="outset" w:sz="6" w:space="0" w:color="auto"/>
              <w:bottom w:val="outset" w:sz="6" w:space="0" w:color="auto"/>
              <w:right w:val="outset" w:sz="6" w:space="0" w:color="auto"/>
            </w:tcBorders>
            <w:vAlign w:val="bottom"/>
          </w:tcPr>
          <w:p w14:paraId="532F6E0E"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5D9DFB6E"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318</w:t>
            </w:r>
            <w:r>
              <w:rPr>
                <w:rFonts w:ascii="Times New Roman" w:hAnsi="Times New Roman"/>
                <w:bCs/>
                <w:color w:val="000000"/>
                <w:sz w:val="20"/>
                <w:szCs w:val="20"/>
              </w:rPr>
              <w:t> </w:t>
            </w:r>
            <w:r w:rsidRPr="00C43B90">
              <w:rPr>
                <w:rFonts w:ascii="Times New Roman" w:hAnsi="Times New Roman"/>
                <w:bCs/>
                <w:color w:val="000000"/>
                <w:sz w:val="20"/>
                <w:szCs w:val="20"/>
              </w:rPr>
              <w:t>306</w:t>
            </w:r>
            <w:r>
              <w:rPr>
                <w:rFonts w:ascii="Times New Roman" w:hAnsi="Times New Roman"/>
                <w:bCs/>
                <w:color w:val="000000"/>
                <w:sz w:val="20"/>
                <w:szCs w:val="20"/>
              </w:rPr>
              <w:t> </w:t>
            </w:r>
            <w:r w:rsidRPr="00C43B90">
              <w:rPr>
                <w:rFonts w:ascii="Times New Roman" w:hAnsi="Times New Roman"/>
                <w:bCs/>
                <w:color w:val="000000"/>
                <w:sz w:val="20"/>
                <w:szCs w:val="20"/>
              </w:rPr>
              <w:t>950</w:t>
            </w:r>
          </w:p>
        </w:tc>
        <w:tc>
          <w:tcPr>
            <w:tcW w:w="569" w:type="pct"/>
            <w:tcBorders>
              <w:top w:val="outset" w:sz="6" w:space="0" w:color="auto"/>
              <w:left w:val="outset" w:sz="6" w:space="0" w:color="auto"/>
              <w:bottom w:val="outset" w:sz="6" w:space="0" w:color="auto"/>
              <w:right w:val="outset" w:sz="6" w:space="0" w:color="auto"/>
            </w:tcBorders>
            <w:vAlign w:val="bottom"/>
          </w:tcPr>
          <w:p w14:paraId="10C39DD4"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3B8A92F3"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r>
      <w:tr w:rsidR="00A50254" w:rsidRPr="00602BF4" w14:paraId="63E903F2"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48469F54"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2.2.valsts speciālais budžets</w:t>
            </w:r>
          </w:p>
        </w:tc>
        <w:tc>
          <w:tcPr>
            <w:tcW w:w="570" w:type="pct"/>
            <w:tcBorders>
              <w:top w:val="outset" w:sz="6" w:space="0" w:color="auto"/>
              <w:left w:val="outset" w:sz="6" w:space="0" w:color="auto"/>
              <w:bottom w:val="outset" w:sz="6" w:space="0" w:color="auto"/>
              <w:right w:val="outset" w:sz="6" w:space="0" w:color="auto"/>
            </w:tcBorders>
            <w:vAlign w:val="bottom"/>
          </w:tcPr>
          <w:p w14:paraId="585B324E"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3DA5BD8B"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1A6543DB"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39E8F18A"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388711D3"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30C3AB90"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5D9979F8"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r>
      <w:tr w:rsidR="00A50254" w:rsidRPr="00602BF4" w14:paraId="46CF762B"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7D49477B"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2.3.pašvaldību budžets</w:t>
            </w:r>
          </w:p>
        </w:tc>
        <w:tc>
          <w:tcPr>
            <w:tcW w:w="570" w:type="pct"/>
            <w:tcBorders>
              <w:top w:val="outset" w:sz="6" w:space="0" w:color="auto"/>
              <w:left w:val="outset" w:sz="6" w:space="0" w:color="auto"/>
              <w:bottom w:val="outset" w:sz="6" w:space="0" w:color="auto"/>
              <w:right w:val="outset" w:sz="6" w:space="0" w:color="auto"/>
            </w:tcBorders>
            <w:vAlign w:val="bottom"/>
          </w:tcPr>
          <w:p w14:paraId="7F484173"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1203DE14"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396B5E23"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67073962"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1B31482F"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4CAAF5E9"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55A8C662"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r>
      <w:tr w:rsidR="00A50254" w:rsidRPr="00602BF4" w14:paraId="6E592AC4"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1FF51DEC"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
                <w:bCs/>
                <w:color w:val="000000"/>
                <w:sz w:val="20"/>
                <w:szCs w:val="20"/>
              </w:rPr>
              <w:t>3. Finansiālā ietekme:</w:t>
            </w:r>
          </w:p>
        </w:tc>
        <w:tc>
          <w:tcPr>
            <w:tcW w:w="570" w:type="pct"/>
            <w:tcBorders>
              <w:top w:val="outset" w:sz="6" w:space="0" w:color="auto"/>
              <w:left w:val="outset" w:sz="6" w:space="0" w:color="auto"/>
              <w:bottom w:val="outset" w:sz="6" w:space="0" w:color="auto"/>
              <w:right w:val="outset" w:sz="6" w:space="0" w:color="auto"/>
            </w:tcBorders>
            <w:vAlign w:val="bottom"/>
          </w:tcPr>
          <w:p w14:paraId="1989B975"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539C855C"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36B4FBAE"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58281335"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1475BFA8"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04465CFD"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1A69F7EE"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
                <w:bCs/>
                <w:color w:val="000000"/>
                <w:sz w:val="20"/>
                <w:szCs w:val="20"/>
              </w:rPr>
              <w:t>0</w:t>
            </w:r>
          </w:p>
        </w:tc>
      </w:tr>
      <w:tr w:rsidR="00A50254" w:rsidRPr="00602BF4" w14:paraId="0B6F69DA"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6DCAA214"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3.1.valsts pamatbudžets</w:t>
            </w:r>
          </w:p>
        </w:tc>
        <w:tc>
          <w:tcPr>
            <w:tcW w:w="570" w:type="pct"/>
            <w:tcBorders>
              <w:top w:val="outset" w:sz="6" w:space="0" w:color="auto"/>
              <w:left w:val="outset" w:sz="6" w:space="0" w:color="auto"/>
              <w:bottom w:val="outset" w:sz="6" w:space="0" w:color="auto"/>
              <w:right w:val="outset" w:sz="6" w:space="0" w:color="auto"/>
            </w:tcBorders>
            <w:vAlign w:val="bottom"/>
          </w:tcPr>
          <w:p w14:paraId="11B8C34B"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7828C89E"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4FA55454"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14A0E8F8"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7C162C62"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79B1B7F0"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31EA7AA2"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r>
      <w:tr w:rsidR="00A50254" w:rsidRPr="00602BF4" w14:paraId="4A4E045F"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4C3C913C"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3.2.valsts speciālais budžets</w:t>
            </w:r>
          </w:p>
        </w:tc>
        <w:tc>
          <w:tcPr>
            <w:tcW w:w="570" w:type="pct"/>
            <w:tcBorders>
              <w:top w:val="outset" w:sz="6" w:space="0" w:color="auto"/>
              <w:left w:val="outset" w:sz="6" w:space="0" w:color="auto"/>
              <w:bottom w:val="outset" w:sz="6" w:space="0" w:color="auto"/>
              <w:right w:val="outset" w:sz="6" w:space="0" w:color="auto"/>
            </w:tcBorders>
            <w:vAlign w:val="bottom"/>
          </w:tcPr>
          <w:p w14:paraId="4A9C77BF"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6FAAC921"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05F2E2AA"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51EE47FB"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3D4C592D"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3505E9E4"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3EEAA1CD"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r>
      <w:tr w:rsidR="00A50254" w:rsidRPr="00602BF4" w14:paraId="5068B154"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2E0A949E"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3.3.pašvaldību budžets</w:t>
            </w:r>
          </w:p>
        </w:tc>
        <w:tc>
          <w:tcPr>
            <w:tcW w:w="570" w:type="pct"/>
            <w:tcBorders>
              <w:top w:val="outset" w:sz="6" w:space="0" w:color="auto"/>
              <w:left w:val="outset" w:sz="6" w:space="0" w:color="auto"/>
              <w:bottom w:val="outset" w:sz="6" w:space="0" w:color="auto"/>
              <w:right w:val="outset" w:sz="6" w:space="0" w:color="auto"/>
            </w:tcBorders>
            <w:vAlign w:val="bottom"/>
          </w:tcPr>
          <w:p w14:paraId="66F43EA6"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43144A8F"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7C7D2B22"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68ECB9BA"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5C9DF082"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32208032"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23E2D741" w14:textId="77777777" w:rsidR="00A50254" w:rsidRPr="00C43B90" w:rsidRDefault="00A50254" w:rsidP="00BF50D9">
            <w:pPr>
              <w:spacing w:after="0" w:line="240" w:lineRule="auto"/>
              <w:jc w:val="center"/>
              <w:rPr>
                <w:rFonts w:ascii="Times New Roman" w:hAnsi="Times New Roman"/>
                <w:bCs/>
                <w:color w:val="000000"/>
                <w:sz w:val="20"/>
                <w:szCs w:val="20"/>
              </w:rPr>
            </w:pPr>
            <w:r w:rsidRPr="00C43B90">
              <w:rPr>
                <w:rFonts w:ascii="Times New Roman" w:hAnsi="Times New Roman"/>
                <w:bCs/>
                <w:color w:val="000000"/>
                <w:sz w:val="20"/>
                <w:szCs w:val="20"/>
              </w:rPr>
              <w:t>0</w:t>
            </w:r>
          </w:p>
        </w:tc>
      </w:tr>
      <w:tr w:rsidR="00A50254" w:rsidRPr="00602BF4" w14:paraId="574D5C2F"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5B67BFC0"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
                <w:bCs/>
                <w:color w:val="000000"/>
                <w:sz w:val="20"/>
                <w:szCs w:val="20"/>
              </w:rPr>
              <w:t>3. Finansiālā ietekme:</w:t>
            </w:r>
          </w:p>
        </w:tc>
        <w:tc>
          <w:tcPr>
            <w:tcW w:w="570" w:type="pct"/>
            <w:tcBorders>
              <w:top w:val="outset" w:sz="6" w:space="0" w:color="auto"/>
              <w:left w:val="outset" w:sz="6" w:space="0" w:color="auto"/>
              <w:bottom w:val="outset" w:sz="6" w:space="0" w:color="auto"/>
              <w:right w:val="outset" w:sz="6" w:space="0" w:color="auto"/>
            </w:tcBorders>
            <w:vAlign w:val="bottom"/>
          </w:tcPr>
          <w:p w14:paraId="36341998"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07C6A4D4"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6AAE0CDD"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32306ECD"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07177343"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29AD7B14"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7F576868"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A50254" w:rsidRPr="00602BF4" w14:paraId="1D4B72FC"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4DD66166"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3.1.valsts pamatbudžets</w:t>
            </w:r>
          </w:p>
        </w:tc>
        <w:tc>
          <w:tcPr>
            <w:tcW w:w="570" w:type="pct"/>
            <w:tcBorders>
              <w:top w:val="outset" w:sz="6" w:space="0" w:color="auto"/>
              <w:left w:val="outset" w:sz="6" w:space="0" w:color="auto"/>
              <w:bottom w:val="outset" w:sz="6" w:space="0" w:color="auto"/>
              <w:right w:val="outset" w:sz="6" w:space="0" w:color="auto"/>
            </w:tcBorders>
            <w:vAlign w:val="bottom"/>
          </w:tcPr>
          <w:p w14:paraId="3463563B"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61EFD68B"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49068CC7"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1B5398EB"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711E350D"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2EE63114"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4FF5A1C2"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A50254" w:rsidRPr="00602BF4" w14:paraId="569F62DD"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7286E969"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3.2.valsts speciālais budžets</w:t>
            </w:r>
          </w:p>
        </w:tc>
        <w:tc>
          <w:tcPr>
            <w:tcW w:w="570" w:type="pct"/>
            <w:tcBorders>
              <w:top w:val="outset" w:sz="6" w:space="0" w:color="auto"/>
              <w:left w:val="outset" w:sz="6" w:space="0" w:color="auto"/>
              <w:bottom w:val="outset" w:sz="6" w:space="0" w:color="auto"/>
              <w:right w:val="outset" w:sz="6" w:space="0" w:color="auto"/>
            </w:tcBorders>
            <w:vAlign w:val="bottom"/>
          </w:tcPr>
          <w:p w14:paraId="3CB5665E"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1624FC7E"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23F7272C"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5BA67BB4"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1CE4957D"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0847A1DF"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3F19AA19"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A50254" w:rsidRPr="00602BF4" w14:paraId="16108462"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3BA093B3" w14:textId="77777777" w:rsidR="00A50254" w:rsidRPr="00C43B9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3.3.pašvaldību budžets</w:t>
            </w:r>
          </w:p>
        </w:tc>
        <w:tc>
          <w:tcPr>
            <w:tcW w:w="570" w:type="pct"/>
            <w:tcBorders>
              <w:top w:val="outset" w:sz="6" w:space="0" w:color="auto"/>
              <w:left w:val="outset" w:sz="6" w:space="0" w:color="auto"/>
              <w:bottom w:val="outset" w:sz="6" w:space="0" w:color="auto"/>
              <w:right w:val="outset" w:sz="6" w:space="0" w:color="auto"/>
            </w:tcBorders>
            <w:vAlign w:val="bottom"/>
          </w:tcPr>
          <w:p w14:paraId="1A4F0495"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646F97B3"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281BAA7C"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48682592"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5E7639AA"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788F109C"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237D396B" w14:textId="77777777" w:rsidR="00A50254" w:rsidRPr="00C43B90" w:rsidRDefault="00A50254" w:rsidP="00BF50D9">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0</w:t>
            </w:r>
          </w:p>
        </w:tc>
      </w:tr>
      <w:tr w:rsidR="00A50254" w:rsidRPr="00602BF4" w14:paraId="04BB3D43"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12B35428" w14:textId="77777777" w:rsidR="00A50254" w:rsidRPr="005D75C0" w:rsidRDefault="00A50254" w:rsidP="00BF50D9">
            <w:pPr>
              <w:spacing w:after="0" w:line="240" w:lineRule="auto"/>
              <w:rPr>
                <w:rFonts w:ascii="Times New Roman" w:hAnsi="Times New Roman"/>
                <w:bCs/>
                <w:color w:val="000000"/>
                <w:sz w:val="20"/>
                <w:szCs w:val="20"/>
              </w:rPr>
            </w:pPr>
            <w:r w:rsidRPr="005D75C0">
              <w:rPr>
                <w:rFonts w:ascii="Times New Roman" w:hAnsi="Times New Roman"/>
                <w:b/>
                <w:bCs/>
                <w:color w:val="000000"/>
                <w:sz w:val="20"/>
                <w:szCs w:val="20"/>
              </w:rPr>
              <w:t>4. Finanšu līdzekļi papildu izdevumu finansēšanai (kompensējošu izdevumu samazinājumu norāda ar "+" zīmi)</w:t>
            </w:r>
          </w:p>
        </w:tc>
        <w:tc>
          <w:tcPr>
            <w:tcW w:w="570" w:type="pct"/>
            <w:tcBorders>
              <w:top w:val="outset" w:sz="6" w:space="0" w:color="auto"/>
              <w:left w:val="outset" w:sz="6" w:space="0" w:color="auto"/>
              <w:bottom w:val="outset" w:sz="6" w:space="0" w:color="auto"/>
              <w:right w:val="outset" w:sz="6" w:space="0" w:color="auto"/>
            </w:tcBorders>
            <w:vAlign w:val="bottom"/>
          </w:tcPr>
          <w:p w14:paraId="04B050FC"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7B1F8DD6"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04915716"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56C6A2B5"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1D5CF10B"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1197ED12"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0C6E7640"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r>
      <w:tr w:rsidR="00A50254" w:rsidRPr="00602BF4" w14:paraId="3B0F5947"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1E29D5CF" w14:textId="77777777" w:rsidR="00A50254" w:rsidRPr="005D75C0" w:rsidRDefault="00A50254" w:rsidP="00BF50D9">
            <w:pPr>
              <w:spacing w:after="0" w:line="240" w:lineRule="auto"/>
              <w:rPr>
                <w:rFonts w:ascii="Times New Roman" w:hAnsi="Times New Roman"/>
                <w:bCs/>
                <w:color w:val="000000"/>
                <w:sz w:val="20"/>
                <w:szCs w:val="20"/>
              </w:rPr>
            </w:pPr>
            <w:r w:rsidRPr="005D75C0">
              <w:rPr>
                <w:rFonts w:ascii="Times New Roman" w:hAnsi="Times New Roman"/>
                <w:bCs/>
                <w:color w:val="000000"/>
                <w:sz w:val="20"/>
                <w:szCs w:val="20"/>
              </w:rPr>
              <w:t>4.1.valsts pamatbudžets</w:t>
            </w:r>
          </w:p>
        </w:tc>
        <w:tc>
          <w:tcPr>
            <w:tcW w:w="570" w:type="pct"/>
            <w:tcBorders>
              <w:top w:val="outset" w:sz="6" w:space="0" w:color="auto"/>
              <w:left w:val="outset" w:sz="6" w:space="0" w:color="auto"/>
              <w:bottom w:val="outset" w:sz="6" w:space="0" w:color="auto"/>
              <w:right w:val="outset" w:sz="6" w:space="0" w:color="auto"/>
            </w:tcBorders>
            <w:vAlign w:val="bottom"/>
          </w:tcPr>
          <w:p w14:paraId="45FC2EF4"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76A22ECA"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46E9E7A7"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1668DDA4"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500BAC9A"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6AE9697B"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17809636"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r>
      <w:tr w:rsidR="00A50254" w:rsidRPr="00602BF4" w14:paraId="2777CC16"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56E0D375" w14:textId="77777777" w:rsidR="00A50254" w:rsidRPr="005D75C0" w:rsidRDefault="00A50254" w:rsidP="00BF50D9">
            <w:pPr>
              <w:spacing w:after="0" w:line="240" w:lineRule="auto"/>
              <w:rPr>
                <w:rFonts w:ascii="Times New Roman" w:hAnsi="Times New Roman"/>
                <w:bCs/>
                <w:color w:val="000000"/>
                <w:sz w:val="20"/>
                <w:szCs w:val="20"/>
              </w:rPr>
            </w:pPr>
            <w:r w:rsidRPr="005D75C0">
              <w:rPr>
                <w:rFonts w:ascii="Times New Roman" w:hAnsi="Times New Roman"/>
                <w:bCs/>
                <w:color w:val="000000"/>
                <w:sz w:val="20"/>
                <w:szCs w:val="20"/>
              </w:rPr>
              <w:t>4.2.valsts speciālais budžets</w:t>
            </w:r>
          </w:p>
        </w:tc>
        <w:tc>
          <w:tcPr>
            <w:tcW w:w="570" w:type="pct"/>
            <w:tcBorders>
              <w:top w:val="outset" w:sz="6" w:space="0" w:color="auto"/>
              <w:left w:val="outset" w:sz="6" w:space="0" w:color="auto"/>
              <w:bottom w:val="outset" w:sz="6" w:space="0" w:color="auto"/>
              <w:right w:val="outset" w:sz="6" w:space="0" w:color="auto"/>
            </w:tcBorders>
            <w:vAlign w:val="bottom"/>
          </w:tcPr>
          <w:p w14:paraId="0A1D011B"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15C014DF"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84" w:type="pct"/>
            <w:tcBorders>
              <w:top w:val="outset" w:sz="6" w:space="0" w:color="auto"/>
              <w:left w:val="outset" w:sz="6" w:space="0" w:color="auto"/>
              <w:bottom w:val="outset" w:sz="6" w:space="0" w:color="auto"/>
              <w:right w:val="outset" w:sz="6" w:space="0" w:color="auto"/>
            </w:tcBorders>
            <w:vAlign w:val="bottom"/>
          </w:tcPr>
          <w:p w14:paraId="04ED5B00"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20C8B404"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65" w:type="pct"/>
            <w:tcBorders>
              <w:top w:val="outset" w:sz="6" w:space="0" w:color="auto"/>
              <w:left w:val="outset" w:sz="6" w:space="0" w:color="auto"/>
              <w:bottom w:val="outset" w:sz="6" w:space="0" w:color="auto"/>
              <w:right w:val="outset" w:sz="6" w:space="0" w:color="auto"/>
            </w:tcBorders>
            <w:vAlign w:val="bottom"/>
          </w:tcPr>
          <w:p w14:paraId="4EAECCF4"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22F97BC4"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580DE0D9" w14:textId="77777777" w:rsidR="00A50254" w:rsidRPr="005D75C0" w:rsidRDefault="00A50254" w:rsidP="00BF50D9">
            <w:pPr>
              <w:spacing w:after="0" w:line="240" w:lineRule="auto"/>
              <w:jc w:val="center"/>
              <w:rPr>
                <w:rFonts w:ascii="Times New Roman" w:hAnsi="Times New Roman"/>
                <w:bCs/>
                <w:color w:val="000000"/>
                <w:sz w:val="20"/>
                <w:szCs w:val="20"/>
              </w:rPr>
            </w:pPr>
            <w:r w:rsidRPr="005D75C0">
              <w:rPr>
                <w:rFonts w:ascii="Times New Roman" w:hAnsi="Times New Roman"/>
                <w:bCs/>
                <w:color w:val="000000"/>
                <w:sz w:val="20"/>
                <w:szCs w:val="20"/>
              </w:rPr>
              <w:t>0</w:t>
            </w:r>
          </w:p>
        </w:tc>
      </w:tr>
      <w:tr w:rsidR="00A50254" w:rsidRPr="00602BF4" w14:paraId="6CE52AE2"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39DD2702" w14:textId="77777777" w:rsidR="00A50254" w:rsidRPr="005D75C0" w:rsidRDefault="00A50254" w:rsidP="00BF50D9">
            <w:pPr>
              <w:spacing w:after="0" w:line="240" w:lineRule="auto"/>
              <w:rPr>
                <w:rFonts w:ascii="Times New Roman" w:eastAsia="Times New Roman" w:hAnsi="Times New Roman"/>
                <w:bCs/>
                <w:iCs/>
                <w:color w:val="000000" w:themeColor="text1"/>
                <w:sz w:val="20"/>
                <w:szCs w:val="20"/>
                <w:lang w:eastAsia="lv-LV"/>
              </w:rPr>
            </w:pPr>
            <w:r w:rsidRPr="005D75C0">
              <w:rPr>
                <w:rFonts w:ascii="Times New Roman" w:hAnsi="Times New Roman"/>
                <w:bCs/>
                <w:color w:val="000000"/>
                <w:sz w:val="20"/>
                <w:szCs w:val="20"/>
              </w:rPr>
              <w:t>4.3.pašvaldību budžets</w:t>
            </w:r>
          </w:p>
        </w:tc>
        <w:tc>
          <w:tcPr>
            <w:tcW w:w="570" w:type="pct"/>
            <w:tcBorders>
              <w:top w:val="outset" w:sz="6" w:space="0" w:color="auto"/>
              <w:left w:val="outset" w:sz="6" w:space="0" w:color="auto"/>
              <w:bottom w:val="outset" w:sz="6" w:space="0" w:color="auto"/>
              <w:right w:val="outset" w:sz="6" w:space="0" w:color="auto"/>
            </w:tcBorders>
            <w:vAlign w:val="center"/>
          </w:tcPr>
          <w:p w14:paraId="742E4859"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5D75C0">
              <w:rPr>
                <w:rFonts w:ascii="Times New Roman" w:eastAsia="Times New Roman" w:hAnsi="Times New Roman"/>
                <w:bCs/>
                <w:iCs/>
                <w:color w:val="000000" w:themeColor="text1"/>
                <w:sz w:val="20"/>
                <w:szCs w:val="20"/>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tcPr>
          <w:p w14:paraId="2E9A6942"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5D75C0">
              <w:rPr>
                <w:rFonts w:ascii="Times New Roman" w:eastAsia="Times New Roman" w:hAnsi="Times New Roman"/>
                <w:bCs/>
                <w:iCs/>
                <w:color w:val="000000" w:themeColor="text1"/>
                <w:sz w:val="20"/>
                <w:szCs w:val="20"/>
                <w:lang w:eastAsia="lv-LV"/>
              </w:rPr>
              <w:t>0</w:t>
            </w:r>
          </w:p>
        </w:tc>
        <w:tc>
          <w:tcPr>
            <w:tcW w:w="584" w:type="pct"/>
            <w:tcBorders>
              <w:top w:val="outset" w:sz="6" w:space="0" w:color="auto"/>
              <w:left w:val="outset" w:sz="6" w:space="0" w:color="auto"/>
              <w:bottom w:val="outset" w:sz="6" w:space="0" w:color="auto"/>
              <w:right w:val="outset" w:sz="6" w:space="0" w:color="auto"/>
            </w:tcBorders>
            <w:vAlign w:val="center"/>
          </w:tcPr>
          <w:p w14:paraId="74C4C43E"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5D75C0">
              <w:rPr>
                <w:rFonts w:ascii="Times New Roman" w:eastAsia="Times New Roman" w:hAnsi="Times New Roman"/>
                <w:bCs/>
                <w:iCs/>
                <w:color w:val="000000" w:themeColor="text1"/>
                <w:sz w:val="20"/>
                <w:szCs w:val="20"/>
                <w:lang w:eastAsia="lv-LV"/>
              </w:rPr>
              <w:t>0</w:t>
            </w:r>
          </w:p>
        </w:tc>
        <w:tc>
          <w:tcPr>
            <w:tcW w:w="597" w:type="pct"/>
            <w:tcBorders>
              <w:top w:val="outset" w:sz="6" w:space="0" w:color="auto"/>
              <w:left w:val="outset" w:sz="6" w:space="0" w:color="auto"/>
              <w:bottom w:val="outset" w:sz="6" w:space="0" w:color="auto"/>
              <w:right w:val="outset" w:sz="6" w:space="0" w:color="auto"/>
            </w:tcBorders>
            <w:vAlign w:val="center"/>
          </w:tcPr>
          <w:p w14:paraId="3BA9725D"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5D75C0">
              <w:rPr>
                <w:rFonts w:ascii="Times New Roman" w:eastAsia="Times New Roman" w:hAnsi="Times New Roman"/>
                <w:bCs/>
                <w:iCs/>
                <w:color w:val="000000" w:themeColor="text1"/>
                <w:sz w:val="20"/>
                <w:szCs w:val="20"/>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6E952CBA"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5D75C0">
              <w:rPr>
                <w:rFonts w:ascii="Times New Roman" w:eastAsia="Times New Roman" w:hAnsi="Times New Roman"/>
                <w:bCs/>
                <w:iCs/>
                <w:color w:val="000000" w:themeColor="text1"/>
                <w:sz w:val="20"/>
                <w:szCs w:val="20"/>
                <w:lang w:eastAsia="lv-LV"/>
              </w:rPr>
              <w:t>0</w:t>
            </w:r>
          </w:p>
        </w:tc>
        <w:tc>
          <w:tcPr>
            <w:tcW w:w="569" w:type="pct"/>
            <w:tcBorders>
              <w:top w:val="outset" w:sz="6" w:space="0" w:color="auto"/>
              <w:left w:val="outset" w:sz="6" w:space="0" w:color="auto"/>
              <w:bottom w:val="outset" w:sz="6" w:space="0" w:color="auto"/>
              <w:right w:val="outset" w:sz="6" w:space="0" w:color="auto"/>
            </w:tcBorders>
            <w:vAlign w:val="center"/>
          </w:tcPr>
          <w:p w14:paraId="6BE1DEB1"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5D75C0">
              <w:rPr>
                <w:rFonts w:ascii="Times New Roman" w:eastAsia="Times New Roman" w:hAnsi="Times New Roman"/>
                <w:bCs/>
                <w:iCs/>
                <w:color w:val="000000" w:themeColor="text1"/>
                <w:sz w:val="20"/>
                <w:szCs w:val="20"/>
                <w:lang w:eastAsia="lv-LV"/>
              </w:rPr>
              <w:t>0</w:t>
            </w:r>
          </w:p>
        </w:tc>
        <w:tc>
          <w:tcPr>
            <w:tcW w:w="792" w:type="pct"/>
            <w:tcBorders>
              <w:top w:val="outset" w:sz="6" w:space="0" w:color="auto"/>
              <w:left w:val="outset" w:sz="6" w:space="0" w:color="auto"/>
              <w:bottom w:val="outset" w:sz="6" w:space="0" w:color="auto"/>
              <w:right w:val="outset" w:sz="6" w:space="0" w:color="auto"/>
            </w:tcBorders>
            <w:vAlign w:val="center"/>
          </w:tcPr>
          <w:p w14:paraId="532927B5"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5D75C0">
              <w:rPr>
                <w:rFonts w:ascii="Times New Roman" w:eastAsia="Times New Roman" w:hAnsi="Times New Roman"/>
                <w:bCs/>
                <w:iCs/>
                <w:color w:val="000000" w:themeColor="text1"/>
                <w:sz w:val="20"/>
                <w:szCs w:val="20"/>
                <w:lang w:eastAsia="lv-LV"/>
              </w:rPr>
              <w:t>0</w:t>
            </w:r>
          </w:p>
        </w:tc>
      </w:tr>
      <w:tr w:rsidR="00A50254" w:rsidRPr="00602BF4" w14:paraId="2F4E6A7D"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2EAB2207"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b/>
                <w:bCs/>
                <w:color w:val="000000"/>
                <w:sz w:val="20"/>
                <w:szCs w:val="20"/>
              </w:rPr>
              <w:lastRenderedPageBreak/>
              <w:t>5. Precizēta finansiālā ietekme:</w:t>
            </w:r>
          </w:p>
        </w:tc>
        <w:tc>
          <w:tcPr>
            <w:tcW w:w="570" w:type="pct"/>
            <w:vMerge w:val="restart"/>
            <w:tcBorders>
              <w:top w:val="outset" w:sz="6" w:space="0" w:color="auto"/>
              <w:left w:val="outset" w:sz="6" w:space="0" w:color="auto"/>
              <w:right w:val="outset" w:sz="6" w:space="0" w:color="auto"/>
            </w:tcBorders>
            <w:vAlign w:val="bottom"/>
          </w:tcPr>
          <w:p w14:paraId="76453F2E"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
                <w:bCs/>
                <w:color w:val="000000"/>
                <w:sz w:val="20"/>
                <w:szCs w:val="20"/>
              </w:rPr>
              <w:t>0</w:t>
            </w:r>
          </w:p>
        </w:tc>
        <w:tc>
          <w:tcPr>
            <w:tcW w:w="501" w:type="pct"/>
            <w:tcBorders>
              <w:top w:val="outset" w:sz="6" w:space="0" w:color="auto"/>
              <w:left w:val="outset" w:sz="6" w:space="0" w:color="auto"/>
              <w:bottom w:val="outset" w:sz="6" w:space="0" w:color="auto"/>
              <w:right w:val="outset" w:sz="6" w:space="0" w:color="auto"/>
            </w:tcBorders>
            <w:vAlign w:val="bottom"/>
          </w:tcPr>
          <w:p w14:paraId="5995C357"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
                <w:bCs/>
                <w:color w:val="000000"/>
                <w:sz w:val="20"/>
                <w:szCs w:val="20"/>
              </w:rPr>
              <w:t>0</w:t>
            </w:r>
          </w:p>
        </w:tc>
        <w:tc>
          <w:tcPr>
            <w:tcW w:w="584" w:type="pct"/>
            <w:vMerge w:val="restart"/>
            <w:tcBorders>
              <w:top w:val="outset" w:sz="6" w:space="0" w:color="auto"/>
              <w:left w:val="outset" w:sz="6" w:space="0" w:color="auto"/>
              <w:right w:val="outset" w:sz="6" w:space="0" w:color="auto"/>
            </w:tcBorders>
            <w:vAlign w:val="bottom"/>
          </w:tcPr>
          <w:p w14:paraId="6173D5B7"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
                <w:bCs/>
                <w:color w:val="000000"/>
                <w:sz w:val="20"/>
                <w:szCs w:val="20"/>
              </w:rPr>
              <w:t>0</w:t>
            </w:r>
          </w:p>
        </w:tc>
        <w:tc>
          <w:tcPr>
            <w:tcW w:w="597" w:type="pct"/>
            <w:tcBorders>
              <w:top w:val="outset" w:sz="6" w:space="0" w:color="auto"/>
              <w:left w:val="outset" w:sz="6" w:space="0" w:color="auto"/>
              <w:bottom w:val="outset" w:sz="6" w:space="0" w:color="auto"/>
              <w:right w:val="outset" w:sz="6" w:space="0" w:color="auto"/>
            </w:tcBorders>
            <w:vAlign w:val="bottom"/>
          </w:tcPr>
          <w:p w14:paraId="33DACA03"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
                <w:bCs/>
                <w:color w:val="000000"/>
                <w:sz w:val="20"/>
                <w:szCs w:val="20"/>
              </w:rPr>
              <w:t>0</w:t>
            </w:r>
          </w:p>
        </w:tc>
        <w:tc>
          <w:tcPr>
            <w:tcW w:w="565" w:type="pct"/>
            <w:vMerge w:val="restart"/>
            <w:tcBorders>
              <w:top w:val="outset" w:sz="6" w:space="0" w:color="auto"/>
              <w:left w:val="outset" w:sz="6" w:space="0" w:color="auto"/>
              <w:right w:val="outset" w:sz="6" w:space="0" w:color="auto"/>
            </w:tcBorders>
            <w:vAlign w:val="bottom"/>
          </w:tcPr>
          <w:p w14:paraId="6B84AA95"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
                <w:bCs/>
                <w:color w:val="000000"/>
                <w:sz w:val="20"/>
                <w:szCs w:val="20"/>
              </w:rPr>
              <w:t>0</w:t>
            </w:r>
          </w:p>
        </w:tc>
        <w:tc>
          <w:tcPr>
            <w:tcW w:w="569" w:type="pct"/>
            <w:tcBorders>
              <w:top w:val="outset" w:sz="6" w:space="0" w:color="auto"/>
              <w:left w:val="outset" w:sz="6" w:space="0" w:color="auto"/>
              <w:bottom w:val="outset" w:sz="6" w:space="0" w:color="auto"/>
              <w:right w:val="outset" w:sz="6" w:space="0" w:color="auto"/>
            </w:tcBorders>
            <w:vAlign w:val="bottom"/>
          </w:tcPr>
          <w:p w14:paraId="5B90F9A2"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63C59E15"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
                <w:bCs/>
                <w:color w:val="000000"/>
                <w:sz w:val="20"/>
                <w:szCs w:val="20"/>
              </w:rPr>
              <w:t>0</w:t>
            </w:r>
          </w:p>
        </w:tc>
      </w:tr>
      <w:tr w:rsidR="00A50254" w:rsidRPr="00602BF4" w14:paraId="6453A41F"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6E581599"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5.1.valsts pamatbudžets</w:t>
            </w:r>
          </w:p>
        </w:tc>
        <w:tc>
          <w:tcPr>
            <w:tcW w:w="570" w:type="pct"/>
            <w:vMerge/>
            <w:tcBorders>
              <w:left w:val="outset" w:sz="6" w:space="0" w:color="auto"/>
              <w:right w:val="outset" w:sz="6" w:space="0" w:color="auto"/>
            </w:tcBorders>
            <w:vAlign w:val="center"/>
          </w:tcPr>
          <w:p w14:paraId="444186C4"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01" w:type="pct"/>
            <w:tcBorders>
              <w:top w:val="outset" w:sz="6" w:space="0" w:color="auto"/>
              <w:left w:val="outset" w:sz="6" w:space="0" w:color="auto"/>
              <w:bottom w:val="outset" w:sz="6" w:space="0" w:color="auto"/>
              <w:right w:val="outset" w:sz="6" w:space="0" w:color="auto"/>
            </w:tcBorders>
            <w:vAlign w:val="bottom"/>
          </w:tcPr>
          <w:p w14:paraId="20DBF488"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584" w:type="pct"/>
            <w:vMerge/>
            <w:tcBorders>
              <w:left w:val="outset" w:sz="6" w:space="0" w:color="auto"/>
              <w:right w:val="outset" w:sz="6" w:space="0" w:color="auto"/>
            </w:tcBorders>
            <w:vAlign w:val="center"/>
          </w:tcPr>
          <w:p w14:paraId="3140CB64"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97" w:type="pct"/>
            <w:tcBorders>
              <w:top w:val="outset" w:sz="6" w:space="0" w:color="auto"/>
              <w:left w:val="outset" w:sz="6" w:space="0" w:color="auto"/>
              <w:bottom w:val="outset" w:sz="6" w:space="0" w:color="auto"/>
              <w:right w:val="outset" w:sz="6" w:space="0" w:color="auto"/>
            </w:tcBorders>
            <w:vAlign w:val="bottom"/>
          </w:tcPr>
          <w:p w14:paraId="1DC787D5"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565" w:type="pct"/>
            <w:vMerge/>
            <w:tcBorders>
              <w:left w:val="outset" w:sz="6" w:space="0" w:color="auto"/>
              <w:right w:val="outset" w:sz="6" w:space="0" w:color="auto"/>
            </w:tcBorders>
            <w:vAlign w:val="center"/>
          </w:tcPr>
          <w:p w14:paraId="0AB2BB51"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69" w:type="pct"/>
            <w:tcBorders>
              <w:top w:val="outset" w:sz="6" w:space="0" w:color="auto"/>
              <w:left w:val="outset" w:sz="6" w:space="0" w:color="auto"/>
              <w:bottom w:val="outset" w:sz="6" w:space="0" w:color="auto"/>
              <w:right w:val="outset" w:sz="6" w:space="0" w:color="auto"/>
            </w:tcBorders>
            <w:vAlign w:val="bottom"/>
          </w:tcPr>
          <w:p w14:paraId="05C8CA1A"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02FDF95A"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r>
      <w:tr w:rsidR="00A50254" w:rsidRPr="00602BF4" w14:paraId="5C24F947"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77CC1C77"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5.2.valsts speciālais budžets</w:t>
            </w:r>
          </w:p>
        </w:tc>
        <w:tc>
          <w:tcPr>
            <w:tcW w:w="570" w:type="pct"/>
            <w:vMerge/>
            <w:tcBorders>
              <w:left w:val="outset" w:sz="6" w:space="0" w:color="auto"/>
              <w:right w:val="outset" w:sz="6" w:space="0" w:color="auto"/>
            </w:tcBorders>
            <w:vAlign w:val="center"/>
          </w:tcPr>
          <w:p w14:paraId="6C6D04F4"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01" w:type="pct"/>
            <w:tcBorders>
              <w:top w:val="outset" w:sz="6" w:space="0" w:color="auto"/>
              <w:left w:val="outset" w:sz="6" w:space="0" w:color="auto"/>
              <w:bottom w:val="outset" w:sz="6" w:space="0" w:color="auto"/>
              <w:right w:val="outset" w:sz="6" w:space="0" w:color="auto"/>
            </w:tcBorders>
            <w:vAlign w:val="bottom"/>
          </w:tcPr>
          <w:p w14:paraId="2D63EB12"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584" w:type="pct"/>
            <w:vMerge/>
            <w:tcBorders>
              <w:left w:val="outset" w:sz="6" w:space="0" w:color="auto"/>
              <w:right w:val="outset" w:sz="6" w:space="0" w:color="auto"/>
            </w:tcBorders>
            <w:vAlign w:val="center"/>
          </w:tcPr>
          <w:p w14:paraId="6D3DD0B4"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97" w:type="pct"/>
            <w:tcBorders>
              <w:top w:val="outset" w:sz="6" w:space="0" w:color="auto"/>
              <w:left w:val="outset" w:sz="6" w:space="0" w:color="auto"/>
              <w:bottom w:val="outset" w:sz="6" w:space="0" w:color="auto"/>
              <w:right w:val="outset" w:sz="6" w:space="0" w:color="auto"/>
            </w:tcBorders>
            <w:vAlign w:val="bottom"/>
          </w:tcPr>
          <w:p w14:paraId="777C67F2"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565" w:type="pct"/>
            <w:vMerge/>
            <w:tcBorders>
              <w:left w:val="outset" w:sz="6" w:space="0" w:color="auto"/>
              <w:right w:val="outset" w:sz="6" w:space="0" w:color="auto"/>
            </w:tcBorders>
            <w:vAlign w:val="center"/>
          </w:tcPr>
          <w:p w14:paraId="7AACB81B"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69" w:type="pct"/>
            <w:tcBorders>
              <w:top w:val="outset" w:sz="6" w:space="0" w:color="auto"/>
              <w:left w:val="outset" w:sz="6" w:space="0" w:color="auto"/>
              <w:bottom w:val="outset" w:sz="6" w:space="0" w:color="auto"/>
              <w:right w:val="outset" w:sz="6" w:space="0" w:color="auto"/>
            </w:tcBorders>
            <w:vAlign w:val="bottom"/>
          </w:tcPr>
          <w:p w14:paraId="4F1FD420"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1319B442"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r>
      <w:tr w:rsidR="00A50254" w:rsidRPr="00602BF4" w14:paraId="4A8FD287"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117C0691"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bCs/>
                <w:color w:val="000000"/>
                <w:sz w:val="20"/>
                <w:szCs w:val="20"/>
              </w:rPr>
              <w:t>5.3.pašvaldību budžets</w:t>
            </w:r>
          </w:p>
        </w:tc>
        <w:tc>
          <w:tcPr>
            <w:tcW w:w="570" w:type="pct"/>
            <w:vMerge/>
            <w:tcBorders>
              <w:left w:val="outset" w:sz="6" w:space="0" w:color="auto"/>
              <w:bottom w:val="outset" w:sz="6" w:space="0" w:color="auto"/>
              <w:right w:val="outset" w:sz="6" w:space="0" w:color="auto"/>
            </w:tcBorders>
            <w:vAlign w:val="center"/>
          </w:tcPr>
          <w:p w14:paraId="5E14A01F"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01" w:type="pct"/>
            <w:tcBorders>
              <w:top w:val="outset" w:sz="6" w:space="0" w:color="auto"/>
              <w:left w:val="outset" w:sz="6" w:space="0" w:color="auto"/>
              <w:bottom w:val="outset" w:sz="6" w:space="0" w:color="auto"/>
              <w:right w:val="outset" w:sz="6" w:space="0" w:color="auto"/>
            </w:tcBorders>
            <w:vAlign w:val="bottom"/>
          </w:tcPr>
          <w:p w14:paraId="584FAEFC"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584" w:type="pct"/>
            <w:vMerge/>
            <w:tcBorders>
              <w:left w:val="outset" w:sz="6" w:space="0" w:color="auto"/>
              <w:bottom w:val="outset" w:sz="6" w:space="0" w:color="auto"/>
              <w:right w:val="outset" w:sz="6" w:space="0" w:color="auto"/>
            </w:tcBorders>
            <w:vAlign w:val="center"/>
          </w:tcPr>
          <w:p w14:paraId="03F8DEB4"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97" w:type="pct"/>
            <w:tcBorders>
              <w:top w:val="outset" w:sz="6" w:space="0" w:color="auto"/>
              <w:left w:val="outset" w:sz="6" w:space="0" w:color="auto"/>
              <w:bottom w:val="outset" w:sz="6" w:space="0" w:color="auto"/>
              <w:right w:val="outset" w:sz="6" w:space="0" w:color="auto"/>
            </w:tcBorders>
            <w:vAlign w:val="bottom"/>
          </w:tcPr>
          <w:p w14:paraId="7D845B1B"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565" w:type="pct"/>
            <w:vMerge/>
            <w:tcBorders>
              <w:left w:val="outset" w:sz="6" w:space="0" w:color="auto"/>
              <w:bottom w:val="outset" w:sz="6" w:space="0" w:color="auto"/>
              <w:right w:val="outset" w:sz="6" w:space="0" w:color="auto"/>
            </w:tcBorders>
            <w:vAlign w:val="center"/>
          </w:tcPr>
          <w:p w14:paraId="59A81218"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c>
          <w:tcPr>
            <w:tcW w:w="569" w:type="pct"/>
            <w:tcBorders>
              <w:top w:val="outset" w:sz="6" w:space="0" w:color="auto"/>
              <w:left w:val="outset" w:sz="6" w:space="0" w:color="auto"/>
              <w:bottom w:val="outset" w:sz="6" w:space="0" w:color="auto"/>
              <w:right w:val="outset" w:sz="6" w:space="0" w:color="auto"/>
            </w:tcBorders>
            <w:vAlign w:val="bottom"/>
          </w:tcPr>
          <w:p w14:paraId="1FCB0327"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c>
          <w:tcPr>
            <w:tcW w:w="792" w:type="pct"/>
            <w:tcBorders>
              <w:top w:val="outset" w:sz="6" w:space="0" w:color="auto"/>
              <w:left w:val="outset" w:sz="6" w:space="0" w:color="auto"/>
              <w:bottom w:val="outset" w:sz="6" w:space="0" w:color="auto"/>
              <w:right w:val="outset" w:sz="6" w:space="0" w:color="auto"/>
            </w:tcBorders>
            <w:vAlign w:val="bottom"/>
          </w:tcPr>
          <w:p w14:paraId="4A44C03D"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r w:rsidRPr="00C43B90">
              <w:rPr>
                <w:rFonts w:ascii="Times New Roman" w:hAnsi="Times New Roman"/>
                <w:bCs/>
                <w:color w:val="000000"/>
                <w:sz w:val="20"/>
                <w:szCs w:val="20"/>
              </w:rPr>
              <w:t>0</w:t>
            </w:r>
          </w:p>
        </w:tc>
      </w:tr>
      <w:tr w:rsidR="00A50254" w:rsidRPr="00602BF4" w14:paraId="3919C929"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tcPr>
          <w:p w14:paraId="0A8C743D"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b/>
                <w:bCs/>
                <w:color w:val="000000"/>
                <w:sz w:val="20"/>
                <w:szCs w:val="20"/>
              </w:rPr>
              <w:t>6. Detalizēts ieņēmumu un izdevumu aprēķins (ja nepieciešams, detalizētu ieņēmumu un izdevumu aprēķinu var pievienot anotācijas pielikumā)</w:t>
            </w:r>
          </w:p>
        </w:tc>
        <w:tc>
          <w:tcPr>
            <w:tcW w:w="4268" w:type="pct"/>
            <w:gridSpan w:val="7"/>
            <w:vMerge w:val="restart"/>
            <w:tcBorders>
              <w:top w:val="outset" w:sz="6" w:space="0" w:color="auto"/>
              <w:left w:val="outset" w:sz="6" w:space="0" w:color="auto"/>
              <w:right w:val="outset" w:sz="6" w:space="0" w:color="auto"/>
            </w:tcBorders>
            <w:vAlign w:val="center"/>
          </w:tcPr>
          <w:p w14:paraId="495410EA"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r>
      <w:tr w:rsidR="00A50254" w:rsidRPr="00602BF4" w14:paraId="30724091"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2D46EFCE"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color w:val="000000"/>
                <w:sz w:val="20"/>
                <w:szCs w:val="20"/>
              </w:rPr>
              <w:t>6.1. detalizēts ieņēmumu aprēķins</w:t>
            </w:r>
          </w:p>
        </w:tc>
        <w:tc>
          <w:tcPr>
            <w:tcW w:w="4268" w:type="pct"/>
            <w:gridSpan w:val="7"/>
            <w:vMerge/>
            <w:tcBorders>
              <w:left w:val="outset" w:sz="6" w:space="0" w:color="auto"/>
              <w:right w:val="outset" w:sz="6" w:space="0" w:color="auto"/>
            </w:tcBorders>
            <w:vAlign w:val="center"/>
          </w:tcPr>
          <w:p w14:paraId="156A775F"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r>
      <w:tr w:rsidR="00A50254" w:rsidRPr="00602BF4" w14:paraId="7A5EF4EF"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2A23D856"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color w:val="000000"/>
                <w:sz w:val="20"/>
                <w:szCs w:val="20"/>
              </w:rPr>
              <w:t>6.2. detalizēts izdevumu aprēķins</w:t>
            </w:r>
          </w:p>
        </w:tc>
        <w:tc>
          <w:tcPr>
            <w:tcW w:w="4268" w:type="pct"/>
            <w:gridSpan w:val="7"/>
            <w:vMerge/>
            <w:tcBorders>
              <w:left w:val="outset" w:sz="6" w:space="0" w:color="auto"/>
              <w:bottom w:val="outset" w:sz="6" w:space="0" w:color="auto"/>
              <w:right w:val="outset" w:sz="6" w:space="0" w:color="auto"/>
            </w:tcBorders>
            <w:vAlign w:val="center"/>
          </w:tcPr>
          <w:p w14:paraId="3C2F3708" w14:textId="77777777" w:rsidR="00A50254" w:rsidRPr="005D75C0" w:rsidRDefault="00A50254" w:rsidP="00BF50D9">
            <w:pPr>
              <w:spacing w:after="0" w:line="240" w:lineRule="auto"/>
              <w:jc w:val="center"/>
              <w:rPr>
                <w:rFonts w:ascii="Times New Roman" w:eastAsia="Times New Roman" w:hAnsi="Times New Roman"/>
                <w:bCs/>
                <w:iCs/>
                <w:color w:val="000000" w:themeColor="text1"/>
                <w:sz w:val="20"/>
                <w:szCs w:val="20"/>
                <w:lang w:eastAsia="lv-LV"/>
              </w:rPr>
            </w:pPr>
          </w:p>
        </w:tc>
      </w:tr>
      <w:tr w:rsidR="00A50254" w:rsidRPr="00602BF4" w14:paraId="12B2D74F"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bottom"/>
          </w:tcPr>
          <w:p w14:paraId="27E77C85"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b/>
                <w:bCs/>
                <w:color w:val="000000"/>
                <w:sz w:val="20"/>
                <w:szCs w:val="20"/>
              </w:rPr>
              <w:t>7. Amata vietu skaita izmaiņas</w:t>
            </w:r>
          </w:p>
        </w:tc>
        <w:tc>
          <w:tcPr>
            <w:tcW w:w="4268" w:type="pct"/>
            <w:gridSpan w:val="7"/>
            <w:tcBorders>
              <w:top w:val="outset" w:sz="6" w:space="0" w:color="auto"/>
              <w:left w:val="outset" w:sz="6" w:space="0" w:color="auto"/>
              <w:bottom w:val="outset" w:sz="6" w:space="0" w:color="auto"/>
              <w:right w:val="outset" w:sz="6" w:space="0" w:color="auto"/>
            </w:tcBorders>
            <w:vAlign w:val="center"/>
          </w:tcPr>
          <w:p w14:paraId="76A0D25B" w14:textId="6E57FE75" w:rsidR="00A50254" w:rsidRPr="005D75C0" w:rsidRDefault="00241524" w:rsidP="00BF50D9">
            <w:pPr>
              <w:spacing w:after="0" w:line="240" w:lineRule="auto"/>
              <w:rPr>
                <w:rFonts w:ascii="Times New Roman" w:eastAsia="Times New Roman" w:hAnsi="Times New Roman"/>
                <w:bCs/>
                <w:iCs/>
                <w:color w:val="000000" w:themeColor="text1"/>
                <w:sz w:val="20"/>
                <w:szCs w:val="20"/>
                <w:lang w:eastAsia="lv-LV"/>
              </w:rPr>
            </w:pPr>
            <w:r>
              <w:rPr>
                <w:rFonts w:ascii="Times New Roman" w:hAnsi="Times New Roman"/>
                <w:color w:val="000000"/>
                <w:sz w:val="20"/>
                <w:szCs w:val="20"/>
              </w:rPr>
              <w:t>P</w:t>
            </w:r>
            <w:r w:rsidR="00A50254" w:rsidRPr="00C43B90">
              <w:rPr>
                <w:rFonts w:ascii="Times New Roman" w:hAnsi="Times New Roman"/>
                <w:color w:val="000000"/>
                <w:sz w:val="20"/>
                <w:szCs w:val="20"/>
              </w:rPr>
              <w:t>rojekts šo jomu neskar.</w:t>
            </w:r>
          </w:p>
        </w:tc>
      </w:tr>
      <w:tr w:rsidR="00A50254" w:rsidRPr="00602BF4" w14:paraId="668CBEF6" w14:textId="77777777" w:rsidTr="00BF50D9">
        <w:trPr>
          <w:tblCellSpacing w:w="15" w:type="dxa"/>
        </w:trPr>
        <w:tc>
          <w:tcPr>
            <w:tcW w:w="687" w:type="pct"/>
            <w:tcBorders>
              <w:top w:val="outset" w:sz="6" w:space="0" w:color="auto"/>
              <w:left w:val="outset" w:sz="6" w:space="0" w:color="auto"/>
              <w:bottom w:val="outset" w:sz="6" w:space="0" w:color="auto"/>
              <w:right w:val="outset" w:sz="6" w:space="0" w:color="auto"/>
            </w:tcBorders>
            <w:vAlign w:val="center"/>
          </w:tcPr>
          <w:p w14:paraId="71FABB0D" w14:textId="77777777" w:rsidR="00A50254" w:rsidRPr="005D75C0" w:rsidRDefault="00A50254" w:rsidP="00BF50D9">
            <w:pPr>
              <w:spacing w:after="0" w:line="240" w:lineRule="auto"/>
              <w:rPr>
                <w:rFonts w:ascii="Times New Roman" w:hAnsi="Times New Roman"/>
                <w:bCs/>
                <w:color w:val="000000"/>
                <w:sz w:val="20"/>
                <w:szCs w:val="20"/>
              </w:rPr>
            </w:pPr>
            <w:r w:rsidRPr="00C43B90">
              <w:rPr>
                <w:rFonts w:ascii="Times New Roman" w:hAnsi="Times New Roman"/>
                <w:b/>
                <w:bCs/>
                <w:color w:val="000000"/>
                <w:sz w:val="20"/>
                <w:szCs w:val="20"/>
              </w:rPr>
              <w:t>8. Cita informācija</w:t>
            </w:r>
          </w:p>
        </w:tc>
        <w:tc>
          <w:tcPr>
            <w:tcW w:w="4268" w:type="pct"/>
            <w:gridSpan w:val="7"/>
            <w:tcBorders>
              <w:top w:val="outset" w:sz="6" w:space="0" w:color="auto"/>
              <w:left w:val="outset" w:sz="6" w:space="0" w:color="auto"/>
              <w:bottom w:val="outset" w:sz="6" w:space="0" w:color="auto"/>
              <w:right w:val="outset" w:sz="6" w:space="0" w:color="auto"/>
            </w:tcBorders>
            <w:vAlign w:val="center"/>
          </w:tcPr>
          <w:p w14:paraId="3AE6DB42" w14:textId="77777777" w:rsidR="00A50254" w:rsidRPr="00A50254" w:rsidRDefault="00A50254" w:rsidP="00BF50D9">
            <w:pPr>
              <w:pStyle w:val="NormalWeb"/>
              <w:spacing w:before="0" w:beforeAutospacing="0" w:after="0" w:afterAutospacing="0"/>
              <w:jc w:val="both"/>
              <w:rPr>
                <w:sz w:val="20"/>
                <w:szCs w:val="20"/>
                <w:lang w:val="lv-LV"/>
              </w:rPr>
            </w:pPr>
            <w:r w:rsidRPr="00A50254">
              <w:rPr>
                <w:sz w:val="20"/>
                <w:szCs w:val="20"/>
                <w:lang w:val="lv-LV"/>
              </w:rPr>
              <w:t>Ailēs „saskaņā ar valsts budžetu kārtējam gadam” un „</w:t>
            </w:r>
            <w:r w:rsidRPr="00A50254">
              <w:rPr>
                <w:color w:val="000000"/>
                <w:sz w:val="20"/>
                <w:szCs w:val="20"/>
                <w:lang w:val="lv-LV"/>
              </w:rPr>
              <w:t xml:space="preserve">saskaņā ar vidēja termiņa budžeta ietvaru” </w:t>
            </w:r>
            <w:r w:rsidRPr="00A50254">
              <w:rPr>
                <w:sz w:val="20"/>
                <w:szCs w:val="20"/>
                <w:lang w:val="lv-LV"/>
              </w:rPr>
              <w:t>norādīts finansējums, kas apstiprināts 62. resora “Mērķdotācijas pašvaldībām” programmai 05.00.00. “Mērķdotācijas pašvaldībām – pašvaldību izglītības iestāžu pedagogu darba samaksai un valsts sociālās apdrošināšanas obligātajām iemaksām”.</w:t>
            </w:r>
          </w:p>
          <w:p w14:paraId="45763E6E" w14:textId="77777777" w:rsidR="00A50254" w:rsidRPr="00A50254" w:rsidRDefault="00A50254" w:rsidP="00BF50D9">
            <w:pPr>
              <w:pStyle w:val="NormalWeb"/>
              <w:spacing w:before="0" w:beforeAutospacing="0" w:after="0" w:afterAutospacing="0"/>
              <w:jc w:val="both"/>
              <w:rPr>
                <w:sz w:val="20"/>
                <w:szCs w:val="20"/>
                <w:lang w:val="lv-LV"/>
              </w:rPr>
            </w:pPr>
          </w:p>
          <w:p w14:paraId="6445D86D" w14:textId="77777777" w:rsidR="00A50254" w:rsidRPr="005D75C0" w:rsidRDefault="00A50254" w:rsidP="00BF50D9">
            <w:pPr>
              <w:spacing w:after="0" w:line="240" w:lineRule="auto"/>
              <w:jc w:val="both"/>
              <w:rPr>
                <w:rFonts w:ascii="Times New Roman" w:eastAsia="Times New Roman" w:hAnsi="Times New Roman"/>
                <w:bCs/>
                <w:iCs/>
                <w:color w:val="000000" w:themeColor="text1"/>
                <w:sz w:val="20"/>
                <w:szCs w:val="20"/>
                <w:lang w:eastAsia="lv-LV"/>
              </w:rPr>
            </w:pPr>
            <w:r w:rsidRPr="005D75C0">
              <w:rPr>
                <w:rFonts w:ascii="Times New Roman" w:hAnsi="Times New Roman"/>
                <w:sz w:val="20"/>
                <w:szCs w:val="20"/>
              </w:rPr>
              <w:t>Projekts tiks īstenots valsts budžeta resora “62. Mērķdotācijas pašvaldībām” programm</w:t>
            </w:r>
            <w:r>
              <w:rPr>
                <w:rFonts w:ascii="Times New Roman" w:hAnsi="Times New Roman"/>
                <w:sz w:val="20"/>
                <w:szCs w:val="20"/>
              </w:rPr>
              <w:t xml:space="preserve">u, kuras administrē Izglītības un zinātnes ministrija, </w:t>
            </w:r>
            <w:r w:rsidRPr="005D75C0">
              <w:rPr>
                <w:rFonts w:ascii="Times New Roman" w:hAnsi="Times New Roman"/>
                <w:sz w:val="20"/>
                <w:szCs w:val="20"/>
              </w:rPr>
              <w:t xml:space="preserve">apstiprinātā finansējuma ietvaros. Projektā plānotās izmaiņas veido indikatīvu finanšu ietaupījumu, ko plānots novirzīt </w:t>
            </w:r>
            <w:r w:rsidRPr="005D75C0">
              <w:rPr>
                <w:rFonts w:ascii="Times New Roman" w:hAnsi="Times New Roman"/>
                <w:color w:val="000000"/>
                <w:sz w:val="20"/>
                <w:szCs w:val="20"/>
              </w:rPr>
              <w:t>izglītojamo skaita un struktūras izmaiņu finansiālās ietekmes mazināšanai.</w:t>
            </w:r>
          </w:p>
        </w:tc>
      </w:tr>
    </w:tbl>
    <w:p w14:paraId="4086DCC0" w14:textId="77777777" w:rsidR="00A50254" w:rsidRPr="007D4165" w:rsidRDefault="00A50254" w:rsidP="00A50254">
      <w:pPr>
        <w:pStyle w:val="Standard"/>
        <w:spacing w:after="0" w:line="240" w:lineRule="auto"/>
        <w:jc w:val="center"/>
        <w:rPr>
          <w:rFonts w:ascii="Times New Roman" w:hAnsi="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2977"/>
        <w:gridCol w:w="5519"/>
      </w:tblGrid>
      <w:tr w:rsidR="00BD74BC" w:rsidRPr="00602BF4" w14:paraId="2725DE4B" w14:textId="77777777" w:rsidTr="00247AB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333284" w14:textId="77777777" w:rsidR="007313D8" w:rsidRPr="00602BF4" w:rsidRDefault="007313D8" w:rsidP="00BB4763">
            <w:pPr>
              <w:spacing w:after="0" w:line="240" w:lineRule="auto"/>
              <w:jc w:val="center"/>
              <w:rPr>
                <w:rFonts w:ascii="Times New Roman" w:eastAsia="Times New Roman" w:hAnsi="Times New Roman" w:cs="Times New Roman"/>
                <w:b/>
                <w:bCs/>
                <w:iCs/>
                <w:color w:val="000000" w:themeColor="text1"/>
                <w:sz w:val="24"/>
                <w:szCs w:val="24"/>
                <w:lang w:eastAsia="lv-LV"/>
              </w:rPr>
            </w:pPr>
            <w:r w:rsidRPr="00602BF4">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A503B9" w:rsidRPr="00602BF4" w14:paraId="5591B811" w14:textId="77777777" w:rsidTr="00B012E7">
        <w:trPr>
          <w:tblCellSpacing w:w="15" w:type="dxa"/>
        </w:trPr>
        <w:tc>
          <w:tcPr>
            <w:tcW w:w="284" w:type="pct"/>
            <w:tcBorders>
              <w:top w:val="outset" w:sz="6" w:space="0" w:color="auto"/>
              <w:left w:val="outset" w:sz="6" w:space="0" w:color="auto"/>
              <w:bottom w:val="outset" w:sz="6" w:space="0" w:color="auto"/>
              <w:right w:val="outset" w:sz="6" w:space="0" w:color="auto"/>
            </w:tcBorders>
            <w:hideMark/>
          </w:tcPr>
          <w:p w14:paraId="58D53658" w14:textId="54F621A5"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w:t>
            </w:r>
          </w:p>
        </w:tc>
        <w:tc>
          <w:tcPr>
            <w:tcW w:w="1627" w:type="pct"/>
            <w:tcBorders>
              <w:top w:val="outset" w:sz="6" w:space="0" w:color="auto"/>
              <w:left w:val="outset" w:sz="6" w:space="0" w:color="auto"/>
              <w:bottom w:val="outset" w:sz="6" w:space="0" w:color="auto"/>
              <w:right w:val="outset" w:sz="6" w:space="0" w:color="auto"/>
            </w:tcBorders>
          </w:tcPr>
          <w:p w14:paraId="0692BD77" w14:textId="27C6A8A2"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sidRPr="00A503B9">
              <w:rPr>
                <w:rFonts w:ascii="Times New Roman" w:eastAsia="Times New Roman" w:hAnsi="Times New Roman" w:cs="Times New Roman"/>
                <w:color w:val="000000" w:themeColor="text1"/>
                <w:sz w:val="24"/>
                <w:szCs w:val="24"/>
                <w:lang w:eastAsia="lv-LV"/>
              </w:rPr>
              <w:t>Saistītie tiesību aktu projekti</w:t>
            </w:r>
          </w:p>
        </w:tc>
        <w:tc>
          <w:tcPr>
            <w:tcW w:w="3023" w:type="pct"/>
            <w:tcBorders>
              <w:top w:val="outset" w:sz="6" w:space="0" w:color="auto"/>
              <w:left w:val="outset" w:sz="6" w:space="0" w:color="auto"/>
              <w:bottom w:val="outset" w:sz="6" w:space="0" w:color="auto"/>
              <w:right w:val="outset" w:sz="6" w:space="0" w:color="auto"/>
            </w:tcBorders>
          </w:tcPr>
          <w:p w14:paraId="7779B03E" w14:textId="77777777" w:rsidR="00A503B9" w:rsidRDefault="00113414" w:rsidP="00B012E7">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Nepieciešams veikt grozījumus:</w:t>
            </w:r>
          </w:p>
          <w:p w14:paraId="44AFB90A" w14:textId="77777777" w:rsidR="00113414" w:rsidRDefault="00113414" w:rsidP="00113414">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 noteikumos Nr. 538, svītrojot 8. punktu, kurā noteikts, kādi koeficienti finansējuma aprēķinam tiek piemēroti izglītojamo skaitam tālmācības izglītības ieguves formā īstenotajās izglītības programmās. Attiecīgo normu svītrojot, no noteikumu Nr. 538 2. punkta izrietēs, ka attiecībā uz šo izglītojamo skaitu piemērojami noteikumu Nr. 447 7.4. apakšpunktā ietvertie koeficienti. Kā arī noteikumos Nr. 538 ietverama norma, ka privāto izglītības iestāžu dibinātājiem</w:t>
            </w:r>
            <w:r w:rsidRPr="00113414">
              <w:rPr>
                <w:rFonts w:ascii="Times New Roman" w:eastAsia="Times New Roman" w:hAnsi="Times New Roman" w:cs="Times New Roman"/>
                <w:color w:val="000000" w:themeColor="text1"/>
                <w:sz w:val="24"/>
                <w:szCs w:val="24"/>
                <w:lang w:eastAsia="lv-LV"/>
              </w:rPr>
              <w:t xml:space="preserve">, sadalot dotāciju izglītības iestādēm pedagogu darba samaksai, ir </w:t>
            </w:r>
            <w:r w:rsidRPr="00113414">
              <w:rPr>
                <w:rFonts w:ascii="Times New Roman" w:eastAsia="Times New Roman" w:hAnsi="Times New Roman" w:cs="Times New Roman"/>
                <w:color w:val="000000" w:themeColor="text1"/>
                <w:sz w:val="24"/>
                <w:szCs w:val="24"/>
                <w:lang w:eastAsia="lv-LV"/>
              </w:rPr>
              <w:lastRenderedPageBreak/>
              <w:t xml:space="preserve">tiesības pārdalīt starp attiecīgo </w:t>
            </w:r>
            <w:r>
              <w:rPr>
                <w:rFonts w:ascii="Times New Roman" w:eastAsia="Times New Roman" w:hAnsi="Times New Roman" w:cs="Times New Roman"/>
                <w:color w:val="000000" w:themeColor="text1"/>
                <w:sz w:val="24"/>
                <w:szCs w:val="24"/>
                <w:lang w:eastAsia="lv-LV"/>
              </w:rPr>
              <w:t>dibinātāju</w:t>
            </w:r>
            <w:r w:rsidRPr="00113414">
              <w:rPr>
                <w:rFonts w:ascii="Times New Roman" w:eastAsia="Times New Roman" w:hAnsi="Times New Roman" w:cs="Times New Roman"/>
                <w:color w:val="000000" w:themeColor="text1"/>
                <w:sz w:val="24"/>
                <w:szCs w:val="24"/>
                <w:lang w:eastAsia="lv-LV"/>
              </w:rPr>
              <w:t xml:space="preserve"> izglītības iestādēm, kā arī pārskaitīt citu izglītības iestāžu dibinātājiem vai valsts dibinātām izglītības iestādēm finansējumu, pamatojoties uz izglītības iestāžu savstarpēji noslēgto Izglītības likuma 36. panta otrajā daļā minēto līgumu par mācību priekšmetu vai to daļu īstenošanu vispārējās vidējās izglītības programmas ietvaros.</w:t>
            </w:r>
            <w:r>
              <w:rPr>
                <w:rFonts w:ascii="Times New Roman" w:eastAsia="Times New Roman" w:hAnsi="Times New Roman" w:cs="Times New Roman"/>
                <w:color w:val="000000" w:themeColor="text1"/>
                <w:sz w:val="24"/>
                <w:szCs w:val="24"/>
                <w:lang w:eastAsia="lv-LV"/>
              </w:rPr>
              <w:t xml:space="preserve"> Ievērojot minēto, precizējama arī noteikumos Nr. 538 ietvertā pārskata forma par finansējuma izlietošanu;</w:t>
            </w:r>
          </w:p>
          <w:p w14:paraId="2F77E13E" w14:textId="4A1EFBAD" w:rsidR="00113414" w:rsidRDefault="00113414" w:rsidP="00BA4497">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2) noteikumos Nr. 518, </w:t>
            </w:r>
            <w:r w:rsidR="00B72E9E">
              <w:rPr>
                <w:rFonts w:ascii="Times New Roman" w:eastAsia="Times New Roman" w:hAnsi="Times New Roman" w:cs="Times New Roman"/>
                <w:color w:val="000000" w:themeColor="text1"/>
                <w:sz w:val="24"/>
                <w:szCs w:val="24"/>
                <w:lang w:eastAsia="lv-LV"/>
              </w:rPr>
              <w:t xml:space="preserve">pilnveidojot to 2.2.7. apakšpunktā noteikto kritēriju, kas saistīts ar akreditāciju, tostarp </w:t>
            </w:r>
            <w:r w:rsidR="00B72E9E" w:rsidRPr="00B72E9E">
              <w:rPr>
                <w:rFonts w:ascii="Times New Roman" w:eastAsia="Times New Roman" w:hAnsi="Times New Roman" w:cs="Times New Roman"/>
                <w:color w:val="000000" w:themeColor="text1"/>
                <w:sz w:val="24"/>
                <w:szCs w:val="24"/>
                <w:lang w:eastAsia="lv-LV"/>
              </w:rPr>
              <w:t>ņemot vērā to, ka 2020.</w:t>
            </w:r>
            <w:r w:rsidR="00B72E9E">
              <w:rPr>
                <w:rFonts w:ascii="Times New Roman" w:eastAsia="Times New Roman" w:hAnsi="Times New Roman" w:cs="Times New Roman"/>
                <w:color w:val="000000" w:themeColor="text1"/>
                <w:sz w:val="24"/>
                <w:szCs w:val="24"/>
                <w:lang w:eastAsia="lv-LV"/>
              </w:rPr>
              <w:t> </w:t>
            </w:r>
            <w:r w:rsidR="00B72E9E" w:rsidRPr="00B72E9E">
              <w:rPr>
                <w:rFonts w:ascii="Times New Roman" w:eastAsia="Times New Roman" w:hAnsi="Times New Roman" w:cs="Times New Roman"/>
                <w:color w:val="000000" w:themeColor="text1"/>
                <w:sz w:val="24"/>
                <w:szCs w:val="24"/>
                <w:lang w:eastAsia="lv-LV"/>
              </w:rPr>
              <w:t>gada 6.</w:t>
            </w:r>
            <w:r w:rsidR="00B72E9E">
              <w:rPr>
                <w:rFonts w:ascii="Times New Roman" w:eastAsia="Times New Roman" w:hAnsi="Times New Roman" w:cs="Times New Roman"/>
                <w:color w:val="000000" w:themeColor="text1"/>
                <w:sz w:val="24"/>
                <w:szCs w:val="24"/>
                <w:lang w:eastAsia="lv-LV"/>
              </w:rPr>
              <w:t> </w:t>
            </w:r>
            <w:r w:rsidR="00B72E9E" w:rsidRPr="00B72E9E">
              <w:rPr>
                <w:rFonts w:ascii="Times New Roman" w:eastAsia="Times New Roman" w:hAnsi="Times New Roman" w:cs="Times New Roman"/>
                <w:color w:val="000000" w:themeColor="text1"/>
                <w:sz w:val="24"/>
                <w:szCs w:val="24"/>
                <w:lang w:eastAsia="lv-LV"/>
              </w:rPr>
              <w:t>oktobrī tika pieņemti Ministru kabineta noteikumi Nr.</w:t>
            </w:r>
            <w:r w:rsidR="00B72E9E">
              <w:rPr>
                <w:rFonts w:ascii="Times New Roman" w:eastAsia="Times New Roman" w:hAnsi="Times New Roman" w:cs="Times New Roman"/>
                <w:color w:val="000000" w:themeColor="text1"/>
                <w:sz w:val="24"/>
                <w:szCs w:val="24"/>
                <w:lang w:eastAsia="lv-LV"/>
              </w:rPr>
              <w:t> </w:t>
            </w:r>
            <w:r w:rsidR="00B72E9E" w:rsidRPr="00B72E9E">
              <w:rPr>
                <w:rFonts w:ascii="Times New Roman" w:eastAsia="Times New Roman" w:hAnsi="Times New Roman" w:cs="Times New Roman"/>
                <w:color w:val="000000" w:themeColor="text1"/>
                <w:sz w:val="24"/>
                <w:szCs w:val="24"/>
                <w:lang w:eastAsia="lv-LV"/>
              </w:rPr>
              <w:t>618 “Izglītības iestāžu, eksaminācijas centru, citu Izglītības likumā noteiktu institūciju un izglītības programmu akreditācijas un izglītības iestāžu vadītāju profesionālās darbības novērtēšanas kārtība”, atbilstoši kuriem pilnveidota akreditācijas kārtība</w:t>
            </w:r>
            <w:r w:rsidR="00E64E2A">
              <w:rPr>
                <w:rFonts w:ascii="Times New Roman" w:eastAsia="Times New Roman" w:hAnsi="Times New Roman" w:cs="Times New Roman"/>
                <w:color w:val="000000" w:themeColor="text1"/>
                <w:sz w:val="24"/>
                <w:szCs w:val="24"/>
                <w:lang w:eastAsia="lv-LV"/>
              </w:rPr>
              <w:t>;</w:t>
            </w:r>
          </w:p>
          <w:p w14:paraId="72CDA076" w14:textId="2508E184" w:rsidR="00E64E2A" w:rsidRPr="00602BF4" w:rsidRDefault="00E64E2A" w:rsidP="00BA4497">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3) </w:t>
            </w:r>
            <w:r w:rsidRPr="003F0B8E">
              <w:rPr>
                <w:rFonts w:ascii="Times New Roman" w:eastAsia="Times New Roman" w:hAnsi="Times New Roman" w:cs="Times New Roman"/>
                <w:color w:val="000000" w:themeColor="text1"/>
                <w:sz w:val="24"/>
                <w:szCs w:val="24"/>
                <w:lang w:eastAsia="lv-LV"/>
              </w:rPr>
              <w:t xml:space="preserve">Ministru kabineta </w:t>
            </w:r>
            <w:r w:rsidRPr="00522D97">
              <w:rPr>
                <w:rFonts w:ascii="Times New Roman" w:eastAsia="Times New Roman" w:hAnsi="Times New Roman" w:cs="Times New Roman"/>
                <w:color w:val="000000" w:themeColor="text1"/>
                <w:sz w:val="24"/>
                <w:szCs w:val="24"/>
                <w:lang w:eastAsia="lv-LV"/>
              </w:rPr>
              <w:t>2019. gada 25. jūnij</w:t>
            </w:r>
            <w:r>
              <w:rPr>
                <w:rFonts w:ascii="Times New Roman" w:eastAsia="Times New Roman" w:hAnsi="Times New Roman" w:cs="Times New Roman"/>
                <w:color w:val="000000" w:themeColor="text1"/>
                <w:sz w:val="24"/>
                <w:szCs w:val="24"/>
                <w:lang w:eastAsia="lv-LV"/>
              </w:rPr>
              <w:t>a</w:t>
            </w:r>
            <w:r w:rsidRPr="00522D97">
              <w:rPr>
                <w:rFonts w:ascii="Times New Roman" w:eastAsia="Times New Roman" w:hAnsi="Times New Roman" w:cs="Times New Roman"/>
                <w:color w:val="000000" w:themeColor="text1"/>
                <w:sz w:val="24"/>
                <w:szCs w:val="24"/>
                <w:lang w:eastAsia="lv-LV"/>
              </w:rPr>
              <w:t xml:space="preserve"> </w:t>
            </w:r>
            <w:r w:rsidRPr="003F0B8E">
              <w:rPr>
                <w:rFonts w:ascii="Times New Roman" w:eastAsia="Times New Roman" w:hAnsi="Times New Roman" w:cs="Times New Roman"/>
                <w:color w:val="000000" w:themeColor="text1"/>
                <w:sz w:val="24"/>
                <w:szCs w:val="24"/>
                <w:lang w:eastAsia="lv-LV"/>
              </w:rPr>
              <w:t>noteikum</w:t>
            </w:r>
            <w:r>
              <w:rPr>
                <w:rFonts w:ascii="Times New Roman" w:eastAsia="Times New Roman" w:hAnsi="Times New Roman" w:cs="Times New Roman"/>
                <w:color w:val="000000" w:themeColor="text1"/>
                <w:sz w:val="24"/>
                <w:szCs w:val="24"/>
                <w:lang w:eastAsia="lv-LV"/>
              </w:rPr>
              <w:t>os</w:t>
            </w:r>
            <w:r w:rsidRPr="003F0B8E">
              <w:rPr>
                <w:rFonts w:ascii="Times New Roman" w:eastAsia="Times New Roman" w:hAnsi="Times New Roman" w:cs="Times New Roman"/>
                <w:color w:val="000000" w:themeColor="text1"/>
                <w:sz w:val="24"/>
                <w:szCs w:val="24"/>
                <w:lang w:eastAsia="lv-LV"/>
              </w:rPr>
              <w:t xml:space="preserve"> Nr. 276</w:t>
            </w:r>
            <w:r>
              <w:rPr>
                <w:rFonts w:ascii="Times New Roman" w:eastAsia="Times New Roman" w:hAnsi="Times New Roman" w:cs="Times New Roman"/>
                <w:color w:val="000000" w:themeColor="text1"/>
                <w:sz w:val="24"/>
                <w:szCs w:val="24"/>
                <w:lang w:eastAsia="lv-LV"/>
              </w:rPr>
              <w:t xml:space="preserve"> „</w:t>
            </w:r>
            <w:r w:rsidRPr="00D60262">
              <w:rPr>
                <w:rFonts w:ascii="Times New Roman" w:eastAsia="Times New Roman" w:hAnsi="Times New Roman" w:cs="Times New Roman"/>
                <w:color w:val="000000" w:themeColor="text1"/>
                <w:sz w:val="24"/>
                <w:szCs w:val="24"/>
                <w:lang w:eastAsia="lv-LV"/>
              </w:rPr>
              <w:t>Valsts izglītības informācijas sistēmas noteikumi</w:t>
            </w:r>
            <w:r>
              <w:rPr>
                <w:rFonts w:ascii="Times New Roman" w:eastAsia="Times New Roman" w:hAnsi="Times New Roman" w:cs="Times New Roman"/>
                <w:color w:val="000000" w:themeColor="text1"/>
                <w:sz w:val="24"/>
                <w:szCs w:val="24"/>
                <w:lang w:eastAsia="lv-LV"/>
              </w:rPr>
              <w:t>” papildinot par</w:t>
            </w:r>
            <w:r w:rsidRPr="00522D97">
              <w:rPr>
                <w:rFonts w:ascii="Times New Roman" w:eastAsia="Times New Roman" w:hAnsi="Times New Roman" w:cs="Times New Roman"/>
                <w:color w:val="000000" w:themeColor="text1"/>
                <w:sz w:val="24"/>
                <w:szCs w:val="24"/>
                <w:lang w:eastAsia="lv-LV"/>
              </w:rPr>
              <w:t xml:space="preserve"> atzīmes</w:t>
            </w:r>
            <w:r>
              <w:rPr>
                <w:rFonts w:ascii="Times New Roman" w:eastAsia="Times New Roman" w:hAnsi="Times New Roman" w:cs="Times New Roman"/>
                <w:color w:val="000000" w:themeColor="text1"/>
                <w:sz w:val="24"/>
                <w:szCs w:val="24"/>
                <w:lang w:eastAsia="lv-LV"/>
              </w:rPr>
              <w:t xml:space="preserve"> veikšanu</w:t>
            </w:r>
            <w:r w:rsidRPr="00522D97">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Valsts izglītības informācijas </w:t>
            </w:r>
            <w:r w:rsidRPr="00522D97">
              <w:rPr>
                <w:rFonts w:ascii="Times New Roman" w:eastAsia="Times New Roman" w:hAnsi="Times New Roman" w:cs="Times New Roman"/>
                <w:color w:val="000000" w:themeColor="text1"/>
                <w:sz w:val="24"/>
                <w:szCs w:val="24"/>
                <w:lang w:eastAsia="lv-LV"/>
              </w:rPr>
              <w:t xml:space="preserve">sistēmā, ja valsts ģimnāzija ir nodrošinājusi atbilstību noteikumu Nr. 447 </w:t>
            </w:r>
            <w:r>
              <w:rPr>
                <w:rFonts w:ascii="Times New Roman" w:eastAsia="Times New Roman" w:hAnsi="Times New Roman" w:cs="Times New Roman"/>
                <w:color w:val="000000" w:themeColor="text1"/>
                <w:sz w:val="24"/>
                <w:szCs w:val="24"/>
                <w:lang w:eastAsia="lv-LV"/>
              </w:rPr>
              <w:t>7.5</w:t>
            </w:r>
            <w:r w:rsidRPr="00775983">
              <w:rPr>
                <w:rFonts w:ascii="Times New Roman" w:eastAsia="Times New Roman" w:hAnsi="Times New Roman" w:cs="Times New Roman"/>
                <w:color w:val="000000" w:themeColor="text1"/>
                <w:sz w:val="24"/>
                <w:szCs w:val="24"/>
                <w:lang w:eastAsia="lv-LV"/>
              </w:rPr>
              <w:t>. </w:t>
            </w:r>
            <w:r>
              <w:rPr>
                <w:rFonts w:ascii="Times New Roman" w:eastAsia="Times New Roman" w:hAnsi="Times New Roman" w:cs="Times New Roman"/>
                <w:color w:val="000000" w:themeColor="text1"/>
                <w:sz w:val="24"/>
                <w:szCs w:val="24"/>
                <w:lang w:eastAsia="lv-LV"/>
              </w:rPr>
              <w:t xml:space="preserve">apakšpunktā minētajiem </w:t>
            </w:r>
            <w:r w:rsidRPr="00522D97">
              <w:rPr>
                <w:rFonts w:ascii="Times New Roman" w:eastAsia="Times New Roman" w:hAnsi="Times New Roman" w:cs="Times New Roman"/>
                <w:color w:val="000000" w:themeColor="text1"/>
                <w:sz w:val="24"/>
                <w:szCs w:val="24"/>
                <w:lang w:eastAsia="lv-LV"/>
              </w:rPr>
              <w:t>kritērijiem</w:t>
            </w:r>
            <w:r>
              <w:rPr>
                <w:rFonts w:ascii="Times New Roman" w:eastAsia="Times New Roman" w:hAnsi="Times New Roman" w:cs="Times New Roman"/>
                <w:color w:val="000000" w:themeColor="text1"/>
                <w:sz w:val="24"/>
                <w:szCs w:val="24"/>
                <w:lang w:eastAsia="lv-LV"/>
              </w:rPr>
              <w:t>.</w:t>
            </w:r>
          </w:p>
        </w:tc>
      </w:tr>
      <w:tr w:rsidR="00A503B9" w:rsidRPr="00602BF4" w14:paraId="575143F7" w14:textId="77777777" w:rsidTr="00B012E7">
        <w:trPr>
          <w:tblCellSpacing w:w="15" w:type="dxa"/>
        </w:trPr>
        <w:tc>
          <w:tcPr>
            <w:tcW w:w="284" w:type="pct"/>
            <w:tcBorders>
              <w:top w:val="outset" w:sz="6" w:space="0" w:color="auto"/>
              <w:left w:val="outset" w:sz="6" w:space="0" w:color="auto"/>
              <w:bottom w:val="outset" w:sz="6" w:space="0" w:color="auto"/>
              <w:right w:val="outset" w:sz="6" w:space="0" w:color="auto"/>
            </w:tcBorders>
          </w:tcPr>
          <w:p w14:paraId="3EBB3CF6" w14:textId="182BA437"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2.</w:t>
            </w:r>
          </w:p>
        </w:tc>
        <w:tc>
          <w:tcPr>
            <w:tcW w:w="1627" w:type="pct"/>
            <w:tcBorders>
              <w:top w:val="outset" w:sz="6" w:space="0" w:color="auto"/>
              <w:left w:val="outset" w:sz="6" w:space="0" w:color="auto"/>
              <w:bottom w:val="outset" w:sz="6" w:space="0" w:color="auto"/>
              <w:right w:val="outset" w:sz="6" w:space="0" w:color="auto"/>
            </w:tcBorders>
          </w:tcPr>
          <w:p w14:paraId="301E7B57" w14:textId="60D89BAE"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sidRPr="00A503B9">
              <w:rPr>
                <w:rFonts w:ascii="Times New Roman" w:eastAsia="Times New Roman" w:hAnsi="Times New Roman" w:cs="Times New Roman"/>
                <w:color w:val="000000" w:themeColor="text1"/>
                <w:sz w:val="24"/>
                <w:szCs w:val="24"/>
                <w:lang w:eastAsia="lv-LV"/>
              </w:rPr>
              <w:t>Atbildīgā institūcija</w:t>
            </w:r>
          </w:p>
        </w:tc>
        <w:tc>
          <w:tcPr>
            <w:tcW w:w="3023" w:type="pct"/>
            <w:tcBorders>
              <w:top w:val="outset" w:sz="6" w:space="0" w:color="auto"/>
              <w:left w:val="outset" w:sz="6" w:space="0" w:color="auto"/>
              <w:bottom w:val="outset" w:sz="6" w:space="0" w:color="auto"/>
              <w:right w:val="outset" w:sz="6" w:space="0" w:color="auto"/>
            </w:tcBorders>
          </w:tcPr>
          <w:p w14:paraId="1C6E8782" w14:textId="6D64EECB"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Ministrija.</w:t>
            </w:r>
          </w:p>
        </w:tc>
      </w:tr>
      <w:tr w:rsidR="00A503B9" w:rsidRPr="00602BF4" w14:paraId="71184FD6" w14:textId="77777777" w:rsidTr="00B012E7">
        <w:trPr>
          <w:tblCellSpacing w:w="15" w:type="dxa"/>
        </w:trPr>
        <w:tc>
          <w:tcPr>
            <w:tcW w:w="284" w:type="pct"/>
            <w:tcBorders>
              <w:top w:val="outset" w:sz="6" w:space="0" w:color="auto"/>
              <w:left w:val="outset" w:sz="6" w:space="0" w:color="auto"/>
              <w:bottom w:val="outset" w:sz="6" w:space="0" w:color="auto"/>
              <w:right w:val="outset" w:sz="6" w:space="0" w:color="auto"/>
            </w:tcBorders>
          </w:tcPr>
          <w:p w14:paraId="146F1848" w14:textId="1F66EDAF"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p>
        </w:tc>
        <w:tc>
          <w:tcPr>
            <w:tcW w:w="1627" w:type="pct"/>
            <w:tcBorders>
              <w:top w:val="outset" w:sz="6" w:space="0" w:color="auto"/>
              <w:left w:val="outset" w:sz="6" w:space="0" w:color="auto"/>
              <w:bottom w:val="outset" w:sz="6" w:space="0" w:color="auto"/>
              <w:right w:val="outset" w:sz="6" w:space="0" w:color="auto"/>
            </w:tcBorders>
          </w:tcPr>
          <w:p w14:paraId="05033EB4" w14:textId="614E5F33"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sidRPr="00A503B9">
              <w:rPr>
                <w:rFonts w:ascii="Times New Roman" w:eastAsia="Times New Roman" w:hAnsi="Times New Roman" w:cs="Times New Roman"/>
                <w:color w:val="000000" w:themeColor="text1"/>
                <w:sz w:val="24"/>
                <w:szCs w:val="24"/>
                <w:lang w:eastAsia="lv-LV"/>
              </w:rPr>
              <w:t>Cita informācija</w:t>
            </w:r>
          </w:p>
        </w:tc>
        <w:tc>
          <w:tcPr>
            <w:tcW w:w="3023" w:type="pct"/>
            <w:tcBorders>
              <w:top w:val="outset" w:sz="6" w:space="0" w:color="auto"/>
              <w:left w:val="outset" w:sz="6" w:space="0" w:color="auto"/>
              <w:bottom w:val="outset" w:sz="6" w:space="0" w:color="auto"/>
              <w:right w:val="outset" w:sz="6" w:space="0" w:color="auto"/>
            </w:tcBorders>
          </w:tcPr>
          <w:p w14:paraId="688929DF" w14:textId="7F220DE6" w:rsidR="00A503B9" w:rsidRPr="00602BF4" w:rsidRDefault="00A503B9" w:rsidP="00B012E7">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Nav.</w:t>
            </w:r>
          </w:p>
        </w:tc>
      </w:tr>
    </w:tbl>
    <w:p w14:paraId="524F3EEA" w14:textId="77777777" w:rsidR="00E5323B"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D74BC" w:rsidRPr="00602BF4" w14:paraId="7B1E28B3" w14:textId="77777777" w:rsidTr="00C00C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2D6F93" w14:textId="77777777" w:rsidR="001039E5" w:rsidRPr="00602BF4" w:rsidRDefault="001039E5" w:rsidP="002110C2">
            <w:pPr>
              <w:spacing w:after="0" w:line="240" w:lineRule="auto"/>
              <w:ind w:firstLine="300"/>
              <w:jc w:val="center"/>
              <w:rPr>
                <w:rFonts w:ascii="Times New Roman" w:eastAsia="Times New Roman" w:hAnsi="Times New Roman" w:cs="Times New Roman"/>
                <w:b/>
                <w:bCs/>
                <w:color w:val="000000" w:themeColor="text1"/>
                <w:sz w:val="24"/>
                <w:szCs w:val="24"/>
                <w:lang w:eastAsia="lv-LV"/>
              </w:rPr>
            </w:pPr>
            <w:r w:rsidRPr="00602BF4">
              <w:rPr>
                <w:rFonts w:ascii="Times New Roman" w:eastAsia="Times New Roman" w:hAnsi="Times New Roman" w:cs="Times New Roman"/>
                <w:b/>
                <w:bCs/>
                <w:color w:val="000000" w:themeColor="text1"/>
                <w:sz w:val="24"/>
                <w:szCs w:val="24"/>
                <w:lang w:eastAsia="lv-LV"/>
              </w:rPr>
              <w:t>V. Tiesību akta projekta atbilstība Latvijas Republikas starptautiskajām saistībām</w:t>
            </w:r>
          </w:p>
        </w:tc>
      </w:tr>
      <w:tr w:rsidR="00BD74BC" w:rsidRPr="00602BF4" w14:paraId="2703A465" w14:textId="77777777" w:rsidTr="00C00C3D">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F0C541C" w14:textId="77777777" w:rsidR="001039E5" w:rsidRPr="00602BF4" w:rsidRDefault="001039E5" w:rsidP="002110C2">
            <w:pPr>
              <w:spacing w:after="0" w:line="240" w:lineRule="auto"/>
              <w:jc w:val="center"/>
              <w:rPr>
                <w:rFonts w:ascii="Times New Roman" w:eastAsia="Times New Roman" w:hAnsi="Times New Roman" w:cs="Times New Roman"/>
                <w:color w:val="000000" w:themeColor="text1"/>
                <w:sz w:val="24"/>
                <w:szCs w:val="24"/>
                <w:lang w:eastAsia="lv-LV"/>
              </w:rPr>
            </w:pPr>
            <w:r w:rsidRPr="00602BF4">
              <w:rPr>
                <w:rFonts w:ascii="Times New Roman" w:eastAsia="Times New Roman" w:hAnsi="Times New Roman" w:cs="Times New Roman"/>
                <w:color w:val="000000" w:themeColor="text1"/>
                <w:sz w:val="24"/>
                <w:szCs w:val="24"/>
                <w:lang w:eastAsia="lv-LV"/>
              </w:rPr>
              <w:t>Projekts šo jomu neskar</w:t>
            </w:r>
          </w:p>
        </w:tc>
      </w:tr>
    </w:tbl>
    <w:p w14:paraId="51C67196" w14:textId="77777777" w:rsidR="001039E5" w:rsidRPr="00602BF4" w:rsidRDefault="001039E5" w:rsidP="002110C2">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74BC" w:rsidRPr="00602BF4" w14:paraId="394F9AD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00587D" w14:textId="77777777" w:rsidR="00655F2C" w:rsidRPr="00602BF4" w:rsidRDefault="00E5323B" w:rsidP="00BB4763">
            <w:pPr>
              <w:spacing w:after="0" w:line="240" w:lineRule="auto"/>
              <w:jc w:val="center"/>
              <w:rPr>
                <w:rFonts w:ascii="Times New Roman" w:eastAsia="Times New Roman" w:hAnsi="Times New Roman" w:cs="Times New Roman"/>
                <w:b/>
                <w:bCs/>
                <w:iCs/>
                <w:color w:val="000000" w:themeColor="text1"/>
                <w:sz w:val="24"/>
                <w:szCs w:val="24"/>
                <w:lang w:eastAsia="lv-LV"/>
              </w:rPr>
            </w:pPr>
            <w:r w:rsidRPr="00602BF4">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BD74BC" w:rsidRPr="00602BF4" w14:paraId="4F47AF74" w14:textId="77777777" w:rsidTr="001039E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DF2EA84"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B1B9256"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498A0752" w14:textId="41F5F371" w:rsidR="00C8771B" w:rsidRPr="00602BF4" w:rsidRDefault="00C8771B" w:rsidP="00C8771B">
            <w:pPr>
              <w:spacing w:after="0" w:line="240" w:lineRule="auto"/>
              <w:jc w:val="both"/>
              <w:rPr>
                <w:rFonts w:ascii="Times New Roman" w:eastAsia="Times New Roman" w:hAnsi="Times New Roman" w:cs="Times New Roman"/>
                <w:iCs/>
                <w:color w:val="000000" w:themeColor="text1"/>
                <w:sz w:val="24"/>
                <w:szCs w:val="24"/>
                <w:lang w:eastAsia="lv-LV"/>
              </w:rPr>
            </w:pPr>
            <w:r w:rsidRPr="00C8771B">
              <w:rPr>
                <w:rFonts w:ascii="Times New Roman" w:eastAsia="Times New Roman" w:hAnsi="Times New Roman" w:cs="Times New Roman"/>
                <w:iCs/>
                <w:color w:val="000000" w:themeColor="text1"/>
                <w:sz w:val="24"/>
                <w:szCs w:val="24"/>
                <w:lang w:eastAsia="lv-LV"/>
              </w:rPr>
              <w:t>Sabiedrības līdzdalība projekta izstrādē tiks nodrošināta, ievietojot informāciju par projektu ministrijas tīmekļvietnes www.izm.gov.lv sadaļā “</w:t>
            </w:r>
            <w:r>
              <w:rPr>
                <w:rFonts w:ascii="Times New Roman" w:eastAsia="Times New Roman" w:hAnsi="Times New Roman" w:cs="Times New Roman"/>
                <w:iCs/>
                <w:color w:val="000000" w:themeColor="text1"/>
                <w:sz w:val="24"/>
                <w:szCs w:val="24"/>
                <w:lang w:eastAsia="lv-LV"/>
              </w:rPr>
              <w:t>Normatīvie akti</w:t>
            </w:r>
            <w:r w:rsidRPr="00C8771B">
              <w:rPr>
                <w:rFonts w:ascii="Times New Roman" w:eastAsia="Times New Roman" w:hAnsi="Times New Roman" w:cs="Times New Roman"/>
                <w:iCs/>
                <w:color w:val="000000" w:themeColor="text1"/>
                <w:sz w:val="24"/>
                <w:szCs w:val="24"/>
                <w:lang w:eastAsia="lv-LV"/>
              </w:rPr>
              <w:t xml:space="preserve">” un Valsts kancelejas tīmekļvietnē, aicinot sabiedrības pārstāvjus rakstiski sniegt viedokli par </w:t>
            </w:r>
            <w:r>
              <w:rPr>
                <w:rFonts w:ascii="Times New Roman" w:eastAsia="Times New Roman" w:hAnsi="Times New Roman" w:cs="Times New Roman"/>
                <w:iCs/>
                <w:color w:val="000000" w:themeColor="text1"/>
                <w:sz w:val="24"/>
                <w:szCs w:val="24"/>
                <w:lang w:eastAsia="lv-LV"/>
              </w:rPr>
              <w:t>p</w:t>
            </w:r>
            <w:r w:rsidRPr="00C8771B">
              <w:rPr>
                <w:rFonts w:ascii="Times New Roman" w:eastAsia="Times New Roman" w:hAnsi="Times New Roman" w:cs="Times New Roman"/>
                <w:iCs/>
                <w:color w:val="000000" w:themeColor="text1"/>
                <w:sz w:val="24"/>
                <w:szCs w:val="24"/>
                <w:lang w:eastAsia="lv-LV"/>
              </w:rPr>
              <w:t>rojektu tā izstrādes stadijā</w:t>
            </w:r>
            <w:r>
              <w:rPr>
                <w:rFonts w:ascii="Times New Roman" w:eastAsia="Times New Roman" w:hAnsi="Times New Roman" w:cs="Times New Roman"/>
                <w:iCs/>
                <w:color w:val="000000" w:themeColor="text1"/>
                <w:sz w:val="24"/>
                <w:szCs w:val="24"/>
                <w:lang w:eastAsia="lv-LV"/>
              </w:rPr>
              <w:t>.</w:t>
            </w:r>
          </w:p>
        </w:tc>
      </w:tr>
      <w:tr w:rsidR="00BD74BC" w:rsidRPr="00602BF4" w14:paraId="36A5E833" w14:textId="77777777" w:rsidTr="001039E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22C6BE"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D2F1315"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01FBDEFB" w14:textId="7143EBF4" w:rsidR="00E5323B" w:rsidRPr="00602BF4" w:rsidRDefault="00C8771B" w:rsidP="0077598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Projekts publicēts ministrijas tīmekļvietnē 2021. gada </w:t>
            </w:r>
            <w:r w:rsidR="00775983">
              <w:rPr>
                <w:rFonts w:ascii="Times New Roman" w:hAnsi="Times New Roman" w:cs="Times New Roman"/>
                <w:color w:val="000000" w:themeColor="text1"/>
                <w:sz w:val="24"/>
                <w:szCs w:val="24"/>
              </w:rPr>
              <w:t>5.maijā</w:t>
            </w:r>
            <w:r>
              <w:rPr>
                <w:rFonts w:ascii="Times New Roman" w:hAnsi="Times New Roman" w:cs="Times New Roman"/>
                <w:color w:val="000000" w:themeColor="text1"/>
                <w:sz w:val="24"/>
                <w:szCs w:val="24"/>
              </w:rPr>
              <w:t xml:space="preserve"> (pieejams: </w:t>
            </w:r>
            <w:r w:rsidR="00775983" w:rsidRPr="00923B5A">
              <w:rPr>
                <w:rFonts w:ascii="Times New Roman" w:eastAsia="Times New Roman" w:hAnsi="Times New Roman" w:cs="Times New Roman"/>
                <w:iCs/>
                <w:sz w:val="24"/>
                <w:szCs w:val="24"/>
                <w:lang w:eastAsia="lv-LV"/>
              </w:rPr>
              <w:t>https://www.izm.gov.lv/lv/grozijumi-ministru-kabineta-20</w:t>
            </w:r>
            <w:r w:rsidR="00775983">
              <w:rPr>
                <w:rFonts w:ascii="Times New Roman" w:eastAsia="Times New Roman" w:hAnsi="Times New Roman" w:cs="Times New Roman"/>
                <w:iCs/>
                <w:sz w:val="24"/>
                <w:szCs w:val="24"/>
                <w:lang w:eastAsia="lv-LV"/>
              </w:rPr>
              <w:t>16</w:t>
            </w:r>
            <w:r w:rsidR="00775983" w:rsidRPr="00923B5A">
              <w:rPr>
                <w:rFonts w:ascii="Times New Roman" w:eastAsia="Times New Roman" w:hAnsi="Times New Roman" w:cs="Times New Roman"/>
                <w:iCs/>
                <w:sz w:val="24"/>
                <w:szCs w:val="24"/>
                <w:lang w:eastAsia="lv-LV"/>
              </w:rPr>
              <w:t>-gada-</w:t>
            </w:r>
            <w:r w:rsidR="00775983">
              <w:rPr>
                <w:rFonts w:ascii="Times New Roman" w:eastAsia="Times New Roman" w:hAnsi="Times New Roman" w:cs="Times New Roman"/>
                <w:iCs/>
                <w:sz w:val="24"/>
                <w:szCs w:val="24"/>
                <w:lang w:eastAsia="lv-LV"/>
              </w:rPr>
              <w:t>5</w:t>
            </w:r>
            <w:r w:rsidR="00775983" w:rsidRPr="00923B5A">
              <w:rPr>
                <w:rFonts w:ascii="Times New Roman" w:eastAsia="Times New Roman" w:hAnsi="Times New Roman" w:cs="Times New Roman"/>
                <w:iCs/>
                <w:sz w:val="24"/>
                <w:szCs w:val="24"/>
                <w:lang w:eastAsia="lv-LV"/>
              </w:rPr>
              <w:t>-</w:t>
            </w:r>
            <w:r w:rsidR="00775983">
              <w:rPr>
                <w:rFonts w:ascii="Times New Roman" w:eastAsia="Times New Roman" w:hAnsi="Times New Roman" w:cs="Times New Roman"/>
                <w:iCs/>
                <w:sz w:val="24"/>
                <w:szCs w:val="24"/>
                <w:lang w:eastAsia="lv-LV"/>
              </w:rPr>
              <w:t>julija</w:t>
            </w:r>
            <w:r w:rsidR="00775983" w:rsidRPr="00923B5A">
              <w:rPr>
                <w:rFonts w:ascii="Times New Roman" w:eastAsia="Times New Roman" w:hAnsi="Times New Roman" w:cs="Times New Roman"/>
                <w:iCs/>
                <w:sz w:val="24"/>
                <w:szCs w:val="24"/>
                <w:lang w:eastAsia="lv-LV"/>
              </w:rPr>
              <w:t>-noteikumos-nr-</w:t>
            </w:r>
            <w:r w:rsidR="00775983">
              <w:rPr>
                <w:rFonts w:ascii="Times New Roman" w:eastAsia="Times New Roman" w:hAnsi="Times New Roman" w:cs="Times New Roman"/>
                <w:iCs/>
                <w:sz w:val="24"/>
                <w:szCs w:val="24"/>
                <w:lang w:eastAsia="lv-LV"/>
              </w:rPr>
              <w:t>447</w:t>
            </w:r>
            <w:r w:rsidR="004014C1">
              <w:rPr>
                <w:rFonts w:ascii="Times New Roman" w:eastAsia="Times New Roman" w:hAnsi="Times New Roman" w:cs="Times New Roman"/>
                <w:iCs/>
                <w:sz w:val="24"/>
                <w:szCs w:val="24"/>
                <w:lang w:eastAsia="lv-LV"/>
              </w:rPr>
              <w:t>-0</w:t>
            </w:r>
            <w:bookmarkStart w:id="0" w:name="_GoBack"/>
            <w:bookmarkEnd w:id="0"/>
            <w:r w:rsidR="00775983">
              <w:rPr>
                <w:rFonts w:ascii="Times New Roman" w:eastAsia="Times New Roman" w:hAnsi="Times New Roman" w:cs="Times New Roman"/>
                <w:iCs/>
                <w:sz w:val="24"/>
                <w:szCs w:val="24"/>
                <w:lang w:eastAsia="lv-LV"/>
              </w:rPr>
              <w:t>)</w:t>
            </w:r>
            <w:r>
              <w:rPr>
                <w:rFonts w:ascii="Times New Roman" w:hAnsi="Times New Roman" w:cs="Times New Roman"/>
                <w:color w:val="000000" w:themeColor="text1"/>
                <w:sz w:val="24"/>
                <w:szCs w:val="24"/>
              </w:rPr>
              <w:t xml:space="preserve"> un Valsts kancelejas tīmekļvietnē 2021. gada </w:t>
            </w:r>
            <w:r w:rsidR="00775983">
              <w:rPr>
                <w:rFonts w:ascii="Times New Roman" w:hAnsi="Times New Roman" w:cs="Times New Roman"/>
                <w:color w:val="000000" w:themeColor="text1"/>
                <w:sz w:val="24"/>
                <w:szCs w:val="24"/>
              </w:rPr>
              <w:t xml:space="preserve">5.maijā </w:t>
            </w:r>
            <w:r>
              <w:rPr>
                <w:rFonts w:ascii="Times New Roman" w:hAnsi="Times New Roman" w:cs="Times New Roman"/>
                <w:color w:val="000000" w:themeColor="text1"/>
                <w:sz w:val="24"/>
                <w:szCs w:val="24"/>
              </w:rPr>
              <w:t xml:space="preserve">(pieejams: </w:t>
            </w:r>
            <w:r w:rsidR="00775983" w:rsidRPr="007B2592">
              <w:rPr>
                <w:rFonts w:ascii="Times New Roman" w:eastAsia="Times New Roman" w:hAnsi="Times New Roman" w:cs="Times New Roman"/>
                <w:iCs/>
                <w:sz w:val="24"/>
                <w:szCs w:val="24"/>
                <w:lang w:eastAsia="lv-LV"/>
              </w:rPr>
              <w:t>https://www.mk.gov.lv/lv/ministru-kabineta-diskusiju-dokumenti</w:t>
            </w:r>
            <w:r>
              <w:rPr>
                <w:rFonts w:ascii="Times New Roman" w:hAnsi="Times New Roman" w:cs="Times New Roman"/>
                <w:color w:val="000000" w:themeColor="text1"/>
                <w:sz w:val="24"/>
                <w:szCs w:val="24"/>
              </w:rPr>
              <w:t>).</w:t>
            </w:r>
          </w:p>
        </w:tc>
      </w:tr>
      <w:tr w:rsidR="00BD74BC" w:rsidRPr="00602BF4" w14:paraId="44DF4C0A" w14:textId="77777777" w:rsidTr="001039E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5C9BC08"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73F3EAB"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50541610" w14:textId="33D9EEC3" w:rsidR="00E5323B" w:rsidRPr="00602BF4" w:rsidRDefault="00171796" w:rsidP="00B012E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Pirms projekta publicēšanas atbilstoši šīs sadaļas 2. punktā minētajam viedokļi nav saņemti.</w:t>
            </w:r>
          </w:p>
        </w:tc>
      </w:tr>
      <w:tr w:rsidR="00BD74BC" w:rsidRPr="00602BF4" w14:paraId="55655BE2" w14:textId="77777777" w:rsidTr="001039E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74E882"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3108AB01"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4950ECB" w14:textId="77777777" w:rsidR="00E5323B" w:rsidRPr="00602BF4" w:rsidRDefault="000538E7" w:rsidP="001E4948">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Nav.</w:t>
            </w:r>
          </w:p>
        </w:tc>
      </w:tr>
    </w:tbl>
    <w:p w14:paraId="2C82DAA6" w14:textId="77777777" w:rsidR="00E5323B"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74BC" w:rsidRPr="00602BF4" w14:paraId="4288765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0ADB36" w14:textId="77777777" w:rsidR="00655F2C" w:rsidRPr="00602BF4" w:rsidRDefault="00E5323B" w:rsidP="00BB4763">
            <w:pPr>
              <w:spacing w:after="0" w:line="240" w:lineRule="auto"/>
              <w:jc w:val="center"/>
              <w:rPr>
                <w:rFonts w:ascii="Times New Roman" w:eastAsia="Times New Roman" w:hAnsi="Times New Roman" w:cs="Times New Roman"/>
                <w:b/>
                <w:bCs/>
                <w:iCs/>
                <w:color w:val="000000" w:themeColor="text1"/>
                <w:sz w:val="24"/>
                <w:szCs w:val="24"/>
                <w:lang w:eastAsia="lv-LV"/>
              </w:rPr>
            </w:pPr>
            <w:r w:rsidRPr="00602BF4">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BD74BC" w:rsidRPr="00602BF4" w14:paraId="1FC2AE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30CBA3"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300F27F"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663DA83" w14:textId="40C9B0F6" w:rsidR="00E5323B" w:rsidRPr="00602BF4" w:rsidRDefault="00BA4497" w:rsidP="001E4948">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w:t>
            </w:r>
            <w:r w:rsidR="00B9326D" w:rsidRPr="00602BF4">
              <w:rPr>
                <w:rFonts w:ascii="Times New Roman" w:eastAsia="Times New Roman" w:hAnsi="Times New Roman" w:cs="Times New Roman"/>
                <w:color w:val="000000" w:themeColor="text1"/>
                <w:sz w:val="24"/>
                <w:szCs w:val="24"/>
                <w:lang w:eastAsia="lv-LV"/>
              </w:rPr>
              <w:t>inistrija, pašvaldības</w:t>
            </w:r>
            <w:r w:rsidR="00171796">
              <w:rPr>
                <w:rFonts w:ascii="Times New Roman" w:eastAsia="Times New Roman" w:hAnsi="Times New Roman" w:cs="Times New Roman"/>
                <w:color w:val="000000" w:themeColor="text1"/>
                <w:sz w:val="24"/>
                <w:szCs w:val="24"/>
                <w:lang w:eastAsia="lv-LV"/>
              </w:rPr>
              <w:t xml:space="preserve"> un to dibinātās vispārējās izglītības iestādes</w:t>
            </w:r>
            <w:r w:rsidR="00B9326D" w:rsidRPr="00602BF4">
              <w:rPr>
                <w:rFonts w:ascii="Times New Roman" w:eastAsia="Times New Roman" w:hAnsi="Times New Roman" w:cs="Times New Roman"/>
                <w:color w:val="000000" w:themeColor="text1"/>
                <w:sz w:val="24"/>
                <w:szCs w:val="24"/>
                <w:lang w:eastAsia="lv-LV"/>
              </w:rPr>
              <w:t>, valsts augstskolas</w:t>
            </w:r>
            <w:r w:rsidR="00171796">
              <w:rPr>
                <w:rFonts w:ascii="Times New Roman" w:eastAsia="Times New Roman" w:hAnsi="Times New Roman" w:cs="Times New Roman"/>
                <w:color w:val="000000" w:themeColor="text1"/>
                <w:sz w:val="24"/>
                <w:szCs w:val="24"/>
                <w:lang w:eastAsia="lv-LV"/>
              </w:rPr>
              <w:t xml:space="preserve"> un</w:t>
            </w:r>
            <w:r w:rsidR="00171796" w:rsidRPr="00602BF4">
              <w:rPr>
                <w:rFonts w:ascii="Times New Roman" w:eastAsia="Times New Roman" w:hAnsi="Times New Roman" w:cs="Times New Roman"/>
                <w:color w:val="000000" w:themeColor="text1"/>
                <w:sz w:val="24"/>
                <w:szCs w:val="24"/>
                <w:lang w:eastAsia="lv-LV"/>
              </w:rPr>
              <w:t xml:space="preserve"> </w:t>
            </w:r>
            <w:r w:rsidR="00B9326D" w:rsidRPr="00602BF4">
              <w:rPr>
                <w:rFonts w:ascii="Times New Roman" w:eastAsia="Times New Roman" w:hAnsi="Times New Roman" w:cs="Times New Roman"/>
                <w:color w:val="000000" w:themeColor="text1"/>
                <w:sz w:val="24"/>
                <w:szCs w:val="24"/>
                <w:lang w:eastAsia="lv-LV"/>
              </w:rPr>
              <w:t>to dibinātās vispārējās vidējās izglītības iestādes.</w:t>
            </w:r>
          </w:p>
        </w:tc>
      </w:tr>
      <w:tr w:rsidR="00BD74BC" w:rsidRPr="00602BF4" w14:paraId="6CF6174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A984F5"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45E4ED2"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602BF4">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102A162" w14:textId="77777777" w:rsidR="00E5323B" w:rsidRPr="00602BF4" w:rsidRDefault="00967D6E" w:rsidP="001E4948">
            <w:pPr>
              <w:spacing w:after="0" w:line="240" w:lineRule="auto"/>
              <w:jc w:val="both"/>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Projekta izpildei j</w:t>
            </w:r>
            <w:r w:rsidR="00637709" w:rsidRPr="00602BF4">
              <w:rPr>
                <w:rFonts w:ascii="Times New Roman" w:eastAsia="Times New Roman" w:hAnsi="Times New Roman" w:cs="Times New Roman"/>
                <w:iCs/>
                <w:color w:val="000000" w:themeColor="text1"/>
                <w:sz w:val="24"/>
                <w:szCs w:val="24"/>
                <w:lang w:eastAsia="lv-LV"/>
              </w:rPr>
              <w:t xml:space="preserve">aunu institūciju izveide, esošu institūciju likvidācija vai reorganizācija nav paredzēta. </w:t>
            </w:r>
            <w:r w:rsidRPr="00602BF4">
              <w:rPr>
                <w:rFonts w:ascii="Times New Roman" w:eastAsia="Times New Roman" w:hAnsi="Times New Roman" w:cs="Times New Roman"/>
                <w:iCs/>
                <w:color w:val="000000" w:themeColor="text1"/>
                <w:sz w:val="24"/>
                <w:szCs w:val="24"/>
                <w:lang w:eastAsia="lv-LV"/>
              </w:rPr>
              <w:t>P</w:t>
            </w:r>
            <w:r w:rsidR="00637709" w:rsidRPr="00602BF4">
              <w:rPr>
                <w:rFonts w:ascii="Times New Roman" w:eastAsia="Times New Roman" w:hAnsi="Times New Roman" w:cs="Times New Roman"/>
                <w:iCs/>
                <w:color w:val="000000" w:themeColor="text1"/>
                <w:sz w:val="24"/>
                <w:szCs w:val="24"/>
                <w:lang w:eastAsia="lv-LV"/>
              </w:rPr>
              <w:t>rojekts neietekmē pārvaldes funkcijas un institucionālo struktūru, kā arī projekts neietekmē pārvaldes cilvēkresursus.</w:t>
            </w:r>
          </w:p>
        </w:tc>
      </w:tr>
      <w:tr w:rsidR="00BD74BC" w:rsidRPr="00602BF4" w14:paraId="720ABC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E8B1A0" w14:textId="77777777" w:rsidR="00655F2C" w:rsidRPr="00602BF4" w:rsidRDefault="00E5323B" w:rsidP="002110C2">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4F31A11" w14:textId="77777777" w:rsidR="00E5323B" w:rsidRPr="00602BF4" w:rsidRDefault="00E5323B" w:rsidP="00BB4763">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D3C014D" w14:textId="77777777" w:rsidR="00E5323B" w:rsidRPr="00602BF4" w:rsidRDefault="0011406B" w:rsidP="001E4948">
            <w:pPr>
              <w:spacing w:after="0" w:line="240" w:lineRule="auto"/>
              <w:rPr>
                <w:rFonts w:ascii="Times New Roman" w:eastAsia="Times New Roman" w:hAnsi="Times New Roman" w:cs="Times New Roman"/>
                <w:iCs/>
                <w:color w:val="000000" w:themeColor="text1"/>
                <w:sz w:val="24"/>
                <w:szCs w:val="24"/>
                <w:lang w:eastAsia="lv-LV"/>
              </w:rPr>
            </w:pPr>
            <w:r w:rsidRPr="00602BF4">
              <w:rPr>
                <w:rFonts w:ascii="Times New Roman" w:eastAsia="Times New Roman" w:hAnsi="Times New Roman" w:cs="Times New Roman"/>
                <w:iCs/>
                <w:color w:val="000000" w:themeColor="text1"/>
                <w:sz w:val="24"/>
                <w:szCs w:val="24"/>
                <w:lang w:eastAsia="lv-LV"/>
              </w:rPr>
              <w:t>Nav.</w:t>
            </w:r>
          </w:p>
        </w:tc>
      </w:tr>
    </w:tbl>
    <w:p w14:paraId="20DBC583" w14:textId="77777777" w:rsidR="002F3223" w:rsidRPr="00602BF4" w:rsidRDefault="002F3223" w:rsidP="00B012E7">
      <w:pPr>
        <w:spacing w:after="0" w:line="240" w:lineRule="auto"/>
        <w:jc w:val="both"/>
        <w:rPr>
          <w:rFonts w:ascii="Times New Roman" w:eastAsia="Arial Unicode MS" w:hAnsi="Times New Roman" w:cs="Times New Roman"/>
          <w:color w:val="000000" w:themeColor="text1"/>
          <w:sz w:val="24"/>
          <w:szCs w:val="24"/>
        </w:rPr>
      </w:pPr>
    </w:p>
    <w:p w14:paraId="2A350756" w14:textId="77777777" w:rsidR="002F3223" w:rsidRPr="00602BF4" w:rsidRDefault="002F3223" w:rsidP="00B012E7">
      <w:pPr>
        <w:spacing w:after="0" w:line="240" w:lineRule="auto"/>
        <w:jc w:val="both"/>
        <w:rPr>
          <w:rFonts w:ascii="Times New Roman" w:eastAsia="Arial Unicode MS" w:hAnsi="Times New Roman" w:cs="Times New Roman"/>
          <w:color w:val="000000" w:themeColor="text1"/>
          <w:sz w:val="24"/>
          <w:szCs w:val="24"/>
        </w:rPr>
      </w:pPr>
    </w:p>
    <w:p w14:paraId="4F67326D" w14:textId="77777777" w:rsidR="002F3223" w:rsidRPr="00602BF4" w:rsidRDefault="002F3223" w:rsidP="00B012E7">
      <w:pPr>
        <w:spacing w:after="0" w:line="240" w:lineRule="auto"/>
        <w:jc w:val="both"/>
        <w:rPr>
          <w:rFonts w:ascii="Times New Roman" w:eastAsia="Arial Unicode MS" w:hAnsi="Times New Roman" w:cs="Times New Roman"/>
          <w:color w:val="000000" w:themeColor="text1"/>
          <w:sz w:val="24"/>
          <w:szCs w:val="24"/>
        </w:rPr>
      </w:pPr>
    </w:p>
    <w:p w14:paraId="450664AD" w14:textId="77777777" w:rsidR="00725BDF" w:rsidRPr="00602BF4" w:rsidRDefault="00B9326D" w:rsidP="002110C2">
      <w:pPr>
        <w:spacing w:after="0" w:line="240" w:lineRule="auto"/>
        <w:jc w:val="both"/>
        <w:rPr>
          <w:rFonts w:ascii="Times New Roman" w:eastAsia="Arial Unicode MS" w:hAnsi="Times New Roman" w:cs="Times New Roman"/>
          <w:color w:val="000000" w:themeColor="text1"/>
          <w:sz w:val="24"/>
          <w:szCs w:val="24"/>
        </w:rPr>
      </w:pPr>
      <w:r w:rsidRPr="00602BF4">
        <w:rPr>
          <w:rFonts w:ascii="Times New Roman" w:eastAsia="Arial Unicode MS" w:hAnsi="Times New Roman" w:cs="Times New Roman"/>
          <w:color w:val="000000" w:themeColor="text1"/>
          <w:sz w:val="24"/>
          <w:szCs w:val="24"/>
        </w:rPr>
        <w:t>Izglītības un zinātnes ministre</w:t>
      </w:r>
      <w:r w:rsidR="00461ED7" w:rsidRPr="00602BF4">
        <w:rPr>
          <w:rFonts w:ascii="Times New Roman" w:eastAsia="Arial Unicode MS" w:hAnsi="Times New Roman" w:cs="Times New Roman"/>
          <w:color w:val="000000" w:themeColor="text1"/>
          <w:sz w:val="24"/>
          <w:szCs w:val="24"/>
        </w:rPr>
        <w:tab/>
      </w:r>
      <w:r w:rsidR="00461ED7" w:rsidRPr="00602BF4">
        <w:rPr>
          <w:rFonts w:ascii="Times New Roman" w:eastAsia="Arial Unicode MS" w:hAnsi="Times New Roman" w:cs="Times New Roman"/>
          <w:color w:val="000000" w:themeColor="text1"/>
          <w:sz w:val="24"/>
          <w:szCs w:val="24"/>
        </w:rPr>
        <w:tab/>
      </w:r>
      <w:r w:rsidR="00461ED7" w:rsidRPr="00602BF4">
        <w:rPr>
          <w:rFonts w:ascii="Times New Roman" w:eastAsia="Arial Unicode MS" w:hAnsi="Times New Roman" w:cs="Times New Roman"/>
          <w:color w:val="000000" w:themeColor="text1"/>
          <w:sz w:val="24"/>
          <w:szCs w:val="24"/>
        </w:rPr>
        <w:tab/>
        <w:t xml:space="preserve">                         </w:t>
      </w:r>
      <w:r w:rsidR="00CC5220" w:rsidRPr="00602BF4">
        <w:rPr>
          <w:rFonts w:ascii="Times New Roman" w:eastAsia="Arial Unicode MS" w:hAnsi="Times New Roman" w:cs="Times New Roman"/>
          <w:color w:val="000000" w:themeColor="text1"/>
          <w:sz w:val="24"/>
          <w:szCs w:val="24"/>
        </w:rPr>
        <w:tab/>
      </w:r>
      <w:r w:rsidR="00CC5220" w:rsidRPr="00602BF4">
        <w:rPr>
          <w:rFonts w:ascii="Times New Roman" w:eastAsia="Arial Unicode MS" w:hAnsi="Times New Roman" w:cs="Times New Roman"/>
          <w:color w:val="000000" w:themeColor="text1"/>
          <w:sz w:val="24"/>
          <w:szCs w:val="24"/>
        </w:rPr>
        <w:tab/>
      </w:r>
      <w:r w:rsidRPr="00602BF4">
        <w:rPr>
          <w:rFonts w:ascii="Times New Roman" w:eastAsia="Arial Unicode MS" w:hAnsi="Times New Roman" w:cs="Times New Roman"/>
          <w:color w:val="000000" w:themeColor="text1"/>
          <w:sz w:val="24"/>
          <w:szCs w:val="24"/>
        </w:rPr>
        <w:t>I</w:t>
      </w:r>
      <w:r w:rsidR="00461ED7" w:rsidRPr="00602BF4">
        <w:rPr>
          <w:rFonts w:ascii="Times New Roman" w:eastAsia="Arial Unicode MS" w:hAnsi="Times New Roman" w:cs="Times New Roman"/>
          <w:color w:val="000000" w:themeColor="text1"/>
          <w:sz w:val="24"/>
          <w:szCs w:val="24"/>
        </w:rPr>
        <w:t>. </w:t>
      </w:r>
      <w:r w:rsidRPr="00602BF4">
        <w:rPr>
          <w:rFonts w:ascii="Times New Roman" w:eastAsia="Arial Unicode MS" w:hAnsi="Times New Roman" w:cs="Times New Roman"/>
          <w:color w:val="000000" w:themeColor="text1"/>
          <w:sz w:val="24"/>
          <w:szCs w:val="24"/>
        </w:rPr>
        <w:t>Šuplinska</w:t>
      </w:r>
    </w:p>
    <w:p w14:paraId="21511BF6" w14:textId="77777777" w:rsidR="001039E5" w:rsidRPr="00602BF4" w:rsidRDefault="001039E5" w:rsidP="00BB4763">
      <w:pPr>
        <w:spacing w:after="0" w:line="240" w:lineRule="auto"/>
        <w:jc w:val="both"/>
        <w:rPr>
          <w:rFonts w:ascii="Times New Roman" w:eastAsia="Arial Unicode MS" w:hAnsi="Times New Roman" w:cs="Times New Roman"/>
          <w:color w:val="000000" w:themeColor="text1"/>
          <w:sz w:val="24"/>
          <w:szCs w:val="24"/>
        </w:rPr>
      </w:pPr>
    </w:p>
    <w:p w14:paraId="3FAA8169" w14:textId="77777777" w:rsidR="00465D9E" w:rsidRPr="00602BF4" w:rsidRDefault="00465D9E" w:rsidP="001E4948">
      <w:pPr>
        <w:spacing w:after="0" w:line="240" w:lineRule="auto"/>
        <w:rPr>
          <w:rFonts w:ascii="Times New Roman" w:eastAsia="Calibri" w:hAnsi="Times New Roman" w:cs="Times New Roman"/>
          <w:color w:val="000000" w:themeColor="text1"/>
          <w:sz w:val="20"/>
          <w:szCs w:val="24"/>
          <w:lang w:eastAsia="lv-LV"/>
        </w:rPr>
      </w:pPr>
    </w:p>
    <w:p w14:paraId="0B337935" w14:textId="77777777" w:rsidR="00DA4FC1" w:rsidRPr="00602BF4" w:rsidRDefault="00DA4FC1" w:rsidP="001E4948">
      <w:pPr>
        <w:spacing w:after="0" w:line="240" w:lineRule="auto"/>
        <w:rPr>
          <w:rFonts w:ascii="Times New Roman" w:eastAsia="Calibri" w:hAnsi="Times New Roman" w:cs="Times New Roman"/>
          <w:color w:val="000000" w:themeColor="text1"/>
          <w:sz w:val="20"/>
          <w:szCs w:val="24"/>
          <w:lang w:eastAsia="lv-LV"/>
        </w:rPr>
      </w:pPr>
    </w:p>
    <w:p w14:paraId="50BD947C" w14:textId="77777777" w:rsidR="00DA4FC1" w:rsidRPr="00602BF4" w:rsidRDefault="00DA4FC1" w:rsidP="00F578F4">
      <w:pPr>
        <w:spacing w:after="0" w:line="240" w:lineRule="auto"/>
        <w:rPr>
          <w:rFonts w:ascii="Times New Roman" w:eastAsia="Calibri" w:hAnsi="Times New Roman" w:cs="Times New Roman"/>
          <w:color w:val="000000" w:themeColor="text1"/>
          <w:sz w:val="20"/>
          <w:szCs w:val="24"/>
          <w:lang w:eastAsia="lv-LV"/>
        </w:rPr>
      </w:pPr>
    </w:p>
    <w:p w14:paraId="13F635A9" w14:textId="77777777" w:rsidR="00465D9E" w:rsidRPr="00602BF4" w:rsidRDefault="00465D9E" w:rsidP="00CA2D1B">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Nika 6704 7908</w:t>
      </w:r>
    </w:p>
    <w:p w14:paraId="67755B59" w14:textId="77777777" w:rsidR="00465D9E" w:rsidRPr="00602BF4" w:rsidRDefault="00465D9E">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agija.nika@izm.gov.lv</w:t>
      </w:r>
    </w:p>
    <w:p w14:paraId="1C3E6610" w14:textId="77777777" w:rsidR="00465D9E" w:rsidRPr="00602BF4" w:rsidRDefault="00465D9E">
      <w:pPr>
        <w:spacing w:after="0" w:line="240" w:lineRule="auto"/>
        <w:rPr>
          <w:rFonts w:ascii="Times New Roman" w:eastAsia="Calibri" w:hAnsi="Times New Roman" w:cs="Times New Roman"/>
          <w:color w:val="000000" w:themeColor="text1"/>
          <w:sz w:val="20"/>
          <w:szCs w:val="24"/>
          <w:lang w:eastAsia="lv-LV"/>
        </w:rPr>
      </w:pPr>
    </w:p>
    <w:p w14:paraId="20DE298A" w14:textId="77777777" w:rsidR="00465D9E" w:rsidRPr="00602BF4" w:rsidRDefault="00465D9E">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Kalsone 6704 7931</w:t>
      </w:r>
    </w:p>
    <w:p w14:paraId="05EC4FAE" w14:textId="77777777" w:rsidR="00465D9E" w:rsidRPr="00602BF4" w:rsidRDefault="00465D9E">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dace.kalsone@izm.gov.lv</w:t>
      </w:r>
    </w:p>
    <w:p w14:paraId="55B970B2" w14:textId="77777777" w:rsidR="00465D9E" w:rsidRPr="00602BF4" w:rsidRDefault="00465D9E">
      <w:pPr>
        <w:spacing w:after="0" w:line="240" w:lineRule="auto"/>
        <w:rPr>
          <w:rFonts w:ascii="Times New Roman" w:eastAsia="Calibri" w:hAnsi="Times New Roman" w:cs="Times New Roman"/>
          <w:color w:val="000000" w:themeColor="text1"/>
          <w:sz w:val="20"/>
          <w:szCs w:val="24"/>
          <w:lang w:eastAsia="lv-LV"/>
        </w:rPr>
      </w:pPr>
    </w:p>
    <w:p w14:paraId="68E9B591" w14:textId="5EB73D3B" w:rsidR="002C7539" w:rsidRPr="00602BF4" w:rsidRDefault="002C7539">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Pavloviča 6704 7860</w:t>
      </w:r>
    </w:p>
    <w:p w14:paraId="35CCEC8B" w14:textId="142EE94D" w:rsidR="002C7539" w:rsidRPr="00602BF4" w:rsidRDefault="002C7539">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initra.pavlovica@izm.gov.lv</w:t>
      </w:r>
    </w:p>
    <w:p w14:paraId="68E7750F" w14:textId="77777777" w:rsidR="002C7539" w:rsidRPr="00602BF4" w:rsidRDefault="002C7539">
      <w:pPr>
        <w:spacing w:after="0" w:line="240" w:lineRule="auto"/>
        <w:rPr>
          <w:rFonts w:ascii="Times New Roman" w:eastAsia="Calibri" w:hAnsi="Times New Roman" w:cs="Times New Roman"/>
          <w:color w:val="000000" w:themeColor="text1"/>
          <w:sz w:val="20"/>
          <w:szCs w:val="24"/>
          <w:lang w:eastAsia="lv-LV"/>
        </w:rPr>
      </w:pPr>
    </w:p>
    <w:p w14:paraId="46253621" w14:textId="77777777" w:rsidR="00465D9E" w:rsidRPr="00602BF4" w:rsidRDefault="00465D9E" w:rsidP="00171796">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Rudzīte 6704 7807</w:t>
      </w:r>
    </w:p>
    <w:p w14:paraId="1C9A652F" w14:textId="77777777" w:rsidR="001039E5" w:rsidRDefault="00465D9E" w:rsidP="00171796">
      <w:pPr>
        <w:spacing w:after="0" w:line="240" w:lineRule="auto"/>
        <w:rPr>
          <w:rFonts w:ascii="Times New Roman" w:eastAsia="Calibri" w:hAnsi="Times New Roman" w:cs="Times New Roman"/>
          <w:color w:val="000000" w:themeColor="text1"/>
          <w:sz w:val="20"/>
          <w:szCs w:val="24"/>
          <w:lang w:eastAsia="lv-LV"/>
        </w:rPr>
      </w:pPr>
      <w:r w:rsidRPr="00602BF4">
        <w:rPr>
          <w:rFonts w:ascii="Times New Roman" w:eastAsia="Calibri" w:hAnsi="Times New Roman" w:cs="Times New Roman"/>
          <w:color w:val="000000" w:themeColor="text1"/>
          <w:sz w:val="20"/>
          <w:szCs w:val="24"/>
          <w:lang w:eastAsia="lv-LV"/>
        </w:rPr>
        <w:t>ance.rudzite@izm.gov.lv</w:t>
      </w:r>
    </w:p>
    <w:p w14:paraId="6D2E649A" w14:textId="77777777" w:rsidR="002C7539" w:rsidRDefault="002C7539">
      <w:pPr>
        <w:spacing w:after="0" w:line="240" w:lineRule="auto"/>
        <w:rPr>
          <w:rFonts w:ascii="Times New Roman" w:eastAsia="Arial Unicode MS" w:hAnsi="Times New Roman" w:cs="Times New Roman"/>
          <w:color w:val="000000" w:themeColor="text1"/>
          <w:sz w:val="24"/>
          <w:szCs w:val="24"/>
        </w:rPr>
      </w:pPr>
    </w:p>
    <w:sectPr w:rsidR="002C7539"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218" w16cex:dateUtc="2021-04-23T11:03:00Z"/>
  <w16cex:commentExtensible w16cex:durableId="242D54F8" w16cex:dateUtc="2021-04-23T11:15:00Z"/>
  <w16cex:commentExtensible w16cex:durableId="242D5455" w16cex:dateUtc="2021-04-23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92579D" w16cid:durableId="242D5218"/>
  <w16cid:commentId w16cid:paraId="3B9BC659" w16cid:durableId="242D54F8"/>
  <w16cid:commentId w16cid:paraId="1A2F38E0" w16cid:durableId="242D54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2AEF3" w14:textId="77777777" w:rsidR="004A0510" w:rsidRDefault="004A0510" w:rsidP="00894C55">
      <w:pPr>
        <w:spacing w:after="0" w:line="240" w:lineRule="auto"/>
      </w:pPr>
      <w:r>
        <w:separator/>
      </w:r>
    </w:p>
  </w:endnote>
  <w:endnote w:type="continuationSeparator" w:id="0">
    <w:p w14:paraId="2513410A" w14:textId="77777777" w:rsidR="004A0510" w:rsidRDefault="004A051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1A8D" w14:textId="2EBDD656" w:rsidR="00CF090A" w:rsidRPr="006303E7" w:rsidRDefault="006303E7" w:rsidP="006303E7">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ED0FFB">
      <w:rPr>
        <w:rFonts w:ascii="Times New Roman" w:hAnsi="Times New Roman" w:cs="Times New Roman"/>
        <w:noProof/>
        <w:sz w:val="20"/>
        <w:szCs w:val="20"/>
      </w:rPr>
      <w:t>IZManot_150421_groz_447</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20D96" w14:textId="77777777" w:rsidR="00CF090A" w:rsidRPr="006303E7" w:rsidRDefault="006303E7" w:rsidP="006303E7">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ED0FFB">
      <w:rPr>
        <w:rFonts w:ascii="Times New Roman" w:hAnsi="Times New Roman" w:cs="Times New Roman"/>
        <w:noProof/>
        <w:sz w:val="20"/>
        <w:szCs w:val="20"/>
      </w:rPr>
      <w:t>IZManot_150421_groz_447</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3CD0F" w14:textId="77777777" w:rsidR="004A0510" w:rsidRDefault="004A0510" w:rsidP="00894C55">
      <w:pPr>
        <w:spacing w:after="0" w:line="240" w:lineRule="auto"/>
      </w:pPr>
      <w:r>
        <w:separator/>
      </w:r>
    </w:p>
  </w:footnote>
  <w:footnote w:type="continuationSeparator" w:id="0">
    <w:p w14:paraId="5C785F7D" w14:textId="77777777" w:rsidR="004A0510" w:rsidRDefault="004A0510"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A19D380" w14:textId="77777777" w:rsidR="00CF090A" w:rsidRPr="00C25B49" w:rsidRDefault="00CF090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014C1">
          <w:rPr>
            <w:rFonts w:ascii="Times New Roman" w:hAnsi="Times New Roman" w:cs="Times New Roman"/>
            <w:noProof/>
            <w:sz w:val="24"/>
            <w:szCs w:val="20"/>
          </w:rPr>
          <w:t>11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E2371"/>
    <w:multiLevelType w:val="hybridMultilevel"/>
    <w:tmpl w:val="E7AA0E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BFB1969"/>
    <w:multiLevelType w:val="hybridMultilevel"/>
    <w:tmpl w:val="B7E2F65E"/>
    <w:lvl w:ilvl="0" w:tplc="14845B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6343286"/>
    <w:multiLevelType w:val="hybridMultilevel"/>
    <w:tmpl w:val="F6408A92"/>
    <w:lvl w:ilvl="0" w:tplc="04260011">
      <w:start w:val="1"/>
      <w:numFmt w:val="decimal"/>
      <w:lvlText w:val="%1)"/>
      <w:lvlJc w:val="left"/>
      <w:pPr>
        <w:ind w:left="999" w:hanging="360"/>
      </w:pPr>
    </w:lvl>
    <w:lvl w:ilvl="1" w:tplc="04260019" w:tentative="1">
      <w:start w:val="1"/>
      <w:numFmt w:val="lowerLetter"/>
      <w:lvlText w:val="%2."/>
      <w:lvlJc w:val="left"/>
      <w:pPr>
        <w:ind w:left="1719" w:hanging="360"/>
      </w:pPr>
    </w:lvl>
    <w:lvl w:ilvl="2" w:tplc="0426001B" w:tentative="1">
      <w:start w:val="1"/>
      <w:numFmt w:val="lowerRoman"/>
      <w:lvlText w:val="%3."/>
      <w:lvlJc w:val="right"/>
      <w:pPr>
        <w:ind w:left="2439" w:hanging="180"/>
      </w:pPr>
    </w:lvl>
    <w:lvl w:ilvl="3" w:tplc="0426000F" w:tentative="1">
      <w:start w:val="1"/>
      <w:numFmt w:val="decimal"/>
      <w:lvlText w:val="%4."/>
      <w:lvlJc w:val="left"/>
      <w:pPr>
        <w:ind w:left="3159" w:hanging="360"/>
      </w:pPr>
    </w:lvl>
    <w:lvl w:ilvl="4" w:tplc="04260019" w:tentative="1">
      <w:start w:val="1"/>
      <w:numFmt w:val="lowerLetter"/>
      <w:lvlText w:val="%5."/>
      <w:lvlJc w:val="left"/>
      <w:pPr>
        <w:ind w:left="3879" w:hanging="360"/>
      </w:pPr>
    </w:lvl>
    <w:lvl w:ilvl="5" w:tplc="0426001B" w:tentative="1">
      <w:start w:val="1"/>
      <w:numFmt w:val="lowerRoman"/>
      <w:lvlText w:val="%6."/>
      <w:lvlJc w:val="right"/>
      <w:pPr>
        <w:ind w:left="4599" w:hanging="180"/>
      </w:pPr>
    </w:lvl>
    <w:lvl w:ilvl="6" w:tplc="0426000F" w:tentative="1">
      <w:start w:val="1"/>
      <w:numFmt w:val="decimal"/>
      <w:lvlText w:val="%7."/>
      <w:lvlJc w:val="left"/>
      <w:pPr>
        <w:ind w:left="5319" w:hanging="360"/>
      </w:pPr>
    </w:lvl>
    <w:lvl w:ilvl="7" w:tplc="04260019" w:tentative="1">
      <w:start w:val="1"/>
      <w:numFmt w:val="lowerLetter"/>
      <w:lvlText w:val="%8."/>
      <w:lvlJc w:val="left"/>
      <w:pPr>
        <w:ind w:left="6039" w:hanging="360"/>
      </w:pPr>
    </w:lvl>
    <w:lvl w:ilvl="8" w:tplc="0426001B" w:tentative="1">
      <w:start w:val="1"/>
      <w:numFmt w:val="lowerRoman"/>
      <w:lvlText w:val="%9."/>
      <w:lvlJc w:val="right"/>
      <w:pPr>
        <w:ind w:left="6759" w:hanging="180"/>
      </w:pPr>
    </w:lvl>
  </w:abstractNum>
  <w:abstractNum w:abstractNumId="3">
    <w:nsid w:val="4E530233"/>
    <w:multiLevelType w:val="hybridMultilevel"/>
    <w:tmpl w:val="86CE0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6FCD"/>
    <w:rsid w:val="00025DF2"/>
    <w:rsid w:val="0003110F"/>
    <w:rsid w:val="000342C7"/>
    <w:rsid w:val="0004327F"/>
    <w:rsid w:val="00043644"/>
    <w:rsid w:val="00050F81"/>
    <w:rsid w:val="000514D3"/>
    <w:rsid w:val="000538E7"/>
    <w:rsid w:val="00053CC6"/>
    <w:rsid w:val="00063AE6"/>
    <w:rsid w:val="00082535"/>
    <w:rsid w:val="000855E4"/>
    <w:rsid w:val="00085BF1"/>
    <w:rsid w:val="0009315A"/>
    <w:rsid w:val="00094107"/>
    <w:rsid w:val="000A10D6"/>
    <w:rsid w:val="000A626B"/>
    <w:rsid w:val="000B4AA9"/>
    <w:rsid w:val="000C22BA"/>
    <w:rsid w:val="000C433A"/>
    <w:rsid w:val="000C561C"/>
    <w:rsid w:val="000C7270"/>
    <w:rsid w:val="000D0942"/>
    <w:rsid w:val="000D3EB2"/>
    <w:rsid w:val="001039E5"/>
    <w:rsid w:val="00113414"/>
    <w:rsid w:val="0011406B"/>
    <w:rsid w:val="0012316B"/>
    <w:rsid w:val="00127556"/>
    <w:rsid w:val="00143598"/>
    <w:rsid w:val="0015583A"/>
    <w:rsid w:val="00156C42"/>
    <w:rsid w:val="001629F7"/>
    <w:rsid w:val="00171796"/>
    <w:rsid w:val="00174091"/>
    <w:rsid w:val="00176010"/>
    <w:rsid w:val="00190201"/>
    <w:rsid w:val="0019579E"/>
    <w:rsid w:val="001A3ADA"/>
    <w:rsid w:val="001B0C37"/>
    <w:rsid w:val="001C01D4"/>
    <w:rsid w:val="001E4948"/>
    <w:rsid w:val="002079DC"/>
    <w:rsid w:val="002110C2"/>
    <w:rsid w:val="002222C3"/>
    <w:rsid w:val="002268EF"/>
    <w:rsid w:val="00226C3A"/>
    <w:rsid w:val="00237701"/>
    <w:rsid w:val="00241524"/>
    <w:rsid w:val="00243426"/>
    <w:rsid w:val="00243679"/>
    <w:rsid w:val="00250180"/>
    <w:rsid w:val="002546CE"/>
    <w:rsid w:val="002579D1"/>
    <w:rsid w:val="00262722"/>
    <w:rsid w:val="00262F9A"/>
    <w:rsid w:val="00264D34"/>
    <w:rsid w:val="00266B36"/>
    <w:rsid w:val="0027263E"/>
    <w:rsid w:val="0029422E"/>
    <w:rsid w:val="00295C6B"/>
    <w:rsid w:val="00296B43"/>
    <w:rsid w:val="002B030E"/>
    <w:rsid w:val="002B5293"/>
    <w:rsid w:val="002B5CBF"/>
    <w:rsid w:val="002C092D"/>
    <w:rsid w:val="002C7539"/>
    <w:rsid w:val="002D1821"/>
    <w:rsid w:val="002D5C3E"/>
    <w:rsid w:val="002E1C05"/>
    <w:rsid w:val="002F3223"/>
    <w:rsid w:val="002F337B"/>
    <w:rsid w:val="002F3751"/>
    <w:rsid w:val="003021D9"/>
    <w:rsid w:val="00302F0C"/>
    <w:rsid w:val="00313850"/>
    <w:rsid w:val="0033340A"/>
    <w:rsid w:val="00340CAC"/>
    <w:rsid w:val="003427F1"/>
    <w:rsid w:val="00365C4F"/>
    <w:rsid w:val="00366194"/>
    <w:rsid w:val="00375917"/>
    <w:rsid w:val="00381BEC"/>
    <w:rsid w:val="00385504"/>
    <w:rsid w:val="00386D9C"/>
    <w:rsid w:val="00395E51"/>
    <w:rsid w:val="003B0BF9"/>
    <w:rsid w:val="003B0CAA"/>
    <w:rsid w:val="003B2E63"/>
    <w:rsid w:val="003B795B"/>
    <w:rsid w:val="003B7D6B"/>
    <w:rsid w:val="003C2855"/>
    <w:rsid w:val="003C5315"/>
    <w:rsid w:val="003C6277"/>
    <w:rsid w:val="003D118F"/>
    <w:rsid w:val="003D3AA9"/>
    <w:rsid w:val="003E0791"/>
    <w:rsid w:val="003E6A6E"/>
    <w:rsid w:val="003E6C4D"/>
    <w:rsid w:val="003F0F9A"/>
    <w:rsid w:val="003F28AC"/>
    <w:rsid w:val="003F6F15"/>
    <w:rsid w:val="004013C5"/>
    <w:rsid w:val="004014C1"/>
    <w:rsid w:val="0040488C"/>
    <w:rsid w:val="0040699C"/>
    <w:rsid w:val="00410EE0"/>
    <w:rsid w:val="00426F32"/>
    <w:rsid w:val="00431DD0"/>
    <w:rsid w:val="00436DA0"/>
    <w:rsid w:val="004454FE"/>
    <w:rsid w:val="0044641D"/>
    <w:rsid w:val="00456E40"/>
    <w:rsid w:val="004617DA"/>
    <w:rsid w:val="00461ED7"/>
    <w:rsid w:val="00465D9E"/>
    <w:rsid w:val="00471F27"/>
    <w:rsid w:val="00477323"/>
    <w:rsid w:val="004813E4"/>
    <w:rsid w:val="00481877"/>
    <w:rsid w:val="00492A53"/>
    <w:rsid w:val="004930E0"/>
    <w:rsid w:val="004A0510"/>
    <w:rsid w:val="004A55F3"/>
    <w:rsid w:val="004B22C0"/>
    <w:rsid w:val="004C4D25"/>
    <w:rsid w:val="004C78A2"/>
    <w:rsid w:val="004D26B6"/>
    <w:rsid w:val="004D41EE"/>
    <w:rsid w:val="004D6677"/>
    <w:rsid w:val="004D7D7E"/>
    <w:rsid w:val="004E1232"/>
    <w:rsid w:val="004E453E"/>
    <w:rsid w:val="004E4B4F"/>
    <w:rsid w:val="004E7641"/>
    <w:rsid w:val="004E7E76"/>
    <w:rsid w:val="004F36F7"/>
    <w:rsid w:val="0050178F"/>
    <w:rsid w:val="00504133"/>
    <w:rsid w:val="0050640D"/>
    <w:rsid w:val="00507782"/>
    <w:rsid w:val="00512F46"/>
    <w:rsid w:val="00524C6C"/>
    <w:rsid w:val="00525CEC"/>
    <w:rsid w:val="00527490"/>
    <w:rsid w:val="005402A0"/>
    <w:rsid w:val="00544E81"/>
    <w:rsid w:val="00557BD0"/>
    <w:rsid w:val="00557EEA"/>
    <w:rsid w:val="005610BC"/>
    <w:rsid w:val="005749D1"/>
    <w:rsid w:val="00575C49"/>
    <w:rsid w:val="00587A15"/>
    <w:rsid w:val="0059354F"/>
    <w:rsid w:val="005A0C91"/>
    <w:rsid w:val="005A23BC"/>
    <w:rsid w:val="005A7BF7"/>
    <w:rsid w:val="005B2688"/>
    <w:rsid w:val="005B6065"/>
    <w:rsid w:val="005B7165"/>
    <w:rsid w:val="005C5CC3"/>
    <w:rsid w:val="005D2B89"/>
    <w:rsid w:val="005D43A4"/>
    <w:rsid w:val="005E0433"/>
    <w:rsid w:val="005E06B0"/>
    <w:rsid w:val="005E328D"/>
    <w:rsid w:val="005F353C"/>
    <w:rsid w:val="005F736A"/>
    <w:rsid w:val="005F7641"/>
    <w:rsid w:val="00600E1D"/>
    <w:rsid w:val="00602BF4"/>
    <w:rsid w:val="00614D6C"/>
    <w:rsid w:val="00616A72"/>
    <w:rsid w:val="00625E9C"/>
    <w:rsid w:val="006303E7"/>
    <w:rsid w:val="00637709"/>
    <w:rsid w:val="00645B48"/>
    <w:rsid w:val="00654FCD"/>
    <w:rsid w:val="00655F2C"/>
    <w:rsid w:val="00657A57"/>
    <w:rsid w:val="0066307E"/>
    <w:rsid w:val="00680651"/>
    <w:rsid w:val="00696434"/>
    <w:rsid w:val="006A30EF"/>
    <w:rsid w:val="006A33A0"/>
    <w:rsid w:val="006A41D6"/>
    <w:rsid w:val="006A67D6"/>
    <w:rsid w:val="006A6CFF"/>
    <w:rsid w:val="006A7BB6"/>
    <w:rsid w:val="006B0079"/>
    <w:rsid w:val="006B1AC0"/>
    <w:rsid w:val="006B5E5F"/>
    <w:rsid w:val="006C555E"/>
    <w:rsid w:val="006C78E2"/>
    <w:rsid w:val="006D09E8"/>
    <w:rsid w:val="006E1081"/>
    <w:rsid w:val="006F13A0"/>
    <w:rsid w:val="006F59CA"/>
    <w:rsid w:val="00704375"/>
    <w:rsid w:val="00707811"/>
    <w:rsid w:val="00717891"/>
    <w:rsid w:val="00720585"/>
    <w:rsid w:val="0072306D"/>
    <w:rsid w:val="007254BA"/>
    <w:rsid w:val="00725BDF"/>
    <w:rsid w:val="00730398"/>
    <w:rsid w:val="007313D8"/>
    <w:rsid w:val="0073259A"/>
    <w:rsid w:val="007334F7"/>
    <w:rsid w:val="00742833"/>
    <w:rsid w:val="007454E9"/>
    <w:rsid w:val="00745B54"/>
    <w:rsid w:val="00754841"/>
    <w:rsid w:val="00756367"/>
    <w:rsid w:val="00756B51"/>
    <w:rsid w:val="00762BD2"/>
    <w:rsid w:val="00773AF6"/>
    <w:rsid w:val="00775983"/>
    <w:rsid w:val="00777F40"/>
    <w:rsid w:val="00786EBD"/>
    <w:rsid w:val="0078790A"/>
    <w:rsid w:val="00787FA0"/>
    <w:rsid w:val="00790698"/>
    <w:rsid w:val="00795F71"/>
    <w:rsid w:val="007A6A8D"/>
    <w:rsid w:val="007B1750"/>
    <w:rsid w:val="007B17F1"/>
    <w:rsid w:val="007B3F2B"/>
    <w:rsid w:val="007C1B55"/>
    <w:rsid w:val="007C3A89"/>
    <w:rsid w:val="007E1BFA"/>
    <w:rsid w:val="007E5F7A"/>
    <w:rsid w:val="007E6F08"/>
    <w:rsid w:val="007E73AB"/>
    <w:rsid w:val="007E7816"/>
    <w:rsid w:val="007F37E0"/>
    <w:rsid w:val="0080166E"/>
    <w:rsid w:val="00802AB9"/>
    <w:rsid w:val="00816C11"/>
    <w:rsid w:val="00822B82"/>
    <w:rsid w:val="00823318"/>
    <w:rsid w:val="00832540"/>
    <w:rsid w:val="00843B1C"/>
    <w:rsid w:val="00845221"/>
    <w:rsid w:val="0084712C"/>
    <w:rsid w:val="0085082D"/>
    <w:rsid w:val="00851A2E"/>
    <w:rsid w:val="00867CBB"/>
    <w:rsid w:val="00873328"/>
    <w:rsid w:val="00875608"/>
    <w:rsid w:val="00885974"/>
    <w:rsid w:val="0089406B"/>
    <w:rsid w:val="0089437F"/>
    <w:rsid w:val="00894C55"/>
    <w:rsid w:val="008A214E"/>
    <w:rsid w:val="008A3139"/>
    <w:rsid w:val="008B1EFF"/>
    <w:rsid w:val="008B2054"/>
    <w:rsid w:val="008B2F3F"/>
    <w:rsid w:val="008B40D5"/>
    <w:rsid w:val="008C0854"/>
    <w:rsid w:val="008C28AC"/>
    <w:rsid w:val="008C7A0E"/>
    <w:rsid w:val="008D2F6B"/>
    <w:rsid w:val="008E05E7"/>
    <w:rsid w:val="008E3971"/>
    <w:rsid w:val="008F4B2B"/>
    <w:rsid w:val="008F7640"/>
    <w:rsid w:val="00907C94"/>
    <w:rsid w:val="00910F25"/>
    <w:rsid w:val="00914726"/>
    <w:rsid w:val="009337E3"/>
    <w:rsid w:val="00950E61"/>
    <w:rsid w:val="00951B5F"/>
    <w:rsid w:val="00960E02"/>
    <w:rsid w:val="009662B5"/>
    <w:rsid w:val="00967D6E"/>
    <w:rsid w:val="00976FCC"/>
    <w:rsid w:val="009772D1"/>
    <w:rsid w:val="009970FC"/>
    <w:rsid w:val="00997DDA"/>
    <w:rsid w:val="009A2654"/>
    <w:rsid w:val="009A42DA"/>
    <w:rsid w:val="009A6569"/>
    <w:rsid w:val="009B463C"/>
    <w:rsid w:val="009C1D61"/>
    <w:rsid w:val="009D46CC"/>
    <w:rsid w:val="009D49B1"/>
    <w:rsid w:val="009E01E4"/>
    <w:rsid w:val="009E314F"/>
    <w:rsid w:val="009E5938"/>
    <w:rsid w:val="00A014D4"/>
    <w:rsid w:val="00A04125"/>
    <w:rsid w:val="00A10FC3"/>
    <w:rsid w:val="00A222DD"/>
    <w:rsid w:val="00A25B98"/>
    <w:rsid w:val="00A3311C"/>
    <w:rsid w:val="00A35E9E"/>
    <w:rsid w:val="00A3671A"/>
    <w:rsid w:val="00A50254"/>
    <w:rsid w:val="00A503B9"/>
    <w:rsid w:val="00A6073E"/>
    <w:rsid w:val="00A72CC5"/>
    <w:rsid w:val="00A7520D"/>
    <w:rsid w:val="00A8174C"/>
    <w:rsid w:val="00A834DC"/>
    <w:rsid w:val="00A846A7"/>
    <w:rsid w:val="00AB7FD9"/>
    <w:rsid w:val="00AC3FAA"/>
    <w:rsid w:val="00AE3CC3"/>
    <w:rsid w:val="00AE5567"/>
    <w:rsid w:val="00AF1239"/>
    <w:rsid w:val="00AF1827"/>
    <w:rsid w:val="00AF447B"/>
    <w:rsid w:val="00B012E7"/>
    <w:rsid w:val="00B04762"/>
    <w:rsid w:val="00B07E51"/>
    <w:rsid w:val="00B143A0"/>
    <w:rsid w:val="00B16480"/>
    <w:rsid w:val="00B2165C"/>
    <w:rsid w:val="00B257AB"/>
    <w:rsid w:val="00B44046"/>
    <w:rsid w:val="00B64FAE"/>
    <w:rsid w:val="00B72E9E"/>
    <w:rsid w:val="00B74A6E"/>
    <w:rsid w:val="00B84D3B"/>
    <w:rsid w:val="00B9326D"/>
    <w:rsid w:val="00BA0A6F"/>
    <w:rsid w:val="00BA0E1B"/>
    <w:rsid w:val="00BA20AA"/>
    <w:rsid w:val="00BA21B4"/>
    <w:rsid w:val="00BA4497"/>
    <w:rsid w:val="00BA45D4"/>
    <w:rsid w:val="00BA47A6"/>
    <w:rsid w:val="00BA66FC"/>
    <w:rsid w:val="00BB20FD"/>
    <w:rsid w:val="00BB2C29"/>
    <w:rsid w:val="00BB3C3C"/>
    <w:rsid w:val="00BB4763"/>
    <w:rsid w:val="00BB4864"/>
    <w:rsid w:val="00BC0416"/>
    <w:rsid w:val="00BC5A2C"/>
    <w:rsid w:val="00BD10F2"/>
    <w:rsid w:val="00BD4425"/>
    <w:rsid w:val="00BD6966"/>
    <w:rsid w:val="00BD74BC"/>
    <w:rsid w:val="00BD7602"/>
    <w:rsid w:val="00BF1D0A"/>
    <w:rsid w:val="00BF2AB1"/>
    <w:rsid w:val="00BF7784"/>
    <w:rsid w:val="00C16CC6"/>
    <w:rsid w:val="00C25B49"/>
    <w:rsid w:val="00C26690"/>
    <w:rsid w:val="00C32244"/>
    <w:rsid w:val="00C330AA"/>
    <w:rsid w:val="00C332A7"/>
    <w:rsid w:val="00C47553"/>
    <w:rsid w:val="00C565B7"/>
    <w:rsid w:val="00C65F9C"/>
    <w:rsid w:val="00C70325"/>
    <w:rsid w:val="00C80296"/>
    <w:rsid w:val="00C80E29"/>
    <w:rsid w:val="00C8270A"/>
    <w:rsid w:val="00C82F15"/>
    <w:rsid w:val="00C8771B"/>
    <w:rsid w:val="00C957F3"/>
    <w:rsid w:val="00CA01B3"/>
    <w:rsid w:val="00CA2D1B"/>
    <w:rsid w:val="00CA38E4"/>
    <w:rsid w:val="00CB4F65"/>
    <w:rsid w:val="00CC09F8"/>
    <w:rsid w:val="00CC0D2D"/>
    <w:rsid w:val="00CC248A"/>
    <w:rsid w:val="00CC5220"/>
    <w:rsid w:val="00CC5261"/>
    <w:rsid w:val="00CD58A5"/>
    <w:rsid w:val="00CE224F"/>
    <w:rsid w:val="00CE5657"/>
    <w:rsid w:val="00CE78F5"/>
    <w:rsid w:val="00CF090A"/>
    <w:rsid w:val="00CF0D3E"/>
    <w:rsid w:val="00CF3BA6"/>
    <w:rsid w:val="00CF59F5"/>
    <w:rsid w:val="00D051C0"/>
    <w:rsid w:val="00D056BE"/>
    <w:rsid w:val="00D13314"/>
    <w:rsid w:val="00D133F8"/>
    <w:rsid w:val="00D14A3E"/>
    <w:rsid w:val="00D17CFB"/>
    <w:rsid w:val="00D209F6"/>
    <w:rsid w:val="00D20BF3"/>
    <w:rsid w:val="00D20F72"/>
    <w:rsid w:val="00D30A41"/>
    <w:rsid w:val="00D324BC"/>
    <w:rsid w:val="00D4546A"/>
    <w:rsid w:val="00D53D13"/>
    <w:rsid w:val="00D550EA"/>
    <w:rsid w:val="00D613C7"/>
    <w:rsid w:val="00D64E62"/>
    <w:rsid w:val="00D6636F"/>
    <w:rsid w:val="00D70B6E"/>
    <w:rsid w:val="00D77B70"/>
    <w:rsid w:val="00D87467"/>
    <w:rsid w:val="00D91E1E"/>
    <w:rsid w:val="00D9697B"/>
    <w:rsid w:val="00DA0F6F"/>
    <w:rsid w:val="00DA106D"/>
    <w:rsid w:val="00DA3785"/>
    <w:rsid w:val="00DA39F4"/>
    <w:rsid w:val="00DA4FC1"/>
    <w:rsid w:val="00DB4B47"/>
    <w:rsid w:val="00DD5312"/>
    <w:rsid w:val="00DE0B52"/>
    <w:rsid w:val="00DE498B"/>
    <w:rsid w:val="00DE6095"/>
    <w:rsid w:val="00DF414B"/>
    <w:rsid w:val="00E00344"/>
    <w:rsid w:val="00E022E8"/>
    <w:rsid w:val="00E15415"/>
    <w:rsid w:val="00E16BD1"/>
    <w:rsid w:val="00E2115B"/>
    <w:rsid w:val="00E306B4"/>
    <w:rsid w:val="00E31F80"/>
    <w:rsid w:val="00E32238"/>
    <w:rsid w:val="00E3716B"/>
    <w:rsid w:val="00E40867"/>
    <w:rsid w:val="00E51D94"/>
    <w:rsid w:val="00E51E5C"/>
    <w:rsid w:val="00E51FF2"/>
    <w:rsid w:val="00E5323B"/>
    <w:rsid w:val="00E55CCD"/>
    <w:rsid w:val="00E56F66"/>
    <w:rsid w:val="00E57D1F"/>
    <w:rsid w:val="00E64E2A"/>
    <w:rsid w:val="00E65E5E"/>
    <w:rsid w:val="00E75DE6"/>
    <w:rsid w:val="00E8749E"/>
    <w:rsid w:val="00E90C01"/>
    <w:rsid w:val="00E917E5"/>
    <w:rsid w:val="00E9335F"/>
    <w:rsid w:val="00E936C0"/>
    <w:rsid w:val="00EA2E8B"/>
    <w:rsid w:val="00EA486E"/>
    <w:rsid w:val="00EA574B"/>
    <w:rsid w:val="00EA5ADE"/>
    <w:rsid w:val="00EA6FEC"/>
    <w:rsid w:val="00EA7467"/>
    <w:rsid w:val="00EB028B"/>
    <w:rsid w:val="00EB0ADE"/>
    <w:rsid w:val="00EB111F"/>
    <w:rsid w:val="00EB3B04"/>
    <w:rsid w:val="00EC0368"/>
    <w:rsid w:val="00ED0FFB"/>
    <w:rsid w:val="00ED4B31"/>
    <w:rsid w:val="00ED4D32"/>
    <w:rsid w:val="00EE4C9C"/>
    <w:rsid w:val="00EE732A"/>
    <w:rsid w:val="00EF10FF"/>
    <w:rsid w:val="00F14E06"/>
    <w:rsid w:val="00F15CA8"/>
    <w:rsid w:val="00F268BB"/>
    <w:rsid w:val="00F320CF"/>
    <w:rsid w:val="00F32E93"/>
    <w:rsid w:val="00F33F48"/>
    <w:rsid w:val="00F34028"/>
    <w:rsid w:val="00F40F8B"/>
    <w:rsid w:val="00F42597"/>
    <w:rsid w:val="00F44166"/>
    <w:rsid w:val="00F525B4"/>
    <w:rsid w:val="00F578F4"/>
    <w:rsid w:val="00F57B0C"/>
    <w:rsid w:val="00F609CC"/>
    <w:rsid w:val="00F67DE4"/>
    <w:rsid w:val="00F702C4"/>
    <w:rsid w:val="00F82270"/>
    <w:rsid w:val="00F929BD"/>
    <w:rsid w:val="00F95476"/>
    <w:rsid w:val="00F97BAA"/>
    <w:rsid w:val="00FA3BE6"/>
    <w:rsid w:val="00FB792A"/>
    <w:rsid w:val="00FC058D"/>
    <w:rsid w:val="00FD015A"/>
    <w:rsid w:val="00FD7D0F"/>
    <w:rsid w:val="00FE158F"/>
    <w:rsid w:val="00FE2DE6"/>
    <w:rsid w:val="00FF41EE"/>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E90E47"/>
  <w15:docId w15:val="{E377DADD-A3BC-4B5D-91CA-DC492F0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rmalWeb">
    <w:name w:val="Normal (Web)"/>
    <w:basedOn w:val="Normal"/>
    <w:uiPriority w:val="99"/>
    <w:rsid w:val="008233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v213">
    <w:name w:val="tv213"/>
    <w:basedOn w:val="Normal"/>
    <w:rsid w:val="00BA45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512F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873328"/>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873328"/>
    <w:rPr>
      <w:rFonts w:ascii="Calibri" w:eastAsia="Calibri" w:hAnsi="Calibri" w:cs="Times New Roman"/>
    </w:rPr>
  </w:style>
  <w:style w:type="character" w:customStyle="1" w:styleId="hps">
    <w:name w:val="hps"/>
    <w:rsid w:val="00873328"/>
  </w:style>
  <w:style w:type="table" w:styleId="TableGrid">
    <w:name w:val="Table Grid"/>
    <w:basedOn w:val="TableNormal"/>
    <w:uiPriority w:val="39"/>
    <w:rsid w:val="00BF2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F37E0"/>
    <w:rPr>
      <w:sz w:val="16"/>
      <w:szCs w:val="16"/>
    </w:rPr>
  </w:style>
  <w:style w:type="paragraph" w:styleId="CommentText">
    <w:name w:val="annotation text"/>
    <w:basedOn w:val="Normal"/>
    <w:link w:val="CommentTextChar"/>
    <w:uiPriority w:val="99"/>
    <w:semiHidden/>
    <w:unhideWhenUsed/>
    <w:rsid w:val="007F37E0"/>
    <w:pPr>
      <w:spacing w:line="240" w:lineRule="auto"/>
    </w:pPr>
    <w:rPr>
      <w:sz w:val="20"/>
      <w:szCs w:val="20"/>
    </w:rPr>
  </w:style>
  <w:style w:type="character" w:customStyle="1" w:styleId="CommentTextChar">
    <w:name w:val="Comment Text Char"/>
    <w:basedOn w:val="DefaultParagraphFont"/>
    <w:link w:val="CommentText"/>
    <w:uiPriority w:val="99"/>
    <w:semiHidden/>
    <w:rsid w:val="007F37E0"/>
    <w:rPr>
      <w:sz w:val="20"/>
      <w:szCs w:val="20"/>
    </w:rPr>
  </w:style>
  <w:style w:type="paragraph" w:styleId="CommentSubject">
    <w:name w:val="annotation subject"/>
    <w:basedOn w:val="CommentText"/>
    <w:next w:val="CommentText"/>
    <w:link w:val="CommentSubjectChar"/>
    <w:uiPriority w:val="99"/>
    <w:semiHidden/>
    <w:unhideWhenUsed/>
    <w:rsid w:val="007F37E0"/>
    <w:rPr>
      <w:b/>
      <w:bCs/>
    </w:rPr>
  </w:style>
  <w:style w:type="character" w:customStyle="1" w:styleId="CommentSubjectChar">
    <w:name w:val="Comment Subject Char"/>
    <w:basedOn w:val="CommentTextChar"/>
    <w:link w:val="CommentSubject"/>
    <w:uiPriority w:val="99"/>
    <w:semiHidden/>
    <w:rsid w:val="007F37E0"/>
    <w:rPr>
      <w:b/>
      <w:bCs/>
      <w:sz w:val="20"/>
      <w:szCs w:val="20"/>
    </w:rPr>
  </w:style>
  <w:style w:type="character" w:customStyle="1" w:styleId="UnresolvedMention1">
    <w:name w:val="Unresolved Mention1"/>
    <w:basedOn w:val="DefaultParagraphFont"/>
    <w:uiPriority w:val="99"/>
    <w:semiHidden/>
    <w:unhideWhenUsed/>
    <w:rsid w:val="00CA2D1B"/>
    <w:rPr>
      <w:color w:val="605E5C"/>
      <w:shd w:val="clear" w:color="auto" w:fill="E1DFDD"/>
    </w:rPr>
  </w:style>
  <w:style w:type="paragraph" w:customStyle="1" w:styleId="Standard">
    <w:name w:val="Standard"/>
    <w:rsid w:val="00A50254"/>
    <w:pPr>
      <w:suppressAutoHyphens/>
      <w:autoSpaceDN w:val="0"/>
      <w:spacing w:after="200" w:line="276" w:lineRule="auto"/>
    </w:pPr>
    <w:rPr>
      <w:rFonts w:ascii="Calibri" w:eastAsia="Times New Roman" w:hAnsi="Calibri" w:cs="Calibri"/>
      <w:kern w:val="3"/>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52734235">
      <w:bodyDiv w:val="1"/>
      <w:marLeft w:val="0"/>
      <w:marRight w:val="0"/>
      <w:marTop w:val="0"/>
      <w:marBottom w:val="0"/>
      <w:divBdr>
        <w:top w:val="none" w:sz="0" w:space="0" w:color="auto"/>
        <w:left w:val="none" w:sz="0" w:space="0" w:color="auto"/>
        <w:bottom w:val="none" w:sz="0" w:space="0" w:color="auto"/>
        <w:right w:val="none" w:sz="0" w:space="0" w:color="auto"/>
      </w:divBdr>
    </w:div>
    <w:div w:id="753090920">
      <w:bodyDiv w:val="1"/>
      <w:marLeft w:val="0"/>
      <w:marRight w:val="0"/>
      <w:marTop w:val="0"/>
      <w:marBottom w:val="0"/>
      <w:divBdr>
        <w:top w:val="none" w:sz="0" w:space="0" w:color="auto"/>
        <w:left w:val="none" w:sz="0" w:space="0" w:color="auto"/>
        <w:bottom w:val="none" w:sz="0" w:space="0" w:color="auto"/>
        <w:right w:val="none" w:sz="0" w:space="0" w:color="auto"/>
      </w:divBdr>
      <w:divsChild>
        <w:div w:id="389378648">
          <w:marLeft w:val="0"/>
          <w:marRight w:val="0"/>
          <w:marTop w:val="0"/>
          <w:marBottom w:val="0"/>
          <w:divBdr>
            <w:top w:val="none" w:sz="0" w:space="0" w:color="auto"/>
            <w:left w:val="none" w:sz="0" w:space="0" w:color="auto"/>
            <w:bottom w:val="none" w:sz="0" w:space="0" w:color="auto"/>
            <w:right w:val="none" w:sz="0" w:space="0" w:color="auto"/>
          </w:divBdr>
        </w:div>
        <w:div w:id="1130787299">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46677993">
      <w:bodyDiv w:val="1"/>
      <w:marLeft w:val="0"/>
      <w:marRight w:val="0"/>
      <w:marTop w:val="0"/>
      <w:marBottom w:val="0"/>
      <w:divBdr>
        <w:top w:val="none" w:sz="0" w:space="0" w:color="auto"/>
        <w:left w:val="none" w:sz="0" w:space="0" w:color="auto"/>
        <w:bottom w:val="none" w:sz="0" w:space="0" w:color="auto"/>
        <w:right w:val="none" w:sz="0" w:space="0" w:color="auto"/>
      </w:divBdr>
    </w:div>
    <w:div w:id="1764646948">
      <w:bodyDiv w:val="1"/>
      <w:marLeft w:val="0"/>
      <w:marRight w:val="0"/>
      <w:marTop w:val="0"/>
      <w:marBottom w:val="0"/>
      <w:divBdr>
        <w:top w:val="none" w:sz="0" w:space="0" w:color="auto"/>
        <w:left w:val="none" w:sz="0" w:space="0" w:color="auto"/>
        <w:bottom w:val="none" w:sz="0" w:space="0" w:color="auto"/>
        <w:right w:val="none" w:sz="0" w:space="0" w:color="auto"/>
      </w:divBdr>
    </w:div>
    <w:div w:id="1821267037">
      <w:bodyDiv w:val="1"/>
      <w:marLeft w:val="0"/>
      <w:marRight w:val="0"/>
      <w:marTop w:val="0"/>
      <w:marBottom w:val="0"/>
      <w:divBdr>
        <w:top w:val="none" w:sz="0" w:space="0" w:color="auto"/>
        <w:left w:val="none" w:sz="0" w:space="0" w:color="auto"/>
        <w:bottom w:val="none" w:sz="0" w:space="0" w:color="auto"/>
        <w:right w:val="none" w:sz="0" w:space="0" w:color="auto"/>
      </w:divBdr>
    </w:div>
    <w:div w:id="1868174605">
      <w:bodyDiv w:val="1"/>
      <w:marLeft w:val="0"/>
      <w:marRight w:val="0"/>
      <w:marTop w:val="0"/>
      <w:marBottom w:val="0"/>
      <w:divBdr>
        <w:top w:val="none" w:sz="0" w:space="0" w:color="auto"/>
        <w:left w:val="none" w:sz="0" w:space="0" w:color="auto"/>
        <w:bottom w:val="none" w:sz="0" w:space="0" w:color="auto"/>
        <w:right w:val="none" w:sz="0" w:space="0" w:color="auto"/>
      </w:divBdr>
    </w:div>
    <w:div w:id="20459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8D6E-6C26-416B-9264-EAAC6E8C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16470</Words>
  <Characters>9389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Grozījumi Ministru kabineta 2015. gada 29. septembra noteikumos Nr.542 “Kārtība, kādā pieprasa un saņem Aizsardzības ministrijas atļauju būvēt, ierīkot un izvietot konkrētu militāro lidlauku un militārās aviācijas poligonu darbības drošībai potenciāli bīs</vt:lpstr>
    </vt:vector>
  </TitlesOfParts>
  <Company>Aizsardzības ministrija</Company>
  <LinksUpToDate>false</LinksUpToDate>
  <CharactersWithSpaces>25808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29. septembra noteikumos Nr.542 “Kārtība, kādā pieprasa un saņem Aizsardzības ministrijas atļauju būvēt, ierīkot un izvietot konkrētu militāro lidlauku un militārās aviācijas poligonu darbības drošībai potenciāli bīstamus objektus un veic to uzskaiti”</dc:title>
  <dc:subject>Anotācija</dc:subject>
  <dc:creator>Agija.Nika@izm.gov.lv</dc:creator>
  <dc:description>67335095, vera.solovjova@mod.gov.lv</dc:description>
  <cp:lastModifiedBy>Dace Kalsone</cp:lastModifiedBy>
  <cp:revision>8</cp:revision>
  <cp:lastPrinted>2021-03-26T11:36:00Z</cp:lastPrinted>
  <dcterms:created xsi:type="dcterms:W3CDTF">2021-04-15T13:33:00Z</dcterms:created>
  <dcterms:modified xsi:type="dcterms:W3CDTF">2021-05-05T11:53:00Z</dcterms:modified>
</cp:coreProperties>
</file>