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8F" w:rsidRPr="009E5F31" w:rsidRDefault="00E2688F" w:rsidP="00E2688F">
      <w:pPr>
        <w:pStyle w:val="tv20787921"/>
        <w:spacing w:after="0" w:line="240" w:lineRule="auto"/>
        <w:rPr>
          <w:rFonts w:ascii="Times New Roman" w:hAnsi="Times New Roman"/>
          <w:bCs w:val="0"/>
          <w:sz w:val="24"/>
          <w:szCs w:val="24"/>
        </w:rPr>
      </w:pPr>
      <w:r w:rsidRPr="00AF0023">
        <w:rPr>
          <w:rFonts w:ascii="Times New Roman" w:hAnsi="Times New Roman"/>
          <w:bCs w:val="0"/>
          <w:sz w:val="24"/>
          <w:szCs w:val="24"/>
        </w:rPr>
        <w:t>Ministru kabineta noteikumu projekta “Grozījumi Ministru kabineta 2020. gada 11. augusta noteikumos Nr. 518 “Kārtība, kādā tiek piešķirts un anulēts valsts ģimnāzijas statuss””</w:t>
      </w:r>
      <w:r>
        <w:rPr>
          <w:rFonts w:ascii="Times New Roman" w:hAnsi="Times New Roman"/>
          <w:bCs w:val="0"/>
          <w:sz w:val="24"/>
          <w:szCs w:val="24"/>
        </w:rPr>
        <w:t xml:space="preserve"> </w:t>
      </w:r>
      <w:r w:rsidRPr="009E5F31">
        <w:rPr>
          <w:rFonts w:ascii="Times New Roman" w:hAnsi="Times New Roman"/>
          <w:bCs w:val="0"/>
          <w:sz w:val="24"/>
          <w:szCs w:val="24"/>
        </w:rPr>
        <w:t xml:space="preserve">sākotnējās ietekmes novērtējuma </w:t>
      </w:r>
      <w:smartTag w:uri="schemas-tilde-lv/tildestengine" w:element="veidnes">
        <w:smartTagPr>
          <w:attr w:name="id" w:val="-1"/>
          <w:attr w:name="baseform" w:val="ziņojums"/>
          <w:attr w:name="text" w:val="ziņojums"/>
        </w:smartTagPr>
        <w:r w:rsidRPr="009E5F31">
          <w:rPr>
            <w:rFonts w:ascii="Times New Roman" w:hAnsi="Times New Roman"/>
            <w:bCs w:val="0"/>
            <w:sz w:val="24"/>
            <w:szCs w:val="24"/>
          </w:rPr>
          <w:t>ziņojums</w:t>
        </w:r>
      </w:smartTag>
      <w:r w:rsidRPr="009E5F31">
        <w:rPr>
          <w:rFonts w:ascii="Times New Roman" w:hAnsi="Times New Roman"/>
          <w:bCs w:val="0"/>
          <w:sz w:val="24"/>
          <w:szCs w:val="24"/>
        </w:rPr>
        <w:t xml:space="preserve"> (anotācija)</w:t>
      </w:r>
    </w:p>
    <w:p w:rsidR="00E2688F" w:rsidRPr="00AF0023" w:rsidRDefault="00E2688F" w:rsidP="00E2688F">
      <w:pPr>
        <w:pStyle w:val="naislab"/>
        <w:spacing w:before="0" w:after="0"/>
        <w:jc w:val="center"/>
        <w:outlineLvl w:val="0"/>
        <w:rPr>
          <w:b/>
        </w:rPr>
      </w:pPr>
    </w:p>
    <w:tbl>
      <w:tblPr>
        <w:tblW w:w="5323" w:type="pct"/>
        <w:tblInd w:w="-292"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260"/>
        <w:gridCol w:w="6380"/>
      </w:tblGrid>
      <w:tr w:rsidR="00E2688F" w:rsidRPr="00AF0023" w:rsidTr="0015360B">
        <w:trPr>
          <w:trHeight w:val="797"/>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rsidR="00E2688F" w:rsidRPr="00AF0023" w:rsidRDefault="00E2688F" w:rsidP="0015360B">
            <w:pPr>
              <w:ind w:firstLine="300"/>
              <w:jc w:val="center"/>
              <w:rPr>
                <w:rFonts w:eastAsia="Times New Roman"/>
                <w:b/>
                <w:bCs/>
              </w:rPr>
            </w:pPr>
            <w:r w:rsidRPr="00AF0023">
              <w:rPr>
                <w:rFonts w:eastAsia="Times New Roman"/>
                <w:b/>
                <w:bCs/>
              </w:rPr>
              <w:t>Tiesību akta projekta anotācijas kopsavilkums</w:t>
            </w:r>
          </w:p>
        </w:tc>
      </w:tr>
      <w:tr w:rsidR="00E2688F" w:rsidRPr="00AF0023" w:rsidTr="0015360B">
        <w:trPr>
          <w:trHeight w:val="1375"/>
        </w:trPr>
        <w:tc>
          <w:tcPr>
            <w:tcW w:w="1691" w:type="pct"/>
            <w:tcBorders>
              <w:top w:val="outset" w:sz="6" w:space="0" w:color="414142"/>
              <w:left w:val="outset" w:sz="6" w:space="0" w:color="414142"/>
              <w:right w:val="outset" w:sz="6" w:space="0" w:color="414142"/>
            </w:tcBorders>
            <w:hideMark/>
          </w:tcPr>
          <w:p w:rsidR="00E2688F" w:rsidRPr="00AF0023" w:rsidRDefault="00E2688F" w:rsidP="0015360B">
            <w:r w:rsidRPr="00AF0023">
              <w:t>Mērķis, risinājums un projekta spēkā stāšanās laiks</w:t>
            </w:r>
          </w:p>
          <w:p w:rsidR="00E2688F" w:rsidRPr="00AF0023" w:rsidRDefault="00E2688F" w:rsidP="0015360B">
            <w:pPr>
              <w:rPr>
                <w:rFonts w:eastAsia="Times New Roman"/>
              </w:rPr>
            </w:pPr>
            <w:r w:rsidRPr="00AF0023">
              <w:t>(500 zīmes bez atstarpēm)</w:t>
            </w:r>
          </w:p>
        </w:tc>
        <w:tc>
          <w:tcPr>
            <w:tcW w:w="3309" w:type="pct"/>
            <w:tcBorders>
              <w:top w:val="outset" w:sz="6" w:space="0" w:color="414142"/>
              <w:left w:val="outset" w:sz="6" w:space="0" w:color="414142"/>
              <w:right w:val="outset" w:sz="6" w:space="0" w:color="414142"/>
            </w:tcBorders>
            <w:hideMark/>
          </w:tcPr>
          <w:p w:rsidR="00E2688F" w:rsidRPr="00AF0023" w:rsidRDefault="00E2688F" w:rsidP="0015360B">
            <w:pPr>
              <w:jc w:val="both"/>
            </w:pPr>
            <w:r w:rsidRPr="00AF0023">
              <w:t>Saskaņā ar Ministru kabineta 2009. gada 15. decembra instrukcijas Nr. 19 “Tiesību akta projekta sākotnējās ietekmes izvērtēšanas kārtība” 5.</w:t>
            </w:r>
            <w:r w:rsidRPr="00AF0023">
              <w:rPr>
                <w:vertAlign w:val="superscript"/>
              </w:rPr>
              <w:t>1</w:t>
            </w:r>
            <w:r w:rsidRPr="00AF0023">
              <w:t> punktu tiesību akta projekta sākotnējās ietekmes novērtējuma ziņojuma (anotācijas) kopsavilkumu neaizpilda projektiem, kuru anotācijas I sadaļas 2. punkts nepārsniedz divas lapaspuses.</w:t>
            </w:r>
          </w:p>
        </w:tc>
      </w:tr>
    </w:tbl>
    <w:p w:rsidR="00E2688F" w:rsidRPr="00AF0023" w:rsidRDefault="00E2688F" w:rsidP="00E2688F">
      <w:pPr>
        <w:pStyle w:val="naislab"/>
        <w:spacing w:before="0" w:after="0"/>
        <w:jc w:val="center"/>
        <w:outlineLvl w:val="0"/>
        <w:rPr>
          <w:b/>
        </w:rPr>
      </w:pPr>
    </w:p>
    <w:tbl>
      <w:tblPr>
        <w:tblW w:w="5323" w:type="pct"/>
        <w:tblInd w:w="-292"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50"/>
        <w:gridCol w:w="2408"/>
        <w:gridCol w:w="6382"/>
      </w:tblGrid>
      <w:tr w:rsidR="00E2688F" w:rsidRPr="00AF0023" w:rsidTr="0015360B">
        <w:trPr>
          <w:trHeight w:val="797"/>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E2688F" w:rsidRPr="00AF0023" w:rsidRDefault="00E2688F" w:rsidP="0015360B">
            <w:pPr>
              <w:ind w:firstLine="300"/>
              <w:jc w:val="center"/>
              <w:rPr>
                <w:rFonts w:eastAsia="Times New Roman"/>
                <w:b/>
                <w:bCs/>
              </w:rPr>
            </w:pPr>
            <w:r w:rsidRPr="00AF0023">
              <w:rPr>
                <w:rFonts w:eastAsia="Times New Roman"/>
                <w:b/>
                <w:bCs/>
              </w:rPr>
              <w:t>I. Tiesību akta projekta izstrādes nepieciešamība</w:t>
            </w:r>
          </w:p>
        </w:tc>
      </w:tr>
      <w:tr w:rsidR="00E2688F" w:rsidRPr="00AF0023" w:rsidTr="0015360B">
        <w:trPr>
          <w:trHeight w:val="405"/>
        </w:trPr>
        <w:tc>
          <w:tcPr>
            <w:tcW w:w="441"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ind w:firstLine="300"/>
              <w:rPr>
                <w:rFonts w:eastAsia="Times New Roman"/>
              </w:rPr>
            </w:pPr>
            <w:r w:rsidRPr="00AF0023">
              <w:rPr>
                <w:rFonts w:eastAsia="Times New Roman"/>
              </w:rPr>
              <w:t>1.</w:t>
            </w:r>
          </w:p>
        </w:tc>
        <w:tc>
          <w:tcPr>
            <w:tcW w:w="124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Pamatojums</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Standard"/>
              <w:spacing w:after="0" w:line="240" w:lineRule="auto"/>
              <w:jc w:val="both"/>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Ministru kabineta noteikumu projekts “</w:t>
            </w:r>
            <w:r w:rsidRPr="00AF0023">
              <w:rPr>
                <w:rFonts w:ascii="Times New Roman" w:eastAsia="Calibri" w:hAnsi="Times New Roman" w:cs="Times New Roman"/>
                <w:kern w:val="0"/>
                <w:sz w:val="24"/>
                <w:szCs w:val="24"/>
                <w:lang w:eastAsia="en-US"/>
              </w:rPr>
              <w:t>Grozījum</w:t>
            </w:r>
            <w:r>
              <w:rPr>
                <w:rFonts w:ascii="Times New Roman" w:eastAsia="Calibri" w:hAnsi="Times New Roman" w:cs="Times New Roman"/>
                <w:kern w:val="0"/>
                <w:sz w:val="24"/>
                <w:szCs w:val="24"/>
                <w:lang w:eastAsia="en-US"/>
              </w:rPr>
              <w:t>i</w:t>
            </w:r>
            <w:r w:rsidRPr="00AF0023">
              <w:rPr>
                <w:rFonts w:ascii="Times New Roman" w:eastAsia="Calibri" w:hAnsi="Times New Roman" w:cs="Times New Roman"/>
                <w:kern w:val="0"/>
                <w:sz w:val="24"/>
                <w:szCs w:val="24"/>
                <w:lang w:eastAsia="en-US"/>
              </w:rPr>
              <w:t xml:space="preserve"> Ministru kabineta 2020. gada 11. augusta noteikumos Nr. 518 “Kārtība, kādā tiek piešķirts un anulēts valsts ģimnāzijas statuss”</w:t>
            </w:r>
            <w:r>
              <w:rPr>
                <w:rFonts w:ascii="Times New Roman" w:eastAsia="Calibri" w:hAnsi="Times New Roman" w:cs="Times New Roman"/>
                <w:kern w:val="0"/>
                <w:sz w:val="24"/>
                <w:szCs w:val="24"/>
                <w:lang w:eastAsia="en-US"/>
              </w:rPr>
              <w:t>” (turpmāk – noteikumu projekts) izstrādāts pēc</w:t>
            </w:r>
            <w:r w:rsidRPr="00AF0023">
              <w:rPr>
                <w:rFonts w:ascii="Times New Roman" w:eastAsia="Calibri" w:hAnsi="Times New Roman" w:cs="Times New Roman"/>
                <w:kern w:val="0"/>
                <w:sz w:val="24"/>
                <w:szCs w:val="24"/>
                <w:lang w:eastAsia="en-US"/>
              </w:rPr>
              <w:t xml:space="preserve"> Izglītības un zinātnes ministrijas iniciatīva</w:t>
            </w:r>
            <w:r>
              <w:rPr>
                <w:rFonts w:ascii="Times New Roman" w:eastAsia="Calibri" w:hAnsi="Times New Roman" w:cs="Times New Roman"/>
                <w:kern w:val="0"/>
                <w:sz w:val="24"/>
                <w:szCs w:val="24"/>
                <w:lang w:eastAsia="en-US"/>
              </w:rPr>
              <w:t>s</w:t>
            </w:r>
            <w:r w:rsidRPr="00AF0023">
              <w:rPr>
                <w:rFonts w:ascii="Times New Roman" w:eastAsia="Calibri" w:hAnsi="Times New Roman" w:cs="Times New Roman"/>
                <w:kern w:val="0"/>
                <w:sz w:val="24"/>
                <w:szCs w:val="24"/>
                <w:lang w:eastAsia="en-US"/>
              </w:rPr>
              <w:t>.</w:t>
            </w:r>
          </w:p>
        </w:tc>
      </w:tr>
      <w:tr w:rsidR="00E2688F" w:rsidRPr="00AF0023" w:rsidTr="0015360B">
        <w:trPr>
          <w:trHeight w:val="35"/>
        </w:trPr>
        <w:tc>
          <w:tcPr>
            <w:tcW w:w="441"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ind w:firstLine="300"/>
              <w:rPr>
                <w:rFonts w:eastAsia="Times New Roman"/>
              </w:rPr>
            </w:pPr>
            <w:r w:rsidRPr="00AF0023">
              <w:rPr>
                <w:rFonts w:eastAsia="Times New Roman"/>
              </w:rPr>
              <w:t>2.</w:t>
            </w:r>
          </w:p>
        </w:tc>
        <w:tc>
          <w:tcPr>
            <w:tcW w:w="124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Pašreizējā situācija un problēmas, kuru risināšanai tiesību akta projekts izstrādāts, tiesiskā regulējuma mērķis un būtība</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Standard"/>
              <w:spacing w:after="0" w:line="240" w:lineRule="auto"/>
              <w:jc w:val="both"/>
              <w:rPr>
                <w:rFonts w:ascii="Times New Roman" w:eastAsia="Calibri" w:hAnsi="Times New Roman" w:cs="Times New Roman"/>
                <w:kern w:val="0"/>
                <w:sz w:val="24"/>
                <w:szCs w:val="24"/>
                <w:lang w:eastAsia="en-US"/>
              </w:rPr>
            </w:pPr>
            <w:r w:rsidRPr="00AF0023">
              <w:rPr>
                <w:rFonts w:ascii="Times New Roman" w:eastAsia="Calibri" w:hAnsi="Times New Roman" w:cs="Times New Roman"/>
                <w:kern w:val="0"/>
                <w:sz w:val="24"/>
                <w:szCs w:val="24"/>
                <w:lang w:eastAsia="en-US"/>
              </w:rPr>
              <w:t>Atbilstoši Ministru kabineta 2020. gada 11. augusta noteikumu Nr. 518 “Kārtība, kādā tiek piešķirts un anulēts valsts ģimnāzijas statuss” (turpmāk – noteikumi Nr. 518) 2.2.7. apakšpunktam, viens no valsts ģimnāzijas statusa piešķiršanas kritērijiem ir, lai izglītības iestādes darbība un izglītības programmu īstenošana vismaz pēdējos trīs mācību gadus pēc kārtas ir novērtēta ar ne zemāku kvalitātes vērtējuma līmeni kā “labi”.</w:t>
            </w:r>
          </w:p>
          <w:p w:rsidR="00E2688F" w:rsidRPr="00AF0023" w:rsidRDefault="00E2688F" w:rsidP="0015360B">
            <w:pPr>
              <w:pStyle w:val="Standard"/>
              <w:spacing w:after="0" w:line="240" w:lineRule="auto"/>
              <w:jc w:val="both"/>
              <w:rPr>
                <w:rFonts w:ascii="Times New Roman" w:eastAsia="Calibri" w:hAnsi="Times New Roman" w:cs="Times New Roman"/>
                <w:kern w:val="0"/>
                <w:sz w:val="24"/>
                <w:szCs w:val="24"/>
                <w:lang w:eastAsia="en-US"/>
              </w:rPr>
            </w:pPr>
            <w:r w:rsidRPr="00AF0023">
              <w:rPr>
                <w:rFonts w:ascii="Times New Roman" w:eastAsia="Calibri" w:hAnsi="Times New Roman" w:cs="Times New Roman"/>
                <w:kern w:val="0"/>
                <w:sz w:val="24"/>
                <w:szCs w:val="24"/>
                <w:lang w:eastAsia="en-US"/>
              </w:rPr>
              <w:t>2020. gada 6. oktobrī tika pieņemti Ministru kabineta noteikumi Nr. 618 “Izglītības iestāžu, eksaminācijas centru, citu </w:t>
            </w:r>
            <w:hyperlink r:id="rId6" w:tgtFrame="_blank" w:history="1">
              <w:r w:rsidRPr="00AF0023">
                <w:rPr>
                  <w:rFonts w:ascii="Times New Roman" w:eastAsia="Calibri" w:hAnsi="Times New Roman" w:cs="Times New Roman"/>
                  <w:kern w:val="0"/>
                  <w:sz w:val="24"/>
                  <w:szCs w:val="24"/>
                  <w:lang w:eastAsia="en-US"/>
                </w:rPr>
                <w:t>Izglītības likumā</w:t>
              </w:r>
            </w:hyperlink>
            <w:r w:rsidRPr="00AF0023">
              <w:rPr>
                <w:rFonts w:ascii="Times New Roman" w:eastAsia="Calibri" w:hAnsi="Times New Roman" w:cs="Times New Roman"/>
                <w:kern w:val="0"/>
                <w:sz w:val="24"/>
                <w:szCs w:val="24"/>
                <w:lang w:eastAsia="en-US"/>
              </w:rPr>
              <w:t xml:space="preserve"> noteiktu institūciju un izglītības programmu akreditācijas un izglītības iestāžu vadītāju profesionālās darbības novērtēšanas kārtība” (turpmāk – noteikumi Nr. 618), kuros tika pilnveidots regulējums par kvalitātes vērtējuma līmeņiem attiecībā uz izglītības programmu īstenošanu, iepriekš noteikto četru kvalitātes vērtējuma līmeņu vietā nosakot piecus. Ministru kabineta 2016. gada 20. decembra noteikumu Nr. 831 “Izglītības iestāžu, eksaminācijas centru, citu Izglītības likumā noteiktu institūciju, vispārējās un profesionālās izglītības programmu akreditācijas un izglītības iestāžu vadītāju profesionālās darbības novērtēšanas kārtība” 21. punkts paredzēja šādus kvalitātes vērtējuma līmeņus: nepietiekami, pietiekami, labi, ļoti labi. Savukārt noteikumu Nr. 618 25. punkts paredz šādus kvalitātes vērtējuma līmeņus: nepietiekami, jāpilnveido, labi, ļoti labi, izcili. Tādējādi nepieciešami grozījumi arī noteikumos Nr. 518, paredzot, ka valsts ģimnāzijām </w:t>
            </w:r>
            <w:r>
              <w:rPr>
                <w:rFonts w:ascii="Times New Roman" w:eastAsia="Calibri" w:hAnsi="Times New Roman" w:cs="Times New Roman"/>
                <w:kern w:val="0"/>
                <w:sz w:val="24"/>
                <w:szCs w:val="24"/>
                <w:lang w:eastAsia="en-US"/>
              </w:rPr>
              <w:t xml:space="preserve">šajos </w:t>
            </w:r>
            <w:r w:rsidRPr="00AF0023">
              <w:rPr>
                <w:rFonts w:ascii="Times New Roman" w:eastAsia="Calibri" w:hAnsi="Times New Roman" w:cs="Times New Roman"/>
                <w:kern w:val="0"/>
                <w:sz w:val="24"/>
                <w:szCs w:val="24"/>
                <w:lang w:eastAsia="en-US"/>
              </w:rPr>
              <w:t>kritērijos</w:t>
            </w:r>
            <w:r>
              <w:rPr>
                <w:rFonts w:ascii="Times New Roman" w:eastAsia="Calibri" w:hAnsi="Times New Roman" w:cs="Times New Roman"/>
                <w:kern w:val="0"/>
                <w:sz w:val="24"/>
                <w:szCs w:val="24"/>
                <w:lang w:eastAsia="en-US"/>
              </w:rPr>
              <w:t xml:space="preserve"> –</w:t>
            </w:r>
            <w:r w:rsidRPr="00AF0023">
              <w:rPr>
                <w:rFonts w:ascii="Times New Roman" w:eastAsia="Calibri" w:hAnsi="Times New Roman" w:cs="Times New Roman"/>
                <w:kern w:val="0"/>
                <w:sz w:val="24"/>
                <w:szCs w:val="24"/>
                <w:lang w:eastAsia="en-US"/>
              </w:rPr>
              <w:t xml:space="preserve"> </w:t>
            </w:r>
            <w:r>
              <w:rPr>
                <w:rFonts w:ascii="Times New Roman" w:eastAsia="Calibri" w:hAnsi="Times New Roman" w:cs="Times New Roman"/>
                <w:kern w:val="0"/>
                <w:sz w:val="24"/>
                <w:szCs w:val="24"/>
                <w:lang w:eastAsia="en-US"/>
              </w:rPr>
              <w:t xml:space="preserve">kompetences un sasniegumi, izglītības programmu īstenošana, atbalsts un sadarbība – </w:t>
            </w:r>
            <w:r w:rsidRPr="00AF0023">
              <w:rPr>
                <w:rFonts w:ascii="Times New Roman" w:eastAsia="Calibri" w:hAnsi="Times New Roman" w:cs="Times New Roman"/>
                <w:kern w:val="0"/>
                <w:sz w:val="24"/>
                <w:szCs w:val="24"/>
                <w:lang w:eastAsia="en-US"/>
              </w:rPr>
              <w:t xml:space="preserve">kvalitātes vērtējuma līmenis ir ne zemāks kā “ļoti labi”. Grozījumu veikšana noteikumos Nr. 518 kontekstā ar izmaiņām kvalitātes vērtējuma līmeņu sistēmā </w:t>
            </w:r>
            <w:r>
              <w:rPr>
                <w:rFonts w:ascii="Times New Roman" w:eastAsia="Calibri" w:hAnsi="Times New Roman" w:cs="Times New Roman"/>
                <w:kern w:val="0"/>
                <w:sz w:val="24"/>
                <w:szCs w:val="24"/>
                <w:lang w:eastAsia="en-US"/>
              </w:rPr>
              <w:t xml:space="preserve">konceptuāli </w:t>
            </w:r>
            <w:r w:rsidRPr="00AF0023">
              <w:rPr>
                <w:rFonts w:ascii="Times New Roman" w:eastAsia="Calibri" w:hAnsi="Times New Roman" w:cs="Times New Roman"/>
                <w:kern w:val="0"/>
                <w:sz w:val="24"/>
                <w:szCs w:val="24"/>
                <w:lang w:eastAsia="en-US"/>
              </w:rPr>
              <w:t xml:space="preserve">jau tika paredzēta noteikumu Nr. 518 </w:t>
            </w:r>
            <w:r>
              <w:rPr>
                <w:rFonts w:ascii="Times New Roman" w:eastAsia="Calibri" w:hAnsi="Times New Roman" w:cs="Times New Roman"/>
                <w:kern w:val="0"/>
                <w:sz w:val="24"/>
                <w:szCs w:val="24"/>
                <w:lang w:eastAsia="en-US"/>
              </w:rPr>
              <w:lastRenderedPageBreak/>
              <w:t>sākotnējās ietekmes novērtējuma ziņojumā (</w:t>
            </w:r>
            <w:r w:rsidRPr="00AF0023">
              <w:rPr>
                <w:rFonts w:ascii="Times New Roman" w:eastAsia="Calibri" w:hAnsi="Times New Roman" w:cs="Times New Roman"/>
                <w:kern w:val="0"/>
                <w:sz w:val="24"/>
                <w:szCs w:val="24"/>
                <w:lang w:eastAsia="en-US"/>
              </w:rPr>
              <w:t>anotācijā</w:t>
            </w:r>
            <w:r>
              <w:rPr>
                <w:rFonts w:ascii="Times New Roman" w:eastAsia="Calibri" w:hAnsi="Times New Roman" w:cs="Times New Roman"/>
                <w:kern w:val="0"/>
                <w:sz w:val="24"/>
                <w:szCs w:val="24"/>
                <w:lang w:eastAsia="en-US"/>
              </w:rPr>
              <w:t>)</w:t>
            </w:r>
            <w:r w:rsidRPr="00AF0023">
              <w:rPr>
                <w:rFonts w:ascii="Times New Roman" w:eastAsia="Calibri" w:hAnsi="Times New Roman" w:cs="Times New Roman"/>
                <w:kern w:val="0"/>
                <w:sz w:val="24"/>
                <w:szCs w:val="24"/>
                <w:lang w:eastAsia="en-US"/>
              </w:rPr>
              <w:t xml:space="preserve">, kad noteikumi Nr. 618 vēl nebija pieņemti. Šis noteikumu projekts paredz, ka par valsts ģimnāzijas statusam atbilstošām uzskatāmas tādas izglītības iestādes, kurās tieši </w:t>
            </w:r>
            <w:r>
              <w:rPr>
                <w:rFonts w:ascii="Times New Roman" w:eastAsia="Calibri" w:hAnsi="Times New Roman" w:cs="Times New Roman"/>
                <w:kern w:val="0"/>
                <w:sz w:val="24"/>
                <w:szCs w:val="24"/>
                <w:lang w:eastAsia="en-US"/>
              </w:rPr>
              <w:t>š</w:t>
            </w:r>
            <w:r w:rsidRPr="00AF0023">
              <w:rPr>
                <w:rFonts w:ascii="Times New Roman" w:eastAsia="Calibri" w:hAnsi="Times New Roman" w:cs="Times New Roman"/>
                <w:kern w:val="0"/>
                <w:sz w:val="24"/>
                <w:szCs w:val="24"/>
                <w:lang w:eastAsia="en-US"/>
              </w:rPr>
              <w:t>ajos kritērijos</w:t>
            </w:r>
            <w:r>
              <w:rPr>
                <w:rFonts w:ascii="Times New Roman" w:eastAsia="Calibri" w:hAnsi="Times New Roman" w:cs="Times New Roman"/>
                <w:kern w:val="0"/>
                <w:sz w:val="24"/>
                <w:szCs w:val="24"/>
                <w:lang w:eastAsia="en-US"/>
              </w:rPr>
              <w:t xml:space="preserve"> – kompetences un sasniegumi, izglītības programmu īstenošana, atbalsts un sadarbība</w:t>
            </w:r>
            <w:r w:rsidRPr="00AF0023">
              <w:rPr>
                <w:rFonts w:ascii="Times New Roman" w:eastAsia="Calibri" w:hAnsi="Times New Roman" w:cs="Times New Roman"/>
                <w:kern w:val="0"/>
                <w:sz w:val="24"/>
                <w:szCs w:val="24"/>
                <w:lang w:eastAsia="en-US"/>
              </w:rPr>
              <w:t xml:space="preserve"> </w:t>
            </w:r>
            <w:r>
              <w:rPr>
                <w:rFonts w:ascii="Times New Roman" w:eastAsia="Calibri" w:hAnsi="Times New Roman" w:cs="Times New Roman"/>
                <w:kern w:val="0"/>
                <w:sz w:val="24"/>
                <w:szCs w:val="24"/>
                <w:lang w:eastAsia="en-US"/>
              </w:rPr>
              <w:t xml:space="preserve">– </w:t>
            </w:r>
            <w:r w:rsidRPr="00AF0023">
              <w:rPr>
                <w:rFonts w:ascii="Times New Roman" w:eastAsia="Calibri" w:hAnsi="Times New Roman" w:cs="Times New Roman"/>
                <w:kern w:val="0"/>
                <w:sz w:val="24"/>
                <w:szCs w:val="24"/>
                <w:lang w:eastAsia="en-US"/>
              </w:rPr>
              <w:t xml:space="preserve"> kvalitātes vērtējuma līmenis ir ne zemāks kā “ļoti labi”, jo šādu prasību izpildīšana augstākā līmenī nekā citās vispārējās vidējās izglītības iestādēs ir nozīmīga tieši valsts ģimnāzijās, tādā veidā liecinot arī par augstāku valsts ģimnāzijas darbības kvalitāti. Savukārt attiecībā uz pārējiem kritērijiem kvalitātes vērtējuma līmenim jābūt ne zemākam kā “labi”. </w:t>
            </w:r>
            <w:r w:rsidR="006A2995">
              <w:rPr>
                <w:rFonts w:ascii="Times New Roman" w:eastAsia="Calibri" w:hAnsi="Times New Roman" w:cs="Times New Roman"/>
                <w:kern w:val="0"/>
                <w:sz w:val="24"/>
                <w:szCs w:val="24"/>
                <w:lang w:eastAsia="en-US"/>
              </w:rPr>
              <w:t xml:space="preserve">Jāņem </w:t>
            </w:r>
            <w:r w:rsidR="00414208">
              <w:rPr>
                <w:rFonts w:ascii="Times New Roman" w:eastAsia="Calibri" w:hAnsi="Times New Roman" w:cs="Times New Roman"/>
                <w:kern w:val="0"/>
                <w:sz w:val="24"/>
                <w:szCs w:val="24"/>
                <w:lang w:eastAsia="en-US"/>
              </w:rPr>
              <w:t xml:space="preserve">arī </w:t>
            </w:r>
            <w:bookmarkStart w:id="0" w:name="_GoBack"/>
            <w:bookmarkEnd w:id="0"/>
            <w:r w:rsidR="006A2995">
              <w:rPr>
                <w:rFonts w:ascii="Times New Roman" w:eastAsia="Calibri" w:hAnsi="Times New Roman" w:cs="Times New Roman"/>
                <w:kern w:val="0"/>
                <w:sz w:val="24"/>
                <w:szCs w:val="24"/>
                <w:lang w:eastAsia="en-US"/>
              </w:rPr>
              <w:t>vērā, ka 2021. gada 15. jūnijā tika pieņemti grozījumi Ministru kabineta 2018. gada 11. septembra noteikumos Nr. 583 “</w:t>
            </w:r>
            <w:r w:rsidR="006A2995" w:rsidRPr="00915DFC">
              <w:rPr>
                <w:rFonts w:ascii="Times New Roman" w:eastAsia="Calibri" w:hAnsi="Times New Roman" w:cs="Times New Roman"/>
                <w:kern w:val="0"/>
                <w:sz w:val="24"/>
                <w:szCs w:val="24"/>
                <w:lang w:eastAsia="en-US"/>
              </w:rPr>
              <w:t>Kritēriji un kārtība, kādā valsts piedalās vispārējās izglītības iestāžu pedagogu darba samaksas finansēšanā vidējās izglītības pakāpē</w:t>
            </w:r>
            <w:r w:rsidR="006A2995">
              <w:rPr>
                <w:rFonts w:ascii="Times New Roman" w:eastAsia="Calibri" w:hAnsi="Times New Roman" w:cs="Times New Roman"/>
                <w:kern w:val="0"/>
                <w:sz w:val="24"/>
                <w:szCs w:val="24"/>
                <w:lang w:eastAsia="en-US"/>
              </w:rPr>
              <w:t xml:space="preserve">”. Minētie grozījumi paredz, ka viens no kvalitātes kritērijiem, lai pašvaldību, valsts augstskolu un privātā vispārējās vidējās izglītības iestāde saņemtu valsts budžeta finansējumu vispārējās vidējās izglītības programmu īstenošanā iesaistīto pedagogu darba samaksai, tai attiecībā uz vispārējās vidējās izglītības programmu īstenošanu 10 akreditācijas kritērijos no noteikumu Nr. 618 26. punktā norādītajiem 12 akreditācijas kritērijiem ir jābūt kvalitātes vērtējuma līmenim ne zemākam par “labi”, tostarp arī šajos kritērijos: </w:t>
            </w:r>
            <w:r w:rsidR="006A2995" w:rsidRPr="00915DFC">
              <w:rPr>
                <w:rFonts w:ascii="Times New Roman" w:eastAsia="Calibri" w:hAnsi="Times New Roman" w:cs="Times New Roman"/>
                <w:kern w:val="0"/>
                <w:sz w:val="24"/>
                <w:szCs w:val="24"/>
                <w:lang w:eastAsia="en-US"/>
              </w:rPr>
              <w:t>kompetences un sasniegumi, izglītības programmu īstenošana, atbalsts un sadarbība</w:t>
            </w:r>
            <w:r w:rsidR="006A2995">
              <w:rPr>
                <w:rFonts w:ascii="Times New Roman" w:eastAsia="Calibri" w:hAnsi="Times New Roman" w:cs="Times New Roman"/>
                <w:kern w:val="0"/>
                <w:sz w:val="24"/>
                <w:szCs w:val="24"/>
                <w:lang w:eastAsia="en-US"/>
              </w:rPr>
              <w:t>. Līdz ar to, ņemot vērā, ka valsts ģimnāzijas statuss apliecina augstāku izglītības iestādes darbības un īstenotā izglītības procesa kvalitāti, ir nepieciešams noteikt, ka augstāk minētajos akreditācijas kritērijos kvalitātes vērtējuma līmenim ir jābūt ne zemākam kā “ļoti labi”, t.i., izpildot attiecīgās prasības augstākā līmenī nekā pārējās vispārējās vidējās izglītības iestādēs.</w:t>
            </w:r>
            <w:r w:rsidR="006A2995" w:rsidRPr="00AF0023">
              <w:rPr>
                <w:rFonts w:ascii="Times New Roman" w:eastAsia="Calibri" w:hAnsi="Times New Roman" w:cs="Times New Roman"/>
                <w:kern w:val="0"/>
                <w:sz w:val="24"/>
                <w:szCs w:val="24"/>
                <w:lang w:eastAsia="en-US"/>
              </w:rPr>
              <w:t xml:space="preserve"> </w:t>
            </w:r>
            <w:r w:rsidRPr="00AF0023">
              <w:rPr>
                <w:rFonts w:ascii="Times New Roman" w:eastAsia="Calibri" w:hAnsi="Times New Roman" w:cs="Times New Roman"/>
                <w:kern w:val="0"/>
                <w:sz w:val="24"/>
                <w:szCs w:val="24"/>
                <w:lang w:eastAsia="en-US"/>
              </w:rPr>
              <w:t xml:space="preserve">Vienlaikus, lai izglītības iestādēm būtu iespējams pielāgoties attiecīgajām prasībām, noteikumu projekts paredz, ka izmaiņas tiks piemērotas </w:t>
            </w:r>
            <w:r>
              <w:rPr>
                <w:rFonts w:ascii="Times New Roman" w:eastAsia="Calibri" w:hAnsi="Times New Roman" w:cs="Times New Roman"/>
                <w:kern w:val="0"/>
                <w:sz w:val="24"/>
                <w:szCs w:val="24"/>
                <w:lang w:eastAsia="en-US"/>
              </w:rPr>
              <w:t xml:space="preserve">izglītības iestādes un tās īstenoto izglītības programmu akreditācijai, kas veikta, sākot </w:t>
            </w:r>
            <w:r w:rsidRPr="00AF0023">
              <w:rPr>
                <w:rFonts w:ascii="Times New Roman" w:eastAsia="Calibri" w:hAnsi="Times New Roman" w:cs="Times New Roman"/>
                <w:kern w:val="0"/>
                <w:sz w:val="24"/>
                <w:szCs w:val="24"/>
                <w:lang w:eastAsia="en-US"/>
              </w:rPr>
              <w:t xml:space="preserve">ar 2022. gada 1. septembri </w:t>
            </w:r>
            <w:r w:rsidRPr="0019649C">
              <w:rPr>
                <w:rFonts w:ascii="Times New Roman" w:eastAsia="Calibri" w:hAnsi="Times New Roman" w:cs="Times New Roman"/>
                <w:kern w:val="0"/>
                <w:sz w:val="24"/>
                <w:szCs w:val="24"/>
                <w:lang w:eastAsia="en-US"/>
              </w:rPr>
              <w:t>atbilstoši noteiktajam akreditācijas termiņam</w:t>
            </w:r>
            <w:r w:rsidRPr="00AF0023">
              <w:rPr>
                <w:rFonts w:ascii="Times New Roman" w:eastAsia="Calibri" w:hAnsi="Times New Roman" w:cs="Times New Roman"/>
                <w:kern w:val="0"/>
                <w:sz w:val="24"/>
                <w:szCs w:val="24"/>
                <w:lang w:eastAsia="en-US"/>
              </w:rPr>
              <w:t>.</w:t>
            </w:r>
          </w:p>
          <w:p w:rsidR="00E2688F" w:rsidRPr="00AF0023" w:rsidRDefault="00E2688F" w:rsidP="0015360B">
            <w:pPr>
              <w:pStyle w:val="Standard"/>
              <w:spacing w:after="0" w:line="240" w:lineRule="auto"/>
              <w:jc w:val="both"/>
              <w:rPr>
                <w:rFonts w:ascii="Times New Roman" w:eastAsia="Calibri" w:hAnsi="Times New Roman" w:cs="Times New Roman"/>
                <w:kern w:val="0"/>
                <w:sz w:val="24"/>
                <w:szCs w:val="24"/>
                <w:lang w:eastAsia="en-US"/>
              </w:rPr>
            </w:pPr>
          </w:p>
          <w:p w:rsidR="00E2688F" w:rsidRPr="00AF0023" w:rsidRDefault="00E2688F" w:rsidP="0015360B">
            <w:pPr>
              <w:pStyle w:val="Standard"/>
              <w:spacing w:after="0" w:line="240" w:lineRule="auto"/>
              <w:jc w:val="both"/>
              <w:rPr>
                <w:rFonts w:ascii="Times New Roman" w:eastAsia="Calibri" w:hAnsi="Times New Roman" w:cs="Times New Roman"/>
                <w:kern w:val="0"/>
                <w:sz w:val="24"/>
                <w:szCs w:val="24"/>
                <w:lang w:eastAsia="en-US"/>
              </w:rPr>
            </w:pPr>
            <w:r w:rsidRPr="00AF0023">
              <w:rPr>
                <w:rFonts w:ascii="Times New Roman" w:eastAsia="Calibri" w:hAnsi="Times New Roman" w:cs="Times New Roman"/>
                <w:kern w:val="0"/>
                <w:sz w:val="24"/>
                <w:szCs w:val="24"/>
                <w:lang w:eastAsia="en-US"/>
              </w:rPr>
              <w:t>2021. gada 4. februārī tika pieņemti un 23. februārī stājās spēkā grozījumi Vispārējās izglītības likumā, tā pārejas noteikumus papildinot ar 48. un 49. punktu. Uz attiecīgo punktu pamata ar Ministru kabineta 2021. gada 31. maija rīkojumu Nr. 359 “Par valsts ģimnāzijas statusa piešķiršanu Tukuma Raiņa ģimnāzijai” valsts ģimnāzijas statuss ar 2021. gada 1. septembri tiks piešķirts Tukuma Raiņa ģimnāzijai. Ievērojot minēto, nepieciešams precizēt noteikumu Nr. 518 13. punkta ievaddaļā minēto termiņu, lai tādējādi noteiktu kārtību, kādā par 2020./2021. un 2021./2022. mācību gada darbības atbilstību valsts ģimnāzijas statusam atskaitīsies arī Tukuma Raiņa ģimnāzija.</w:t>
            </w:r>
          </w:p>
        </w:tc>
      </w:tr>
      <w:tr w:rsidR="00E2688F" w:rsidRPr="00AF0023" w:rsidTr="0015360B">
        <w:trPr>
          <w:trHeight w:val="465"/>
        </w:trPr>
        <w:tc>
          <w:tcPr>
            <w:tcW w:w="441"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ind w:firstLine="300"/>
              <w:rPr>
                <w:rFonts w:eastAsia="Times New Roman"/>
              </w:rPr>
            </w:pPr>
            <w:r w:rsidRPr="00AF0023">
              <w:rPr>
                <w:rFonts w:eastAsia="Times New Roman"/>
              </w:rPr>
              <w:lastRenderedPageBreak/>
              <w:t>3.</w:t>
            </w:r>
          </w:p>
        </w:tc>
        <w:tc>
          <w:tcPr>
            <w:tcW w:w="124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Projekta izstrādē iesaistītās institūcijas un publiskas personas kapitālsabiedrības</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NoSpacing"/>
              <w:jc w:val="both"/>
              <w:rPr>
                <w:rFonts w:ascii="Times New Roman" w:hAnsi="Times New Roman"/>
                <w:sz w:val="24"/>
                <w:szCs w:val="24"/>
              </w:rPr>
            </w:pPr>
            <w:r w:rsidRPr="00AF0023">
              <w:rPr>
                <w:rFonts w:ascii="Times New Roman" w:hAnsi="Times New Roman"/>
                <w:sz w:val="24"/>
                <w:szCs w:val="24"/>
              </w:rPr>
              <w:t>Izglītības un zinātnes ministrija.</w:t>
            </w:r>
          </w:p>
        </w:tc>
      </w:tr>
      <w:tr w:rsidR="00E2688F" w:rsidRPr="00AF0023" w:rsidTr="0015360B">
        <w:trPr>
          <w:trHeight w:val="397"/>
        </w:trPr>
        <w:tc>
          <w:tcPr>
            <w:tcW w:w="441"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ind w:firstLine="300"/>
              <w:rPr>
                <w:rFonts w:eastAsia="Times New Roman"/>
              </w:rPr>
            </w:pPr>
            <w:r w:rsidRPr="00AF0023">
              <w:rPr>
                <w:rFonts w:eastAsia="Times New Roman"/>
              </w:rPr>
              <w:t>4.</w:t>
            </w:r>
          </w:p>
        </w:tc>
        <w:tc>
          <w:tcPr>
            <w:tcW w:w="124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Cita informācija</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NoSpacing"/>
              <w:rPr>
                <w:rFonts w:ascii="Times New Roman" w:eastAsia="Times New Roman" w:hAnsi="Times New Roman"/>
                <w:sz w:val="24"/>
                <w:szCs w:val="24"/>
                <w:lang w:eastAsia="lv-LV"/>
              </w:rPr>
            </w:pPr>
            <w:r w:rsidRPr="00AF0023">
              <w:rPr>
                <w:rFonts w:ascii="Times New Roman" w:hAnsi="Times New Roman"/>
                <w:sz w:val="24"/>
                <w:szCs w:val="24"/>
                <w:lang w:eastAsia="lv-LV"/>
              </w:rPr>
              <w:t>Nav</w:t>
            </w:r>
          </w:p>
        </w:tc>
      </w:tr>
    </w:tbl>
    <w:p w:rsidR="00E2688F" w:rsidRPr="00AF0023" w:rsidRDefault="00E2688F" w:rsidP="00E2688F">
      <w:pPr>
        <w:pStyle w:val="Standard"/>
        <w:spacing w:after="0" w:line="240" w:lineRule="auto"/>
        <w:rPr>
          <w:rFonts w:ascii="Times New Roman" w:hAnsi="Times New Roman" w:cs="Times New Roman"/>
          <w:b/>
          <w:sz w:val="24"/>
          <w:szCs w:val="24"/>
        </w:rPr>
      </w:pPr>
    </w:p>
    <w:tbl>
      <w:tblPr>
        <w:tblW w:w="5323"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87"/>
        <w:gridCol w:w="2273"/>
        <w:gridCol w:w="6380"/>
      </w:tblGrid>
      <w:tr w:rsidR="00E2688F" w:rsidRPr="00AF0023" w:rsidTr="0015360B">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E2688F" w:rsidRPr="00AF0023" w:rsidRDefault="00E2688F" w:rsidP="0015360B">
            <w:pPr>
              <w:spacing w:before="100" w:beforeAutospacing="1" w:after="100" w:afterAutospacing="1"/>
              <w:ind w:firstLine="300"/>
              <w:jc w:val="center"/>
              <w:rPr>
                <w:rFonts w:eastAsia="Times New Roman"/>
                <w:b/>
                <w:bCs/>
              </w:rPr>
            </w:pPr>
            <w:r w:rsidRPr="00AF0023">
              <w:rPr>
                <w:rFonts w:eastAsia="Times New Roman"/>
                <w:b/>
                <w:bCs/>
              </w:rPr>
              <w:t>II. Tiesību akta projekta ietekme uz sabiedrību, tautsaimniecības attīstību un administratīvo slogu</w:t>
            </w:r>
          </w:p>
        </w:tc>
      </w:tr>
      <w:tr w:rsidR="00E2688F" w:rsidRPr="00AF0023" w:rsidTr="0015360B">
        <w:trPr>
          <w:trHeight w:val="465"/>
        </w:trPr>
        <w:tc>
          <w:tcPr>
            <w:tcW w:w="512"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1.</w:t>
            </w:r>
          </w:p>
        </w:tc>
        <w:tc>
          <w:tcPr>
            <w:tcW w:w="117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 xml:space="preserve">Sabiedrības </w:t>
            </w:r>
            <w:proofErr w:type="spellStart"/>
            <w:r w:rsidRPr="00AF0023">
              <w:rPr>
                <w:rFonts w:eastAsia="Times New Roman"/>
              </w:rPr>
              <w:t>mērķgrupas</w:t>
            </w:r>
            <w:proofErr w:type="spellEnd"/>
            <w:r w:rsidRPr="00AF0023">
              <w:rPr>
                <w:rFonts w:eastAsia="Times New Roman"/>
              </w:rPr>
              <w:t>, kuras tiesiskais regulējums ietekmē vai varētu ietekmēt</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tv213"/>
              <w:spacing w:before="0" w:beforeAutospacing="0" w:after="0" w:afterAutospacing="0"/>
              <w:jc w:val="both"/>
            </w:pPr>
            <w:r w:rsidRPr="00AF0023">
              <w:t xml:space="preserve">Valsts ģimnāzijas, </w:t>
            </w:r>
            <w:r>
              <w:t>to dibinātāji, pedagogi.</w:t>
            </w:r>
          </w:p>
        </w:tc>
      </w:tr>
      <w:tr w:rsidR="00E2688F" w:rsidRPr="00AF0023" w:rsidTr="0015360B">
        <w:trPr>
          <w:trHeight w:val="510"/>
        </w:trPr>
        <w:tc>
          <w:tcPr>
            <w:tcW w:w="512"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2.</w:t>
            </w:r>
          </w:p>
        </w:tc>
        <w:tc>
          <w:tcPr>
            <w:tcW w:w="117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Tiesiskā regulējuma ietekme uz tautsaimniecību un administratīvo slogu</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w:t>
            </w:r>
            <w:r w:rsidRPr="00AF0023">
              <w:rPr>
                <w:rFonts w:ascii="Times New Roman" w:eastAsia="Times New Roman" w:hAnsi="Times New Roman"/>
                <w:sz w:val="24"/>
                <w:szCs w:val="24"/>
                <w:lang w:eastAsia="lv-LV"/>
              </w:rPr>
              <w:t xml:space="preserve"> projekts šo jomu neskar.</w:t>
            </w:r>
          </w:p>
        </w:tc>
      </w:tr>
      <w:tr w:rsidR="00E2688F" w:rsidRPr="00AF0023" w:rsidTr="0015360B">
        <w:trPr>
          <w:trHeight w:val="510"/>
        </w:trPr>
        <w:tc>
          <w:tcPr>
            <w:tcW w:w="512"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3.</w:t>
            </w:r>
          </w:p>
        </w:tc>
        <w:tc>
          <w:tcPr>
            <w:tcW w:w="117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Administratīvo izmaksu monetārs novērtējums</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Heading1"/>
              <w:spacing w:before="0" w:after="0"/>
              <w:jc w:val="both"/>
              <w:rPr>
                <w:rFonts w:ascii="Times New Roman" w:hAnsi="Times New Roman" w:cs="Times New Roman"/>
                <w:b w:val="0"/>
                <w:sz w:val="24"/>
                <w:szCs w:val="24"/>
                <w:lang w:eastAsia="lv-LV"/>
              </w:rPr>
            </w:pPr>
            <w:r>
              <w:rPr>
                <w:rFonts w:ascii="Times New Roman" w:hAnsi="Times New Roman" w:cs="Times New Roman"/>
                <w:b w:val="0"/>
                <w:sz w:val="24"/>
                <w:szCs w:val="24"/>
                <w:lang w:eastAsia="lv-LV"/>
              </w:rPr>
              <w:t>Noteikumu</w:t>
            </w:r>
            <w:r w:rsidRPr="00AF0023">
              <w:rPr>
                <w:rFonts w:ascii="Times New Roman" w:hAnsi="Times New Roman" w:cs="Times New Roman"/>
                <w:b w:val="0"/>
                <w:sz w:val="24"/>
                <w:szCs w:val="24"/>
                <w:lang w:eastAsia="lv-LV"/>
              </w:rPr>
              <w:t xml:space="preserve"> projekts šo jomu neskar.</w:t>
            </w:r>
          </w:p>
        </w:tc>
      </w:tr>
      <w:tr w:rsidR="00E2688F" w:rsidRPr="00AF0023" w:rsidTr="0015360B">
        <w:trPr>
          <w:trHeight w:val="510"/>
        </w:trPr>
        <w:tc>
          <w:tcPr>
            <w:tcW w:w="512" w:type="pct"/>
            <w:tcBorders>
              <w:top w:val="outset" w:sz="6" w:space="0" w:color="414142"/>
              <w:left w:val="outset" w:sz="6" w:space="0" w:color="414142"/>
              <w:bottom w:val="outset" w:sz="6" w:space="0" w:color="414142"/>
              <w:right w:val="outset" w:sz="6" w:space="0" w:color="414142"/>
            </w:tcBorders>
          </w:tcPr>
          <w:p w:rsidR="00E2688F" w:rsidRPr="00AF0023" w:rsidRDefault="00E2688F" w:rsidP="0015360B">
            <w:pPr>
              <w:jc w:val="center"/>
              <w:rPr>
                <w:rFonts w:eastAsia="Times New Roman"/>
              </w:rPr>
            </w:pPr>
            <w:r w:rsidRPr="00AF0023">
              <w:rPr>
                <w:rFonts w:eastAsia="Times New Roman"/>
              </w:rPr>
              <w:t>4.</w:t>
            </w:r>
          </w:p>
        </w:tc>
        <w:tc>
          <w:tcPr>
            <w:tcW w:w="1179" w:type="pct"/>
            <w:tcBorders>
              <w:top w:val="outset" w:sz="6" w:space="0" w:color="414142"/>
              <w:left w:val="outset" w:sz="6" w:space="0" w:color="414142"/>
              <w:bottom w:val="outset" w:sz="6" w:space="0" w:color="414142"/>
              <w:right w:val="outset" w:sz="6" w:space="0" w:color="414142"/>
            </w:tcBorders>
          </w:tcPr>
          <w:p w:rsidR="00E2688F" w:rsidRPr="00AF0023" w:rsidRDefault="00E2688F" w:rsidP="0015360B">
            <w:pPr>
              <w:rPr>
                <w:rFonts w:eastAsia="Times New Roman"/>
              </w:rPr>
            </w:pPr>
            <w:r w:rsidRPr="00AF0023">
              <w:rPr>
                <w:rFonts w:eastAsia="Times New Roman"/>
              </w:rPr>
              <w:t>Atbilstības izmaksu monetārs novērtējums</w:t>
            </w:r>
          </w:p>
        </w:tc>
        <w:tc>
          <w:tcPr>
            <w:tcW w:w="3309" w:type="pct"/>
            <w:tcBorders>
              <w:top w:val="outset" w:sz="6" w:space="0" w:color="414142"/>
              <w:left w:val="outset" w:sz="6" w:space="0" w:color="414142"/>
              <w:bottom w:val="outset" w:sz="6" w:space="0" w:color="414142"/>
              <w:right w:val="outset" w:sz="6" w:space="0" w:color="414142"/>
            </w:tcBorders>
          </w:tcPr>
          <w:p w:rsidR="00E2688F" w:rsidRPr="00AF0023" w:rsidRDefault="00E2688F" w:rsidP="0015360B">
            <w:pPr>
              <w:pStyle w:val="Heading1"/>
              <w:spacing w:before="0" w:after="0"/>
              <w:jc w:val="both"/>
              <w:rPr>
                <w:rFonts w:ascii="Times New Roman" w:hAnsi="Times New Roman" w:cs="Times New Roman"/>
                <w:b w:val="0"/>
                <w:sz w:val="24"/>
                <w:szCs w:val="24"/>
                <w:lang w:eastAsia="lv-LV"/>
              </w:rPr>
            </w:pPr>
            <w:r>
              <w:rPr>
                <w:rFonts w:ascii="Times New Roman" w:hAnsi="Times New Roman" w:cs="Times New Roman"/>
                <w:b w:val="0"/>
                <w:sz w:val="24"/>
                <w:szCs w:val="24"/>
                <w:lang w:eastAsia="lv-LV"/>
              </w:rPr>
              <w:t>Noteikumu</w:t>
            </w:r>
            <w:r w:rsidRPr="00AF0023">
              <w:rPr>
                <w:rFonts w:ascii="Times New Roman" w:hAnsi="Times New Roman" w:cs="Times New Roman"/>
                <w:b w:val="0"/>
                <w:sz w:val="24"/>
                <w:szCs w:val="24"/>
                <w:lang w:eastAsia="lv-LV"/>
              </w:rPr>
              <w:t xml:space="preserve"> projekts šo jomu neskar.</w:t>
            </w:r>
          </w:p>
        </w:tc>
      </w:tr>
      <w:tr w:rsidR="00E2688F" w:rsidRPr="00AF0023" w:rsidTr="0015360B">
        <w:trPr>
          <w:trHeight w:val="345"/>
        </w:trPr>
        <w:tc>
          <w:tcPr>
            <w:tcW w:w="512"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5.</w:t>
            </w:r>
          </w:p>
        </w:tc>
        <w:tc>
          <w:tcPr>
            <w:tcW w:w="117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Cita informācija</w:t>
            </w:r>
          </w:p>
        </w:tc>
        <w:tc>
          <w:tcPr>
            <w:tcW w:w="3309"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pStyle w:val="naiskr"/>
              <w:spacing w:before="0" w:after="0"/>
              <w:ind w:right="165"/>
              <w:jc w:val="both"/>
            </w:pPr>
            <w:r w:rsidRPr="00AF0023">
              <w:rPr>
                <w:bCs/>
              </w:rPr>
              <w:t>Nav</w:t>
            </w:r>
          </w:p>
        </w:tc>
      </w:tr>
    </w:tbl>
    <w:p w:rsidR="00E2688F" w:rsidRPr="00AF0023" w:rsidRDefault="00E2688F" w:rsidP="00E2688F">
      <w:pPr>
        <w:rPr>
          <w:rFonts w:eastAsia="Times New Roman"/>
        </w:rPr>
      </w:pPr>
    </w:p>
    <w:tbl>
      <w:tblPr>
        <w:tblW w:w="9640" w:type="dxa"/>
        <w:tblInd w:w="-289" w:type="dxa"/>
        <w:tblLayout w:type="fixed"/>
        <w:tblLook w:val="04A0" w:firstRow="1" w:lastRow="0" w:firstColumn="1" w:lastColumn="0" w:noHBand="0" w:noVBand="1"/>
      </w:tblPr>
      <w:tblGrid>
        <w:gridCol w:w="9640"/>
      </w:tblGrid>
      <w:tr w:rsidR="00E2688F" w:rsidRPr="00AF0023" w:rsidTr="0015360B">
        <w:trPr>
          <w:trHeight w:val="444"/>
        </w:trPr>
        <w:tc>
          <w:tcPr>
            <w:tcW w:w="9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688F" w:rsidRPr="00AF0023" w:rsidRDefault="00E2688F" w:rsidP="0015360B">
            <w:pPr>
              <w:ind w:right="-55"/>
              <w:jc w:val="center"/>
              <w:rPr>
                <w:b/>
                <w:bCs/>
                <w:color w:val="000000"/>
              </w:rPr>
            </w:pPr>
            <w:r w:rsidRPr="00AF0023">
              <w:rPr>
                <w:b/>
                <w:bCs/>
                <w:color w:val="000000"/>
              </w:rPr>
              <w:t>III. Tiesību akta projekta ietekme uz valsts budžetu un pašvaldību budžetiem</w:t>
            </w:r>
          </w:p>
        </w:tc>
      </w:tr>
      <w:tr w:rsidR="00E2688F" w:rsidRPr="00AF0023" w:rsidTr="0015360B">
        <w:trPr>
          <w:trHeight w:val="445"/>
        </w:trPr>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rsidR="00E2688F" w:rsidRPr="00AF0023" w:rsidRDefault="00E2688F" w:rsidP="0015360B">
            <w:pPr>
              <w:jc w:val="center"/>
              <w:rPr>
                <w:rFonts w:eastAsia="Times New Roman"/>
              </w:rPr>
            </w:pPr>
            <w:r>
              <w:rPr>
                <w:rFonts w:eastAsia="Times New Roman"/>
              </w:rPr>
              <w:t>Noteikumu</w:t>
            </w:r>
            <w:r w:rsidRPr="00AF0023">
              <w:rPr>
                <w:rFonts w:eastAsia="Times New Roman"/>
              </w:rPr>
              <w:t xml:space="preserve"> projekts šo jomu neskar.</w:t>
            </w:r>
          </w:p>
        </w:tc>
      </w:tr>
    </w:tbl>
    <w:p w:rsidR="00E2688F" w:rsidRPr="00AF0023" w:rsidRDefault="00E2688F" w:rsidP="00E2688F">
      <w:pPr>
        <w:jc w:val="both"/>
        <w:rPr>
          <w:rFonts w:eastAsia="Times New Roman"/>
        </w:rPr>
      </w:pPr>
    </w:p>
    <w:tbl>
      <w:tblPr>
        <w:tblStyle w:val="TableGrid"/>
        <w:tblW w:w="9640" w:type="dxa"/>
        <w:tblInd w:w="-289" w:type="dxa"/>
        <w:tblLook w:val="04A0" w:firstRow="1" w:lastRow="0" w:firstColumn="1" w:lastColumn="0" w:noHBand="0" w:noVBand="1"/>
      </w:tblPr>
      <w:tblGrid>
        <w:gridCol w:w="9640"/>
      </w:tblGrid>
      <w:tr w:rsidR="00E2688F" w:rsidRPr="00AF0023" w:rsidTr="0015360B">
        <w:trPr>
          <w:trHeight w:val="517"/>
        </w:trPr>
        <w:tc>
          <w:tcPr>
            <w:tcW w:w="9640" w:type="dxa"/>
            <w:vAlign w:val="center"/>
          </w:tcPr>
          <w:p w:rsidR="00E2688F" w:rsidRPr="00AF0023" w:rsidRDefault="00E2688F" w:rsidP="0015360B">
            <w:pPr>
              <w:jc w:val="center"/>
              <w:rPr>
                <w:rFonts w:eastAsia="Times New Roman"/>
                <w:i/>
              </w:rPr>
            </w:pPr>
            <w:r w:rsidRPr="00AF0023">
              <w:rPr>
                <w:b/>
                <w:bCs/>
                <w:shd w:val="clear" w:color="auto" w:fill="FFFFFF"/>
              </w:rPr>
              <w:t>IV. Tiesību akta projekta ietekme uz spēkā esošo tiesību normu sistēmu</w:t>
            </w:r>
          </w:p>
        </w:tc>
      </w:tr>
      <w:tr w:rsidR="00E2688F" w:rsidRPr="00AF0023" w:rsidTr="0015360B">
        <w:trPr>
          <w:trHeight w:val="446"/>
        </w:trPr>
        <w:tc>
          <w:tcPr>
            <w:tcW w:w="9640" w:type="dxa"/>
            <w:vAlign w:val="center"/>
          </w:tcPr>
          <w:p w:rsidR="00E2688F" w:rsidRPr="00AF0023" w:rsidRDefault="00E2688F" w:rsidP="0015360B">
            <w:pPr>
              <w:jc w:val="center"/>
              <w:rPr>
                <w:rFonts w:eastAsia="Times New Roman"/>
              </w:rPr>
            </w:pPr>
            <w:r>
              <w:rPr>
                <w:rFonts w:eastAsia="Times New Roman"/>
              </w:rPr>
              <w:t>Noteikumu</w:t>
            </w:r>
            <w:r w:rsidRPr="00AF0023">
              <w:rPr>
                <w:rFonts w:eastAsia="Times New Roman"/>
              </w:rPr>
              <w:t xml:space="preserve"> projekts šo jomu neskar.</w:t>
            </w:r>
          </w:p>
        </w:tc>
      </w:tr>
    </w:tbl>
    <w:p w:rsidR="00E2688F" w:rsidRPr="00AF0023" w:rsidRDefault="00E2688F" w:rsidP="00E2688F">
      <w:pPr>
        <w:jc w:val="both"/>
        <w:rPr>
          <w:rFonts w:eastAsia="Times New Roman"/>
        </w:rPr>
      </w:pPr>
    </w:p>
    <w:tbl>
      <w:tblPr>
        <w:tblStyle w:val="TableGrid"/>
        <w:tblW w:w="9640" w:type="dxa"/>
        <w:tblInd w:w="-289" w:type="dxa"/>
        <w:tblLook w:val="04A0" w:firstRow="1" w:lastRow="0" w:firstColumn="1" w:lastColumn="0" w:noHBand="0" w:noVBand="1"/>
      </w:tblPr>
      <w:tblGrid>
        <w:gridCol w:w="9640"/>
      </w:tblGrid>
      <w:tr w:rsidR="00E2688F" w:rsidRPr="00AF0023" w:rsidTr="0015360B">
        <w:trPr>
          <w:trHeight w:val="517"/>
        </w:trPr>
        <w:tc>
          <w:tcPr>
            <w:tcW w:w="9640" w:type="dxa"/>
            <w:vAlign w:val="center"/>
          </w:tcPr>
          <w:p w:rsidR="00E2688F" w:rsidRPr="00AF0023" w:rsidRDefault="00E2688F" w:rsidP="0015360B">
            <w:pPr>
              <w:jc w:val="center"/>
              <w:rPr>
                <w:rFonts w:eastAsia="Times New Roman"/>
                <w:i/>
              </w:rPr>
            </w:pPr>
            <w:r w:rsidRPr="00AF0023">
              <w:rPr>
                <w:rFonts w:eastAsia="Times New Roman"/>
                <w:b/>
                <w:bCs/>
              </w:rPr>
              <w:t>V. Tiesību akta projekta atbilstība Latvijas Republikas starptautiskajām saistībām</w:t>
            </w:r>
          </w:p>
        </w:tc>
      </w:tr>
      <w:tr w:rsidR="00E2688F" w:rsidRPr="00AF0023" w:rsidTr="0015360B">
        <w:trPr>
          <w:trHeight w:val="446"/>
        </w:trPr>
        <w:tc>
          <w:tcPr>
            <w:tcW w:w="9640" w:type="dxa"/>
            <w:vAlign w:val="center"/>
          </w:tcPr>
          <w:p w:rsidR="00E2688F" w:rsidRPr="00AF0023" w:rsidRDefault="00E2688F" w:rsidP="0015360B">
            <w:pPr>
              <w:jc w:val="center"/>
              <w:rPr>
                <w:rFonts w:eastAsia="Times New Roman"/>
              </w:rPr>
            </w:pPr>
            <w:r>
              <w:rPr>
                <w:rFonts w:eastAsia="Times New Roman"/>
              </w:rPr>
              <w:t>Noteikumu</w:t>
            </w:r>
            <w:r w:rsidRPr="00AF0023">
              <w:rPr>
                <w:rFonts w:eastAsia="Times New Roman"/>
              </w:rPr>
              <w:t xml:space="preserve"> projekts šo jomu neskar.</w:t>
            </w:r>
          </w:p>
        </w:tc>
      </w:tr>
    </w:tbl>
    <w:p w:rsidR="00E2688F" w:rsidRPr="00AF0023" w:rsidRDefault="00E2688F" w:rsidP="00E2688F">
      <w:pPr>
        <w:jc w:val="both"/>
        <w:rPr>
          <w:rFonts w:eastAsia="Times New Roman"/>
        </w:rPr>
      </w:pPr>
    </w:p>
    <w:tbl>
      <w:tblPr>
        <w:tblW w:w="5323"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4"/>
        <w:gridCol w:w="2134"/>
        <w:gridCol w:w="6642"/>
      </w:tblGrid>
      <w:tr w:rsidR="00E2688F" w:rsidRPr="00AF0023" w:rsidTr="0015360B">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E2688F" w:rsidRPr="00AF0023" w:rsidRDefault="00E2688F" w:rsidP="0015360B">
            <w:pPr>
              <w:ind w:firstLine="300"/>
              <w:jc w:val="center"/>
              <w:rPr>
                <w:rFonts w:eastAsia="Times New Roman"/>
                <w:b/>
                <w:bCs/>
              </w:rPr>
            </w:pPr>
            <w:r w:rsidRPr="00AF0023">
              <w:rPr>
                <w:rFonts w:eastAsia="Times New Roman"/>
                <w:b/>
                <w:bCs/>
              </w:rPr>
              <w:t>VI. Sabiedrības līdzdalība un komunikācijas aktivitātes</w:t>
            </w:r>
          </w:p>
        </w:tc>
      </w:tr>
      <w:tr w:rsidR="00E2688F" w:rsidRPr="00AF0023" w:rsidTr="0015360B">
        <w:trPr>
          <w:trHeight w:val="540"/>
        </w:trPr>
        <w:tc>
          <w:tcPr>
            <w:tcW w:w="448"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1.</w:t>
            </w:r>
          </w:p>
        </w:tc>
        <w:tc>
          <w:tcPr>
            <w:tcW w:w="1107"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Plānotās sabiedrības līdzdalības un komunikācijas aktivitātes saistībā ar projektu</w:t>
            </w:r>
          </w:p>
        </w:tc>
        <w:tc>
          <w:tcPr>
            <w:tcW w:w="3445" w:type="pct"/>
            <w:tcBorders>
              <w:top w:val="outset" w:sz="6" w:space="0" w:color="414142"/>
              <w:left w:val="outset" w:sz="6" w:space="0" w:color="414142"/>
              <w:bottom w:val="outset" w:sz="6" w:space="0" w:color="414142"/>
              <w:right w:val="outset" w:sz="6" w:space="0" w:color="414142"/>
            </w:tcBorders>
            <w:hideMark/>
          </w:tcPr>
          <w:p w:rsidR="00E2688F" w:rsidRDefault="00E2688F" w:rsidP="0015360B">
            <w:pPr>
              <w:pStyle w:val="naiskr"/>
              <w:spacing w:before="0" w:after="0"/>
              <w:ind w:right="57"/>
              <w:jc w:val="both"/>
            </w:pPr>
            <w:r>
              <w:t>Kā jau tika minēts I sadaļas 2. punktā, g</w:t>
            </w:r>
            <w:r w:rsidRPr="00534586">
              <w:t>rozījumu veikšana noteikumos Nr.</w:t>
            </w:r>
            <w:r>
              <w:t> </w:t>
            </w:r>
            <w:r w:rsidRPr="00534586">
              <w:t xml:space="preserve">518 kontekstā ar izmaiņām kvalitātes vērtējuma līmeņu sistēmā </w:t>
            </w:r>
            <w:r>
              <w:t xml:space="preserve">konceptuāli </w:t>
            </w:r>
            <w:r w:rsidRPr="00534586">
              <w:t>jau tika paredzēta noteikumu Nr. 518 sākotnējās ietekmes novērtējuma ziņojumā (anotācijā), kad noteikumi Nr. 618 vēl nebija pieņemti.</w:t>
            </w:r>
            <w:r>
              <w:t xml:space="preserve"> Tādējādi institūcijas, iepazīstoties ar noteikumu Nr. 518 sākotnējās ietekmes novērtējuma ziņojumu (anotāciju), bija konceptuāli informētas par to, ka paredzēt veikts izmaiņas noteikumos Nr. 518 kontekstā ar pilnveidoto akreditācijas sistēmu, kas iekļauta noteikumos Nr. 618.</w:t>
            </w:r>
          </w:p>
          <w:p w:rsidR="000D5F3B" w:rsidRDefault="000D5F3B" w:rsidP="0015360B">
            <w:pPr>
              <w:pStyle w:val="naiskr"/>
              <w:spacing w:before="0" w:after="0"/>
              <w:ind w:right="57"/>
              <w:jc w:val="both"/>
            </w:pPr>
            <w:r w:rsidRPr="000D5F3B">
              <w:t>Informācija, ka tiks veikti grozījumi noteikumos Nr. 518, sniegta republikas pilsētu un novadu izglītības pārvalžu un izglītības speciālistu 2021.</w:t>
            </w:r>
            <w:r>
              <w:t> </w:t>
            </w:r>
            <w:r w:rsidRPr="000D5F3B">
              <w:t>gada 16.</w:t>
            </w:r>
            <w:r>
              <w:t> </w:t>
            </w:r>
            <w:r w:rsidRPr="000D5F3B">
              <w:t>jūnija seminārā.</w:t>
            </w:r>
          </w:p>
          <w:p w:rsidR="00E2688F" w:rsidRPr="00AF0023" w:rsidRDefault="00E2688F" w:rsidP="0015360B">
            <w:pPr>
              <w:pStyle w:val="naiskr"/>
              <w:spacing w:before="0" w:after="0"/>
              <w:ind w:right="57"/>
              <w:jc w:val="both"/>
            </w:pPr>
            <w:r>
              <w:t xml:space="preserve">Izsludinot noteikumu projektu Valsts sekretāru sanāksmē, kā saskaņošanas dalībniekus paredzēts norādīt arī </w:t>
            </w:r>
            <w:r w:rsidRPr="00E2688F">
              <w:t>Latvijas Pašvaldību savienību, Latvijas Izglītības un zinātnes darbinieku arodbiedrību, Latvijas Izglītības vadītāju asociāciju.</w:t>
            </w:r>
            <w:r>
              <w:t xml:space="preserve"> Par noteikumu projekta izsludināšanu tiks informēti valsts ģimnāziju direktori, aicinot sniegt v</w:t>
            </w:r>
            <w:r w:rsidR="00F749A3">
              <w:t>iedokli par noteikumu projektu.</w:t>
            </w:r>
          </w:p>
        </w:tc>
      </w:tr>
      <w:tr w:rsidR="00E2688F" w:rsidRPr="00AF0023" w:rsidTr="0015360B">
        <w:trPr>
          <w:trHeight w:val="330"/>
        </w:trPr>
        <w:tc>
          <w:tcPr>
            <w:tcW w:w="448"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2.</w:t>
            </w:r>
          </w:p>
        </w:tc>
        <w:tc>
          <w:tcPr>
            <w:tcW w:w="1107"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Sabiedrības līdzdalība projekta izstrādē</w:t>
            </w:r>
          </w:p>
        </w:tc>
        <w:tc>
          <w:tcPr>
            <w:tcW w:w="3445" w:type="pct"/>
            <w:tcBorders>
              <w:top w:val="outset" w:sz="6" w:space="0" w:color="414142"/>
              <w:left w:val="outset" w:sz="6" w:space="0" w:color="414142"/>
              <w:bottom w:val="outset" w:sz="6" w:space="0" w:color="414142"/>
              <w:right w:val="outset" w:sz="6" w:space="0" w:color="414142"/>
            </w:tcBorders>
            <w:hideMark/>
          </w:tcPr>
          <w:p w:rsidR="00E2688F" w:rsidRDefault="00E2688F" w:rsidP="0015360B">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Šīs sadaļas 1. punktā minētās sabiedrības līdzdalības aktivitātes. </w:t>
            </w:r>
          </w:p>
          <w:p w:rsidR="00B15EAF" w:rsidRDefault="00DD2742" w:rsidP="00DD2742">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E2688F">
              <w:rPr>
                <w:rFonts w:ascii="Times New Roman" w:eastAsia="Times New Roman" w:hAnsi="Times New Roman"/>
                <w:sz w:val="24"/>
                <w:szCs w:val="24"/>
                <w:lang w:eastAsia="lv-LV"/>
              </w:rPr>
              <w:t>oteikumu projekts publicēts Izglītības un zinātnes ministrijas tīmekļvietnē</w:t>
            </w:r>
            <w:r>
              <w:rPr>
                <w:rFonts w:ascii="Times New Roman" w:eastAsia="Times New Roman" w:hAnsi="Times New Roman"/>
                <w:sz w:val="24"/>
                <w:szCs w:val="24"/>
                <w:lang w:eastAsia="lv-LV"/>
              </w:rPr>
              <w:t xml:space="preserve"> 2021</w:t>
            </w:r>
            <w:r w:rsidR="00E2688F">
              <w:rPr>
                <w:rFonts w:ascii="Times New Roman" w:eastAsia="Times New Roman" w:hAnsi="Times New Roman"/>
                <w:sz w:val="24"/>
                <w:szCs w:val="24"/>
                <w:lang w:eastAsia="lv-LV"/>
              </w:rPr>
              <w:t>.</w:t>
            </w:r>
            <w:r w:rsidR="00B15EAF">
              <w:rPr>
                <w:rFonts w:ascii="Times New Roman" w:eastAsia="Times New Roman" w:hAnsi="Times New Roman"/>
                <w:sz w:val="24"/>
                <w:szCs w:val="24"/>
                <w:lang w:eastAsia="lv-LV"/>
              </w:rPr>
              <w:t> </w:t>
            </w:r>
            <w:r w:rsidR="00BC2653">
              <w:rPr>
                <w:rFonts w:ascii="Times New Roman" w:eastAsia="Times New Roman" w:hAnsi="Times New Roman"/>
                <w:sz w:val="24"/>
                <w:szCs w:val="24"/>
                <w:lang w:eastAsia="lv-LV"/>
              </w:rPr>
              <w:t>gada 16</w:t>
            </w:r>
            <w:r>
              <w:rPr>
                <w:rFonts w:ascii="Times New Roman" w:eastAsia="Times New Roman" w:hAnsi="Times New Roman"/>
                <w:sz w:val="24"/>
                <w:szCs w:val="24"/>
                <w:lang w:eastAsia="lv-LV"/>
              </w:rPr>
              <w:t>.</w:t>
            </w:r>
            <w:r w:rsidR="00B15EAF">
              <w:rPr>
                <w:rFonts w:ascii="Times New Roman" w:eastAsia="Times New Roman" w:hAnsi="Times New Roman"/>
                <w:sz w:val="24"/>
                <w:szCs w:val="24"/>
                <w:lang w:eastAsia="lv-LV"/>
              </w:rPr>
              <w:t> </w:t>
            </w:r>
            <w:r>
              <w:rPr>
                <w:rFonts w:ascii="Times New Roman" w:eastAsia="Times New Roman" w:hAnsi="Times New Roman"/>
                <w:sz w:val="24"/>
                <w:szCs w:val="24"/>
                <w:lang w:eastAsia="lv-LV"/>
              </w:rPr>
              <w:t>jūlijā</w:t>
            </w:r>
            <w:r w:rsidR="00B15EAF">
              <w:rPr>
                <w:rFonts w:ascii="Times New Roman" w:eastAsia="Times New Roman" w:hAnsi="Times New Roman"/>
                <w:sz w:val="24"/>
                <w:szCs w:val="24"/>
                <w:lang w:eastAsia="lv-LV"/>
              </w:rPr>
              <w:t>:</w:t>
            </w:r>
          </w:p>
          <w:p w:rsidR="00B15EAF" w:rsidRPr="00AF0023" w:rsidRDefault="002E6591" w:rsidP="00DD2742">
            <w:pPr>
              <w:pStyle w:val="NoSpacing"/>
              <w:jc w:val="both"/>
              <w:rPr>
                <w:rFonts w:ascii="Times New Roman" w:eastAsia="Times New Roman" w:hAnsi="Times New Roman"/>
                <w:sz w:val="24"/>
                <w:szCs w:val="24"/>
                <w:lang w:eastAsia="lv-LV"/>
              </w:rPr>
            </w:pPr>
            <w:hyperlink r:id="rId7" w:history="1">
              <w:r w:rsidR="00B15EAF" w:rsidRPr="004E5DBD">
                <w:rPr>
                  <w:rStyle w:val="Hyperlink"/>
                  <w:rFonts w:ascii="Times New Roman" w:eastAsia="Times New Roman" w:hAnsi="Times New Roman"/>
                  <w:sz w:val="24"/>
                  <w:szCs w:val="24"/>
                  <w:lang w:eastAsia="lv-LV"/>
                </w:rPr>
                <w:t>https://www.izm.gov.lv/lv/sabiedriskajai-apspriesanai-nodotie-normativo-aktu-projekti-2021g</w:t>
              </w:r>
            </w:hyperlink>
          </w:p>
        </w:tc>
      </w:tr>
      <w:tr w:rsidR="00E2688F" w:rsidRPr="00AF0023" w:rsidTr="0015360B">
        <w:trPr>
          <w:trHeight w:val="465"/>
        </w:trPr>
        <w:tc>
          <w:tcPr>
            <w:tcW w:w="448"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3.</w:t>
            </w:r>
          </w:p>
        </w:tc>
        <w:tc>
          <w:tcPr>
            <w:tcW w:w="1107"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Sabiedrības līdzdalības rezultāti</w:t>
            </w:r>
          </w:p>
        </w:tc>
        <w:tc>
          <w:tcPr>
            <w:tcW w:w="3445" w:type="pct"/>
            <w:tcBorders>
              <w:top w:val="outset" w:sz="6" w:space="0" w:color="414142"/>
              <w:left w:val="outset" w:sz="6" w:space="0" w:color="414142"/>
              <w:bottom w:val="outset" w:sz="6" w:space="0" w:color="414142"/>
              <w:right w:val="outset" w:sz="6" w:space="0" w:color="414142"/>
            </w:tcBorders>
            <w:hideMark/>
          </w:tcPr>
          <w:p w:rsidR="00E2688F" w:rsidRDefault="00E2688F" w:rsidP="0015360B">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projekta izstrādes laikā līdz izsludināšanai Valsts sekretāru sanāksmē viedokļi nav saņemti.</w:t>
            </w:r>
          </w:p>
          <w:p w:rsidR="00E2688F" w:rsidRPr="009E5F31" w:rsidRDefault="00E2688F" w:rsidP="0015360B">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Sagatavojot noteikumu Nr. 518 sākotnējās ietekmes novērtējuma ziņojumu (anotāciju), netika izteikti priekšlikumi un iebildumi par iespējamām izmaiņām noteikumos Nr. 518 kontekstā ar pilnveidoto akreditācijas sistēmu.</w:t>
            </w:r>
          </w:p>
        </w:tc>
      </w:tr>
      <w:tr w:rsidR="00E2688F" w:rsidRPr="00AF0023" w:rsidTr="0015360B">
        <w:trPr>
          <w:trHeight w:val="465"/>
        </w:trPr>
        <w:tc>
          <w:tcPr>
            <w:tcW w:w="448"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center"/>
              <w:rPr>
                <w:rFonts w:eastAsia="Times New Roman"/>
              </w:rPr>
            </w:pPr>
            <w:r w:rsidRPr="00AF0023">
              <w:rPr>
                <w:rFonts w:eastAsia="Times New Roman"/>
              </w:rPr>
              <w:t>4.</w:t>
            </w:r>
          </w:p>
        </w:tc>
        <w:tc>
          <w:tcPr>
            <w:tcW w:w="1107"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rPr>
                <w:rFonts w:eastAsia="Times New Roman"/>
              </w:rPr>
            </w:pPr>
            <w:r w:rsidRPr="00AF0023">
              <w:rPr>
                <w:rFonts w:eastAsia="Times New Roman"/>
              </w:rPr>
              <w:t>Cita informācija</w:t>
            </w:r>
          </w:p>
        </w:tc>
        <w:tc>
          <w:tcPr>
            <w:tcW w:w="3445" w:type="pct"/>
            <w:tcBorders>
              <w:top w:val="outset" w:sz="6" w:space="0" w:color="414142"/>
              <w:left w:val="outset" w:sz="6" w:space="0" w:color="414142"/>
              <w:bottom w:val="outset" w:sz="6" w:space="0" w:color="414142"/>
              <w:right w:val="outset" w:sz="6" w:space="0" w:color="414142"/>
            </w:tcBorders>
            <w:hideMark/>
          </w:tcPr>
          <w:p w:rsidR="00E2688F" w:rsidRPr="00AF0023" w:rsidRDefault="00E2688F" w:rsidP="0015360B">
            <w:pPr>
              <w:jc w:val="both"/>
              <w:rPr>
                <w:rFonts w:eastAsia="Times New Roman"/>
              </w:rPr>
            </w:pPr>
            <w:r w:rsidRPr="00AF0023">
              <w:rPr>
                <w:rFonts w:eastAsia="Times New Roman"/>
              </w:rPr>
              <w:t>Nav</w:t>
            </w:r>
          </w:p>
        </w:tc>
      </w:tr>
    </w:tbl>
    <w:p w:rsidR="00E2688F" w:rsidRPr="00AF0023" w:rsidRDefault="00E2688F" w:rsidP="00E2688F">
      <w:pPr>
        <w:rPr>
          <w:rFonts w:eastAsia="Times New Roman"/>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8"/>
        <w:gridCol w:w="2135"/>
        <w:gridCol w:w="6648"/>
      </w:tblGrid>
      <w:tr w:rsidR="00E2688F" w:rsidRPr="00AF0023" w:rsidTr="0015360B">
        <w:trPr>
          <w:trHeight w:val="375"/>
        </w:trPr>
        <w:tc>
          <w:tcPr>
            <w:tcW w:w="5000" w:type="pct"/>
            <w:gridSpan w:val="3"/>
            <w:vAlign w:val="center"/>
            <w:hideMark/>
          </w:tcPr>
          <w:p w:rsidR="00E2688F" w:rsidRPr="00AF0023" w:rsidRDefault="00E2688F" w:rsidP="0015360B">
            <w:pPr>
              <w:ind w:firstLine="300"/>
              <w:jc w:val="center"/>
              <w:rPr>
                <w:rFonts w:eastAsia="Times New Roman"/>
                <w:b/>
                <w:bCs/>
              </w:rPr>
            </w:pPr>
            <w:r w:rsidRPr="00AF0023">
              <w:rPr>
                <w:rFonts w:eastAsia="Times New Roman"/>
                <w:b/>
                <w:bCs/>
              </w:rPr>
              <w:t>VII. Tiesību akta projekta izpildes nodrošināšana un tās ietekme uz institūcijām</w:t>
            </w:r>
          </w:p>
        </w:tc>
      </w:tr>
      <w:tr w:rsidR="00E2688F" w:rsidRPr="00AF0023" w:rsidTr="0015360B">
        <w:trPr>
          <w:trHeight w:val="420"/>
        </w:trPr>
        <w:tc>
          <w:tcPr>
            <w:tcW w:w="445" w:type="pct"/>
            <w:hideMark/>
          </w:tcPr>
          <w:p w:rsidR="00E2688F" w:rsidRPr="00AF0023" w:rsidRDefault="00E2688F" w:rsidP="0015360B">
            <w:pPr>
              <w:pStyle w:val="NoSpacing"/>
              <w:jc w:val="center"/>
              <w:rPr>
                <w:rFonts w:ascii="Times New Roman" w:hAnsi="Times New Roman"/>
                <w:sz w:val="24"/>
                <w:szCs w:val="24"/>
                <w:lang w:eastAsia="lv-LV"/>
              </w:rPr>
            </w:pPr>
            <w:r w:rsidRPr="00AF0023">
              <w:rPr>
                <w:rFonts w:ascii="Times New Roman" w:hAnsi="Times New Roman"/>
                <w:sz w:val="24"/>
                <w:szCs w:val="24"/>
                <w:lang w:eastAsia="lv-LV"/>
              </w:rPr>
              <w:t>1.</w:t>
            </w:r>
          </w:p>
        </w:tc>
        <w:tc>
          <w:tcPr>
            <w:tcW w:w="1107" w:type="pct"/>
            <w:hideMark/>
          </w:tcPr>
          <w:p w:rsidR="00E2688F" w:rsidRPr="00AF0023" w:rsidRDefault="00E2688F" w:rsidP="0015360B">
            <w:pPr>
              <w:pStyle w:val="NoSpacing"/>
              <w:jc w:val="both"/>
              <w:rPr>
                <w:rFonts w:ascii="Times New Roman" w:hAnsi="Times New Roman"/>
                <w:sz w:val="24"/>
                <w:szCs w:val="24"/>
                <w:lang w:eastAsia="lv-LV"/>
              </w:rPr>
            </w:pPr>
            <w:r w:rsidRPr="00AF0023">
              <w:rPr>
                <w:rFonts w:ascii="Times New Roman" w:hAnsi="Times New Roman"/>
                <w:sz w:val="24"/>
                <w:szCs w:val="24"/>
                <w:lang w:eastAsia="lv-LV"/>
              </w:rPr>
              <w:t>Projekta izpildē iesaistītās institūcijas</w:t>
            </w:r>
          </w:p>
        </w:tc>
        <w:tc>
          <w:tcPr>
            <w:tcW w:w="3448" w:type="pct"/>
            <w:hideMark/>
          </w:tcPr>
          <w:p w:rsidR="00E2688F" w:rsidRPr="00AF0023" w:rsidRDefault="00E2688F" w:rsidP="0015360B">
            <w:pPr>
              <w:pStyle w:val="NoSpacing"/>
              <w:jc w:val="both"/>
              <w:rPr>
                <w:rFonts w:ascii="Times New Roman" w:hAnsi="Times New Roman"/>
                <w:sz w:val="24"/>
                <w:szCs w:val="24"/>
                <w:lang w:eastAsia="lv-LV"/>
              </w:rPr>
            </w:pPr>
            <w:r>
              <w:rPr>
                <w:rFonts w:ascii="Times New Roman" w:hAnsi="Times New Roman"/>
                <w:sz w:val="24"/>
                <w:szCs w:val="24"/>
              </w:rPr>
              <w:t>Noteikumu</w:t>
            </w:r>
            <w:r w:rsidRPr="00AF0023">
              <w:rPr>
                <w:rFonts w:ascii="Times New Roman" w:hAnsi="Times New Roman"/>
                <w:sz w:val="24"/>
                <w:szCs w:val="24"/>
              </w:rPr>
              <w:t xml:space="preserve"> projekta izpildē būs iesaistīta </w:t>
            </w:r>
            <w:r>
              <w:rPr>
                <w:rFonts w:ascii="Times New Roman" w:hAnsi="Times New Roman"/>
                <w:sz w:val="24"/>
                <w:szCs w:val="24"/>
              </w:rPr>
              <w:t xml:space="preserve">Izglītības un zinātnes </w:t>
            </w:r>
            <w:r w:rsidRPr="00AF0023">
              <w:rPr>
                <w:rFonts w:ascii="Times New Roman" w:hAnsi="Times New Roman"/>
                <w:sz w:val="24"/>
                <w:szCs w:val="24"/>
              </w:rPr>
              <w:t xml:space="preserve">ministrija, Izglītības kvalitātes valsts dienests, valsts ģimnāzijas, </w:t>
            </w:r>
            <w:r>
              <w:rPr>
                <w:rFonts w:ascii="Times New Roman" w:hAnsi="Times New Roman"/>
                <w:sz w:val="24"/>
                <w:szCs w:val="24"/>
              </w:rPr>
              <w:t>to dibinātāji</w:t>
            </w:r>
            <w:r w:rsidRPr="00AF0023">
              <w:rPr>
                <w:rFonts w:ascii="Times New Roman" w:hAnsi="Times New Roman"/>
                <w:sz w:val="24"/>
                <w:szCs w:val="24"/>
              </w:rPr>
              <w:t>.</w:t>
            </w:r>
          </w:p>
        </w:tc>
      </w:tr>
      <w:tr w:rsidR="00E2688F" w:rsidRPr="00AF0023" w:rsidTr="0015360B">
        <w:trPr>
          <w:trHeight w:val="450"/>
        </w:trPr>
        <w:tc>
          <w:tcPr>
            <w:tcW w:w="445" w:type="pct"/>
            <w:hideMark/>
          </w:tcPr>
          <w:p w:rsidR="00E2688F" w:rsidRPr="00AF0023" w:rsidRDefault="00E2688F" w:rsidP="0015360B">
            <w:pPr>
              <w:jc w:val="center"/>
              <w:rPr>
                <w:rFonts w:eastAsia="Times New Roman"/>
              </w:rPr>
            </w:pPr>
            <w:r w:rsidRPr="00AF0023">
              <w:rPr>
                <w:rFonts w:eastAsia="Times New Roman"/>
              </w:rPr>
              <w:t>2.</w:t>
            </w:r>
          </w:p>
        </w:tc>
        <w:tc>
          <w:tcPr>
            <w:tcW w:w="1107" w:type="pct"/>
            <w:hideMark/>
          </w:tcPr>
          <w:p w:rsidR="00E2688F" w:rsidRPr="00AF0023" w:rsidRDefault="00E2688F" w:rsidP="0015360B">
            <w:pPr>
              <w:rPr>
                <w:rFonts w:eastAsia="Times New Roman"/>
              </w:rPr>
            </w:pPr>
            <w:r w:rsidRPr="00AF0023">
              <w:rPr>
                <w:rFonts w:eastAsia="Times New Roman"/>
              </w:rPr>
              <w:t xml:space="preserve">Projekta izpildes ietekme uz pārvaldes funkcijām un institucionālo struktūru. </w:t>
            </w:r>
          </w:p>
          <w:p w:rsidR="00E2688F" w:rsidRPr="00AF0023" w:rsidRDefault="00E2688F" w:rsidP="0015360B">
            <w:pPr>
              <w:rPr>
                <w:rFonts w:eastAsia="Times New Roman"/>
              </w:rPr>
            </w:pPr>
            <w:r w:rsidRPr="00AF0023">
              <w:rPr>
                <w:rFonts w:eastAsia="Times New Roman"/>
              </w:rPr>
              <w:t>Jaunu institūciju izveide, esošu institūciju likvidācija vai reorganizācija, to ietekme uz institūcijas cilvēkresursiem</w:t>
            </w:r>
          </w:p>
        </w:tc>
        <w:tc>
          <w:tcPr>
            <w:tcW w:w="3448" w:type="pct"/>
            <w:hideMark/>
          </w:tcPr>
          <w:p w:rsidR="00E2688F" w:rsidRPr="00AF0023" w:rsidRDefault="00E2688F" w:rsidP="0015360B">
            <w:pPr>
              <w:pStyle w:val="NoSpacing"/>
              <w:jc w:val="both"/>
              <w:rPr>
                <w:rFonts w:ascii="Times New Roman" w:hAnsi="Times New Roman"/>
                <w:sz w:val="24"/>
                <w:szCs w:val="24"/>
              </w:rPr>
            </w:pPr>
            <w:bookmarkStart w:id="1" w:name="p67"/>
            <w:bookmarkStart w:id="2" w:name="p-468680"/>
            <w:bookmarkEnd w:id="1"/>
            <w:bookmarkEnd w:id="2"/>
            <w:r w:rsidRPr="00AF0023">
              <w:rPr>
                <w:rFonts w:ascii="Times New Roman" w:hAnsi="Times New Roman"/>
                <w:sz w:val="24"/>
                <w:szCs w:val="24"/>
              </w:rPr>
              <w:t>Noteikumu projekta izpilde neietekmēs pārvaldes funkcijas un institucionālo struktūru. Jaunu institūciju izveide, esošu institūciju likvidācija vai reorganizācija nav nepieciešama.</w:t>
            </w:r>
          </w:p>
          <w:p w:rsidR="00E2688F" w:rsidRPr="00AF0023" w:rsidRDefault="00E2688F" w:rsidP="0015360B">
            <w:pPr>
              <w:pStyle w:val="NoSpacing"/>
              <w:jc w:val="both"/>
              <w:rPr>
                <w:rFonts w:ascii="Times New Roman" w:hAnsi="Times New Roman"/>
                <w:sz w:val="24"/>
                <w:szCs w:val="24"/>
              </w:rPr>
            </w:pPr>
            <w:r w:rsidRPr="00AF0023">
              <w:rPr>
                <w:rFonts w:ascii="Times New Roman" w:hAnsi="Times New Roman"/>
                <w:sz w:val="24"/>
                <w:szCs w:val="24"/>
              </w:rPr>
              <w:t>Ietekme uz cilvēkresursiem risināma esošā budžeta ietvaros.</w:t>
            </w:r>
          </w:p>
        </w:tc>
      </w:tr>
      <w:tr w:rsidR="00E2688F" w:rsidRPr="00AF0023" w:rsidTr="0015360B">
        <w:trPr>
          <w:trHeight w:val="390"/>
        </w:trPr>
        <w:tc>
          <w:tcPr>
            <w:tcW w:w="445" w:type="pct"/>
            <w:hideMark/>
          </w:tcPr>
          <w:p w:rsidR="00E2688F" w:rsidRPr="00AF0023" w:rsidRDefault="00E2688F" w:rsidP="0015360B">
            <w:pPr>
              <w:jc w:val="center"/>
              <w:rPr>
                <w:rFonts w:eastAsia="Times New Roman"/>
              </w:rPr>
            </w:pPr>
            <w:r w:rsidRPr="00AF0023">
              <w:rPr>
                <w:rFonts w:eastAsia="Times New Roman"/>
              </w:rPr>
              <w:t>3.</w:t>
            </w:r>
          </w:p>
        </w:tc>
        <w:tc>
          <w:tcPr>
            <w:tcW w:w="1107" w:type="pct"/>
            <w:hideMark/>
          </w:tcPr>
          <w:p w:rsidR="00E2688F" w:rsidRPr="00AF0023" w:rsidRDefault="00E2688F" w:rsidP="0015360B">
            <w:pPr>
              <w:rPr>
                <w:rFonts w:eastAsia="Times New Roman"/>
              </w:rPr>
            </w:pPr>
            <w:r w:rsidRPr="00AF0023">
              <w:rPr>
                <w:rFonts w:eastAsia="Times New Roman"/>
              </w:rPr>
              <w:t>Cita informācija</w:t>
            </w:r>
          </w:p>
        </w:tc>
        <w:tc>
          <w:tcPr>
            <w:tcW w:w="3448" w:type="pct"/>
            <w:hideMark/>
          </w:tcPr>
          <w:p w:rsidR="00E2688F" w:rsidRPr="00AF0023" w:rsidRDefault="00E2688F" w:rsidP="0015360B">
            <w:pPr>
              <w:rPr>
                <w:rFonts w:eastAsia="Times New Roman"/>
              </w:rPr>
            </w:pPr>
            <w:r w:rsidRPr="00AF0023">
              <w:rPr>
                <w:rFonts w:eastAsia="Times New Roman"/>
              </w:rPr>
              <w:t>Nav</w:t>
            </w:r>
          </w:p>
        </w:tc>
      </w:tr>
    </w:tbl>
    <w:p w:rsidR="00E2688F" w:rsidRPr="00AF0023" w:rsidRDefault="00E2688F" w:rsidP="00E2688F"/>
    <w:p w:rsidR="00E2688F" w:rsidRPr="00AF0023" w:rsidRDefault="00E2688F" w:rsidP="00E2688F"/>
    <w:p w:rsidR="00E2688F" w:rsidRPr="00AF0023" w:rsidRDefault="00E2688F" w:rsidP="00E2688F">
      <w:pPr>
        <w:pStyle w:val="NoSpacing"/>
        <w:ind w:firstLine="720"/>
        <w:rPr>
          <w:rFonts w:ascii="Times New Roman" w:hAnsi="Times New Roman"/>
          <w:sz w:val="24"/>
          <w:szCs w:val="24"/>
        </w:rPr>
      </w:pPr>
      <w:r w:rsidRPr="00AF0023">
        <w:rPr>
          <w:rFonts w:ascii="Times New Roman" w:hAnsi="Times New Roman"/>
          <w:sz w:val="24"/>
          <w:szCs w:val="24"/>
        </w:rPr>
        <w:t>Iesniedzējs:</w:t>
      </w:r>
    </w:p>
    <w:p w:rsidR="00E2688F" w:rsidRPr="00AF0023" w:rsidRDefault="00E2688F" w:rsidP="00E2688F">
      <w:pPr>
        <w:pStyle w:val="NoSpacing"/>
        <w:rPr>
          <w:rFonts w:ascii="Times New Roman" w:hAnsi="Times New Roman"/>
          <w:sz w:val="24"/>
          <w:szCs w:val="24"/>
        </w:rPr>
      </w:pPr>
      <w:r w:rsidRPr="00AF0023">
        <w:rPr>
          <w:rFonts w:ascii="Times New Roman" w:hAnsi="Times New Roman"/>
          <w:sz w:val="24"/>
          <w:szCs w:val="24"/>
        </w:rPr>
        <w:tab/>
        <w:t>Izglītības un zinātnes ministre</w:t>
      </w:r>
      <w:r w:rsidRPr="00AF0023">
        <w:rPr>
          <w:rFonts w:ascii="Times New Roman" w:hAnsi="Times New Roman"/>
          <w:sz w:val="24"/>
          <w:szCs w:val="24"/>
        </w:rPr>
        <w:tab/>
      </w:r>
      <w:r w:rsidRPr="00AF0023">
        <w:rPr>
          <w:rFonts w:ascii="Times New Roman" w:hAnsi="Times New Roman"/>
          <w:sz w:val="24"/>
          <w:szCs w:val="24"/>
        </w:rPr>
        <w:tab/>
      </w:r>
      <w:r w:rsidRPr="00AF0023">
        <w:rPr>
          <w:rFonts w:ascii="Times New Roman" w:hAnsi="Times New Roman"/>
          <w:sz w:val="24"/>
          <w:szCs w:val="24"/>
        </w:rPr>
        <w:tab/>
      </w:r>
      <w:r w:rsidRPr="00AF0023">
        <w:rPr>
          <w:rFonts w:ascii="Times New Roman" w:hAnsi="Times New Roman"/>
          <w:sz w:val="24"/>
          <w:szCs w:val="24"/>
        </w:rPr>
        <w:tab/>
      </w:r>
      <w:r w:rsidRPr="00AF0023">
        <w:rPr>
          <w:rFonts w:ascii="Times New Roman" w:hAnsi="Times New Roman"/>
          <w:sz w:val="24"/>
          <w:szCs w:val="24"/>
        </w:rPr>
        <w:tab/>
      </w:r>
      <w:proofErr w:type="spellStart"/>
      <w:r w:rsidRPr="00AF0023">
        <w:rPr>
          <w:rFonts w:ascii="Times New Roman" w:hAnsi="Times New Roman"/>
          <w:sz w:val="24"/>
          <w:szCs w:val="24"/>
        </w:rPr>
        <w:t>A.Muižniece</w:t>
      </w:r>
      <w:proofErr w:type="spellEnd"/>
    </w:p>
    <w:p w:rsidR="00E2688F" w:rsidRPr="00AF0023" w:rsidRDefault="00E2688F" w:rsidP="00E2688F">
      <w:pPr>
        <w:pStyle w:val="NoSpacing"/>
        <w:rPr>
          <w:rFonts w:ascii="Times New Roman" w:hAnsi="Times New Roman"/>
          <w:sz w:val="24"/>
          <w:szCs w:val="24"/>
        </w:rPr>
      </w:pPr>
    </w:p>
    <w:p w:rsidR="00E2688F" w:rsidRPr="00AF0023" w:rsidRDefault="00E2688F" w:rsidP="00E2688F">
      <w:pPr>
        <w:pStyle w:val="NoSpacing"/>
        <w:ind w:firstLine="720"/>
        <w:rPr>
          <w:rFonts w:ascii="Times New Roman" w:hAnsi="Times New Roman"/>
          <w:sz w:val="24"/>
          <w:szCs w:val="24"/>
        </w:rPr>
      </w:pPr>
      <w:r w:rsidRPr="00AF0023">
        <w:rPr>
          <w:rFonts w:ascii="Times New Roman" w:hAnsi="Times New Roman"/>
          <w:sz w:val="24"/>
          <w:szCs w:val="24"/>
        </w:rPr>
        <w:t xml:space="preserve">Vizē: </w:t>
      </w:r>
      <w:r w:rsidRPr="00AF0023">
        <w:rPr>
          <w:rFonts w:ascii="Times New Roman" w:hAnsi="Times New Roman"/>
          <w:sz w:val="24"/>
          <w:szCs w:val="24"/>
        </w:rPr>
        <w:tab/>
      </w:r>
    </w:p>
    <w:p w:rsidR="00E2688F" w:rsidRDefault="00E2688F" w:rsidP="00E2688F">
      <w:pPr>
        <w:pStyle w:val="NoSpacing"/>
        <w:ind w:firstLine="720"/>
        <w:rPr>
          <w:rFonts w:ascii="Times New Roman" w:hAnsi="Times New Roman"/>
          <w:sz w:val="24"/>
          <w:szCs w:val="24"/>
        </w:rPr>
      </w:pPr>
      <w:r w:rsidRPr="00AF0023">
        <w:rPr>
          <w:rFonts w:ascii="Times New Roman" w:hAnsi="Times New Roman"/>
          <w:sz w:val="24"/>
          <w:szCs w:val="24"/>
        </w:rPr>
        <w:t>Valsts sekretār</w:t>
      </w:r>
      <w:r>
        <w:rPr>
          <w:rFonts w:ascii="Times New Roman" w:hAnsi="Times New Roman"/>
          <w:sz w:val="24"/>
          <w:szCs w:val="24"/>
        </w:rPr>
        <w:t xml:space="preserve">a vietnieks – </w:t>
      </w:r>
    </w:p>
    <w:p w:rsidR="00E2688F" w:rsidRDefault="00E2688F" w:rsidP="00E2688F">
      <w:pPr>
        <w:pStyle w:val="NoSpacing"/>
        <w:ind w:firstLine="720"/>
        <w:rPr>
          <w:rFonts w:ascii="Times New Roman" w:hAnsi="Times New Roman"/>
          <w:sz w:val="24"/>
          <w:szCs w:val="24"/>
        </w:rPr>
      </w:pPr>
      <w:r>
        <w:rPr>
          <w:rFonts w:ascii="Times New Roman" w:hAnsi="Times New Roman"/>
          <w:sz w:val="24"/>
          <w:szCs w:val="24"/>
        </w:rPr>
        <w:t>Sporta departamenta direktors,</w:t>
      </w:r>
    </w:p>
    <w:p w:rsidR="00E2688F" w:rsidRPr="00AF0023" w:rsidRDefault="00E2688F" w:rsidP="00E2688F">
      <w:pPr>
        <w:pStyle w:val="NoSpacing"/>
        <w:ind w:firstLine="720"/>
        <w:rPr>
          <w:rFonts w:ascii="Times New Roman" w:hAnsi="Times New Roman"/>
          <w:sz w:val="24"/>
          <w:szCs w:val="24"/>
        </w:rPr>
      </w:pPr>
      <w:r>
        <w:rPr>
          <w:rFonts w:ascii="Times New Roman" w:hAnsi="Times New Roman"/>
          <w:sz w:val="24"/>
          <w:szCs w:val="24"/>
        </w:rPr>
        <w:t>valsts sekretāra pienākumu izpildītājs</w:t>
      </w:r>
      <w:r w:rsidRPr="00AF0023">
        <w:rPr>
          <w:rFonts w:ascii="Times New Roman" w:hAnsi="Times New Roman"/>
          <w:sz w:val="24"/>
          <w:szCs w:val="24"/>
        </w:rPr>
        <w:tab/>
      </w:r>
      <w:r w:rsidRPr="00AF0023">
        <w:rPr>
          <w:rFonts w:ascii="Times New Roman" w:hAnsi="Times New Roman"/>
          <w:sz w:val="24"/>
          <w:szCs w:val="24"/>
        </w:rPr>
        <w:tab/>
      </w:r>
      <w:r w:rsidRPr="00AF0023">
        <w:rPr>
          <w:rFonts w:ascii="Times New Roman" w:hAnsi="Times New Roman"/>
          <w:sz w:val="24"/>
          <w:szCs w:val="24"/>
        </w:rPr>
        <w:tab/>
      </w:r>
      <w:r w:rsidRPr="00AF0023">
        <w:rPr>
          <w:rFonts w:ascii="Times New Roman" w:hAnsi="Times New Roman"/>
          <w:sz w:val="24"/>
          <w:szCs w:val="24"/>
        </w:rPr>
        <w:tab/>
      </w:r>
      <w:proofErr w:type="spellStart"/>
      <w:r>
        <w:rPr>
          <w:rFonts w:ascii="Times New Roman" w:hAnsi="Times New Roman"/>
          <w:sz w:val="24"/>
          <w:szCs w:val="24"/>
        </w:rPr>
        <w:t>E.Severs</w:t>
      </w:r>
      <w:proofErr w:type="spellEnd"/>
      <w:r w:rsidRPr="00AF0023">
        <w:rPr>
          <w:rFonts w:ascii="Times New Roman" w:hAnsi="Times New Roman"/>
          <w:sz w:val="24"/>
          <w:szCs w:val="24"/>
        </w:rPr>
        <w:tab/>
      </w:r>
    </w:p>
    <w:p w:rsidR="00E2688F" w:rsidRPr="00AF0023" w:rsidRDefault="00E2688F" w:rsidP="00E2688F"/>
    <w:p w:rsidR="00E2688F" w:rsidRPr="00AF0023" w:rsidRDefault="00E2688F" w:rsidP="00E2688F"/>
    <w:p w:rsidR="00E2688F" w:rsidRPr="00AF0023" w:rsidRDefault="00E2688F" w:rsidP="00E2688F"/>
    <w:p w:rsidR="00E2688F" w:rsidRPr="009E5F31" w:rsidRDefault="00E2688F" w:rsidP="00E2688F">
      <w:pPr>
        <w:pStyle w:val="NoSpacing"/>
        <w:ind w:firstLine="720"/>
        <w:rPr>
          <w:rFonts w:ascii="Times New Roman" w:hAnsi="Times New Roman"/>
          <w:sz w:val="20"/>
          <w:szCs w:val="20"/>
        </w:rPr>
      </w:pPr>
      <w:proofErr w:type="spellStart"/>
      <w:r w:rsidRPr="009E5F31">
        <w:rPr>
          <w:rFonts w:ascii="Times New Roman" w:hAnsi="Times New Roman"/>
          <w:sz w:val="20"/>
          <w:szCs w:val="20"/>
        </w:rPr>
        <w:t>S.Treimane</w:t>
      </w:r>
      <w:proofErr w:type="spellEnd"/>
      <w:r w:rsidRPr="009E5F31">
        <w:rPr>
          <w:rFonts w:ascii="Times New Roman" w:hAnsi="Times New Roman"/>
          <w:sz w:val="20"/>
          <w:szCs w:val="20"/>
        </w:rPr>
        <w:t>, 67047924</w:t>
      </w:r>
    </w:p>
    <w:p w:rsidR="00E2688F" w:rsidRPr="009E5F31" w:rsidRDefault="00E2688F" w:rsidP="00E2688F">
      <w:pPr>
        <w:pStyle w:val="NoSpacing"/>
        <w:ind w:firstLine="720"/>
        <w:rPr>
          <w:rFonts w:ascii="Times New Roman" w:hAnsi="Times New Roman"/>
          <w:sz w:val="20"/>
          <w:szCs w:val="20"/>
        </w:rPr>
      </w:pPr>
      <w:r w:rsidRPr="009E5F31">
        <w:rPr>
          <w:rFonts w:ascii="Times New Roman" w:hAnsi="Times New Roman"/>
          <w:sz w:val="20"/>
          <w:szCs w:val="20"/>
        </w:rPr>
        <w:t>sanita.treimane@izm.gov.lv</w:t>
      </w:r>
    </w:p>
    <w:p w:rsidR="00E868B5" w:rsidRPr="00E2688F" w:rsidRDefault="00E868B5" w:rsidP="00E2688F"/>
    <w:sectPr w:rsidR="00E868B5" w:rsidRPr="00E2688F" w:rsidSect="00CA7DA6">
      <w:headerReference w:type="default" r:id="rId8"/>
      <w:footerReference w:type="defaul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591" w:rsidRDefault="002E6591" w:rsidP="00661CC2">
      <w:r>
        <w:separator/>
      </w:r>
    </w:p>
  </w:endnote>
  <w:endnote w:type="continuationSeparator" w:id="0">
    <w:p w:rsidR="002E6591" w:rsidRDefault="002E6591" w:rsidP="006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30" w:rsidRPr="00FD049A" w:rsidRDefault="00D9486F" w:rsidP="002943B9">
    <w:pPr>
      <w:pStyle w:val="tv20787921"/>
      <w:spacing w:after="0" w:line="240" w:lineRule="auto"/>
      <w:ind w:left="-142"/>
      <w:jc w:val="both"/>
      <w:rPr>
        <w:sz w:val="24"/>
        <w:szCs w:val="24"/>
      </w:rPr>
    </w:pPr>
    <w:r w:rsidRPr="00FD049A">
      <w:rPr>
        <w:rFonts w:ascii="Times New Roman" w:eastAsiaTheme="minorHAnsi" w:hAnsi="Times New Roman"/>
        <w:b w:val="0"/>
        <w:bCs w:val="0"/>
        <w:color w:val="000000" w:themeColor="text1"/>
        <w:sz w:val="24"/>
        <w:szCs w:val="24"/>
        <w:lang w:eastAsia="en-US"/>
      </w:rPr>
      <w:fldChar w:fldCharType="begin"/>
    </w:r>
    <w:r w:rsidRPr="00FD049A">
      <w:rPr>
        <w:rFonts w:ascii="Times New Roman" w:eastAsiaTheme="minorHAnsi" w:hAnsi="Times New Roman"/>
        <w:b w:val="0"/>
        <w:bCs w:val="0"/>
        <w:color w:val="000000" w:themeColor="text1"/>
        <w:sz w:val="24"/>
        <w:szCs w:val="24"/>
        <w:lang w:eastAsia="en-US"/>
      </w:rPr>
      <w:instrText xml:space="preserve"> FILENAME   \* MERGEFORMAT </w:instrText>
    </w:r>
    <w:r w:rsidRPr="00FD049A">
      <w:rPr>
        <w:rFonts w:ascii="Times New Roman" w:eastAsiaTheme="minorHAnsi" w:hAnsi="Times New Roman"/>
        <w:b w:val="0"/>
        <w:bCs w:val="0"/>
        <w:color w:val="000000" w:themeColor="text1"/>
        <w:sz w:val="24"/>
        <w:szCs w:val="24"/>
        <w:lang w:eastAsia="en-US"/>
      </w:rPr>
      <w:fldChar w:fldCharType="separate"/>
    </w:r>
    <w:r w:rsidRPr="00FD049A">
      <w:rPr>
        <w:rFonts w:ascii="Times New Roman" w:eastAsiaTheme="minorHAnsi" w:hAnsi="Times New Roman"/>
        <w:b w:val="0"/>
        <w:bCs w:val="0"/>
        <w:noProof/>
        <w:color w:val="000000" w:themeColor="text1"/>
        <w:sz w:val="24"/>
        <w:szCs w:val="24"/>
        <w:lang w:eastAsia="en-US"/>
      </w:rPr>
      <w:t>IZMAnot_</w:t>
    </w:r>
    <w:r w:rsidR="00BC2653">
      <w:rPr>
        <w:rFonts w:ascii="Times New Roman" w:eastAsiaTheme="minorHAnsi" w:hAnsi="Times New Roman"/>
        <w:b w:val="0"/>
        <w:bCs w:val="0"/>
        <w:noProof/>
        <w:color w:val="000000" w:themeColor="text1"/>
        <w:sz w:val="24"/>
        <w:szCs w:val="24"/>
        <w:lang w:eastAsia="en-US"/>
      </w:rPr>
      <w:t>16</w:t>
    </w:r>
    <w:r w:rsidRPr="00FD049A">
      <w:rPr>
        <w:rFonts w:ascii="Times New Roman" w:eastAsiaTheme="minorHAnsi" w:hAnsi="Times New Roman"/>
        <w:b w:val="0"/>
        <w:bCs w:val="0"/>
        <w:noProof/>
        <w:color w:val="000000" w:themeColor="text1"/>
        <w:sz w:val="24"/>
        <w:szCs w:val="24"/>
        <w:lang w:eastAsia="en-US"/>
      </w:rPr>
      <w:t>0721_ģimnāzijas</w:t>
    </w:r>
    <w:r w:rsidRPr="00FD049A">
      <w:rPr>
        <w:rFonts w:ascii="Times New Roman" w:eastAsiaTheme="minorHAnsi" w:hAnsi="Times New Roman"/>
        <w:b w:val="0"/>
        <w:bCs w:val="0"/>
        <w:color w:val="000000" w:themeColor="text1"/>
        <w:sz w:val="24"/>
        <w:szCs w:val="24"/>
        <w:lang w:eastAsia="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30" w:rsidRPr="00FD049A" w:rsidRDefault="00D9486F" w:rsidP="00CA7DA6">
    <w:pPr>
      <w:pStyle w:val="tv20787921"/>
      <w:spacing w:after="0" w:line="240" w:lineRule="auto"/>
      <w:ind w:left="-142"/>
      <w:jc w:val="both"/>
      <w:rPr>
        <w:rFonts w:ascii="Times New Roman" w:eastAsiaTheme="minorHAnsi" w:hAnsi="Times New Roman"/>
        <w:b w:val="0"/>
        <w:bCs w:val="0"/>
        <w:color w:val="000000" w:themeColor="text1"/>
        <w:sz w:val="24"/>
        <w:szCs w:val="24"/>
        <w:lang w:eastAsia="en-US"/>
      </w:rPr>
    </w:pPr>
    <w:r w:rsidRPr="00FD049A">
      <w:rPr>
        <w:rFonts w:ascii="Times New Roman" w:eastAsiaTheme="minorHAnsi" w:hAnsi="Times New Roman"/>
        <w:b w:val="0"/>
        <w:bCs w:val="0"/>
        <w:color w:val="000000" w:themeColor="text1"/>
        <w:sz w:val="24"/>
        <w:szCs w:val="24"/>
        <w:lang w:eastAsia="en-US"/>
      </w:rPr>
      <w:fldChar w:fldCharType="begin"/>
    </w:r>
    <w:r w:rsidRPr="00FD049A">
      <w:rPr>
        <w:rFonts w:ascii="Times New Roman" w:eastAsiaTheme="minorHAnsi" w:hAnsi="Times New Roman"/>
        <w:b w:val="0"/>
        <w:bCs w:val="0"/>
        <w:color w:val="000000" w:themeColor="text1"/>
        <w:sz w:val="24"/>
        <w:szCs w:val="24"/>
        <w:lang w:eastAsia="en-US"/>
      </w:rPr>
      <w:instrText xml:space="preserve"> FILENAME   \* MERGEFORMAT </w:instrText>
    </w:r>
    <w:r w:rsidRPr="00FD049A">
      <w:rPr>
        <w:rFonts w:ascii="Times New Roman" w:eastAsiaTheme="minorHAnsi" w:hAnsi="Times New Roman"/>
        <w:b w:val="0"/>
        <w:bCs w:val="0"/>
        <w:color w:val="000000" w:themeColor="text1"/>
        <w:sz w:val="24"/>
        <w:szCs w:val="24"/>
        <w:lang w:eastAsia="en-US"/>
      </w:rPr>
      <w:fldChar w:fldCharType="separate"/>
    </w:r>
    <w:r w:rsidRPr="00FD049A">
      <w:rPr>
        <w:rFonts w:ascii="Times New Roman" w:eastAsiaTheme="minorHAnsi" w:hAnsi="Times New Roman"/>
        <w:b w:val="0"/>
        <w:bCs w:val="0"/>
        <w:noProof/>
        <w:color w:val="000000" w:themeColor="text1"/>
        <w:sz w:val="24"/>
        <w:szCs w:val="24"/>
        <w:lang w:eastAsia="en-US"/>
      </w:rPr>
      <w:t>IZMAnot_</w:t>
    </w:r>
    <w:r w:rsidR="00BC2653">
      <w:rPr>
        <w:rFonts w:ascii="Times New Roman" w:eastAsiaTheme="minorHAnsi" w:hAnsi="Times New Roman"/>
        <w:b w:val="0"/>
        <w:bCs w:val="0"/>
        <w:noProof/>
        <w:color w:val="000000" w:themeColor="text1"/>
        <w:sz w:val="24"/>
        <w:szCs w:val="24"/>
        <w:lang w:eastAsia="en-US"/>
      </w:rPr>
      <w:t>16</w:t>
    </w:r>
    <w:r w:rsidRPr="00FD049A">
      <w:rPr>
        <w:rFonts w:ascii="Times New Roman" w:eastAsiaTheme="minorHAnsi" w:hAnsi="Times New Roman"/>
        <w:b w:val="0"/>
        <w:bCs w:val="0"/>
        <w:noProof/>
        <w:color w:val="000000" w:themeColor="text1"/>
        <w:sz w:val="24"/>
        <w:szCs w:val="24"/>
        <w:lang w:eastAsia="en-US"/>
      </w:rPr>
      <w:t>0721_ģimnāzijas</w:t>
    </w:r>
    <w:r w:rsidRPr="00FD049A">
      <w:rPr>
        <w:rFonts w:ascii="Times New Roman" w:eastAsiaTheme="minorHAnsi" w:hAnsi="Times New Roman"/>
        <w:b w:val="0"/>
        <w:bCs w:val="0"/>
        <w:color w:val="000000" w:themeColor="text1"/>
        <w:sz w:val="24"/>
        <w:szCs w:val="24"/>
        <w:lang w:eastAsia="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591" w:rsidRDefault="002E6591" w:rsidP="00661CC2">
      <w:r>
        <w:separator/>
      </w:r>
    </w:p>
  </w:footnote>
  <w:footnote w:type="continuationSeparator" w:id="0">
    <w:p w:rsidR="002E6591" w:rsidRDefault="002E6591" w:rsidP="00661C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30" w:rsidRDefault="00D9486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208">
      <w:rPr>
        <w:rStyle w:val="PageNumber"/>
        <w:noProof/>
      </w:rPr>
      <w:t>3</w:t>
    </w:r>
    <w:r>
      <w:rPr>
        <w:rStyle w:val="PageNumber"/>
      </w:rPr>
      <w:fldChar w:fldCharType="end"/>
    </w:r>
  </w:p>
  <w:p w:rsidR="00B04630" w:rsidRPr="00FD049A" w:rsidRDefault="002E6591">
    <w:pPr>
      <w:pStyle w:val="Head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C2"/>
    <w:rsid w:val="000C3CF7"/>
    <w:rsid w:val="000D5F3B"/>
    <w:rsid w:val="00157EBC"/>
    <w:rsid w:val="002E6591"/>
    <w:rsid w:val="00414208"/>
    <w:rsid w:val="00661CC2"/>
    <w:rsid w:val="006A2995"/>
    <w:rsid w:val="008D31F0"/>
    <w:rsid w:val="00B15EAF"/>
    <w:rsid w:val="00BC2653"/>
    <w:rsid w:val="00D201E8"/>
    <w:rsid w:val="00D9486F"/>
    <w:rsid w:val="00DD2742"/>
    <w:rsid w:val="00E2688F"/>
    <w:rsid w:val="00E868B5"/>
    <w:rsid w:val="00F156F5"/>
    <w:rsid w:val="00F74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717B5D2"/>
  <w15:chartTrackingRefBased/>
  <w15:docId w15:val="{D7A42BE4-8CB6-4B2C-A98E-C7B964B6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C2"/>
    <w:pPr>
      <w:spacing w:after="0" w:line="240" w:lineRule="auto"/>
    </w:pPr>
    <w:rPr>
      <w:rFonts w:ascii="Times New Roman" w:eastAsia="Calibri" w:hAnsi="Times New Roman" w:cs="Times New Roman"/>
      <w:sz w:val="24"/>
      <w:szCs w:val="24"/>
      <w:lang w:eastAsia="lv-LV"/>
    </w:rPr>
  </w:style>
  <w:style w:type="paragraph" w:styleId="Heading1">
    <w:name w:val="heading 1"/>
    <w:basedOn w:val="Normal"/>
    <w:next w:val="Normal"/>
    <w:link w:val="Heading1Char"/>
    <w:qFormat/>
    <w:rsid w:val="00661CC2"/>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CC2"/>
    <w:rPr>
      <w:rFonts w:ascii="Arial" w:eastAsia="Times New Roman" w:hAnsi="Arial" w:cs="Arial"/>
      <w:b/>
      <w:bCs/>
      <w:kern w:val="32"/>
      <w:sz w:val="32"/>
      <w:szCs w:val="32"/>
    </w:rPr>
  </w:style>
  <w:style w:type="paragraph" w:styleId="Header">
    <w:name w:val="header"/>
    <w:basedOn w:val="Normal"/>
    <w:link w:val="HeaderChar"/>
    <w:uiPriority w:val="99"/>
    <w:rsid w:val="00661CC2"/>
    <w:pPr>
      <w:tabs>
        <w:tab w:val="center" w:pos="4153"/>
        <w:tab w:val="right" w:pos="8306"/>
      </w:tabs>
    </w:pPr>
  </w:style>
  <w:style w:type="character" w:customStyle="1" w:styleId="HeaderChar">
    <w:name w:val="Header Char"/>
    <w:basedOn w:val="DefaultParagraphFont"/>
    <w:link w:val="Header"/>
    <w:uiPriority w:val="99"/>
    <w:rsid w:val="00661CC2"/>
    <w:rPr>
      <w:rFonts w:ascii="Times New Roman" w:eastAsia="Calibri" w:hAnsi="Times New Roman" w:cs="Times New Roman"/>
      <w:sz w:val="24"/>
      <w:szCs w:val="24"/>
      <w:lang w:eastAsia="lv-LV"/>
    </w:rPr>
  </w:style>
  <w:style w:type="character" w:styleId="PageNumber">
    <w:name w:val="page number"/>
    <w:basedOn w:val="DefaultParagraphFont"/>
    <w:semiHidden/>
    <w:rsid w:val="00661CC2"/>
    <w:rPr>
      <w:rFonts w:cs="Times New Roman"/>
    </w:rPr>
  </w:style>
  <w:style w:type="paragraph" w:customStyle="1" w:styleId="naiskr">
    <w:name w:val="naiskr"/>
    <w:basedOn w:val="Normal"/>
    <w:rsid w:val="00661CC2"/>
    <w:pPr>
      <w:spacing w:before="75" w:after="75"/>
    </w:pPr>
    <w:rPr>
      <w:rFonts w:eastAsia="Times New Roman"/>
    </w:rPr>
  </w:style>
  <w:style w:type="paragraph" w:customStyle="1" w:styleId="tv20787921">
    <w:name w:val="tv207_87_921"/>
    <w:basedOn w:val="Normal"/>
    <w:rsid w:val="00661CC2"/>
    <w:pPr>
      <w:spacing w:after="567" w:line="360" w:lineRule="auto"/>
      <w:jc w:val="center"/>
    </w:pPr>
    <w:rPr>
      <w:rFonts w:ascii="Verdana" w:eastAsia="Times New Roman" w:hAnsi="Verdana"/>
      <w:b/>
      <w:bCs/>
      <w:sz w:val="28"/>
      <w:szCs w:val="28"/>
    </w:rPr>
  </w:style>
  <w:style w:type="table" w:styleId="TableGrid">
    <w:name w:val="Table Grid"/>
    <w:basedOn w:val="TableNormal"/>
    <w:uiPriority w:val="39"/>
    <w:rsid w:val="00661CC2"/>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61CC2"/>
    <w:pPr>
      <w:spacing w:before="100" w:beforeAutospacing="1" w:after="100" w:afterAutospacing="1"/>
    </w:pPr>
    <w:rPr>
      <w:rFonts w:eastAsia="Times New Roman"/>
    </w:rPr>
  </w:style>
  <w:style w:type="paragraph" w:customStyle="1" w:styleId="Standard">
    <w:name w:val="Standard"/>
    <w:rsid w:val="00661CC2"/>
    <w:pPr>
      <w:suppressAutoHyphens/>
      <w:autoSpaceDN w:val="0"/>
      <w:spacing w:after="200" w:line="276" w:lineRule="auto"/>
    </w:pPr>
    <w:rPr>
      <w:rFonts w:ascii="Calibri" w:eastAsia="Times New Roman" w:hAnsi="Calibri" w:cs="Calibri"/>
      <w:kern w:val="3"/>
      <w:lang w:eastAsia="lv-LV"/>
    </w:rPr>
  </w:style>
  <w:style w:type="paragraph" w:styleId="NoSpacing">
    <w:name w:val="No Spacing"/>
    <w:uiPriority w:val="1"/>
    <w:qFormat/>
    <w:rsid w:val="00661CC2"/>
    <w:pPr>
      <w:spacing w:after="0" w:line="240" w:lineRule="auto"/>
    </w:pPr>
    <w:rPr>
      <w:rFonts w:ascii="Calibri" w:eastAsia="Calibri" w:hAnsi="Calibri" w:cs="Times New Roman"/>
    </w:rPr>
  </w:style>
  <w:style w:type="paragraph" w:customStyle="1" w:styleId="naislab">
    <w:name w:val="naislab"/>
    <w:basedOn w:val="Normal"/>
    <w:rsid w:val="00661CC2"/>
    <w:pPr>
      <w:spacing w:before="75" w:after="75"/>
      <w:jc w:val="right"/>
    </w:pPr>
    <w:rPr>
      <w:rFonts w:eastAsia="Times New Roman"/>
    </w:rPr>
  </w:style>
  <w:style w:type="paragraph" w:styleId="Footer">
    <w:name w:val="footer"/>
    <w:basedOn w:val="Normal"/>
    <w:link w:val="FooterChar"/>
    <w:uiPriority w:val="99"/>
    <w:unhideWhenUsed/>
    <w:rsid w:val="00661CC2"/>
    <w:pPr>
      <w:tabs>
        <w:tab w:val="center" w:pos="4153"/>
        <w:tab w:val="right" w:pos="8306"/>
      </w:tabs>
    </w:pPr>
  </w:style>
  <w:style w:type="character" w:customStyle="1" w:styleId="FooterChar">
    <w:name w:val="Footer Char"/>
    <w:basedOn w:val="DefaultParagraphFont"/>
    <w:link w:val="Footer"/>
    <w:uiPriority w:val="99"/>
    <w:rsid w:val="00661CC2"/>
    <w:rPr>
      <w:rFonts w:ascii="Times New Roman" w:eastAsia="Calibri" w:hAnsi="Times New Roman" w:cs="Times New Roman"/>
      <w:sz w:val="24"/>
      <w:szCs w:val="24"/>
      <w:lang w:eastAsia="lv-LV"/>
    </w:rPr>
  </w:style>
  <w:style w:type="character" w:styleId="Hyperlink">
    <w:name w:val="Hyperlink"/>
    <w:basedOn w:val="DefaultParagraphFont"/>
    <w:uiPriority w:val="99"/>
    <w:unhideWhenUsed/>
    <w:rsid w:val="00B15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zm.gov.lv/lv/sabiedriskajai-apspriesanai-nodotie-normativo-aktu-projekti-2021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0759-izglitibas-likum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6387</Words>
  <Characters>3642</Characters>
  <Application>Microsoft Office Word</Application>
  <DocSecurity>0</DocSecurity>
  <Lines>30</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Microsoft</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11</cp:revision>
  <dcterms:created xsi:type="dcterms:W3CDTF">2021-07-19T07:28:00Z</dcterms:created>
  <dcterms:modified xsi:type="dcterms:W3CDTF">2021-07-20T07:29:00Z</dcterms:modified>
</cp:coreProperties>
</file>