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struktūrfondu un</w:t>
      </w:r>
      <w:r>
        <w:br/>
      </w:r>
      <w:r w:rsidR="00000000" w:rsidRPr="00000000" w:rsidDel="00000000">
        <w:rPr>
          <w:rStyle w:val="paragraph"/>
          <w:i w:val="1"/>
          <w:rtl w:val="0"/>
        </w:rPr>
        <w:t xml:space="preserve">Kohēzijas fonda 2014.–2020. gada plānošanas perioda</w:t>
      </w:r>
      <w:r>
        <w:br/>
      </w:r>
      <w:r w:rsidR="00000000" w:rsidRPr="00000000" w:rsidDel="00000000">
        <w:rPr>
          <w:rStyle w:val="paragraph"/>
          <w:i w:val="1"/>
          <w:rtl w:val="0"/>
        </w:rPr>
        <w:t xml:space="preserve">vadības likuma 20. panta 6. un 13. punktu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Izdarīt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(Latvijas Vēstnesis, 2016, 14. nr.; 2017, 76. nr.; 2018, 43., 96. nr.; 2019, 7., 129. nr.; 2020, 94. nr.; 2021, 72. nr.) šādus grozījumus: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Izteikt noteikumu nosaukumu šādā redakcijā:</w:t>
      </w:r>
    </w:p>
    <w:p w:rsidP="00000000" w:rsidRDefault="00000000" w:rsidR="00000000" w:rsidRPr="00000000" w:rsidDel="00000000">
      <w:pPr>
        <w:numPr>
          <w:ilvl w:val="2"/>
          <w:numId w:val="1"/>
        </w:numPr>
        <w:ind w:left="0" w:hanging="0"/>
        <w:jc w:val="center"/>
        <w:contextualSpacing w:val="0"/>
        <w:spacing w:before="0"/>
        <w:rPr>
          <w:u w:val="none"/>
        </w:rPr>
      </w:pPr>
      <w:r w:rsidR="00000000" w:rsidRPr="00000000" w:rsidDel="00000000">
        <w:rPr>
          <w:b w:val="1"/>
          <w:rtl w:val="0"/>
        </w:rPr>
        <w:t xml:space="preserve"/>
      </w:r>
      <w:r w:rsidR="00000000" w:rsidRPr="00000000" w:rsidDel="00000000">
        <w:rPr>
          <w:b w:val="1"/>
          <w:rtl w:val="0"/>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un 13.1.2. specifiskā atbalsta mērķa "Atveseļošanas pasākumi izglītības un pētniecības nozarē (ERAF)" 13.1.2.1. pasākuma "Praktiskas ievirzes pētījumi" īstenošanas noteikumi".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Izteikt 1.1. apakšpunktu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"1.1. 1.1. kārtību, kādā īsteno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pasākumu "Praktiskas ievirzes pētījumi" (turpmāk – 1.1.1.1. pasākums) un 13.1.2. specifiskā atbalsta mērķa "Atveseļošanas pasākumi izglītības  un pētniecības nozarē (ERAF) " 13.1.2.1. pasākuma "Praktiskas ievirzes pētījumi" (turpmāk – 13.1.2.1. pasākums) (turpmāk abi kopā – pasākums);".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Izteikt 7.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 1.1.1.1. pasākuma ietvaros ir sasniedzami šādi uzraudzības rādītāji:</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 iznākuma rādītāji līdz 2018. gada 31. decembrim:</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7.1.1. jaunu pētnieku skaits atbalstītajās vienībās (pilnas slodzes ekvivalents) – 23;</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7.1.2. zinātnisko rakstu skaits, kuru izstrādei un publicēšanai sniegts atbalsts projektu ietvaros, – 29;</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7.1.3. jaunu produktu un tehnoloģiju skaits, kas ir komercializējamas un kuru izstrādei sniegts atbalsts projektu ietvaros, – 37;</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7.1.4. privātās investīcijas, kas papildina valsts atbalstu inovācijām vai pētniecības un izstrādes projektiem, – 1 925 000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7.1.5. komersantu skaits, kuri sadarbojas ar pētniecības institūcijām, – 15;</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7.2. finanšu rādītāji līdz 2018. gada 31. decembrim – sertificēti izdevumi 16 733 925 </w:t>
      </w:r>
      <w:r w:rsidR="00000000" w:rsidRPr="00000000" w:rsidDel="00000000">
        <w:rPr>
          <w:i w:val="1"/>
          <w:rtl w:val="0"/>
        </w:rPr>
        <w:t xml:space="preserve">euro</w:t>
      </w:r>
      <w:r w:rsidR="00000000" w:rsidRPr="00000000" w:rsidDel="00000000">
        <w:rPr>
          <w:rtl w:val="0"/>
        </w:rPr>
        <w:t xml:space="preserve"> apmērā;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 iznākuma rādītāji līdz 2023. gada 31. decembrim:</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7.3.1. jaunu pētnieku skaits atbalstītajās vienībās (pilnas slodzes ekvivalents) – 59;</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7.3.2. zinātnisko rakstu skaits, kuru izstrādei un publicēšanai sniegts atbalsts projektu iesniegumu ietvaros, – 385;</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7.3.3. jaunu produktu un tehnoloģiju skaits, kas ir komercializējamas un kuru izstrādei sniegts atbalsts projektu iesniegumu ietvaros, – 305;</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7.3.4. privātās investīcijas, kas papildina valsts atbalstu inovācijām vai pētniecības un izstrādes projektiem, – 11 846 013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7.3.5. komersantu skaits, kuri sadarbojas ar pētniecības institūcijām, – 119;</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7.3.6. jauno zinātnieku skaits (pilnas slodzes ekvivalents), kuri projekta ietvaros pilnveidojuši kompetenci, ieskaitot karjeras izaugsmes un personāla atjaunotnes procesus, – 290;</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7.4. rezultāta rādītāji līdz 2023. gada 31. decembrim, kas sasniedzami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koprezultātā: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7.4.1. vidējais zinātnisko publikāciju skaits uz vienu zinātniskā personāla PLE gadā – 0,48;</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7.4.2. valsts un augstākās izglītības sektora piesaistītais ārējais finansējums zinātniski pētnieciskajam darbam – 160 600 000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Papildināt ar 7.</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13.1.2.1. pasākuma ietvaros līdz 2023. gada 31. decembrim ir sasniedzami šādi uzraudzības rādītāji:</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1. iznākuma rādītājs: jauno produktu un tehnoloģiju skaits, kas ir komercializējami un kuru izstrādei sniegts atbalsts, prototipu skaits, – 23;</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2. specifiskais rezultātā rādītājs: P&amp;A granti COVID-19 ārstēšanai (medikamenti) un vakcīnām (kopējās publiskās izmaksas, EUR), – 2 000 000 euro."</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Izteikt 11.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"11. Pasākumiem plānotais kopējais attiecināmais publiskais finansējums ir 111 946 874 euro (tai skaitā 13.1.2.1. pasākuma publiskais finansējums – 11 000 000 euro), ko veido Eiropas Reģionālās attīstības fonda finansējums 96 380 094 euro apmērā (tai skaitā finansējums Atveseļošanas palīdzība kohēzijai un Eiropas teritorijām (turpmāk – REACT-EU finansējums) 9 176 056 euro apmērā) un valsts budžeta līdzfinansējums 15 566 780 euro apmērā (tai skaitā REACT-EU finansējums 1 823 944 euro apmērā)."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Izteikt 12.</w:t>
      </w:r>
      <w:r w:rsidR="00000000" w:rsidRPr="00000000" w:rsidDel="00000000">
        <w:rPr>
          <w:vertAlign w:val="superscript"/>
          <w:rtl w:val="0"/>
        </w:rPr>
        <w:t xml:space="preserve">2</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 Trešajā projektu iesniegumu atlases kārtā pieejamais kopējais attiecināmais publiskais finansējums ir ne vairāk kā 19 381 696 euro (tai skaitā 13.1.2.1. pasākuma publiskais finansējums – 1 554 916 euro), ko veido Eiropas Reģionālās attīstības fonda finansējums ne vairāk kā 15 044 401 euro apmērā (tai skaitā REACT-EU finansējums – 971 613 euro) un valsts budžeta finansējums ne vairāk kā 4 337 295 euro apmērā (tai skaitā REACT-EU finansējums – 583 303 euro), tai skaitā: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1. ar saimniecisku darbību nesaistītiem projektiem:</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1.1. pasākumu ietvaros pieejamā kopējā attiecināmā publiskā finansējuma apmērs ir ne vairāk kā 11 561 953  euro, ko veido Eiropas Reģionālās attīstības fonda finansējums ne vairāk kā 7 224 658 euro apmērā (tai skaitā REACT-EU finansējums ne vairāk kā 971 613 euro apmērā) un valsts budžeta finansējums ne vairāk kā 4 337 295 euro apmērā (tai skaitā REACT-EU finansējums ne vairāk kā 583 303 euro apmērā);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1.2. maksimālā publiskā finansējuma intensitāte ir 92,5 procenti, ko veido:</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1.2.1. valsts budžeta atbalsta intensitāte – 34,70 procenti;</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1.2.2. Eiropas Reģionālās attīstības fonda atbalsta intensitāte – 57,80 procenti;</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2. ar saimniecisku darbību saistītiem projektiem pieejamā kopējā attiecināmā publiskā finansējuma apmērs ir ne vairāk kā 7 819 743 </w:t>
      </w:r>
      <w:r w:rsidR="00000000" w:rsidRPr="00000000" w:rsidDel="00000000">
        <w:rPr>
          <w:i w:val="1"/>
          <w:rtl w:val="0"/>
        </w:rPr>
        <w:t xml:space="preserve">euro</w:t>
      </w:r>
      <w:r w:rsidR="00000000" w:rsidRPr="00000000" w:rsidDel="00000000">
        <w:rPr>
          <w:rtl w:val="0"/>
        </w:rPr>
        <w:t xml:space="preserve">, ko veido Eiropas Reģionālās attīstības fonda finansējums."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Izteikt 12.</w:t>
      </w:r>
      <w:r w:rsidR="00000000" w:rsidRPr="00000000" w:rsidDel="00000000">
        <w:rPr>
          <w:vertAlign w:val="superscript"/>
          <w:rtl w:val="0"/>
        </w:rPr>
        <w:t xml:space="preserve">3</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 Ceturtajā projektu iesniegumu atlases kārtā plānotais kopējais attiecināmais publiskais finansējums ir ne vairāk kā 22 064 958 euro (tai skaitā 13.1.2.1. pasākuma finansējums – 4 445 084 euro), ko veido Eiropas Reģionālās attīstības fonda finansējums, un tā apmērs ir ne lielāks kā 20 545 619 euro (tai skaitā REACT-EU finansējums – 3 954 443 euro), un valsts budžeta finansējums, kura apmērs ir ne lielāks kā 1 519 339 euro (tai skaitā REACT-EU finansējums – 490 641 euro), tai skaitā: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 ar saimniecisku darbību nesaistītiem projektiem:</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1.1. pasākumu ietvaros pieejamā kopējā attiecināmā publiskā finansējuma apmērs ir ne mazāk kā 12 907 968 euro, ko veido Eiropas Reģionālās attīstības fonda finansējums ne vairāk kā 11 388 629 euro apmērā (tai skaitā REACT-EU finansējums ne vairāk kā 3 954 443 euro) un valsts budžeta finansējums ne mazāk kā 1 519 339 euro apmērā (tai skaitā REACT-EU finansējums ne vairāk kā 490 641 euro);</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1.2. maksimālā publiskā finansējuma intensitāte ir 92,50 procenti, ko veido:</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1.2.1. valsts budžeta atbalsta intensitāte – 10,21 procents;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1.2.2. Eiropas Reģionālās attīstības fonda atbalsta intensitāte – 82,29 procenti;</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2. ar saimniecisku darbību saistītiem projektiem pieejamā kopējā attiecināmā publiskā finansējuma apmērs ir ne mazāk kā 9 156 990 </w:t>
      </w:r>
      <w:r w:rsidR="00000000" w:rsidRPr="00000000" w:rsidDel="00000000">
        <w:rPr>
          <w:i w:val="1"/>
          <w:rtl w:val="0"/>
        </w:rPr>
        <w:t xml:space="preserve">euro</w:t>
      </w:r>
      <w:r w:rsidR="00000000" w:rsidRPr="00000000" w:rsidDel="00000000">
        <w:rPr>
          <w:rtl w:val="0"/>
        </w:rPr>
        <w:t xml:space="preserve">, ko veido Eiropas Reģionālās attīstības fonda finansējums."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Izteikt 12.</w:t>
      </w:r>
      <w:r w:rsidR="00000000" w:rsidRPr="00000000" w:rsidDel="00000000">
        <w:rPr>
          <w:vertAlign w:val="superscript"/>
          <w:rtl w:val="0"/>
        </w:rPr>
        <w:t xml:space="preserve">4</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 Piektajā projektu iesniegumu atlases kārtā plānotais kopējais attiecināmais publiskais finansējums ir 8 358 395 euro, ko veido Eiropas Reģionālās attīstības fonda finansējums, kas nepārsniedz 85 % no kopējā piektajā projektu iesniegumu atlases kārtā plānotā attiecināmā finansējuma un tā apmērs ir 7 225 657 euro (tai skaitā REACT-EU finansējums – 4 250 000 euro), un valsts budžeta finansējums 1 132 738 euro apmērā (tai skaitā REACT-EU finansējums - 750 000 euro), tai skaitā: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1. šo noteikumu 12.</w:t>
      </w:r>
      <w:r w:rsidR="00000000" w:rsidRPr="00000000" w:rsidDel="00000000">
        <w:rPr>
          <w:vertAlign w:val="superscript"/>
          <w:rtl w:val="0"/>
        </w:rPr>
        <w:t xml:space="preserve">5 </w:t>
      </w:r>
      <w:r w:rsidR="00000000" w:rsidRPr="00000000" w:rsidDel="00000000">
        <w:rPr>
          <w:rtl w:val="0"/>
        </w:rPr>
        <w:t xml:space="preserve">1. apakšpunktā minētajās tematiskajās jomās: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1.1. kopējais attiecināmais publiskais finansējums ir 5 000 000 euro, ko veido REACT-EU finansējums, tai skaitā Eiropas Reģionālās attīstības fonda finansējums 4 250 000 euro apmērā un valsts budžeta finansējums 750 000 euro apmērā;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1.2. maksimālā publiskā finansējuma intensitāte ir 100 %, ko veido:</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1.2.1. valsts budžeta atbalsta intensitāte – 15 %;</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1.2.2. Eiropas Reģionālās attīstības fonda atbalsta intensitāte – 85 %;</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2. šo noteikumu 12.</w:t>
      </w:r>
      <w:r w:rsidR="00000000" w:rsidRPr="00000000" w:rsidDel="00000000">
        <w:rPr>
          <w:vertAlign w:val="superscript"/>
          <w:rtl w:val="0"/>
        </w:rPr>
        <w:t xml:space="preserve">5</w:t>
      </w:r>
      <w:r w:rsidR="00000000" w:rsidRPr="00000000" w:rsidDel="00000000">
        <w:rPr>
          <w:rtl w:val="0"/>
        </w:rPr>
        <w:t xml:space="preserve"> 2. apakšpunktā minētajās tematiskajās jomās: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2.1. pieejamā kopējā attiecināmā publiskā finansējuma apmērs ir 3 358 395 </w:t>
      </w:r>
      <w:r w:rsidR="00000000" w:rsidRPr="00000000" w:rsidDel="00000000">
        <w:rPr>
          <w:i w:val="1"/>
          <w:rtl w:val="0"/>
        </w:rPr>
        <w:t xml:space="preserve">euro</w:t>
      </w:r>
      <w:r w:rsidR="00000000" w:rsidRPr="00000000" w:rsidDel="00000000">
        <w:rPr>
          <w:rtl w:val="0"/>
        </w:rPr>
        <w:t xml:space="preserve">, ko veido Eiropas Reģionālās attīstības fonda finansējums 2 975 657 </w:t>
      </w:r>
      <w:r w:rsidR="00000000" w:rsidRPr="00000000" w:rsidDel="00000000">
        <w:rPr>
          <w:i w:val="1"/>
          <w:rtl w:val="0"/>
        </w:rPr>
        <w:t xml:space="preserve">euro</w:t>
      </w:r>
      <w:r w:rsidR="00000000" w:rsidRPr="00000000" w:rsidDel="00000000">
        <w:rPr>
          <w:rtl w:val="0"/>
        </w:rPr>
        <w:t xml:space="preserve"> apmērā un valsts budžeta finansējums 382 738 </w:t>
      </w:r>
      <w:r w:rsidR="00000000" w:rsidRPr="00000000" w:rsidDel="00000000">
        <w:rPr>
          <w:i w:val="1"/>
          <w:rtl w:val="0"/>
        </w:rPr>
        <w:t xml:space="preserve">euro</w:t>
      </w:r>
      <w:r w:rsidR="00000000" w:rsidRPr="00000000" w:rsidDel="00000000">
        <w:rPr>
          <w:rtl w:val="0"/>
        </w:rPr>
        <w:t xml:space="preserve"> apmērā;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2.2. maksimālā publiskā finansējuma intensitāte ir 92,5 %, ko veido:</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2.2.1. valsts budžeta atbalsta intensitāte – 10,54 %;</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4</w:t>
      </w:r>
      <w:r w:rsidR="00000000" w:rsidRPr="00000000" w:rsidDel="00000000">
        <w:rPr>
          <w:rtl w:val="0"/>
        </w:rPr>
        <w:t xml:space="preserve">2.2.2. Eiropas Reģionālās attīstības fonda atbalsta intensitāte – 81,96 %."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Izteikt 20.</w:t>
      </w:r>
      <w:r w:rsidR="00000000" w:rsidRPr="00000000" w:rsidDel="00000000">
        <w:rPr>
          <w:vertAlign w:val="superscript"/>
          <w:rtl w:val="0"/>
        </w:rPr>
        <w:t xml:space="preserve">2</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 Projektu iesniegumu atlases kārtība otrajā, trešajā un ceturtajā projektu iesniegumu atlases kārtā ir šāda:</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1. projekta iesniegumu vērtē un salīdzina attiecīgi šo noteikumu 21. punktā minēto projektu iesniegumu kopas un šo noteikumu 22. punktā minēto projektu iesniegumu kopas ietvaros;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 katrai izlases kopai piemēro šādus nosacījumus: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2.1. prioritāri atbalstāms projekta iesniegums, kurš kvalitātes kritēriju vērtējuma kopsummā ir saņēmis lielāku punktu skaitu;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2.2. ja vairāku projektu iesniegumu kvalitātes vērtējuma kopsumma ir vienāda, prioritāri atbalstāms projekta iesniegums, kurš kvalitātes kritērijā "Izcilība" ir saņēmis augstāku vērtējumu;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2.3. ja vairāku projektu iesniegumu vērtējums kvalitātes kritērijā "Izcilība" ir vienāds, prioritāri atbalstāms projekta iesniegums, kura rezultāti tieši sekmē Latvijas inovācijas kapacitātes palielināšanos atbilstoši šo noteikumu 24.</w:t>
      </w:r>
      <w:r w:rsidR="00000000" w:rsidRPr="00000000" w:rsidDel="00000000">
        <w:rPr>
          <w:vertAlign w:val="superscript"/>
          <w:rtl w:val="0"/>
        </w:rPr>
        <w:t xml:space="preserve">1</w:t>
      </w:r>
      <w:r w:rsidR="00000000" w:rsidRPr="00000000" w:rsidDel="00000000">
        <w:rPr>
          <w:rtl w:val="0"/>
        </w:rPr>
        <w:t xml:space="preserve"> 2. apakšpunkta nosacījumiem šādā secībā: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2.3.1. tehnoloģiju tiesību komercializācija;</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2.3.2. reģistrētas tehnoloģiju tiesības;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2.3.3. oriģināli zinātniskie raksti, kas publicēti žurnālos vai konferenču rakstu krājumos, kuru citēšanas indekss sasniedz vismaz 50 procentus no nozares vidējā citēšanas indeksa."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Papildināt ar 20.</w:t>
      </w:r>
      <w:r w:rsidR="00000000" w:rsidRPr="00000000" w:rsidDel="00000000">
        <w:rPr>
          <w:vertAlign w:val="superscript"/>
          <w:rtl w:val="0"/>
        </w:rPr>
        <w:t xml:space="preserve">3</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 Projektu iesniegumu atlases kārtība piektajā projektu iesniegumu atlases kārtā ir šāda:</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1. projekta iesniegumu vērtē un salīdzina attiecīgi šo noteikumu 12.5 1. apakšpunktā minēto projektu iesniegumu kopas un šo noteikumu 12.5 2. apakšpunktā minēto projektu iesniegumu kopas ietvaros;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 katrai izlases kopai piemēro šādus nosacījumus: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2.1. prioritāri atbalstāms projekta iesniegums, kurš kvalitātes kritēriju vērtējuma kopsummā ir saņēmis lielāku punktu skaitu;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2.2. ja vairāku projektu iesniegumu kvalitātes vērtējuma kopsumma ir vienāda, prioritāri atbalstāms projekta iesniegums, kurš kvalitātes kritērijā "Izcilība" ir saņēmis augstāku vērtējumu;</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2.3. 2.3. ja vairāku projektu iesniegumu vērtējums kvalitātes kritērijā "Izcilība" ir vienāds, prioritāri atbalstāms projekta iesniegums, kura rezultāti tieši sekmē Latvijas inovācijas kapacitātes palielināšanos atbilstoši šo noteikumu 24.1 2. apakšpunkta nosacījumiem šādā secībā: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2.3.1. tehnoloģiju tiesību komercializācija;</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2.3.2. reģistrētas tehnoloģiju tiesības;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2.3.3. oriģināli zinātniskie raksti, kas publicēti žurnālos vai konferenču rakstu krājumos, kuru citēšanas indekss sasniedz vismaz 50 procentus no nozares vidējā citēšanas indeksa."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Izteikt 50.1. apakšpunktu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"50.1. pirmajā, otrajā, trešajā un ceturtajā projektu iesniegumu atlases kārtā: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50.1.1. 92,5 procenti šo noteikumu 21. punktā minētajos gadījumos;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50.1.2. 50 procenti šo noteikumu 22. punktā minētajos gadījumos."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Izteikt 50.2. apakšpunktu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"50.2. piektajā projektu iesniegumu atlases kārtā: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50.2.1. 100 procenti šo noteikumu 12.5 1. apakšpunktā minētajos gadījumos;</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50.2.2. 92,5 procenti šo noteikumu 12.5 2. apakšpunktā minētajos gadījumos."</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21-TA-1538</w:t>
    </w:r>
    <w:r>
      <w:br/>
    </w:r>
    <w:r w:rsidR="00000000" w:rsidRPr="00000000" w:rsidDel="00000000">
      <w:rPr>
        <w:rtl w:val="0"/>
      </w:rPr>
      <w:t xml:space="preserve">Izdrukāts 10.12.2021. 15.16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21-TA-1538</w:t>
    </w:r>
    <w:r>
      <w:br/>
    </w:r>
    <w:r w:rsidR="00000000" w:rsidRPr="00000000" w:rsidDel="00000000">
      <w:rPr>
        <w:rtl w:val="0"/>
      </w:rPr>
      <w:t xml:space="preserve">Izdrukāts 10.12.2021. 15.16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noteikumu_(grozījumu)_projekts_21-TA-1538.docx</dc:title>
</cp:coreProperties>
</file>

<file path=docProps/custom.xml><?xml version="1.0" encoding="utf-8"?>
<Properties xmlns="http://schemas.openxmlformats.org/officeDocument/2006/custom-properties" xmlns:vt="http://schemas.openxmlformats.org/officeDocument/2006/docPropsVTypes"/>
</file>