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Grozījumi Ministru kabineta 2016. gada 19. janvāra noteikumos Nr. 50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w:t>
      </w:r>
    </w:p>
    <w:p w:rsidP="00000000" w:rsidRDefault="00000000" w:rsidR="00000000" w:rsidRPr="00000000" w:rsidDel="00000000">
      <w:pPr>
        <w:pStyle w:val="paragraph"/>
        <w:contextualSpacing w:val="0"/>
        <w:jc w:val="right"/>
        <w:ind w:left="4820"/>
        <w:spacing w:lineRule="auto" w:line="240"/>
        <w:pBdr/>
      </w:pPr>
      <w:r w:rsidR="00000000" w:rsidRPr="00000000" w:rsidDel="00000000">
        <w:rPr>
          <w:rStyle w:val="paragraph"/>
          <w:rtl w:val="0"/>
        </w:rPr>
        <w:t xml:space="preserve"/>
      </w:r>
      <w:r w:rsidR="00000000" w:rsidRPr="00000000" w:rsidDel="00000000">
        <w:rPr>
          <w:rStyle w:val="paragraph"/>
          <w:i w:val="1"/>
          <w:rtl w:val="0"/>
        </w:rPr>
        <w:t xml:space="preserve">Izdoti saskaņā ar Eiropas Savienības struktūrfondu un</w:t>
      </w:r>
      <w:r>
        <w:br/>
      </w:r>
      <w:r w:rsidR="00000000" w:rsidRPr="00000000" w:rsidDel="00000000">
        <w:rPr>
          <w:rStyle w:val="paragraph"/>
          <w:i w:val="1"/>
          <w:rtl w:val="0"/>
        </w:rPr>
        <w:t xml:space="preserve">Kohēzijas fonda 2014.–2020. gada plānošanas perioda</w:t>
      </w:r>
      <w:r>
        <w:br/>
      </w:r>
      <w:r w:rsidR="00000000" w:rsidRPr="00000000" w:rsidDel="00000000">
        <w:rPr>
          <w:rStyle w:val="paragraph"/>
          <w:i w:val="1"/>
          <w:rtl w:val="0"/>
        </w:rPr>
        <w:t xml:space="preserve">vadības likuma 20. panta 6. un 13. punktu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Izdarīt Ministru kabineta 2016. gada 19. janvāra noteikumos Nr. 50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 (Latvijas Vēstnesis, 2016, 19., 242. nr.; 2017, 193. nr.; 2019, 7., 68. nr.; 2020, 94. nr.; 2021, 69. nr.) šādus grozījumus: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Izteikt 9.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"9. Pasākumam pieejamais kopējais attiecināmais finansējums ir 47 334 486 </w:t>
      </w:r>
      <w:r w:rsidR="00000000" w:rsidRPr="00000000" w:rsidDel="00000000">
        <w:rPr>
          <w:i w:val="1"/>
          <w:rtl w:val="0"/>
        </w:rPr>
        <w:t xml:space="preserve">euro</w:t>
      </w:r>
      <w:r w:rsidR="00000000" w:rsidRPr="00000000" w:rsidDel="00000000">
        <w:rPr>
          <w:rtl w:val="0"/>
        </w:rPr>
        <w:t xml:space="preserve">, tai skaitā Eiropas Reģionālās attīstības fonda finansējums – 39 882 206 </w:t>
      </w:r>
      <w:r w:rsidR="00000000" w:rsidRPr="00000000" w:rsidDel="00000000">
        <w:rPr>
          <w:i w:val="1"/>
          <w:rtl w:val="0"/>
        </w:rPr>
        <w:t xml:space="preserve">euro</w:t>
      </w:r>
      <w:r w:rsidR="00000000" w:rsidRPr="00000000" w:rsidDel="00000000">
        <w:rPr>
          <w:rtl w:val="0"/>
        </w:rPr>
        <w:t xml:space="preserve">, valsts budžeta līdzfinansējums – 4 695 201 </w:t>
      </w:r>
      <w:r w:rsidR="00000000" w:rsidRPr="00000000" w:rsidDel="00000000">
        <w:rPr>
          <w:i w:val="1"/>
          <w:rtl w:val="0"/>
        </w:rPr>
        <w:t xml:space="preserve">euro</w:t>
      </w:r>
      <w:r w:rsidR="00000000" w:rsidRPr="00000000" w:rsidDel="00000000">
        <w:rPr>
          <w:rtl w:val="0"/>
        </w:rPr>
        <w:t xml:space="preserve"> un nacionālais privātais līdzfinansējums – 2 757 079 </w:t>
      </w:r>
      <w:r w:rsidR="00000000" w:rsidRPr="00000000" w:rsidDel="00000000">
        <w:rPr>
          <w:i w:val="1"/>
          <w:rtl w:val="0"/>
        </w:rPr>
        <w:t xml:space="preserve">euro</w:t>
      </w:r>
      <w:r w:rsidR="00000000" w:rsidRPr="00000000" w:rsidDel="00000000">
        <w:rPr>
          <w:rtl w:val="0"/>
        </w:rPr>
        <w:t xml:space="preserve">. Pētniecības pieteikumu īstenošanai plānotais kopējais attiecināmais finansējums ir 44 349 353 </w:t>
      </w:r>
      <w:r w:rsidR="00000000" w:rsidRPr="00000000" w:rsidDel="00000000">
        <w:rPr>
          <w:i w:val="1"/>
          <w:rtl w:val="0"/>
        </w:rPr>
        <w:t xml:space="preserve">euro</w:t>
      </w:r>
      <w:r w:rsidR="00000000" w:rsidRPr="00000000" w:rsidDel="00000000">
        <w:rPr>
          <w:rtl w:val="0"/>
        </w:rPr>
        <w:t xml:space="preserve">, tai skaitā Eiropas Reģionālās attīstības fonda finansējums – 37 344 843 </w:t>
      </w:r>
      <w:r w:rsidR="00000000" w:rsidRPr="00000000" w:rsidDel="00000000">
        <w:rPr>
          <w:i w:val="1"/>
          <w:rtl w:val="0"/>
        </w:rPr>
        <w:t xml:space="preserve">euro</w:t>
      </w:r>
      <w:r w:rsidR="00000000" w:rsidRPr="00000000" w:rsidDel="00000000">
        <w:rPr>
          <w:rtl w:val="0"/>
        </w:rPr>
        <w:t xml:space="preserve">, valsts budžeta līdzfinansējums – 4 247 431 </w:t>
      </w:r>
      <w:r w:rsidR="00000000" w:rsidRPr="00000000" w:rsidDel="00000000">
        <w:rPr>
          <w:i w:val="1"/>
          <w:rtl w:val="0"/>
        </w:rPr>
        <w:t xml:space="preserve">euro</w:t>
      </w:r>
      <w:r w:rsidR="00000000" w:rsidRPr="00000000" w:rsidDel="00000000">
        <w:rPr>
          <w:rtl w:val="0"/>
        </w:rPr>
        <w:t xml:space="preserve"> un nacionālais privātais līdzfinansējums – 2 757 079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Izteikt 12.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 Projekta iesniedzējs pasākuma ietvaros ir Valsts izglītības attīstības aģentūra, kas pēc tam, kad ir noslēgta vienošanās par projekta īstenošanu, ir arī Eiropas Reģionālās attīstības fonda finansējuma saņēmēja (turpmāk – finansējuma saņēmējs). Sākot ar 2022.gada 1.janvāri finansējuma saņēmējs ir Latvijas Zinātnes padome. "</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(grozījumu) projekts 21-TA-1536</w:t>
    </w:r>
    <w:r>
      <w:br/>
    </w:r>
    <w:r w:rsidR="00000000" w:rsidRPr="00000000" w:rsidDel="00000000">
      <w:rPr>
        <w:rtl w:val="0"/>
      </w:rPr>
      <w:t xml:space="preserve">Izdrukāts 10.12.2021. 15.17</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(grozījumu) projekts 21-TA-1536</w:t>
    </w:r>
    <w:r>
      <w:br/>
    </w:r>
    <w:r w:rsidR="00000000" w:rsidRPr="00000000" w:rsidDel="00000000">
      <w:rPr>
        <w:rtl w:val="0"/>
      </w:rPr>
      <w:t xml:space="preserve">Izdrukāts 10.12.2021. 15.17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noteikumu_(grozījumu)_projekts_21-TA-1536.docx</dc:title>
</cp:coreProperties>
</file>

<file path=docProps/custom.xml><?xml version="1.0" encoding="utf-8"?>
<Properties xmlns="http://schemas.openxmlformats.org/officeDocument/2006/custom-properties" xmlns:vt="http://schemas.openxmlformats.org/officeDocument/2006/docPropsVTypes"/>
</file>