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Grozījumi Ministru kabineta 2017. gada 6. jūnija noteikumos Nr.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Eiropas Savienības struktūrfondu</w:t>
      </w:r>
      <w:r>
        <w:br/>
      </w:r>
      <w:r w:rsidR="00000000" w:rsidRPr="00000000" w:rsidDel="00000000">
        <w:rPr>
          <w:rStyle w:val="paragraph"/>
          <w:i w:val="1"/>
          <w:rtl w:val="0"/>
        </w:rPr>
        <w:t xml:space="preserve">un Kohēzijas fonda 2014.–2020. gada plānošanas perioda</w:t>
      </w:r>
      <w:r>
        <w:br/>
      </w:r>
      <w:r w:rsidR="00000000" w:rsidRPr="00000000" w:rsidDel="00000000">
        <w:rPr>
          <w:rStyle w:val="paragraph"/>
          <w:i w:val="1"/>
          <w:rtl w:val="0"/>
        </w:rPr>
        <w:t xml:space="preserve">vadības likuma 20. panta 6. un 13. punktu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Izdarīt Ministru kabineta 2017. gada 6. jūnija noteikumos Nr.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 (Latvijas Vēstnesis, 2017, 127. nr.; 2018, 251. nr.; 2019, 187. nr.; 2020, 94., 157. nr.; 2021, 181. nr.) šādus grozījumus: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Izteikt 7.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 Pasākumam plānotais kopējais attiecināmais finansējums ir 34 907 895   euro, ko veido Eiropas Reģionālās attīstības fonda finansējums 29 647 526 euro apmērā (tai skaitā virssaistību finansējums – 402 390 euro) un valsts budžeta līdzfinansējums 5 260 370 euro apmērā (tai skaitā virssaistību finansējums – 71 010 euro)."</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Izteikt 37.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"37. Otrajai kārtai pieejamais kopējais attiecināmais finansējums ir 11 047 049 euro, ko veido Eiropas Reģionālās attīstības fonda finansējums 9 389 992 euro (tai skaitā virssaistību finansējums – 402 390 euro) un valsts budžeta līdzfinansējums 1 657 057 euro (tai skaitā virssaistību finansējums – 71 010 euro)."</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Izteikt 40.16. apakšpunktu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"40.16. Rīgas Tehniskajai universitātei – 5 313 849 euro (Eiropas Reģionālās attīstības fonda finansējums 4 516 772 euro (tai skaitā virssaistību finansējums – 402 390 euro) un valsts budžeta līdzfinansējums 797 077 euro (tai skaitā virssaistību finansējums – 71 010 euro)), no kuriem 873 400 euro šo noteikumu 44.4. apakšpunktā minēto atbalstāmo darbību īstenošanai, 2 955 140 euro šo noteikumu 44.8. apakšpunktā minēto atbalstāmo darbību īstenošanai un 700 000 euro šo noteikumu 44.9. un 44.10 apakšpunktā minēto atbalstāmo darbību īstenošanai;".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Izteikt 57.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"57. Trešajai kārtai pieejamais kopējais publiskais attiecināmais finansējums ir 10 453 712 euro, ko veido Eiropas Reģionālās attīstības fonda finansējums 8 861 471 euro un valsts budžeta līdzfinansējums 1 592 242 euro."</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21-TA-1540</w:t>
    </w:r>
    <w:r>
      <w:br/>
    </w:r>
    <w:r w:rsidR="00000000" w:rsidRPr="00000000" w:rsidDel="00000000">
      <w:rPr>
        <w:rtl w:val="0"/>
      </w:rPr>
      <w:t xml:space="preserve">Izdrukāts 10.12.2021. 15.16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21-TA-1540</w:t>
    </w:r>
    <w:r>
      <w:br/>
    </w:r>
    <w:r w:rsidR="00000000" w:rsidRPr="00000000" w:rsidDel="00000000">
      <w:rPr>
        <w:rtl w:val="0"/>
      </w:rPr>
      <w:t xml:space="preserve">Izdrukāts 10.12.2021. 15.16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noteikumu_(grozījumu)_projekts_21-TA-1540.docx</dc:title>
</cp:coreProperties>
</file>

<file path=docProps/custom.xml><?xml version="1.0" encoding="utf-8"?>
<Properties xmlns="http://schemas.openxmlformats.org/officeDocument/2006/custom-properties" xmlns:vt="http://schemas.openxmlformats.org/officeDocument/2006/docPropsVTypes"/>
</file>