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1C" w:rsidRPr="004C16CC" w:rsidRDefault="007E751C" w:rsidP="007E751C">
      <w:pPr>
        <w:spacing w:after="0" w:line="240" w:lineRule="auto"/>
        <w:jc w:val="right"/>
        <w:rPr>
          <w:rFonts w:ascii="Times New Roman" w:eastAsia="Times New Roman" w:hAnsi="Times New Roman" w:cs="Times New Roman"/>
          <w:sz w:val="24"/>
          <w:szCs w:val="24"/>
          <w:lang w:eastAsia="lv-LV"/>
        </w:rPr>
      </w:pPr>
      <w:bookmarkStart w:id="0" w:name="piel0"/>
      <w:bookmarkStart w:id="1" w:name="_GoBack"/>
      <w:bookmarkEnd w:id="0"/>
      <w:bookmarkEnd w:id="1"/>
      <w:r w:rsidRPr="004C16CC">
        <w:rPr>
          <w:rFonts w:ascii="Times New Roman" w:eastAsia="Times New Roman" w:hAnsi="Times New Roman" w:cs="Times New Roman"/>
          <w:sz w:val="24"/>
          <w:szCs w:val="24"/>
          <w:lang w:eastAsia="lv-LV"/>
        </w:rPr>
        <w:t>Pi</w:t>
      </w:r>
      <w:r w:rsidR="004C16CC">
        <w:rPr>
          <w:rFonts w:ascii="Times New Roman" w:eastAsia="Times New Roman" w:hAnsi="Times New Roman" w:cs="Times New Roman"/>
          <w:sz w:val="24"/>
          <w:szCs w:val="24"/>
          <w:lang w:eastAsia="lv-LV"/>
        </w:rPr>
        <w:t xml:space="preserve">elikums </w:t>
      </w:r>
      <w:r w:rsidR="004C16CC">
        <w:rPr>
          <w:rFonts w:ascii="Times New Roman" w:eastAsia="Times New Roman" w:hAnsi="Times New Roman" w:cs="Times New Roman"/>
          <w:sz w:val="24"/>
          <w:szCs w:val="24"/>
          <w:lang w:eastAsia="lv-LV"/>
        </w:rPr>
        <w:br/>
        <w:t xml:space="preserve">Ministru kabineta </w:t>
      </w:r>
      <w:r w:rsidR="004C16CC">
        <w:rPr>
          <w:rFonts w:ascii="Times New Roman" w:eastAsia="Times New Roman" w:hAnsi="Times New Roman" w:cs="Times New Roman"/>
          <w:sz w:val="24"/>
          <w:szCs w:val="24"/>
          <w:lang w:eastAsia="lv-LV"/>
        </w:rPr>
        <w:br/>
        <w:t xml:space="preserve">2018. gada __._________ </w:t>
      </w:r>
      <w:r w:rsidRPr="004C16CC">
        <w:rPr>
          <w:rFonts w:ascii="Times New Roman" w:eastAsia="Times New Roman" w:hAnsi="Times New Roman" w:cs="Times New Roman"/>
          <w:sz w:val="24"/>
          <w:szCs w:val="24"/>
          <w:lang w:eastAsia="lv-LV"/>
        </w:rPr>
        <w:t xml:space="preserve">noteikumiem Nr. </w:t>
      </w:r>
      <w:bookmarkStart w:id="2" w:name="piel-559657"/>
      <w:bookmarkEnd w:id="2"/>
      <w:r w:rsidR="004C16CC">
        <w:rPr>
          <w:rFonts w:ascii="Times New Roman" w:eastAsia="Times New Roman" w:hAnsi="Times New Roman" w:cs="Times New Roman"/>
          <w:sz w:val="24"/>
          <w:szCs w:val="24"/>
          <w:lang w:eastAsia="lv-LV"/>
        </w:rPr>
        <w:t>___</w:t>
      </w:r>
    </w:p>
    <w:p w:rsidR="004C16CC" w:rsidRPr="004C16CC" w:rsidRDefault="004C16CC" w:rsidP="007E751C">
      <w:pPr>
        <w:spacing w:after="0" w:line="240" w:lineRule="auto"/>
        <w:jc w:val="right"/>
        <w:rPr>
          <w:rFonts w:ascii="Times New Roman" w:eastAsia="Times New Roman" w:hAnsi="Times New Roman" w:cs="Times New Roman"/>
          <w:sz w:val="24"/>
          <w:szCs w:val="24"/>
          <w:lang w:eastAsia="lv-LV"/>
        </w:rPr>
      </w:pPr>
    </w:p>
    <w:p w:rsidR="007E751C" w:rsidRPr="004C16CC" w:rsidRDefault="004C16CC" w:rsidP="007E751C">
      <w:pPr>
        <w:spacing w:after="0" w:line="240" w:lineRule="auto"/>
        <w:jc w:val="center"/>
        <w:rPr>
          <w:rFonts w:ascii="Times New Roman" w:eastAsia="Times New Roman" w:hAnsi="Times New Roman" w:cs="Times New Roman"/>
          <w:b/>
          <w:bCs/>
          <w:sz w:val="28"/>
          <w:szCs w:val="28"/>
          <w:lang w:eastAsia="lv-LV"/>
        </w:rPr>
      </w:pPr>
      <w:bookmarkStart w:id="3" w:name="n-650593"/>
      <w:bookmarkStart w:id="4" w:name="650593"/>
      <w:bookmarkEnd w:id="3"/>
      <w:bookmarkEnd w:id="4"/>
      <w:r w:rsidRPr="004C16CC">
        <w:rPr>
          <w:rFonts w:ascii="Times New Roman" w:eastAsia="Times New Roman" w:hAnsi="Times New Roman" w:cs="Times New Roman"/>
          <w:b/>
          <w:bCs/>
          <w:sz w:val="28"/>
          <w:szCs w:val="28"/>
          <w:lang w:eastAsia="lv-LV"/>
        </w:rPr>
        <w:t>Nodibinājuma “Akadēmiskās informācijas centrs”</w:t>
      </w:r>
      <w:r w:rsidR="007E751C" w:rsidRPr="004C16CC">
        <w:rPr>
          <w:rFonts w:ascii="Times New Roman" w:eastAsia="Times New Roman" w:hAnsi="Times New Roman" w:cs="Times New Roman"/>
          <w:b/>
          <w:bCs/>
          <w:sz w:val="28"/>
          <w:szCs w:val="28"/>
          <w:lang w:eastAsia="lv-LV"/>
        </w:rPr>
        <w:t xml:space="preserve"> maksas pakalpojumu cenrādis</w:t>
      </w:r>
    </w:p>
    <w:p w:rsidR="007E751C" w:rsidRPr="004C16CC" w:rsidRDefault="007E751C" w:rsidP="00917B09">
      <w:pPr>
        <w:spacing w:after="0" w:line="240" w:lineRule="auto"/>
        <w:ind w:firstLine="300"/>
        <w:jc w:val="cente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1811"/>
        <w:gridCol w:w="1320"/>
        <w:gridCol w:w="1213"/>
        <w:gridCol w:w="1080"/>
        <w:gridCol w:w="962"/>
        <w:gridCol w:w="1095"/>
      </w:tblGrid>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Nr.</w:t>
            </w:r>
            <w:r w:rsidR="004C16CC">
              <w:rPr>
                <w:rFonts w:ascii="Times New Roman" w:eastAsia="Times New Roman" w:hAnsi="Times New Roman" w:cs="Times New Roman"/>
                <w:sz w:val="24"/>
                <w:szCs w:val="24"/>
                <w:lang w:eastAsia="lv-LV"/>
              </w:rPr>
              <w:t>p.k.</w:t>
            </w:r>
          </w:p>
        </w:tc>
        <w:tc>
          <w:tcPr>
            <w:tcW w:w="1075"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Pakalpojuma veids</w:t>
            </w:r>
          </w:p>
        </w:tc>
        <w:tc>
          <w:tcPr>
            <w:tcW w:w="778"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Mērvienība</w:t>
            </w:r>
          </w:p>
        </w:tc>
        <w:tc>
          <w:tcPr>
            <w:tcW w:w="714"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Ekspertu skaits</w:t>
            </w:r>
          </w:p>
        </w:tc>
        <w:tc>
          <w:tcPr>
            <w:tcW w:w="633"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Cena bez PVN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w:t>
            </w:r>
          </w:p>
        </w:tc>
        <w:tc>
          <w:tcPr>
            <w:tcW w:w="562"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PVN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w:t>
            </w:r>
          </w:p>
        </w:tc>
        <w:tc>
          <w:tcPr>
            <w:tcW w:w="633" w:type="pct"/>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Cena ar PVN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w:t>
            </w:r>
          </w:p>
        </w:tc>
      </w:tr>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1.</w:t>
            </w:r>
          </w:p>
        </w:tc>
        <w:tc>
          <w:tcPr>
            <w:tcW w:w="1075"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Ārvalstīs iegūtā akadēmiskā grāda vai izglītības dokumenta ekspertīze</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viena izziņa</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viens eksperts</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41,00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41,00</w:t>
            </w:r>
          </w:p>
        </w:tc>
      </w:tr>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w:t>
            </w:r>
          </w:p>
        </w:tc>
        <w:tc>
          <w:tcPr>
            <w:tcW w:w="1075"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Latvijā iegūto grādu un profesionālo kvalifikāciju pielīdzināšana, ja tie iegūti pirms grādu un profesionālo kvalifikāciju piešķiršanas regulējuma spēkā stāšanās</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viens lēmums</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viens eksperts</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23,00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23,00</w:t>
            </w:r>
          </w:p>
        </w:tc>
      </w:tr>
      <w:tr w:rsidR="004C16CC" w:rsidRPr="004C16CC" w:rsidTr="004C16CC">
        <w:trPr>
          <w:tblCellSpacing w:w="15" w:type="dxa"/>
        </w:trPr>
        <w:tc>
          <w:tcPr>
            <w:tcW w:w="461" w:type="pct"/>
            <w:vMerge w:val="restar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3.</w:t>
            </w:r>
          </w:p>
        </w:tc>
        <w:tc>
          <w:tcPr>
            <w:tcW w:w="1075" w:type="pct"/>
            <w:vMerge w:val="restar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Augstākās izglītības iestādes akreditācija</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viena augstākās izglītības iestāde, kurā studē 2000 studentu un mazāk</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septiņi eksperti</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19 215,00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19 215,00</w:t>
            </w:r>
          </w:p>
        </w:tc>
      </w:tr>
      <w:tr w:rsidR="004C16CC" w:rsidRPr="004C16CC" w:rsidTr="004C16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viena augstākās izglītības iestāde, kurā studē 2001–5000 studentu</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septiņi eksperti</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20 294,00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20 294,00</w:t>
            </w:r>
          </w:p>
        </w:tc>
      </w:tr>
      <w:tr w:rsidR="004C16CC" w:rsidRPr="004C16CC" w:rsidTr="004C16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 xml:space="preserve">viena augstākās </w:t>
            </w:r>
            <w:r w:rsidRPr="004C16CC">
              <w:rPr>
                <w:rFonts w:ascii="Times New Roman" w:eastAsia="Times New Roman" w:hAnsi="Times New Roman" w:cs="Times New Roman"/>
                <w:sz w:val="24"/>
                <w:szCs w:val="24"/>
                <w:lang w:eastAsia="lv-LV"/>
              </w:rPr>
              <w:lastRenderedPageBreak/>
              <w:t>izglītības iestāde, kurā studē 5001–10 000 studentu</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lastRenderedPageBreak/>
              <w:t>septiņi eksperti</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21 374,00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21 374,00</w:t>
            </w:r>
          </w:p>
        </w:tc>
      </w:tr>
      <w:tr w:rsidR="004C16CC" w:rsidRPr="004C16CC" w:rsidTr="004C16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viena augstākās izglītības iestāde, kurā studē 10 001 students un vairāk</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septiņi eksperti</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22 454,00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22 454,00</w:t>
            </w:r>
          </w:p>
        </w:tc>
      </w:tr>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hideMark/>
          </w:tcPr>
          <w:p w:rsidR="007E751C" w:rsidRPr="004C16CC" w:rsidRDefault="004C16CC" w:rsidP="004C16CC">
            <w:pPr>
              <w:spacing w:before="100" w:beforeAutospacing="1" w:after="100" w:afterAutospacing="1"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7E751C" w:rsidRPr="004C16CC">
              <w:rPr>
                <w:rFonts w:ascii="Times New Roman" w:eastAsia="Times New Roman" w:hAnsi="Times New Roman" w:cs="Times New Roman"/>
                <w:sz w:val="24"/>
                <w:szCs w:val="24"/>
                <w:lang w:eastAsia="lv-LV"/>
              </w:rPr>
              <w:t>.</w:t>
            </w:r>
          </w:p>
        </w:tc>
        <w:tc>
          <w:tcPr>
            <w:tcW w:w="1075"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Studiju programmu licencēšana</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viena studiju programma</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trīs eksperti</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2 761,00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36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2 761,00</w:t>
            </w:r>
          </w:p>
        </w:tc>
      </w:tr>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hideMark/>
          </w:tcPr>
          <w:p w:rsidR="007E751C" w:rsidRPr="004C16CC" w:rsidRDefault="004C16CC" w:rsidP="004C16C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E751C" w:rsidRPr="004C16CC">
              <w:rPr>
                <w:rFonts w:ascii="Times New Roman" w:eastAsia="Times New Roman" w:hAnsi="Times New Roman" w:cs="Times New Roman"/>
                <w:sz w:val="24"/>
                <w:szCs w:val="24"/>
                <w:lang w:eastAsia="lv-LV"/>
              </w:rPr>
              <w:t>.</w:t>
            </w:r>
          </w:p>
        </w:tc>
        <w:tc>
          <w:tcPr>
            <w:tcW w:w="1075"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 xml:space="preserve">Eiropas profesionālās kartes pieteikuma apstrāde – no personas, kas izglītību un profesionālo kvalifikāciju ieguvusi Latvijas Republikā, kā arī no personas, kam Latvijas Republikā ir atzīta profesionālā kvalifikācija un kas pretendē uz Eiropas profesionālās kartes saņemšanu profesionālajai darbībai reglamentētajā profesijā citā Eiropas Savienības vai Eiropas Ekonomikas zonas valstī </w:t>
            </w:r>
            <w:r w:rsidRPr="004C16CC">
              <w:rPr>
                <w:rFonts w:ascii="Times New Roman" w:eastAsia="Times New Roman" w:hAnsi="Times New Roman" w:cs="Times New Roman"/>
                <w:sz w:val="24"/>
                <w:szCs w:val="24"/>
                <w:lang w:eastAsia="lv-LV"/>
              </w:rPr>
              <w:lastRenderedPageBreak/>
              <w:t>reglamentētajā profesijā</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lastRenderedPageBreak/>
              <w:t>viens pieteikums</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nav attiecināms</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100,00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100,00</w:t>
            </w:r>
          </w:p>
        </w:tc>
      </w:tr>
      <w:tr w:rsidR="004C16CC" w:rsidRPr="004C16CC" w:rsidTr="004C16CC">
        <w:trPr>
          <w:tblCellSpacing w:w="15" w:type="dxa"/>
        </w:trPr>
        <w:tc>
          <w:tcPr>
            <w:tcW w:w="461" w:type="pct"/>
            <w:tcBorders>
              <w:top w:val="outset" w:sz="6" w:space="0" w:color="auto"/>
              <w:left w:val="outset" w:sz="6" w:space="0" w:color="auto"/>
              <w:bottom w:val="outset" w:sz="6" w:space="0" w:color="auto"/>
              <w:right w:val="outset" w:sz="6" w:space="0" w:color="auto"/>
            </w:tcBorders>
            <w:hideMark/>
          </w:tcPr>
          <w:p w:rsidR="007E751C" w:rsidRPr="004C16CC" w:rsidRDefault="004C16CC" w:rsidP="004C16C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7E751C" w:rsidRPr="004C16CC">
              <w:rPr>
                <w:rFonts w:ascii="Times New Roman" w:eastAsia="Times New Roman" w:hAnsi="Times New Roman" w:cs="Times New Roman"/>
                <w:sz w:val="24"/>
                <w:szCs w:val="24"/>
                <w:lang w:eastAsia="lv-LV"/>
              </w:rPr>
              <w:t>.</w:t>
            </w:r>
          </w:p>
        </w:tc>
        <w:tc>
          <w:tcPr>
            <w:tcW w:w="1075"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before="100" w:beforeAutospacing="1" w:after="100" w:afterAutospacing="1"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Eiropas profesionālās kartes pieteikuma apstrāde – no personas, kas izglītību un profesionālo kvalifikāciju ieguvusi citā Eiropas Savienības vai Eiropas Ekonomikas zonas valstī un pretendē uz Eiropas profesionālās kartes saņemšanu pastāvīgai profesionālajai darbībai vai īslaicīgu profesionālo pakalpojumu sniegšanai Latvijas Republikā reglamentētajā profesijā, kurā nekvalificēts īslaicīgu profesionālo pakalpojumu sniedzējs var apdraudēt pakalpojumu saņēmēja veselību un drošību</w:t>
            </w:r>
          </w:p>
        </w:tc>
        <w:tc>
          <w:tcPr>
            <w:tcW w:w="778"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viens pieteikums</w:t>
            </w:r>
          </w:p>
        </w:tc>
        <w:tc>
          <w:tcPr>
            <w:tcW w:w="714" w:type="pct"/>
            <w:tcBorders>
              <w:top w:val="outset" w:sz="6" w:space="0" w:color="auto"/>
              <w:left w:val="outset" w:sz="6" w:space="0" w:color="auto"/>
              <w:bottom w:val="outset" w:sz="6" w:space="0" w:color="auto"/>
              <w:right w:val="outset" w:sz="6" w:space="0" w:color="auto"/>
            </w:tcBorders>
            <w:hideMark/>
          </w:tcPr>
          <w:p w:rsidR="007E751C" w:rsidRPr="004C16CC" w:rsidRDefault="007E751C" w:rsidP="004C16CC">
            <w:pPr>
              <w:spacing w:after="0" w:line="240" w:lineRule="auto"/>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nav attiecināms</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jc w:val="center"/>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200,00**</w:t>
            </w:r>
          </w:p>
        </w:tc>
        <w:tc>
          <w:tcPr>
            <w:tcW w:w="562"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jc w:val="center"/>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00,00</w:t>
            </w:r>
          </w:p>
        </w:tc>
        <w:tc>
          <w:tcPr>
            <w:tcW w:w="633" w:type="pct"/>
            <w:tcBorders>
              <w:top w:val="outset" w:sz="6" w:space="0" w:color="auto"/>
              <w:left w:val="outset" w:sz="6" w:space="0" w:color="auto"/>
              <w:bottom w:val="outset" w:sz="6" w:space="0" w:color="auto"/>
              <w:right w:val="outset" w:sz="6" w:space="0" w:color="auto"/>
            </w:tcBorders>
            <w:hideMark/>
          </w:tcPr>
          <w:p w:rsidR="007E751C" w:rsidRPr="004C16CC" w:rsidRDefault="007E751C" w:rsidP="007E751C">
            <w:pPr>
              <w:spacing w:after="0" w:line="240" w:lineRule="auto"/>
              <w:jc w:val="center"/>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200,00</w:t>
            </w:r>
          </w:p>
        </w:tc>
      </w:tr>
    </w:tbl>
    <w:p w:rsidR="004C16CC" w:rsidRDefault="004C16CC" w:rsidP="004C16CC">
      <w:pPr>
        <w:jc w:val="both"/>
        <w:rPr>
          <w:rFonts w:ascii="Times New Roman" w:eastAsia="Times New Roman" w:hAnsi="Times New Roman" w:cs="Times New Roman"/>
          <w:sz w:val="24"/>
          <w:szCs w:val="24"/>
          <w:lang w:eastAsia="lv-LV"/>
        </w:rPr>
      </w:pPr>
    </w:p>
    <w:p w:rsidR="004C16CC" w:rsidRDefault="007E751C" w:rsidP="004C16CC">
      <w:pPr>
        <w:spacing w:after="0"/>
        <w:jc w:val="both"/>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Piezīmes.</w:t>
      </w:r>
      <w:r w:rsidRPr="004C16CC">
        <w:rPr>
          <w:rFonts w:ascii="Times New Roman" w:eastAsia="Times New Roman" w:hAnsi="Times New Roman" w:cs="Times New Roman"/>
          <w:sz w:val="24"/>
          <w:szCs w:val="24"/>
          <w:lang w:eastAsia="lv-LV"/>
        </w:rPr>
        <w:br/>
        <w:t xml:space="preserve">1. Papildus norādītajām izmaksām augstskola un koledža ekspertam kompensē ekonomiski izdevīgākos faktiskos ceļa izdevumus ne vairāk kā 711,44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 xml:space="preserve"> apmērā un viesnīcas izdevumus, nepārsniedzot 106,72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 xml:space="preserve"> par nakti. Ja eksperta faktiskie ceļa izdevumi pārsniedz 711,44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 xml:space="preserve"> vai viesnīcas izdevumi pārsniedz 106,72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 xml:space="preserve"> par </w:t>
      </w:r>
      <w:r w:rsidRPr="004C16CC">
        <w:rPr>
          <w:rFonts w:ascii="Times New Roman" w:eastAsia="Times New Roman" w:hAnsi="Times New Roman" w:cs="Times New Roman"/>
          <w:sz w:val="24"/>
          <w:szCs w:val="24"/>
          <w:lang w:eastAsia="lv-LV"/>
        </w:rPr>
        <w:lastRenderedPageBreak/>
        <w:t>nakti, Akadēmiskās informācijas centrs saskaņo šādas izmaksas</w:t>
      </w:r>
      <w:r w:rsidR="004C16CC">
        <w:rPr>
          <w:rFonts w:ascii="Times New Roman" w:eastAsia="Times New Roman" w:hAnsi="Times New Roman" w:cs="Times New Roman"/>
          <w:sz w:val="24"/>
          <w:szCs w:val="24"/>
          <w:lang w:eastAsia="lv-LV"/>
        </w:rPr>
        <w:t xml:space="preserve"> ar augstskolu vai koledžu (attiecināms uz šā pielikuma 3. un 4</w:t>
      </w:r>
      <w:r w:rsidRPr="004C16CC">
        <w:rPr>
          <w:rFonts w:ascii="Times New Roman" w:eastAsia="Times New Roman" w:hAnsi="Times New Roman" w:cs="Times New Roman"/>
          <w:sz w:val="24"/>
          <w:szCs w:val="24"/>
          <w:lang w:eastAsia="lv-LV"/>
        </w:rPr>
        <w:t>. punktā minēto pakalpojumu). Savstarpējo norēķinu kārtību nosaka A</w:t>
      </w:r>
      <w:r w:rsidR="004C16CC">
        <w:rPr>
          <w:rFonts w:ascii="Times New Roman" w:eastAsia="Times New Roman" w:hAnsi="Times New Roman" w:cs="Times New Roman"/>
          <w:sz w:val="24"/>
          <w:szCs w:val="24"/>
          <w:lang w:eastAsia="lv-LV"/>
        </w:rPr>
        <w:t>kadēmiskās informācijas centrs.</w:t>
      </w:r>
    </w:p>
    <w:p w:rsidR="004C16CC" w:rsidRDefault="007E751C" w:rsidP="004C16CC">
      <w:pPr>
        <w:spacing w:after="0"/>
        <w:jc w:val="both"/>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 xml:space="preserve">2. * Pievienotās vērtības nodokli nepiemēro saskaņā ar </w:t>
      </w:r>
      <w:hyperlink r:id="rId6" w:tgtFrame="_blank" w:history="1">
        <w:r w:rsidRPr="004C16CC">
          <w:rPr>
            <w:rFonts w:ascii="Times New Roman" w:eastAsia="Times New Roman" w:hAnsi="Times New Roman" w:cs="Times New Roman"/>
            <w:sz w:val="24"/>
            <w:szCs w:val="24"/>
            <w:lang w:eastAsia="lv-LV"/>
          </w:rPr>
          <w:t>Pievienotās vērtības nodokļa likuma</w:t>
        </w:r>
      </w:hyperlink>
      <w:r w:rsidRPr="004C16CC">
        <w:rPr>
          <w:rFonts w:ascii="Times New Roman" w:eastAsia="Times New Roman" w:hAnsi="Times New Roman" w:cs="Times New Roman"/>
          <w:sz w:val="24"/>
          <w:szCs w:val="24"/>
          <w:lang w:eastAsia="lv-LV"/>
        </w:rPr>
        <w:t xml:space="preserve"> </w:t>
      </w:r>
      <w:hyperlink r:id="rId7" w:anchor="p3" w:tgtFrame="_blank" w:history="1">
        <w:r w:rsidRPr="004C16CC">
          <w:rPr>
            <w:rFonts w:ascii="Times New Roman" w:eastAsia="Times New Roman" w:hAnsi="Times New Roman" w:cs="Times New Roman"/>
            <w:sz w:val="24"/>
            <w:szCs w:val="24"/>
            <w:lang w:eastAsia="lv-LV"/>
          </w:rPr>
          <w:t>3. panta</w:t>
        </w:r>
      </w:hyperlink>
      <w:r w:rsidR="004C16CC">
        <w:rPr>
          <w:rFonts w:ascii="Times New Roman" w:eastAsia="Times New Roman" w:hAnsi="Times New Roman" w:cs="Times New Roman"/>
          <w:sz w:val="24"/>
          <w:szCs w:val="24"/>
          <w:lang w:eastAsia="lv-LV"/>
        </w:rPr>
        <w:t xml:space="preserve"> astoto daļu.</w:t>
      </w:r>
    </w:p>
    <w:p w:rsidR="008766FC" w:rsidRDefault="007E751C" w:rsidP="004C16CC">
      <w:pPr>
        <w:spacing w:after="0"/>
        <w:jc w:val="both"/>
        <w:rPr>
          <w:rFonts w:ascii="Times New Roman" w:eastAsia="Times New Roman" w:hAnsi="Times New Roman" w:cs="Times New Roman"/>
          <w:sz w:val="24"/>
          <w:szCs w:val="24"/>
          <w:lang w:eastAsia="lv-LV"/>
        </w:rPr>
      </w:pPr>
      <w:r w:rsidRPr="004C16CC">
        <w:rPr>
          <w:rFonts w:ascii="Times New Roman" w:eastAsia="Times New Roman" w:hAnsi="Times New Roman" w:cs="Times New Roman"/>
          <w:sz w:val="24"/>
          <w:szCs w:val="24"/>
          <w:lang w:eastAsia="lv-LV"/>
        </w:rPr>
        <w:t xml:space="preserve">3. ** Norādītā izmaksu apjoma ietvaros Akadēmiskās informācijas centrs kompensē institūcijai, kas izsniedz profesionālās kvalifikācijas apliecības reglamentētajās profesijās, Eiropas profesionālās kartes pieteikuma un tam pievienoto dokumentu izvērtējuma (vai tie apliecina personas izglītības un iegūtās profesionālās kvalifikācijas atbilstību reglamentētajai profesijai Latvijas Republikā izvirzītajām prasībām) sagatavošanas izdevumus 100 </w:t>
      </w:r>
      <w:r w:rsidRPr="004C16CC">
        <w:rPr>
          <w:rFonts w:ascii="Times New Roman" w:eastAsia="Times New Roman" w:hAnsi="Times New Roman" w:cs="Times New Roman"/>
          <w:i/>
          <w:iCs/>
          <w:sz w:val="24"/>
          <w:szCs w:val="24"/>
          <w:lang w:eastAsia="lv-LV"/>
        </w:rPr>
        <w:t>euro</w:t>
      </w:r>
      <w:r w:rsidRPr="004C16CC">
        <w:rPr>
          <w:rFonts w:ascii="Times New Roman" w:eastAsia="Times New Roman" w:hAnsi="Times New Roman" w:cs="Times New Roman"/>
          <w:sz w:val="24"/>
          <w:szCs w:val="24"/>
          <w:lang w:eastAsia="lv-LV"/>
        </w:rPr>
        <w:t xml:space="preserve"> apmērā.</w:t>
      </w:r>
    </w:p>
    <w:p w:rsidR="002E541D" w:rsidRDefault="002E541D" w:rsidP="004C16CC">
      <w:pPr>
        <w:spacing w:after="0"/>
        <w:jc w:val="both"/>
        <w:rPr>
          <w:rFonts w:ascii="Times New Roman" w:eastAsia="Times New Roman" w:hAnsi="Times New Roman" w:cs="Times New Roman"/>
          <w:sz w:val="24"/>
          <w:szCs w:val="24"/>
          <w:lang w:eastAsia="lv-LV"/>
        </w:rPr>
      </w:pPr>
    </w:p>
    <w:p w:rsidR="002E541D" w:rsidRDefault="002E541D" w:rsidP="004C16CC">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Ministru prezidents</w:t>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t>Māris Kučinskis</w:t>
      </w: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Izglītības un zinātnes ministrs</w:t>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t>Kārlis Šadurskis</w:t>
      </w: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Iesniedzējs:</w:t>
      </w:r>
    </w:p>
    <w:p w:rsidR="002E541D" w:rsidRPr="002E541D" w:rsidRDefault="002E541D" w:rsidP="002E541D">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Izglītības un zinātnes ministrs</w:t>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ab/>
        <w:t>Kārlis Šadurskis</w:t>
      </w: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p>
    <w:p w:rsidR="002E541D" w:rsidRPr="002E541D" w:rsidRDefault="002E541D" w:rsidP="002E541D">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Vizē:</w:t>
      </w:r>
    </w:p>
    <w:p w:rsidR="002E541D" w:rsidRPr="002E541D" w:rsidRDefault="002E541D" w:rsidP="004C16CC">
      <w:pPr>
        <w:spacing w:after="0"/>
        <w:jc w:val="both"/>
        <w:rPr>
          <w:rFonts w:ascii="Times New Roman" w:eastAsia="Times New Roman" w:hAnsi="Times New Roman" w:cs="Times New Roman"/>
          <w:sz w:val="24"/>
          <w:szCs w:val="24"/>
          <w:lang w:eastAsia="lv-LV"/>
        </w:rPr>
      </w:pPr>
      <w:r w:rsidRPr="002E541D">
        <w:rPr>
          <w:rFonts w:ascii="Times New Roman" w:eastAsia="Times New Roman" w:hAnsi="Times New Roman" w:cs="Times New Roman"/>
          <w:sz w:val="24"/>
          <w:szCs w:val="24"/>
          <w:lang w:eastAsia="lv-LV"/>
        </w:rPr>
        <w:t xml:space="preserve">Valsts </w:t>
      </w:r>
      <w:r>
        <w:rPr>
          <w:rFonts w:ascii="Times New Roman" w:eastAsia="Times New Roman" w:hAnsi="Times New Roman" w:cs="Times New Roman"/>
          <w:sz w:val="24"/>
          <w:szCs w:val="24"/>
          <w:lang w:eastAsia="lv-LV"/>
        </w:rPr>
        <w:t>sekretāre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2E541D">
        <w:rPr>
          <w:rFonts w:ascii="Times New Roman" w:eastAsia="Times New Roman" w:hAnsi="Times New Roman" w:cs="Times New Roman"/>
          <w:sz w:val="24"/>
          <w:szCs w:val="24"/>
          <w:lang w:eastAsia="lv-LV"/>
        </w:rPr>
        <w:t>Līga Lejiņa</w:t>
      </w:r>
    </w:p>
    <w:sectPr w:rsidR="002E541D" w:rsidRPr="002E541D" w:rsidSect="00917B09">
      <w:headerReference w:type="default" r:id="rId8"/>
      <w:footerReference w:type="defaul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A7" w:rsidRDefault="00EE2FA7" w:rsidP="00917B09">
      <w:pPr>
        <w:spacing w:after="0" w:line="240" w:lineRule="auto"/>
      </w:pPr>
      <w:r>
        <w:separator/>
      </w:r>
    </w:p>
  </w:endnote>
  <w:endnote w:type="continuationSeparator" w:id="0">
    <w:p w:rsidR="00EE2FA7" w:rsidRDefault="00EE2FA7" w:rsidP="0091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09" w:rsidRPr="00917B09" w:rsidRDefault="000A68F5">
    <w:pPr>
      <w:pStyle w:val="Footer"/>
      <w:rPr>
        <w:rFonts w:ascii="Times New Roman" w:hAnsi="Times New Roman" w:cs="Times New Roman"/>
        <w:sz w:val="20"/>
        <w:szCs w:val="20"/>
      </w:rPr>
    </w:pPr>
    <w:r>
      <w:rPr>
        <w:rFonts w:ascii="Times New Roman" w:hAnsi="Times New Roman" w:cs="Times New Roman"/>
        <w:sz w:val="20"/>
        <w:szCs w:val="20"/>
      </w:rPr>
      <w:t>IZMnotp_20</w:t>
    </w:r>
    <w:r w:rsidR="00917B09">
      <w:rPr>
        <w:rFonts w:ascii="Times New Roman" w:hAnsi="Times New Roman" w:cs="Times New Roman"/>
        <w:sz w:val="20"/>
        <w:szCs w:val="20"/>
      </w:rPr>
      <w:t>0818_AIC_cenradis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09" w:rsidRPr="00917B09" w:rsidRDefault="000A68F5" w:rsidP="00917B09">
    <w:pPr>
      <w:pStyle w:val="Footer"/>
      <w:rPr>
        <w:rFonts w:ascii="Times New Roman" w:hAnsi="Times New Roman" w:cs="Times New Roman"/>
        <w:sz w:val="20"/>
        <w:szCs w:val="20"/>
      </w:rPr>
    </w:pPr>
    <w:r>
      <w:rPr>
        <w:rFonts w:ascii="Times New Roman" w:hAnsi="Times New Roman" w:cs="Times New Roman"/>
        <w:sz w:val="20"/>
        <w:szCs w:val="20"/>
      </w:rPr>
      <w:t>IZMnotp_20</w:t>
    </w:r>
    <w:r w:rsidR="00917B09">
      <w:rPr>
        <w:rFonts w:ascii="Times New Roman" w:hAnsi="Times New Roman" w:cs="Times New Roman"/>
        <w:sz w:val="20"/>
        <w:szCs w:val="20"/>
      </w:rPr>
      <w:t>0818_AIC_cenradis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A7" w:rsidRDefault="00EE2FA7" w:rsidP="00917B09">
      <w:pPr>
        <w:spacing w:after="0" w:line="240" w:lineRule="auto"/>
      </w:pPr>
      <w:r>
        <w:separator/>
      </w:r>
    </w:p>
  </w:footnote>
  <w:footnote w:type="continuationSeparator" w:id="0">
    <w:p w:rsidR="00EE2FA7" w:rsidRDefault="00EE2FA7" w:rsidP="0091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338238"/>
      <w:docPartObj>
        <w:docPartGallery w:val="Page Numbers (Top of Page)"/>
        <w:docPartUnique/>
      </w:docPartObj>
    </w:sdtPr>
    <w:sdtEndPr>
      <w:rPr>
        <w:noProof/>
      </w:rPr>
    </w:sdtEndPr>
    <w:sdtContent>
      <w:p w:rsidR="00917B09" w:rsidRDefault="00917B09">
        <w:pPr>
          <w:pStyle w:val="Header"/>
          <w:jc w:val="center"/>
        </w:pPr>
        <w:r>
          <w:fldChar w:fldCharType="begin"/>
        </w:r>
        <w:r>
          <w:instrText xml:space="preserve"> PAGE   \* MERGEFORMAT </w:instrText>
        </w:r>
        <w:r>
          <w:fldChar w:fldCharType="separate"/>
        </w:r>
        <w:r w:rsidR="001361C7">
          <w:rPr>
            <w:noProof/>
          </w:rPr>
          <w:t>4</w:t>
        </w:r>
        <w:r>
          <w:rPr>
            <w:noProof/>
          </w:rPr>
          <w:fldChar w:fldCharType="end"/>
        </w:r>
      </w:p>
    </w:sdtContent>
  </w:sdt>
  <w:p w:rsidR="00917B09" w:rsidRDefault="00917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1C"/>
    <w:rsid w:val="000A68F5"/>
    <w:rsid w:val="00132455"/>
    <w:rsid w:val="001361C7"/>
    <w:rsid w:val="002E541D"/>
    <w:rsid w:val="004C16CC"/>
    <w:rsid w:val="006439BB"/>
    <w:rsid w:val="006A15A5"/>
    <w:rsid w:val="007E751C"/>
    <w:rsid w:val="008766FC"/>
    <w:rsid w:val="00917B09"/>
    <w:rsid w:val="00CC163B"/>
    <w:rsid w:val="00DA3673"/>
    <w:rsid w:val="00EE2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E1B66-3024-47AA-967C-6D3029D7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B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7B09"/>
  </w:style>
  <w:style w:type="paragraph" w:styleId="Footer">
    <w:name w:val="footer"/>
    <w:basedOn w:val="Normal"/>
    <w:link w:val="FooterChar"/>
    <w:uiPriority w:val="99"/>
    <w:unhideWhenUsed/>
    <w:rsid w:val="00917B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094120">
      <w:bodyDiv w:val="1"/>
      <w:marLeft w:val="0"/>
      <w:marRight w:val="0"/>
      <w:marTop w:val="0"/>
      <w:marBottom w:val="0"/>
      <w:divBdr>
        <w:top w:val="none" w:sz="0" w:space="0" w:color="auto"/>
        <w:left w:val="none" w:sz="0" w:space="0" w:color="auto"/>
        <w:bottom w:val="none" w:sz="0" w:space="0" w:color="auto"/>
        <w:right w:val="none" w:sz="0" w:space="0" w:color="auto"/>
      </w:divBdr>
      <w:divsChild>
        <w:div w:id="175267980">
          <w:marLeft w:val="0"/>
          <w:marRight w:val="0"/>
          <w:marTop w:val="0"/>
          <w:marBottom w:val="0"/>
          <w:divBdr>
            <w:top w:val="none" w:sz="0" w:space="0" w:color="auto"/>
            <w:left w:val="none" w:sz="0" w:space="0" w:color="auto"/>
            <w:bottom w:val="none" w:sz="0" w:space="0" w:color="auto"/>
            <w:right w:val="none" w:sz="0" w:space="0" w:color="auto"/>
          </w:divBdr>
          <w:divsChild>
            <w:div w:id="487407791">
              <w:marLeft w:val="0"/>
              <w:marRight w:val="0"/>
              <w:marTop w:val="0"/>
              <w:marBottom w:val="0"/>
              <w:divBdr>
                <w:top w:val="none" w:sz="0" w:space="0" w:color="auto"/>
                <w:left w:val="none" w:sz="0" w:space="0" w:color="auto"/>
                <w:bottom w:val="none" w:sz="0" w:space="0" w:color="auto"/>
                <w:right w:val="none" w:sz="0" w:space="0" w:color="auto"/>
              </w:divBdr>
              <w:divsChild>
                <w:div w:id="1055813467">
                  <w:marLeft w:val="0"/>
                  <w:marRight w:val="0"/>
                  <w:marTop w:val="0"/>
                  <w:marBottom w:val="0"/>
                  <w:divBdr>
                    <w:top w:val="none" w:sz="0" w:space="0" w:color="auto"/>
                    <w:left w:val="none" w:sz="0" w:space="0" w:color="auto"/>
                    <w:bottom w:val="none" w:sz="0" w:space="0" w:color="auto"/>
                    <w:right w:val="none" w:sz="0" w:space="0" w:color="auto"/>
                  </w:divBdr>
                  <w:divsChild>
                    <w:div w:id="1907715521">
                      <w:marLeft w:val="0"/>
                      <w:marRight w:val="0"/>
                      <w:marTop w:val="0"/>
                      <w:marBottom w:val="0"/>
                      <w:divBdr>
                        <w:top w:val="none" w:sz="0" w:space="0" w:color="auto"/>
                        <w:left w:val="none" w:sz="0" w:space="0" w:color="auto"/>
                        <w:bottom w:val="none" w:sz="0" w:space="0" w:color="auto"/>
                        <w:right w:val="none" w:sz="0" w:space="0" w:color="auto"/>
                      </w:divBdr>
                      <w:divsChild>
                        <w:div w:id="2084721989">
                          <w:marLeft w:val="0"/>
                          <w:marRight w:val="0"/>
                          <w:marTop w:val="0"/>
                          <w:marBottom w:val="0"/>
                          <w:divBdr>
                            <w:top w:val="none" w:sz="0" w:space="0" w:color="auto"/>
                            <w:left w:val="none" w:sz="0" w:space="0" w:color="auto"/>
                            <w:bottom w:val="none" w:sz="0" w:space="0" w:color="auto"/>
                            <w:right w:val="none" w:sz="0" w:space="0" w:color="auto"/>
                          </w:divBdr>
                          <w:divsChild>
                            <w:div w:id="1471049527">
                              <w:marLeft w:val="150"/>
                              <w:marRight w:val="150"/>
                              <w:marTop w:val="480"/>
                              <w:marBottom w:val="0"/>
                              <w:divBdr>
                                <w:top w:val="none" w:sz="0" w:space="0" w:color="auto"/>
                                <w:left w:val="none" w:sz="0" w:space="0" w:color="auto"/>
                                <w:bottom w:val="none" w:sz="0" w:space="0" w:color="auto"/>
                                <w:right w:val="none" w:sz="0" w:space="0" w:color="auto"/>
                              </w:divBdr>
                            </w:div>
                            <w:div w:id="33673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253451-pievienotas-vertibas-nodokla-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3451-pievienotas-vertibas-nodokla-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2375</Words>
  <Characters>1355</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Upīte</dc:creator>
  <cp:keywords/>
  <dc:description/>
  <cp:lastModifiedBy>Linda Upīte</cp:lastModifiedBy>
  <cp:revision>2</cp:revision>
  <dcterms:created xsi:type="dcterms:W3CDTF">2018-09-05T07:24:00Z</dcterms:created>
  <dcterms:modified xsi:type="dcterms:W3CDTF">2018-09-05T07:24:00Z</dcterms:modified>
</cp:coreProperties>
</file>