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8099" w14:textId="77777777" w:rsidR="007329BE" w:rsidRPr="002C234B" w:rsidRDefault="00141D97" w:rsidP="007329BE">
      <w:pPr>
        <w:spacing w:after="0" w:line="240" w:lineRule="auto"/>
        <w:jc w:val="center"/>
        <w:rPr>
          <w:rFonts w:ascii="Times New Roman" w:hAnsi="Times New Roman" w:cs="Times New Roman"/>
          <w:b/>
          <w:sz w:val="28"/>
          <w:szCs w:val="28"/>
        </w:rPr>
      </w:pPr>
      <w:sdt>
        <w:sdtPr>
          <w:rPr>
            <w:rFonts w:ascii="Times New Roman" w:eastAsia="Times New Roman" w:hAnsi="Times New Roman" w:cs="Times New Roman"/>
            <w:b/>
            <w:bCs/>
            <w:sz w:val="28"/>
            <w:szCs w:val="28"/>
            <w:lang w:eastAsia="lv-LV"/>
          </w:rPr>
          <w:id w:val="882755678"/>
          <w:placeholder>
            <w:docPart w:val="B2513C7936974E769D1103048039203D"/>
          </w:placeholder>
        </w:sdtPr>
        <w:sdtContent>
          <w:r w:rsidR="007329BE" w:rsidRPr="002C234B">
            <w:rPr>
              <w:rFonts w:ascii="Times New Roman" w:eastAsia="Times New Roman" w:hAnsi="Times New Roman" w:cs="Times New Roman"/>
              <w:b/>
              <w:bCs/>
              <w:sz w:val="28"/>
              <w:szCs w:val="28"/>
              <w:lang w:eastAsia="lv-LV"/>
            </w:rPr>
            <w:t xml:space="preserve">Ministru kabineta noteikumu </w:t>
          </w:r>
        </w:sdtContent>
      </w:sdt>
    </w:p>
    <w:p w14:paraId="23CE809A" w14:textId="77777777" w:rsidR="00894C55" w:rsidRPr="002C234B" w:rsidRDefault="007329BE" w:rsidP="007329BE">
      <w:pPr>
        <w:spacing w:after="0" w:line="240" w:lineRule="auto"/>
        <w:jc w:val="center"/>
        <w:rPr>
          <w:rFonts w:ascii="Times New Roman" w:eastAsia="Times New Roman" w:hAnsi="Times New Roman" w:cs="Times New Roman"/>
          <w:b/>
          <w:bCs/>
          <w:sz w:val="28"/>
          <w:szCs w:val="28"/>
          <w:lang w:eastAsia="lv-LV"/>
        </w:rPr>
      </w:pPr>
      <w:r w:rsidRPr="002C234B">
        <w:rPr>
          <w:rFonts w:ascii="Times New Roman" w:hAnsi="Times New Roman" w:cs="Times New Roman"/>
          <w:b/>
          <w:sz w:val="28"/>
          <w:szCs w:val="28"/>
        </w:rPr>
        <w:t xml:space="preserve">“Valsts pētījumu programmu projektu pieteikšanas, ekspertīzes, īstenošanas, finansēšanas un valsts pētījumu programmu projektu īstenošanai piešķirto finanšu līdzekļu izlietojuma kontroles kārtība” </w:t>
      </w:r>
      <w:r w:rsidR="00894C55" w:rsidRPr="002C234B">
        <w:rPr>
          <w:rFonts w:ascii="Times New Roman" w:eastAsia="Times New Roman" w:hAnsi="Times New Roman" w:cs="Times New Roman"/>
          <w:b/>
          <w:bCs/>
          <w:sz w:val="28"/>
          <w:szCs w:val="28"/>
          <w:lang w:eastAsia="lv-LV"/>
        </w:rPr>
        <w:t>projekta</w:t>
      </w:r>
      <w:r w:rsidRPr="002C234B">
        <w:rPr>
          <w:rFonts w:ascii="Times New Roman" w:eastAsia="Times New Roman" w:hAnsi="Times New Roman" w:cs="Times New Roman"/>
          <w:b/>
          <w:bCs/>
          <w:sz w:val="28"/>
          <w:szCs w:val="28"/>
          <w:lang w:eastAsia="lv-LV"/>
        </w:rPr>
        <w:t xml:space="preserve"> </w:t>
      </w:r>
      <w:r w:rsidR="00894C55" w:rsidRPr="002C234B">
        <w:rPr>
          <w:rFonts w:ascii="Times New Roman" w:eastAsia="Times New Roman" w:hAnsi="Times New Roman" w:cs="Times New Roman"/>
          <w:b/>
          <w:bCs/>
          <w:sz w:val="28"/>
          <w:szCs w:val="28"/>
          <w:lang w:eastAsia="lv-LV"/>
        </w:rPr>
        <w:t>sākotnējās ietekmes novērtējuma ziņojums (anotācija)</w:t>
      </w:r>
    </w:p>
    <w:p w14:paraId="23CE809B" w14:textId="77777777" w:rsidR="00E5323B" w:rsidRPr="002C234B" w:rsidRDefault="00E5323B" w:rsidP="00894C55">
      <w:pPr>
        <w:shd w:val="clear" w:color="auto" w:fill="FFFFFF"/>
        <w:spacing w:after="0" w:line="240" w:lineRule="auto"/>
        <w:jc w:val="center"/>
        <w:rPr>
          <w:rFonts w:ascii="Times New Roman" w:eastAsia="Times New Roman" w:hAnsi="Times New Roman" w:cs="Times New Roman"/>
          <w:b/>
          <w:bCs/>
          <w:sz w:val="28"/>
          <w:szCs w:val="28"/>
          <w:lang w:eastAsia="lv-LV"/>
        </w:rPr>
      </w:pPr>
    </w:p>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0"/>
        <w:gridCol w:w="5718"/>
      </w:tblGrid>
      <w:tr w:rsidR="00E5323B" w:rsidRPr="002C234B" w14:paraId="23CE809D" w14:textId="77777777" w:rsidTr="00F44119">
        <w:trPr>
          <w:tblCellSpacing w:w="15" w:type="dxa"/>
        </w:trPr>
        <w:tc>
          <w:tcPr>
            <w:tcW w:w="4968" w:type="pct"/>
            <w:gridSpan w:val="2"/>
            <w:tcBorders>
              <w:top w:val="outset" w:sz="6" w:space="0" w:color="auto"/>
              <w:left w:val="outset" w:sz="6" w:space="0" w:color="auto"/>
              <w:bottom w:val="outset" w:sz="6" w:space="0" w:color="auto"/>
              <w:right w:val="outset" w:sz="6" w:space="0" w:color="auto"/>
            </w:tcBorders>
            <w:vAlign w:val="center"/>
            <w:hideMark/>
          </w:tcPr>
          <w:p w14:paraId="23CE809C"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Tiesību akta projekta anotācijas kopsavilkums</w:t>
            </w:r>
          </w:p>
        </w:tc>
      </w:tr>
      <w:tr w:rsidR="00E5323B" w:rsidRPr="002C234B" w14:paraId="23CE80A3" w14:textId="77777777" w:rsidTr="00F44119">
        <w:trPr>
          <w:tblCellSpacing w:w="15" w:type="dxa"/>
        </w:trPr>
        <w:tc>
          <w:tcPr>
            <w:tcW w:w="1924" w:type="pct"/>
            <w:tcBorders>
              <w:top w:val="outset" w:sz="6" w:space="0" w:color="auto"/>
              <w:left w:val="outset" w:sz="6" w:space="0" w:color="auto"/>
              <w:bottom w:val="outset" w:sz="6" w:space="0" w:color="auto"/>
              <w:right w:val="outset" w:sz="6" w:space="0" w:color="auto"/>
            </w:tcBorders>
            <w:hideMark/>
          </w:tcPr>
          <w:p w14:paraId="23CE809E" w14:textId="77777777" w:rsidR="00E5323B" w:rsidRPr="002C234B" w:rsidRDefault="00E5323B" w:rsidP="00F44119">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Mērķis, risinājums un projekta spēkā stāšanās laiks (500 zīmes bez atstarpēm)</w:t>
            </w:r>
          </w:p>
        </w:tc>
        <w:tc>
          <w:tcPr>
            <w:tcW w:w="3027" w:type="pct"/>
            <w:tcBorders>
              <w:top w:val="outset" w:sz="6" w:space="0" w:color="auto"/>
              <w:left w:val="outset" w:sz="6" w:space="0" w:color="auto"/>
              <w:bottom w:val="outset" w:sz="6" w:space="0" w:color="auto"/>
              <w:right w:val="outset" w:sz="6" w:space="0" w:color="auto"/>
            </w:tcBorders>
            <w:hideMark/>
          </w:tcPr>
          <w:p w14:paraId="23CE809F" w14:textId="0E6524A1" w:rsidR="00617D37" w:rsidRPr="002C234B" w:rsidRDefault="00617D37" w:rsidP="00F44119">
            <w:pPr>
              <w:spacing w:after="0" w:line="240" w:lineRule="auto"/>
              <w:jc w:val="both"/>
              <w:rPr>
                <w:rFonts w:ascii="Times New Roman" w:hAnsi="Times New Roman" w:cs="Times New Roman"/>
                <w:b/>
                <w:sz w:val="28"/>
                <w:szCs w:val="28"/>
              </w:rPr>
            </w:pPr>
            <w:r w:rsidRPr="002C234B">
              <w:rPr>
                <w:rFonts w:ascii="Times New Roman" w:hAnsi="Times New Roman" w:cs="Times New Roman"/>
                <w:sz w:val="28"/>
                <w:szCs w:val="28"/>
              </w:rPr>
              <w:t>Mērķis</w:t>
            </w:r>
            <w:r w:rsidR="00D944DA" w:rsidRPr="002C234B">
              <w:rPr>
                <w:rFonts w:ascii="Times New Roman" w:hAnsi="Times New Roman" w:cs="Times New Roman"/>
                <w:sz w:val="28"/>
                <w:szCs w:val="28"/>
              </w:rPr>
              <w:t xml:space="preserve"> </w:t>
            </w:r>
            <w:r w:rsidR="000E0746" w:rsidRPr="002C234B">
              <w:rPr>
                <w:rFonts w:ascii="Times New Roman" w:hAnsi="Times New Roman" w:cs="Times New Roman"/>
                <w:sz w:val="28"/>
                <w:szCs w:val="28"/>
              </w:rPr>
              <w:t>–</w:t>
            </w:r>
            <w:r w:rsidR="00D944DA" w:rsidRPr="002C234B">
              <w:rPr>
                <w:rFonts w:ascii="Times New Roman" w:hAnsi="Times New Roman" w:cs="Times New Roman"/>
                <w:sz w:val="28"/>
                <w:szCs w:val="28"/>
              </w:rPr>
              <w:t xml:space="preserve"> noteikt jaunu kārtību </w:t>
            </w:r>
            <w:r w:rsidRPr="002C234B">
              <w:rPr>
                <w:rFonts w:ascii="Times New Roman" w:hAnsi="Times New Roman" w:cs="Times New Roman"/>
                <w:sz w:val="28"/>
                <w:szCs w:val="28"/>
              </w:rPr>
              <w:t>valsts pētījumu programmu projektu pieteikšanai, ekspertīzei, īstenošanai, finansēšanai un valsts pētījumu programmu projektu īstenošanai piešķirto finanšu līdzekļu izlietojuma kontrolei.</w:t>
            </w:r>
          </w:p>
          <w:p w14:paraId="23CE80A0" w14:textId="6A8504A1" w:rsidR="00617D37" w:rsidRPr="002C234B" w:rsidRDefault="0067375D"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 xml:space="preserve">Risinājums </w:t>
            </w:r>
            <w:r w:rsidR="000E0746" w:rsidRPr="002C234B">
              <w:rPr>
                <w:rFonts w:ascii="Times New Roman" w:hAnsi="Times New Roman" w:cs="Times New Roman"/>
                <w:sz w:val="28"/>
                <w:szCs w:val="28"/>
              </w:rPr>
              <w:t>–</w:t>
            </w:r>
            <w:r w:rsidR="00617D37" w:rsidRPr="002C234B">
              <w:rPr>
                <w:rFonts w:ascii="Times New Roman" w:hAnsi="Times New Roman" w:cs="Times New Roman"/>
                <w:sz w:val="28"/>
                <w:szCs w:val="28"/>
              </w:rPr>
              <w:t xml:space="preserve"> nozaru ministrija varēs </w:t>
            </w:r>
            <w:r w:rsidR="00B121F3" w:rsidRPr="002C234B">
              <w:rPr>
                <w:rFonts w:ascii="Times New Roman" w:hAnsi="Times New Roman" w:cs="Times New Roman"/>
                <w:sz w:val="28"/>
                <w:szCs w:val="28"/>
              </w:rPr>
              <w:t xml:space="preserve">veidot, </w:t>
            </w:r>
            <w:r w:rsidR="00617D37" w:rsidRPr="002C234B">
              <w:rPr>
                <w:rFonts w:ascii="Times New Roman" w:hAnsi="Times New Roman" w:cs="Times New Roman"/>
                <w:sz w:val="28"/>
                <w:szCs w:val="28"/>
              </w:rPr>
              <w:t xml:space="preserve">īstenot </w:t>
            </w:r>
            <w:r w:rsidRPr="002C234B">
              <w:rPr>
                <w:rFonts w:ascii="Times New Roman" w:hAnsi="Times New Roman" w:cs="Times New Roman"/>
                <w:sz w:val="28"/>
                <w:szCs w:val="28"/>
              </w:rPr>
              <w:t xml:space="preserve">un finansēt </w:t>
            </w:r>
            <w:r w:rsidR="00B121F3" w:rsidRPr="002C234B">
              <w:rPr>
                <w:rFonts w:ascii="Times New Roman" w:hAnsi="Times New Roman" w:cs="Times New Roman"/>
                <w:sz w:val="28"/>
                <w:szCs w:val="28"/>
              </w:rPr>
              <w:t xml:space="preserve">valsts pētījumu programmu kā </w:t>
            </w:r>
            <w:r w:rsidR="00617D37" w:rsidRPr="002C234B">
              <w:rPr>
                <w:rFonts w:ascii="Times New Roman" w:hAnsi="Times New Roman" w:cs="Times New Roman"/>
                <w:sz w:val="28"/>
                <w:szCs w:val="28"/>
              </w:rPr>
              <w:t>valsts</w:t>
            </w:r>
            <w:r w:rsidR="00B121F3" w:rsidRPr="002C234B">
              <w:rPr>
                <w:rFonts w:ascii="Times New Roman" w:hAnsi="Times New Roman" w:cs="Times New Roman"/>
                <w:sz w:val="28"/>
                <w:szCs w:val="28"/>
              </w:rPr>
              <w:t xml:space="preserve"> pasūtījumu zinātnisko pētījumu</w:t>
            </w:r>
            <w:r w:rsidR="00617D37" w:rsidRPr="002C234B">
              <w:rPr>
                <w:rFonts w:ascii="Times New Roman" w:hAnsi="Times New Roman" w:cs="Times New Roman"/>
                <w:sz w:val="28"/>
                <w:szCs w:val="28"/>
              </w:rPr>
              <w:t xml:space="preserve"> ietvaros, ievērojot savas nozares prioritātes.</w:t>
            </w:r>
          </w:p>
          <w:p w14:paraId="23CE80A2" w14:textId="61C525E3" w:rsidR="00617D37" w:rsidRPr="007F4721" w:rsidRDefault="0067375D" w:rsidP="007F4721">
            <w:pPr>
              <w:pStyle w:val="naisc"/>
              <w:spacing w:before="0" w:after="0"/>
              <w:jc w:val="both"/>
              <w:rPr>
                <w:iCs/>
                <w:sz w:val="28"/>
                <w:szCs w:val="28"/>
              </w:rPr>
            </w:pPr>
            <w:r w:rsidRPr="002C234B">
              <w:rPr>
                <w:iCs/>
                <w:sz w:val="28"/>
                <w:szCs w:val="28"/>
              </w:rPr>
              <w:t>Stāsies spēkā Oficiālo publikāciju un tiesiskās informāci</w:t>
            </w:r>
            <w:r w:rsidR="007F4721">
              <w:rPr>
                <w:iCs/>
                <w:sz w:val="28"/>
                <w:szCs w:val="28"/>
              </w:rPr>
              <w:t xml:space="preserve">jas likumā noteiktajā kārtībā. </w:t>
            </w:r>
          </w:p>
        </w:tc>
      </w:tr>
    </w:tbl>
    <w:p w14:paraId="23CE80A4" w14:textId="77777777" w:rsidR="00E5323B" w:rsidRPr="002C234B" w:rsidRDefault="00E5323B" w:rsidP="00F44119">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162"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4"/>
        <w:gridCol w:w="2376"/>
        <w:gridCol w:w="6398"/>
      </w:tblGrid>
      <w:tr w:rsidR="00E5323B" w:rsidRPr="002C234B" w14:paraId="23CE80A6" w14:textId="77777777" w:rsidTr="00420921">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3CE80A5" w14:textId="77777777" w:rsidR="00655F2C" w:rsidRPr="002C234B" w:rsidRDefault="00E5323B" w:rsidP="00F44119">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I. Tiesību akta projekta izstrādes nepieciešamība</w:t>
            </w:r>
          </w:p>
        </w:tc>
      </w:tr>
      <w:tr w:rsidR="00E5323B" w:rsidRPr="002C234B" w14:paraId="23CE80AA" w14:textId="77777777" w:rsidTr="00B57259">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23CE80A7" w14:textId="77777777" w:rsidR="00655F2C" w:rsidRPr="002C234B" w:rsidRDefault="00E5323B" w:rsidP="00F44119">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263" w:type="pct"/>
            <w:tcBorders>
              <w:top w:val="outset" w:sz="6" w:space="0" w:color="auto"/>
              <w:left w:val="outset" w:sz="6" w:space="0" w:color="auto"/>
              <w:bottom w:val="outset" w:sz="6" w:space="0" w:color="auto"/>
              <w:right w:val="outset" w:sz="6" w:space="0" w:color="auto"/>
            </w:tcBorders>
            <w:hideMark/>
          </w:tcPr>
          <w:p w14:paraId="23CE80A8" w14:textId="77777777" w:rsidR="00E5323B" w:rsidRPr="002C234B" w:rsidRDefault="00E5323B" w:rsidP="00F44119">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Pamatojums</w:t>
            </w:r>
          </w:p>
        </w:tc>
        <w:tc>
          <w:tcPr>
            <w:tcW w:w="3388" w:type="pct"/>
            <w:tcBorders>
              <w:top w:val="outset" w:sz="6" w:space="0" w:color="auto"/>
              <w:left w:val="outset" w:sz="6" w:space="0" w:color="auto"/>
              <w:bottom w:val="outset" w:sz="6" w:space="0" w:color="auto"/>
              <w:right w:val="outset" w:sz="6" w:space="0" w:color="auto"/>
            </w:tcBorders>
            <w:hideMark/>
          </w:tcPr>
          <w:p w14:paraId="23CE80A9" w14:textId="77777777" w:rsidR="00E5323B" w:rsidRPr="002C234B" w:rsidRDefault="00141D97" w:rsidP="00B121F3">
            <w:pPr>
              <w:spacing w:after="0" w:line="240" w:lineRule="auto"/>
              <w:jc w:val="both"/>
              <w:rPr>
                <w:rFonts w:ascii="Times New Roman" w:hAnsi="Times New Roman" w:cs="Times New Roman"/>
                <w:sz w:val="28"/>
                <w:szCs w:val="28"/>
              </w:rPr>
            </w:pPr>
            <w:sdt>
              <w:sdtPr>
                <w:rPr>
                  <w:rFonts w:ascii="Times New Roman" w:eastAsia="Times New Roman" w:hAnsi="Times New Roman" w:cs="Times New Roman"/>
                  <w:bCs/>
                  <w:sz w:val="28"/>
                  <w:szCs w:val="28"/>
                  <w:lang w:eastAsia="lv-LV"/>
                </w:rPr>
                <w:id w:val="-1476901601"/>
                <w:placeholder>
                  <w:docPart w:val="5888B24331F04FC5B4C4F1DA16449615"/>
                </w:placeholder>
              </w:sdtPr>
              <w:sdtContent>
                <w:r w:rsidR="0067375D" w:rsidRPr="002C234B">
                  <w:rPr>
                    <w:rFonts w:ascii="Times New Roman" w:eastAsia="Times New Roman" w:hAnsi="Times New Roman" w:cs="Times New Roman"/>
                    <w:bCs/>
                    <w:sz w:val="28"/>
                    <w:szCs w:val="28"/>
                    <w:lang w:eastAsia="lv-LV"/>
                  </w:rPr>
                  <w:t xml:space="preserve">Ministru kabineta noteikumu </w:t>
                </w:r>
              </w:sdtContent>
            </w:sdt>
            <w:r w:rsidR="0067375D" w:rsidRPr="002C234B">
              <w:rPr>
                <w:rFonts w:ascii="Times New Roman" w:hAnsi="Times New Roman" w:cs="Times New Roman"/>
                <w:sz w:val="28"/>
                <w:szCs w:val="28"/>
              </w:rPr>
              <w:t xml:space="preserve">“Valsts pētījumu programmu projektu pieteikšanas, ekspertīzes, īstenošanas, finansēšanas un valsts pētījumu programmu projektu īstenošanai piešķirto finanšu līdzekļu izlietojuma kontroles kārtība” </w:t>
            </w:r>
            <w:r w:rsidR="0067375D" w:rsidRPr="002C234B">
              <w:rPr>
                <w:rFonts w:ascii="Times New Roman" w:eastAsia="Times New Roman" w:hAnsi="Times New Roman" w:cs="Times New Roman"/>
                <w:bCs/>
                <w:sz w:val="28"/>
                <w:szCs w:val="28"/>
                <w:lang w:eastAsia="lv-LV"/>
              </w:rPr>
              <w:t xml:space="preserve">projekts (turpmāk – </w:t>
            </w:r>
            <w:r w:rsidR="00E26D72" w:rsidRPr="002C234B">
              <w:rPr>
                <w:rFonts w:ascii="Times New Roman" w:eastAsia="Times New Roman" w:hAnsi="Times New Roman" w:cs="Times New Roman"/>
                <w:bCs/>
                <w:sz w:val="28"/>
                <w:szCs w:val="28"/>
                <w:lang w:eastAsia="lv-LV"/>
              </w:rPr>
              <w:t xml:space="preserve">noteikumu </w:t>
            </w:r>
            <w:r w:rsidR="0067375D" w:rsidRPr="002C234B">
              <w:rPr>
                <w:rFonts w:ascii="Times New Roman" w:eastAsia="Times New Roman" w:hAnsi="Times New Roman" w:cs="Times New Roman"/>
                <w:bCs/>
                <w:sz w:val="28"/>
                <w:szCs w:val="28"/>
                <w:lang w:eastAsia="lv-LV"/>
              </w:rPr>
              <w:t xml:space="preserve">projekts) sagatavots saskaņā ar </w:t>
            </w:r>
            <w:r w:rsidR="00A72866" w:rsidRPr="002C234B">
              <w:rPr>
                <w:rFonts w:ascii="Times New Roman" w:eastAsia="Times New Roman" w:hAnsi="Times New Roman" w:cs="Times New Roman"/>
                <w:bCs/>
                <w:sz w:val="28"/>
                <w:szCs w:val="28"/>
                <w:lang w:eastAsia="lv-LV"/>
              </w:rPr>
              <w:t xml:space="preserve"> likumprojekta “Grozījumi </w:t>
            </w:r>
            <w:r w:rsidR="0067375D" w:rsidRPr="002C234B">
              <w:rPr>
                <w:rFonts w:ascii="Times New Roman" w:eastAsia="Times New Roman" w:hAnsi="Times New Roman" w:cs="Times New Roman"/>
                <w:bCs/>
                <w:sz w:val="28"/>
                <w:szCs w:val="28"/>
                <w:lang w:eastAsia="lv-LV"/>
              </w:rPr>
              <w:t>Zinātni</w:t>
            </w:r>
            <w:r w:rsidR="00A72866" w:rsidRPr="002C234B">
              <w:rPr>
                <w:rFonts w:ascii="Times New Roman" w:eastAsia="Times New Roman" w:hAnsi="Times New Roman" w:cs="Times New Roman"/>
                <w:bCs/>
                <w:sz w:val="28"/>
                <w:szCs w:val="28"/>
                <w:lang w:eastAsia="lv-LV"/>
              </w:rPr>
              <w:t>skās darbības likumā” (</w:t>
            </w:r>
            <w:r w:rsidR="00B121F3" w:rsidRPr="002C234B">
              <w:rPr>
                <w:rFonts w:ascii="Times New Roman" w:eastAsia="Times New Roman" w:hAnsi="Times New Roman" w:cs="Times New Roman"/>
                <w:bCs/>
                <w:sz w:val="28"/>
                <w:szCs w:val="28"/>
                <w:lang w:eastAsia="lv-LV"/>
              </w:rPr>
              <w:t>izskatīts Ministru kabineta 2018.gada 22.maija sēdē (prot. Nr.25 24.§; iesniegts Saeimā 2018.gada 29.maijā Nr.1279/lp12</w:t>
            </w:r>
            <w:r w:rsidR="00B121F3" w:rsidRPr="002C234B">
              <w:rPr>
                <w:rStyle w:val="FootnoteReference"/>
                <w:rFonts w:ascii="Times New Roman" w:eastAsia="Times New Roman" w:hAnsi="Times New Roman" w:cs="Times New Roman"/>
                <w:bCs/>
                <w:sz w:val="28"/>
                <w:szCs w:val="28"/>
                <w:lang w:eastAsia="lv-LV"/>
              </w:rPr>
              <w:footnoteReference w:id="1"/>
            </w:r>
            <w:r w:rsidR="00A72866" w:rsidRPr="002C234B">
              <w:rPr>
                <w:rFonts w:ascii="Times New Roman" w:eastAsia="Times New Roman" w:hAnsi="Times New Roman" w:cs="Times New Roman"/>
                <w:bCs/>
                <w:sz w:val="28"/>
                <w:szCs w:val="28"/>
                <w:lang w:eastAsia="lv-LV"/>
              </w:rPr>
              <w:t>)</w:t>
            </w:r>
            <w:r w:rsidR="00420921" w:rsidRPr="002C234B">
              <w:rPr>
                <w:rFonts w:ascii="Times New Roman" w:eastAsia="Times New Roman" w:hAnsi="Times New Roman" w:cs="Times New Roman"/>
                <w:bCs/>
                <w:sz w:val="28"/>
                <w:szCs w:val="28"/>
                <w:lang w:eastAsia="lv-LV"/>
              </w:rPr>
              <w:t xml:space="preserve"> (turpmāk – likumprojekts)</w:t>
            </w:r>
            <w:r w:rsidR="00A72866" w:rsidRPr="002C234B">
              <w:rPr>
                <w:rFonts w:ascii="Times New Roman" w:eastAsia="Times New Roman" w:hAnsi="Times New Roman" w:cs="Times New Roman"/>
                <w:bCs/>
                <w:sz w:val="28"/>
                <w:szCs w:val="28"/>
                <w:lang w:eastAsia="lv-LV"/>
              </w:rPr>
              <w:t xml:space="preserve"> 3.pantu, ka</w:t>
            </w:r>
            <w:r w:rsidR="0067375D" w:rsidRPr="002C234B">
              <w:rPr>
                <w:rFonts w:ascii="Times New Roman" w:eastAsia="Times New Roman" w:hAnsi="Times New Roman" w:cs="Times New Roman"/>
                <w:bCs/>
                <w:sz w:val="28"/>
                <w:szCs w:val="28"/>
                <w:lang w:eastAsia="lv-LV"/>
              </w:rPr>
              <w:t xml:space="preserve"> </w:t>
            </w:r>
            <w:r w:rsidR="00A72866" w:rsidRPr="002C234B">
              <w:rPr>
                <w:rFonts w:ascii="Times New Roman" w:hAnsi="Times New Roman" w:cs="Times New Roman"/>
                <w:sz w:val="28"/>
                <w:szCs w:val="28"/>
              </w:rPr>
              <w:t>valsts pētījumu programmu projektu pieteikšanas, ekspertīzes, īstenošanas, finansēšanas un valsts pētījumu programmu projektu īstenošanai piešķirto finanšu līdzekļu izlietojuma kontroles kārtību nosaka Ministru kabinets.</w:t>
            </w:r>
          </w:p>
        </w:tc>
      </w:tr>
      <w:tr w:rsidR="00E5323B" w:rsidRPr="002C234B" w14:paraId="23CE80D3" w14:textId="77777777" w:rsidTr="00B57259">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23CE80AB"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w:t>
            </w:r>
          </w:p>
        </w:tc>
        <w:tc>
          <w:tcPr>
            <w:tcW w:w="1263" w:type="pct"/>
            <w:tcBorders>
              <w:top w:val="outset" w:sz="6" w:space="0" w:color="auto"/>
              <w:left w:val="outset" w:sz="6" w:space="0" w:color="auto"/>
              <w:bottom w:val="outset" w:sz="6" w:space="0" w:color="auto"/>
              <w:right w:val="outset" w:sz="6" w:space="0" w:color="auto"/>
            </w:tcBorders>
            <w:hideMark/>
          </w:tcPr>
          <w:p w14:paraId="23CE80AC"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Pašreizējā situācija un problēmas, kuru risināšanai tiesību akta projekts izstrādāts, tiesiskā regulējuma mērķis un būtība</w:t>
            </w:r>
          </w:p>
        </w:tc>
        <w:tc>
          <w:tcPr>
            <w:tcW w:w="3388" w:type="pct"/>
            <w:tcBorders>
              <w:top w:val="outset" w:sz="6" w:space="0" w:color="auto"/>
              <w:left w:val="outset" w:sz="6" w:space="0" w:color="auto"/>
              <w:bottom w:val="outset" w:sz="6" w:space="0" w:color="auto"/>
              <w:right w:val="outset" w:sz="6" w:space="0" w:color="auto"/>
            </w:tcBorders>
            <w:hideMark/>
          </w:tcPr>
          <w:p w14:paraId="23CE80AD" w14:textId="63E26CC2" w:rsidR="00E5323B" w:rsidRPr="002C234B" w:rsidRDefault="00A72866" w:rsidP="00F44119">
            <w:pPr>
              <w:spacing w:after="0" w:line="240" w:lineRule="auto"/>
              <w:jc w:val="both"/>
              <w:rPr>
                <w:rFonts w:ascii="Times New Roman" w:hAnsi="Times New Roman" w:cs="Times New Roman"/>
                <w:sz w:val="28"/>
                <w:szCs w:val="28"/>
              </w:rPr>
            </w:pPr>
            <w:r w:rsidRPr="002C234B">
              <w:rPr>
                <w:rFonts w:ascii="Times New Roman" w:eastAsia="Times New Roman" w:hAnsi="Times New Roman" w:cs="Times New Roman"/>
                <w:iCs/>
                <w:sz w:val="28"/>
                <w:szCs w:val="28"/>
                <w:lang w:eastAsia="lv-LV"/>
              </w:rPr>
              <w:t>Valsts pētījumu programmas</w:t>
            </w:r>
            <w:r w:rsidR="00420921" w:rsidRPr="002C234B">
              <w:rPr>
                <w:rFonts w:ascii="Times New Roman" w:eastAsia="Times New Roman" w:hAnsi="Times New Roman" w:cs="Times New Roman"/>
                <w:iCs/>
                <w:sz w:val="28"/>
                <w:szCs w:val="28"/>
                <w:lang w:eastAsia="lv-LV"/>
              </w:rPr>
              <w:t xml:space="preserve"> (turpmāk </w:t>
            </w:r>
            <w:r w:rsidR="000E0746" w:rsidRPr="002C234B">
              <w:rPr>
                <w:rFonts w:ascii="Times New Roman" w:eastAsia="Times New Roman" w:hAnsi="Times New Roman" w:cs="Times New Roman"/>
                <w:iCs/>
                <w:sz w:val="28"/>
                <w:szCs w:val="28"/>
                <w:lang w:eastAsia="lv-LV"/>
              </w:rPr>
              <w:t>–</w:t>
            </w:r>
            <w:r w:rsidR="00420921" w:rsidRPr="002C234B">
              <w:rPr>
                <w:rFonts w:ascii="Times New Roman" w:eastAsia="Times New Roman" w:hAnsi="Times New Roman" w:cs="Times New Roman"/>
                <w:iCs/>
                <w:sz w:val="28"/>
                <w:szCs w:val="28"/>
                <w:lang w:eastAsia="lv-LV"/>
              </w:rPr>
              <w:t xml:space="preserve"> programmas)</w:t>
            </w:r>
            <w:r w:rsidRPr="002C234B">
              <w:rPr>
                <w:rFonts w:ascii="Times New Roman" w:eastAsia="Times New Roman" w:hAnsi="Times New Roman" w:cs="Times New Roman"/>
                <w:iCs/>
                <w:sz w:val="28"/>
                <w:szCs w:val="28"/>
                <w:lang w:eastAsia="lv-LV"/>
              </w:rPr>
              <w:t xml:space="preserve"> </w:t>
            </w:r>
            <w:r w:rsidRPr="002C234B">
              <w:rPr>
                <w:rFonts w:ascii="Times New Roman" w:eastAsia="Times New Roman" w:hAnsi="Times New Roman" w:cs="Times New Roman"/>
                <w:bCs/>
                <w:sz w:val="28"/>
                <w:szCs w:val="28"/>
                <w:lang w:eastAsia="lv-LV"/>
              </w:rPr>
              <w:t>pieteikšanas, ekspertīzes un finansēšanas</w:t>
            </w:r>
            <w:r w:rsidR="00420921" w:rsidRPr="002C234B">
              <w:rPr>
                <w:rFonts w:ascii="Times New Roman" w:eastAsia="Times New Roman" w:hAnsi="Times New Roman" w:cs="Times New Roman"/>
                <w:bCs/>
                <w:sz w:val="28"/>
                <w:szCs w:val="28"/>
                <w:lang w:eastAsia="lv-LV"/>
              </w:rPr>
              <w:t xml:space="preserve"> kārtību</w:t>
            </w:r>
            <w:r w:rsidR="00A11468" w:rsidRPr="002C234B">
              <w:rPr>
                <w:rFonts w:ascii="Times New Roman" w:eastAsia="Times New Roman" w:hAnsi="Times New Roman" w:cs="Times New Roman"/>
                <w:bCs/>
                <w:sz w:val="28"/>
                <w:szCs w:val="28"/>
                <w:lang w:eastAsia="lv-LV"/>
              </w:rPr>
              <w:t xml:space="preserve"> </w:t>
            </w:r>
            <w:r w:rsidR="00A11468" w:rsidRPr="002C234B">
              <w:rPr>
                <w:rFonts w:ascii="Times New Roman" w:hAnsi="Times New Roman" w:cs="Times New Roman"/>
                <w:bCs/>
                <w:sz w:val="28"/>
                <w:szCs w:val="28"/>
              </w:rPr>
              <w:t xml:space="preserve">nosaka </w:t>
            </w:r>
            <w:r w:rsidR="00A11468" w:rsidRPr="002C234B">
              <w:rPr>
                <w:rFonts w:ascii="Times New Roman" w:eastAsia="Times New Roman" w:hAnsi="Times New Roman" w:cs="Times New Roman"/>
                <w:bCs/>
                <w:sz w:val="28"/>
                <w:szCs w:val="28"/>
                <w:lang w:eastAsia="lv-LV"/>
              </w:rPr>
              <w:t xml:space="preserve">Ministru kabineta </w:t>
            </w:r>
            <w:r w:rsidR="00A11468" w:rsidRPr="002C234B">
              <w:rPr>
                <w:rFonts w:ascii="Times New Roman" w:eastAsia="Times New Roman" w:hAnsi="Times New Roman" w:cs="Times New Roman"/>
                <w:sz w:val="28"/>
                <w:szCs w:val="28"/>
                <w:lang w:eastAsia="lv-LV"/>
              </w:rPr>
              <w:t xml:space="preserve">2006.gada 30.maija </w:t>
            </w:r>
            <w:r w:rsidR="00A11468" w:rsidRPr="002C234B">
              <w:rPr>
                <w:rFonts w:ascii="Times New Roman" w:eastAsia="Times New Roman" w:hAnsi="Times New Roman" w:cs="Times New Roman"/>
                <w:bCs/>
                <w:sz w:val="28"/>
                <w:szCs w:val="28"/>
                <w:lang w:eastAsia="lv-LV"/>
              </w:rPr>
              <w:t>noteikumi Nr.443</w:t>
            </w:r>
            <w:r w:rsidR="00A11468" w:rsidRPr="002C234B">
              <w:rPr>
                <w:rFonts w:ascii="Times New Roman" w:eastAsia="Times New Roman" w:hAnsi="Times New Roman" w:cs="Times New Roman"/>
                <w:sz w:val="28"/>
                <w:szCs w:val="28"/>
                <w:lang w:eastAsia="lv-LV"/>
              </w:rPr>
              <w:t xml:space="preserve"> </w:t>
            </w:r>
            <w:r w:rsidR="00A11468" w:rsidRPr="002C234B">
              <w:rPr>
                <w:rFonts w:ascii="Times New Roman" w:eastAsia="Times New Roman" w:hAnsi="Times New Roman" w:cs="Times New Roman"/>
                <w:bCs/>
                <w:sz w:val="28"/>
                <w:szCs w:val="28"/>
                <w:lang w:eastAsia="lv-LV"/>
              </w:rPr>
              <w:t>“Valsts pētījumu programmu pieteikšanas, ekspertīzes un finansēšanas kārtība” (turpmāk – MK noteikumi Nr.443) un</w:t>
            </w:r>
            <w:r w:rsidR="00420921" w:rsidRPr="002C234B">
              <w:rPr>
                <w:rFonts w:ascii="Times New Roman" w:eastAsia="Times New Roman" w:hAnsi="Times New Roman" w:cs="Times New Roman"/>
                <w:bCs/>
                <w:sz w:val="28"/>
                <w:szCs w:val="28"/>
                <w:lang w:eastAsia="lv-LV"/>
              </w:rPr>
              <w:t xml:space="preserve"> </w:t>
            </w:r>
            <w:r w:rsidR="00420921" w:rsidRPr="002C234B">
              <w:rPr>
                <w:rFonts w:ascii="Times New Roman" w:hAnsi="Times New Roman" w:cs="Times New Roman"/>
                <w:bCs/>
                <w:sz w:val="28"/>
                <w:szCs w:val="28"/>
              </w:rPr>
              <w:t xml:space="preserve">programmu īstenošanai piešķirto finanšu līdzekļu izlietojuma kontroli </w:t>
            </w:r>
            <w:r w:rsidR="00A11468" w:rsidRPr="002C234B">
              <w:rPr>
                <w:rFonts w:ascii="Times New Roman" w:eastAsia="Times New Roman" w:hAnsi="Times New Roman" w:cs="Times New Roman"/>
                <w:bCs/>
                <w:sz w:val="28"/>
                <w:szCs w:val="28"/>
                <w:lang w:eastAsia="lv-LV"/>
              </w:rPr>
              <w:t>nosaka</w:t>
            </w:r>
            <w:r w:rsidR="00420921" w:rsidRPr="002C234B">
              <w:rPr>
                <w:rFonts w:ascii="Times New Roman" w:eastAsia="Times New Roman" w:hAnsi="Times New Roman" w:cs="Times New Roman"/>
                <w:bCs/>
                <w:sz w:val="28"/>
                <w:szCs w:val="28"/>
                <w:lang w:eastAsia="lv-LV"/>
              </w:rPr>
              <w:t xml:space="preserve"> Ministru kabineta </w:t>
            </w:r>
            <w:r w:rsidR="00420921" w:rsidRPr="002C234B">
              <w:rPr>
                <w:rFonts w:ascii="Times New Roman" w:eastAsia="Times New Roman" w:hAnsi="Times New Roman" w:cs="Times New Roman"/>
                <w:sz w:val="28"/>
                <w:szCs w:val="28"/>
                <w:lang w:eastAsia="lv-LV"/>
              </w:rPr>
              <w:lastRenderedPageBreak/>
              <w:t xml:space="preserve">2014.gada 30.septembra </w:t>
            </w:r>
            <w:r w:rsidR="00420921" w:rsidRPr="002C234B">
              <w:rPr>
                <w:rFonts w:ascii="Times New Roman" w:eastAsia="Times New Roman" w:hAnsi="Times New Roman" w:cs="Times New Roman"/>
                <w:bCs/>
                <w:sz w:val="28"/>
                <w:szCs w:val="28"/>
                <w:lang w:eastAsia="lv-LV"/>
              </w:rPr>
              <w:t>noteikumi Nr.597</w:t>
            </w:r>
            <w:r w:rsidR="00420921" w:rsidRPr="002C234B">
              <w:rPr>
                <w:rFonts w:ascii="Times New Roman" w:eastAsia="Times New Roman" w:hAnsi="Times New Roman" w:cs="Times New Roman"/>
                <w:sz w:val="28"/>
                <w:szCs w:val="28"/>
                <w:lang w:eastAsia="lv-LV"/>
              </w:rPr>
              <w:t xml:space="preserve"> </w:t>
            </w:r>
            <w:r w:rsidR="00420921" w:rsidRPr="002C234B">
              <w:rPr>
                <w:rFonts w:ascii="Times New Roman" w:eastAsia="Times New Roman" w:hAnsi="Times New Roman" w:cs="Times New Roman"/>
                <w:bCs/>
                <w:sz w:val="28"/>
                <w:szCs w:val="28"/>
                <w:lang w:eastAsia="lv-LV"/>
              </w:rPr>
              <w:t xml:space="preserve">“Kārtība, kādā veic valsts pētījumu programmu īstenošanai piešķirto finanšu līdzekļu izlietojuma kontroli” (turpmāk – MK noteikumi Nr.597). MK noteikumi Nr.443  nodrošina programmu īstenošanu, ievērojot Zinātniskās darbības likuma 35.pantā noteikto, ka </w:t>
            </w:r>
            <w:r w:rsidR="00420921" w:rsidRPr="002C234B">
              <w:rPr>
                <w:rFonts w:ascii="Times New Roman" w:hAnsi="Times New Roman" w:cs="Times New Roman"/>
                <w:sz w:val="28"/>
                <w:szCs w:val="28"/>
              </w:rPr>
              <w:t xml:space="preserve">programmas ir valsts pasūtījums zinātnisku pētījumu veikšanai noteiktā ekonomikas, izglītības, kultūras vai citā valstij prioritārā nozarē ar mērķi </w:t>
            </w:r>
            <w:r w:rsidR="00A11468" w:rsidRPr="002C234B">
              <w:rPr>
                <w:rFonts w:ascii="Times New Roman" w:hAnsi="Times New Roman" w:cs="Times New Roman"/>
                <w:sz w:val="28"/>
                <w:szCs w:val="28"/>
              </w:rPr>
              <w:t xml:space="preserve">veicināt šīs nozares attīstību. </w:t>
            </w:r>
            <w:r w:rsidR="00A11468" w:rsidRPr="002C234B">
              <w:rPr>
                <w:rFonts w:ascii="Times New Roman" w:eastAsia="Times New Roman" w:hAnsi="Times New Roman" w:cs="Times New Roman"/>
                <w:sz w:val="28"/>
                <w:szCs w:val="28"/>
                <w:lang w:eastAsia="lv-LV"/>
              </w:rPr>
              <w:t>P</w:t>
            </w:r>
            <w:r w:rsidR="00420921" w:rsidRPr="002C234B">
              <w:rPr>
                <w:rFonts w:ascii="Times New Roman" w:eastAsia="Times New Roman" w:hAnsi="Times New Roman" w:cs="Times New Roman"/>
                <w:sz w:val="28"/>
                <w:szCs w:val="28"/>
                <w:lang w:eastAsia="lv-LV"/>
              </w:rPr>
              <w:t xml:space="preserve">rogrammu mērķus un uzdevumus nosaka attiecīgās nozaru ministrijas kopīgi ar </w:t>
            </w:r>
            <w:r w:rsidR="00B23FD5" w:rsidRPr="002C234B">
              <w:rPr>
                <w:rFonts w:ascii="Times New Roman" w:eastAsia="Times New Roman" w:hAnsi="Times New Roman" w:cs="Times New Roman"/>
                <w:sz w:val="28"/>
                <w:szCs w:val="28"/>
                <w:lang w:eastAsia="lv-LV"/>
              </w:rPr>
              <w:t>Latvijas Zinātnes padomi</w:t>
            </w:r>
            <w:r w:rsidR="00B23FD5" w:rsidRPr="002C234B">
              <w:rPr>
                <w:rFonts w:ascii="Times New Roman" w:eastAsia="Times New Roman" w:hAnsi="Times New Roman" w:cs="Times New Roman"/>
                <w:sz w:val="28"/>
                <w:szCs w:val="28"/>
                <w:lang w:eastAsia="lv-LV"/>
              </w:rPr>
              <w:t xml:space="preserve"> </w:t>
            </w:r>
            <w:r w:rsidR="00B23FD5" w:rsidRPr="002C234B">
              <w:rPr>
                <w:rFonts w:ascii="Times New Roman" w:eastAsia="Times New Roman" w:hAnsi="Times New Roman" w:cs="Times New Roman"/>
                <w:sz w:val="28"/>
                <w:szCs w:val="28"/>
                <w:lang w:eastAsia="lv-LV"/>
              </w:rPr>
              <w:t>un</w:t>
            </w:r>
            <w:r w:rsidR="00B23FD5" w:rsidRPr="002C234B">
              <w:rPr>
                <w:rFonts w:ascii="Times New Roman" w:eastAsia="Times New Roman" w:hAnsi="Times New Roman" w:cs="Times New Roman"/>
                <w:sz w:val="28"/>
                <w:szCs w:val="28"/>
                <w:lang w:eastAsia="lv-LV"/>
              </w:rPr>
              <w:t xml:space="preserve"> </w:t>
            </w:r>
            <w:r w:rsidR="00B57259" w:rsidRPr="002C234B">
              <w:rPr>
                <w:rFonts w:ascii="Times New Roman" w:eastAsia="Times New Roman" w:hAnsi="Times New Roman" w:cs="Times New Roman"/>
                <w:sz w:val="28"/>
                <w:szCs w:val="28"/>
                <w:lang w:eastAsia="lv-LV"/>
              </w:rPr>
              <w:t>Latvijas Zinātņu akadēmiju</w:t>
            </w:r>
            <w:r w:rsidR="00420921" w:rsidRPr="002C234B">
              <w:rPr>
                <w:rFonts w:ascii="Times New Roman" w:eastAsia="Times New Roman" w:hAnsi="Times New Roman" w:cs="Times New Roman"/>
                <w:sz w:val="28"/>
                <w:szCs w:val="28"/>
                <w:lang w:eastAsia="lv-LV"/>
              </w:rPr>
              <w:t>. Programmas tiek īstenotas Ministru kabineta apstiprinātajos prioritārajos zinātnes virzienos. Izglītības un zinātnes ministrija konkursa kārtībā piešķir programmām finansējumu no zinātnes finansēšanai paredzētajiem valsts budžeta līdzekļiem. Valsts pētījumu programmu pieteikšanas, ekspertīzes un finansēšanas kārtību nosaka Ministru kabinets.</w:t>
            </w:r>
            <w:r w:rsidR="00A11468" w:rsidRPr="002C234B">
              <w:rPr>
                <w:rFonts w:ascii="Times New Roman" w:eastAsia="Times New Roman" w:hAnsi="Times New Roman" w:cs="Times New Roman"/>
                <w:sz w:val="28"/>
                <w:szCs w:val="28"/>
                <w:lang w:eastAsia="lv-LV"/>
              </w:rPr>
              <w:t xml:space="preserve"> Savukārt MK noteikumi Nr.597 izpilda Zinātniskās darbības likuma 13.panta otrās daļas 3.punktā  noteikto, ka Ministru kabinets </w:t>
            </w:r>
            <w:r w:rsidR="00A11468" w:rsidRPr="002C234B">
              <w:rPr>
                <w:rFonts w:ascii="Times New Roman" w:hAnsi="Times New Roman" w:cs="Times New Roman"/>
                <w:sz w:val="28"/>
                <w:szCs w:val="28"/>
              </w:rPr>
              <w:t>nosaka programmu īstenošanai piešķirto finanšu līdzekļu izlietojuma kontroles kārtību.</w:t>
            </w:r>
          </w:p>
          <w:p w14:paraId="23CE80AE" w14:textId="634B58E5" w:rsidR="00A11468" w:rsidRPr="002C234B" w:rsidRDefault="00A11468"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Ar li</w:t>
            </w:r>
            <w:r w:rsidR="002030CD" w:rsidRPr="002C234B">
              <w:rPr>
                <w:rFonts w:ascii="Times New Roman" w:hAnsi="Times New Roman" w:cs="Times New Roman"/>
                <w:sz w:val="28"/>
                <w:szCs w:val="28"/>
              </w:rPr>
              <w:t xml:space="preserve">kumprojekta 3.pantu </w:t>
            </w:r>
            <w:r w:rsidR="0079158F" w:rsidRPr="002C234B">
              <w:rPr>
                <w:rFonts w:ascii="Times New Roman" w:hAnsi="Times New Roman" w:cs="Times New Roman"/>
                <w:sz w:val="28"/>
                <w:szCs w:val="28"/>
              </w:rPr>
              <w:t xml:space="preserve">tiek izteikta jaunā redakcijā </w:t>
            </w:r>
            <w:r w:rsidRPr="002C234B">
              <w:rPr>
                <w:rFonts w:ascii="Times New Roman" w:hAnsi="Times New Roman" w:cs="Times New Roman"/>
                <w:sz w:val="28"/>
                <w:szCs w:val="28"/>
              </w:rPr>
              <w:t>Zinātniskās darbības likuma</w:t>
            </w:r>
            <w:r w:rsidR="00337645" w:rsidRPr="002C234B">
              <w:rPr>
                <w:rFonts w:ascii="Times New Roman" w:hAnsi="Times New Roman" w:cs="Times New Roman"/>
                <w:sz w:val="28"/>
                <w:szCs w:val="28"/>
              </w:rPr>
              <w:t xml:space="preserve"> </w:t>
            </w:r>
            <w:r w:rsidR="0079158F" w:rsidRPr="002C234B">
              <w:rPr>
                <w:rFonts w:ascii="Times New Roman" w:hAnsi="Times New Roman" w:cs="Times New Roman"/>
                <w:sz w:val="28"/>
                <w:szCs w:val="28"/>
              </w:rPr>
              <w:t xml:space="preserve">35.panta otrā daļa, kas vairs nesaturēs </w:t>
            </w:r>
            <w:r w:rsidR="00AE4EED" w:rsidRPr="002C234B">
              <w:rPr>
                <w:rFonts w:ascii="Times New Roman" w:hAnsi="Times New Roman" w:cs="Times New Roman"/>
                <w:sz w:val="28"/>
                <w:szCs w:val="28"/>
              </w:rPr>
              <w:t>pilnvarojumu Ministru kabinetam izdot noteikumus</w:t>
            </w:r>
            <w:r w:rsidR="0079158F" w:rsidRPr="002C234B">
              <w:rPr>
                <w:rFonts w:ascii="Times New Roman" w:hAnsi="Times New Roman" w:cs="Times New Roman"/>
                <w:sz w:val="28"/>
                <w:szCs w:val="28"/>
              </w:rPr>
              <w:t>. Savukārt ar minēto likumprojekta pantu Zinātniskās darbības likuma 35.pants tiek papildināts ar jaunu trešo daļu</w:t>
            </w:r>
            <w:r w:rsidR="00AE4EED" w:rsidRPr="002C234B">
              <w:rPr>
                <w:rFonts w:ascii="Times New Roman" w:hAnsi="Times New Roman" w:cs="Times New Roman"/>
                <w:sz w:val="28"/>
                <w:szCs w:val="28"/>
              </w:rPr>
              <w:t>, kas noteiks</w:t>
            </w:r>
            <w:r w:rsidR="0079158F" w:rsidRPr="002C234B">
              <w:rPr>
                <w:rFonts w:ascii="Times New Roman" w:hAnsi="Times New Roman" w:cs="Times New Roman"/>
                <w:sz w:val="28"/>
                <w:szCs w:val="28"/>
              </w:rPr>
              <w:t xml:space="preserve"> jaunu </w:t>
            </w:r>
            <w:r w:rsidR="00AE4EED" w:rsidRPr="002C234B">
              <w:rPr>
                <w:rFonts w:ascii="Times New Roman" w:hAnsi="Times New Roman" w:cs="Times New Roman"/>
                <w:sz w:val="28"/>
                <w:szCs w:val="28"/>
              </w:rPr>
              <w:t>pilnvarojumu Ministru kabinetam izdot noteikumus par programmu projektu pieteikšanas, ekspertīzes, īstenošanas, finansēšanas</w:t>
            </w:r>
            <w:r w:rsidR="0079158F" w:rsidRPr="002C234B">
              <w:rPr>
                <w:rFonts w:ascii="Times New Roman" w:hAnsi="Times New Roman" w:cs="Times New Roman"/>
                <w:sz w:val="28"/>
                <w:szCs w:val="28"/>
              </w:rPr>
              <w:t xml:space="preserve"> un programmu projektu īstenošanai piešķirto finanšu līdzekļu izlietojuma kont</w:t>
            </w:r>
            <w:r w:rsidR="00AE4EED" w:rsidRPr="002C234B">
              <w:rPr>
                <w:rFonts w:ascii="Times New Roman" w:hAnsi="Times New Roman" w:cs="Times New Roman"/>
                <w:sz w:val="28"/>
                <w:szCs w:val="28"/>
              </w:rPr>
              <w:t>roles kārtību</w:t>
            </w:r>
            <w:r w:rsidR="0079158F" w:rsidRPr="002C234B">
              <w:rPr>
                <w:rFonts w:ascii="Times New Roman" w:hAnsi="Times New Roman" w:cs="Times New Roman"/>
                <w:sz w:val="28"/>
                <w:szCs w:val="28"/>
              </w:rPr>
              <w:t xml:space="preserve">. Tādējādi ar jauno </w:t>
            </w:r>
            <w:r w:rsidR="00AE4EED" w:rsidRPr="002C234B">
              <w:rPr>
                <w:rFonts w:ascii="Times New Roman" w:hAnsi="Times New Roman" w:cs="Times New Roman"/>
                <w:sz w:val="28"/>
                <w:szCs w:val="28"/>
              </w:rPr>
              <w:t>pilnvarojumu</w:t>
            </w:r>
            <w:r w:rsidR="0079158F" w:rsidRPr="002C234B">
              <w:rPr>
                <w:rFonts w:ascii="Times New Roman" w:hAnsi="Times New Roman" w:cs="Times New Roman"/>
                <w:sz w:val="28"/>
                <w:szCs w:val="28"/>
              </w:rPr>
              <w:t xml:space="preserve"> tiek apvienoti Zinātniskās darbības likuma 35.panta otrajā daļā un </w:t>
            </w:r>
            <w:r w:rsidR="00337645" w:rsidRPr="002C234B">
              <w:rPr>
                <w:rFonts w:ascii="Times New Roman" w:hAnsi="Times New Roman" w:cs="Times New Roman"/>
                <w:sz w:val="28"/>
                <w:szCs w:val="28"/>
              </w:rPr>
              <w:t>13.panta otr</w:t>
            </w:r>
            <w:r w:rsidR="0079158F" w:rsidRPr="002C234B">
              <w:rPr>
                <w:rFonts w:ascii="Times New Roman" w:hAnsi="Times New Roman" w:cs="Times New Roman"/>
                <w:sz w:val="28"/>
                <w:szCs w:val="28"/>
              </w:rPr>
              <w:t>ās daļas 3.punktā Ministru kabinetam dot</w:t>
            </w:r>
            <w:r w:rsidR="00AE4EED" w:rsidRPr="002C234B">
              <w:rPr>
                <w:rFonts w:ascii="Times New Roman" w:hAnsi="Times New Roman" w:cs="Times New Roman"/>
                <w:sz w:val="28"/>
                <w:szCs w:val="28"/>
              </w:rPr>
              <w:t>ie</w:t>
            </w:r>
            <w:r w:rsidR="0079158F" w:rsidRPr="002C234B">
              <w:rPr>
                <w:rFonts w:ascii="Times New Roman" w:hAnsi="Times New Roman" w:cs="Times New Roman"/>
                <w:sz w:val="28"/>
                <w:szCs w:val="28"/>
              </w:rPr>
              <w:t xml:space="preserve"> </w:t>
            </w:r>
            <w:r w:rsidR="00AE4EED" w:rsidRPr="002C234B">
              <w:rPr>
                <w:rFonts w:ascii="Times New Roman" w:hAnsi="Times New Roman" w:cs="Times New Roman"/>
                <w:sz w:val="28"/>
                <w:szCs w:val="28"/>
              </w:rPr>
              <w:t>pilnvarojumi, kas ir saistīti ar programmu</w:t>
            </w:r>
            <w:r w:rsidR="00AE4EED" w:rsidRPr="002C234B">
              <w:rPr>
                <w:rFonts w:ascii="Times New Roman" w:eastAsia="Times New Roman" w:hAnsi="Times New Roman" w:cs="Times New Roman"/>
                <w:bCs/>
                <w:sz w:val="28"/>
                <w:szCs w:val="28"/>
                <w:lang w:eastAsia="lv-LV"/>
              </w:rPr>
              <w:t xml:space="preserve"> pieteikšanu, ekspertīzi un finansēšanu, kā arī </w:t>
            </w:r>
            <w:r w:rsidR="00AE4EED" w:rsidRPr="002C234B">
              <w:rPr>
                <w:rFonts w:ascii="Times New Roman" w:hAnsi="Times New Roman" w:cs="Times New Roman"/>
                <w:sz w:val="28"/>
                <w:szCs w:val="28"/>
              </w:rPr>
              <w:t xml:space="preserve"> </w:t>
            </w:r>
            <w:r w:rsidR="0079158F" w:rsidRPr="002C234B">
              <w:rPr>
                <w:rFonts w:ascii="Times New Roman" w:hAnsi="Times New Roman" w:cs="Times New Roman"/>
                <w:sz w:val="28"/>
                <w:szCs w:val="28"/>
              </w:rPr>
              <w:t xml:space="preserve"> </w:t>
            </w:r>
            <w:r w:rsidR="00AE4EED" w:rsidRPr="002C234B">
              <w:rPr>
                <w:rFonts w:ascii="Times New Roman" w:hAnsi="Times New Roman" w:cs="Times New Roman"/>
                <w:sz w:val="28"/>
                <w:szCs w:val="28"/>
              </w:rPr>
              <w:t xml:space="preserve">programmu </w:t>
            </w:r>
            <w:r w:rsidR="00AE4EED" w:rsidRPr="002C234B">
              <w:rPr>
                <w:rFonts w:ascii="Times New Roman" w:eastAsia="Times New Roman" w:hAnsi="Times New Roman" w:cs="Times New Roman"/>
                <w:bCs/>
                <w:sz w:val="28"/>
                <w:szCs w:val="28"/>
                <w:lang w:eastAsia="lv-LV"/>
              </w:rPr>
              <w:t>īstenošanai piešķirto finanšu līdzekļu izlietojuma kontroli</w:t>
            </w:r>
            <w:r w:rsidR="00AE4EED" w:rsidRPr="002C234B">
              <w:rPr>
                <w:rFonts w:ascii="Times New Roman" w:hAnsi="Times New Roman" w:cs="Times New Roman"/>
                <w:sz w:val="28"/>
                <w:szCs w:val="28"/>
              </w:rPr>
              <w:t xml:space="preserve">. </w:t>
            </w:r>
          </w:p>
          <w:p w14:paraId="23CE80AF" w14:textId="77777777" w:rsidR="00A11468" w:rsidRPr="002C234B" w:rsidRDefault="00A11468"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Ievērojot minēto</w:t>
            </w:r>
            <w:r w:rsidR="00F44119" w:rsidRPr="002C234B">
              <w:rPr>
                <w:rFonts w:ascii="Times New Roman" w:hAnsi="Times New Roman" w:cs="Times New Roman"/>
                <w:sz w:val="28"/>
                <w:szCs w:val="28"/>
              </w:rPr>
              <w:t>,</w:t>
            </w:r>
            <w:r w:rsidRPr="002C234B">
              <w:rPr>
                <w:rFonts w:ascii="Times New Roman" w:hAnsi="Times New Roman" w:cs="Times New Roman"/>
                <w:sz w:val="28"/>
                <w:szCs w:val="28"/>
              </w:rPr>
              <w:t xml:space="preserve"> ir nepieciešams jauns tiesību akts, kas noteiks programmu </w:t>
            </w:r>
            <w:r w:rsidR="00337645" w:rsidRPr="002C234B">
              <w:rPr>
                <w:rFonts w:ascii="Times New Roman" w:hAnsi="Times New Roman" w:cs="Times New Roman"/>
                <w:sz w:val="28"/>
                <w:szCs w:val="28"/>
              </w:rPr>
              <w:t>projektu pieteikšanas, ekspertīzes, īstenošanas, finansēšanas un programmu projektu īstenošanai piešķirto finanšu līdzekļu izlietojuma kontroles kārtību.</w:t>
            </w:r>
          </w:p>
          <w:p w14:paraId="7C10549A" w14:textId="74833AA1" w:rsidR="004460C0" w:rsidRDefault="00E26D72" w:rsidP="009A20C9">
            <w:pPr>
              <w:tabs>
                <w:tab w:val="left" w:pos="709"/>
                <w:tab w:val="left" w:pos="993"/>
              </w:tabs>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lastRenderedPageBreak/>
              <w:t>Noteikumu p</w:t>
            </w:r>
            <w:r w:rsidR="004460C0">
              <w:rPr>
                <w:rFonts w:ascii="Times New Roman" w:hAnsi="Times New Roman" w:cs="Times New Roman"/>
                <w:sz w:val="28"/>
                <w:szCs w:val="28"/>
              </w:rPr>
              <w:t>rojektā ir ietverti skaidrojumi termini</w:t>
            </w:r>
            <w:r w:rsidR="007F4721">
              <w:rPr>
                <w:rFonts w:ascii="Times New Roman" w:hAnsi="Times New Roman" w:cs="Times New Roman"/>
                <w:sz w:val="28"/>
                <w:szCs w:val="28"/>
              </w:rPr>
              <w:t>em, kurus lieto</w:t>
            </w:r>
            <w:r w:rsidR="004460C0">
              <w:rPr>
                <w:rFonts w:ascii="Times New Roman" w:hAnsi="Times New Roman" w:cs="Times New Roman"/>
                <w:sz w:val="28"/>
                <w:szCs w:val="28"/>
              </w:rPr>
              <w:t xml:space="preserve"> noteikumu projektā.</w:t>
            </w:r>
          </w:p>
          <w:p w14:paraId="23CE80B0" w14:textId="309ADE2E" w:rsidR="00801CEA" w:rsidRPr="002C234B" w:rsidRDefault="004460C0" w:rsidP="009A20C9">
            <w:pPr>
              <w:tabs>
                <w:tab w:val="left" w:pos="709"/>
                <w:tab w:val="left" w:pos="993"/>
              </w:tabs>
              <w:spacing w:after="0" w:line="240" w:lineRule="auto"/>
              <w:jc w:val="both"/>
              <w:rPr>
                <w:color w:val="000000" w:themeColor="text1"/>
                <w:sz w:val="28"/>
                <w:szCs w:val="28"/>
              </w:rPr>
            </w:pPr>
            <w:r>
              <w:rPr>
                <w:rFonts w:ascii="Times New Roman" w:hAnsi="Times New Roman" w:cs="Times New Roman"/>
                <w:sz w:val="28"/>
                <w:szCs w:val="28"/>
              </w:rPr>
              <w:t xml:space="preserve">Ar noteikumu projektu nosaka, </w:t>
            </w:r>
            <w:r w:rsidR="00474628" w:rsidRPr="002C234B">
              <w:rPr>
                <w:rFonts w:ascii="Times New Roman" w:hAnsi="Times New Roman" w:cs="Times New Roman"/>
                <w:sz w:val="28"/>
                <w:szCs w:val="28"/>
              </w:rPr>
              <w:t>programma</w:t>
            </w:r>
            <w:r w:rsidR="007F4721">
              <w:rPr>
                <w:rFonts w:ascii="Times New Roman" w:hAnsi="Times New Roman" w:cs="Times New Roman"/>
                <w:sz w:val="28"/>
                <w:szCs w:val="28"/>
              </w:rPr>
              <w:t>s ietvaros īstenojamās pētniecības mērķi</w:t>
            </w:r>
            <w:r>
              <w:rPr>
                <w:rFonts w:ascii="Times New Roman" w:hAnsi="Times New Roman" w:cs="Times New Roman"/>
                <w:sz w:val="28"/>
                <w:szCs w:val="28"/>
              </w:rPr>
              <w:t xml:space="preserve"> un izstrādājamās programmas saturu</w:t>
            </w:r>
            <w:r w:rsidR="00474628" w:rsidRPr="002C234B">
              <w:rPr>
                <w:rFonts w:ascii="Times New Roman" w:hAnsi="Times New Roman" w:cs="Times New Roman"/>
                <w:sz w:val="28"/>
                <w:szCs w:val="28"/>
              </w:rPr>
              <w:t xml:space="preserve">. </w:t>
            </w:r>
            <w:r>
              <w:rPr>
                <w:rFonts w:ascii="Times New Roman" w:hAnsi="Times New Roman" w:cs="Times New Roman"/>
                <w:color w:val="000000" w:themeColor="text1"/>
                <w:sz w:val="28"/>
                <w:szCs w:val="28"/>
              </w:rPr>
              <w:t>Programmu</w:t>
            </w:r>
            <w:r w:rsidR="007F4721">
              <w:rPr>
                <w:rFonts w:ascii="Times New Roman" w:hAnsi="Times New Roman" w:cs="Times New Roman"/>
                <w:color w:val="000000" w:themeColor="text1"/>
                <w:sz w:val="28"/>
                <w:szCs w:val="28"/>
              </w:rPr>
              <w:t xml:space="preserve"> var</w:t>
            </w:r>
            <w:r>
              <w:rPr>
                <w:rFonts w:ascii="Times New Roman" w:hAnsi="Times New Roman" w:cs="Times New Roman"/>
                <w:color w:val="000000" w:themeColor="text1"/>
                <w:sz w:val="28"/>
                <w:szCs w:val="28"/>
              </w:rPr>
              <w:t xml:space="preserve"> īsteno</w:t>
            </w:r>
            <w:r w:rsidR="007F4721">
              <w:rPr>
                <w:rFonts w:ascii="Times New Roman" w:hAnsi="Times New Roman" w:cs="Times New Roman"/>
                <w:color w:val="000000" w:themeColor="text1"/>
                <w:sz w:val="28"/>
                <w:szCs w:val="28"/>
              </w:rPr>
              <w:t>t</w:t>
            </w:r>
            <w:r>
              <w:rPr>
                <w:rFonts w:ascii="Times New Roman" w:hAnsi="Times New Roman" w:cs="Times New Roman"/>
                <w:color w:val="000000" w:themeColor="text1"/>
                <w:sz w:val="28"/>
                <w:szCs w:val="28"/>
              </w:rPr>
              <w:t xml:space="preserve"> ar vienu vai vairākiem projektiem, kur projektam var būt apakšprojekti. Projektus atlasa atklātā</w:t>
            </w:r>
            <w:r w:rsidR="00474628" w:rsidRPr="002C234B">
              <w:rPr>
                <w:rFonts w:ascii="Times New Roman" w:hAnsi="Times New Roman" w:cs="Times New Roman"/>
                <w:color w:val="000000" w:themeColor="text1"/>
                <w:sz w:val="28"/>
                <w:szCs w:val="28"/>
              </w:rPr>
              <w:t xml:space="preserve"> projektu pieteikumu konkursā (turpmāk – projektu konkurss), izvērtējot tos atbilstoši administratīvajiem, </w:t>
            </w:r>
            <w:r w:rsidR="007F4721">
              <w:rPr>
                <w:rFonts w:ascii="Times New Roman" w:hAnsi="Times New Roman" w:cs="Times New Roman"/>
                <w:color w:val="000000" w:themeColor="text1"/>
                <w:sz w:val="28"/>
                <w:szCs w:val="28"/>
              </w:rPr>
              <w:t>kvalitātes (</w:t>
            </w:r>
            <w:r w:rsidR="00474628" w:rsidRPr="002C234B">
              <w:rPr>
                <w:rFonts w:ascii="Times New Roman" w:hAnsi="Times New Roman" w:cs="Times New Roman"/>
                <w:color w:val="000000" w:themeColor="text1"/>
                <w:sz w:val="28"/>
                <w:szCs w:val="28"/>
              </w:rPr>
              <w:t>zinātniskajiem</w:t>
            </w:r>
            <w:r w:rsidR="007F4721">
              <w:rPr>
                <w:rFonts w:ascii="Times New Roman" w:hAnsi="Times New Roman" w:cs="Times New Roman"/>
                <w:color w:val="000000" w:themeColor="text1"/>
                <w:sz w:val="28"/>
                <w:szCs w:val="28"/>
              </w:rPr>
              <w:t>)</w:t>
            </w:r>
            <w:r w:rsidR="00474628" w:rsidRPr="002C234B">
              <w:rPr>
                <w:rFonts w:ascii="Times New Roman" w:hAnsi="Times New Roman" w:cs="Times New Roman"/>
                <w:color w:val="000000" w:themeColor="text1"/>
                <w:sz w:val="28"/>
                <w:szCs w:val="28"/>
              </w:rPr>
              <w:t xml:space="preserve"> un</w:t>
            </w:r>
            <w:r>
              <w:rPr>
                <w:rFonts w:ascii="Times New Roman" w:hAnsi="Times New Roman" w:cs="Times New Roman"/>
                <w:color w:val="000000" w:themeColor="text1"/>
                <w:sz w:val="28"/>
                <w:szCs w:val="28"/>
              </w:rPr>
              <w:t>, ja nepieciešams arī</w:t>
            </w:r>
            <w:r w:rsidR="00474628" w:rsidRPr="002C234B">
              <w:rPr>
                <w:rFonts w:ascii="Times New Roman" w:hAnsi="Times New Roman" w:cs="Times New Roman"/>
                <w:color w:val="000000" w:themeColor="text1"/>
                <w:sz w:val="28"/>
                <w:szCs w:val="28"/>
              </w:rPr>
              <w:t xml:space="preserve"> specifiskajiem kritērijiem. Projektu atlasi var veikt vairākās projektu pieteikumu atlases kārtās. </w:t>
            </w:r>
            <w:r w:rsidR="00801CEA" w:rsidRPr="002C234B">
              <w:rPr>
                <w:rFonts w:ascii="Times New Roman" w:hAnsi="Times New Roman" w:cs="Times New Roman"/>
                <w:sz w:val="28"/>
                <w:szCs w:val="28"/>
              </w:rPr>
              <w:t>Projekta īstenošanas termiņu nosaka projektu konkursa nolikum</w:t>
            </w:r>
            <w:r w:rsidR="009673D1">
              <w:rPr>
                <w:rFonts w:ascii="Times New Roman" w:hAnsi="Times New Roman" w:cs="Times New Roman"/>
                <w:sz w:val="28"/>
                <w:szCs w:val="28"/>
              </w:rPr>
              <w:t>ā (turpmāk – konkursa nolikums), taču</w:t>
            </w:r>
            <w:r w:rsidR="00801CEA" w:rsidRPr="002C234B">
              <w:rPr>
                <w:rFonts w:ascii="Times New Roman" w:hAnsi="Times New Roman" w:cs="Times New Roman"/>
                <w:sz w:val="28"/>
                <w:szCs w:val="28"/>
              </w:rPr>
              <w:t xml:space="preserve"> </w:t>
            </w:r>
            <w:r w:rsidR="00BC3E48">
              <w:rPr>
                <w:rFonts w:ascii="Times New Roman" w:hAnsi="Times New Roman" w:cs="Times New Roman"/>
                <w:sz w:val="28"/>
                <w:szCs w:val="28"/>
              </w:rPr>
              <w:t xml:space="preserve">projekta </w:t>
            </w:r>
            <w:r w:rsidR="007F4721">
              <w:rPr>
                <w:rFonts w:ascii="Times New Roman" w:hAnsi="Times New Roman" w:cs="Times New Roman"/>
                <w:color w:val="000000" w:themeColor="text1"/>
                <w:sz w:val="28"/>
                <w:szCs w:val="28"/>
              </w:rPr>
              <w:t>tas nevar būt īsāks kā 6</w:t>
            </w:r>
            <w:r w:rsidR="009673D1">
              <w:rPr>
                <w:rFonts w:ascii="Times New Roman" w:hAnsi="Times New Roman" w:cs="Times New Roman"/>
                <w:color w:val="000000" w:themeColor="text1"/>
                <w:sz w:val="28"/>
                <w:szCs w:val="28"/>
              </w:rPr>
              <w:t xml:space="preserve"> mēneši. </w:t>
            </w:r>
          </w:p>
          <w:p w14:paraId="23CE80B1" w14:textId="6E6C1D7B" w:rsidR="00B17693" w:rsidRPr="00B23FD5" w:rsidRDefault="00EB2F3A"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Programmas</w:t>
            </w:r>
            <w:r w:rsidR="0074411B" w:rsidRPr="002C234B">
              <w:rPr>
                <w:rFonts w:ascii="Times New Roman" w:hAnsi="Times New Roman" w:cs="Times New Roman"/>
                <w:sz w:val="28"/>
                <w:szCs w:val="28"/>
              </w:rPr>
              <w:t xml:space="preserve"> </w:t>
            </w:r>
            <w:proofErr w:type="spellStart"/>
            <w:r w:rsidR="0074411B" w:rsidRPr="002C234B">
              <w:rPr>
                <w:rFonts w:ascii="Times New Roman" w:hAnsi="Times New Roman" w:cs="Times New Roman"/>
                <w:sz w:val="28"/>
                <w:szCs w:val="28"/>
              </w:rPr>
              <w:t>virsmērķa</w:t>
            </w:r>
            <w:proofErr w:type="spellEnd"/>
            <w:r w:rsidR="0074411B" w:rsidRPr="002C234B">
              <w:rPr>
                <w:rFonts w:ascii="Times New Roman" w:hAnsi="Times New Roman" w:cs="Times New Roman"/>
                <w:sz w:val="28"/>
                <w:szCs w:val="28"/>
              </w:rPr>
              <w:t xml:space="preserve"> (ja nepieciešams)</w:t>
            </w:r>
            <w:r w:rsidR="009673D1">
              <w:rPr>
                <w:rFonts w:ascii="Times New Roman" w:hAnsi="Times New Roman" w:cs="Times New Roman"/>
                <w:sz w:val="28"/>
                <w:szCs w:val="28"/>
              </w:rPr>
              <w:t>,</w:t>
            </w:r>
            <w:r w:rsidRPr="002C234B">
              <w:rPr>
                <w:rFonts w:ascii="Times New Roman" w:hAnsi="Times New Roman" w:cs="Times New Roman"/>
                <w:sz w:val="28"/>
                <w:szCs w:val="28"/>
              </w:rPr>
              <w:t xml:space="preserve"> mērķa un uzdevumu</w:t>
            </w:r>
            <w:r w:rsidR="00B23FD5">
              <w:rPr>
                <w:rFonts w:ascii="Times New Roman" w:hAnsi="Times New Roman" w:cs="Times New Roman"/>
                <w:sz w:val="28"/>
                <w:szCs w:val="28"/>
              </w:rPr>
              <w:t>s</w:t>
            </w:r>
            <w:r w:rsidRPr="002C234B">
              <w:rPr>
                <w:rFonts w:ascii="Times New Roman" w:hAnsi="Times New Roman" w:cs="Times New Roman"/>
                <w:sz w:val="28"/>
                <w:szCs w:val="28"/>
              </w:rPr>
              <w:t xml:space="preserve"> n</w:t>
            </w:r>
            <w:r w:rsidR="0074411B" w:rsidRPr="002C234B">
              <w:rPr>
                <w:rFonts w:ascii="Times New Roman" w:hAnsi="Times New Roman" w:cs="Times New Roman"/>
                <w:sz w:val="28"/>
                <w:szCs w:val="28"/>
              </w:rPr>
              <w:t>ozaru ministrija</w:t>
            </w:r>
            <w:r w:rsidR="009673D1">
              <w:rPr>
                <w:rFonts w:ascii="Times New Roman" w:hAnsi="Times New Roman" w:cs="Times New Roman"/>
                <w:sz w:val="28"/>
                <w:szCs w:val="28"/>
              </w:rPr>
              <w:t xml:space="preserve"> definē</w:t>
            </w:r>
            <w:r w:rsidR="0074411B" w:rsidRPr="002C234B">
              <w:rPr>
                <w:rFonts w:ascii="Times New Roman" w:hAnsi="Times New Roman" w:cs="Times New Roman"/>
                <w:sz w:val="28"/>
                <w:szCs w:val="28"/>
              </w:rPr>
              <w:t xml:space="preserve"> sadarbojoties</w:t>
            </w:r>
            <w:r w:rsidRPr="002C234B">
              <w:rPr>
                <w:rFonts w:ascii="Times New Roman" w:hAnsi="Times New Roman" w:cs="Times New Roman"/>
                <w:sz w:val="28"/>
                <w:szCs w:val="28"/>
              </w:rPr>
              <w:t xml:space="preserve"> ar </w:t>
            </w:r>
            <w:r w:rsidR="00B17693" w:rsidRPr="002C234B">
              <w:rPr>
                <w:rFonts w:ascii="Times New Roman" w:hAnsi="Times New Roman" w:cs="Times New Roman"/>
                <w:sz w:val="28"/>
                <w:szCs w:val="28"/>
              </w:rPr>
              <w:t>programmas stratēģisko padomi</w:t>
            </w:r>
            <w:r w:rsidR="009673D1">
              <w:rPr>
                <w:rFonts w:ascii="Times New Roman" w:hAnsi="Times New Roman" w:cs="Times New Roman"/>
                <w:sz w:val="28"/>
                <w:szCs w:val="28"/>
              </w:rPr>
              <w:t xml:space="preserve"> (turpmāk – stratēģiskā padome)</w:t>
            </w:r>
            <w:r w:rsidR="004948AF" w:rsidRPr="002C234B">
              <w:rPr>
                <w:rFonts w:ascii="Times New Roman" w:hAnsi="Times New Roman" w:cs="Times New Roman"/>
                <w:sz w:val="28"/>
                <w:szCs w:val="28"/>
              </w:rPr>
              <w:t>, kurai ir konsultatīvs koleģiāls raksturs</w:t>
            </w:r>
            <w:r w:rsidR="009673D1">
              <w:rPr>
                <w:rFonts w:ascii="Times New Roman" w:hAnsi="Times New Roman" w:cs="Times New Roman"/>
                <w:sz w:val="28"/>
                <w:szCs w:val="28"/>
              </w:rPr>
              <w:t>. Stratēģiskā padome sniedz ministrijai viedokli un atbalstu programmas izstrādes gaitā un</w:t>
            </w:r>
            <w:r w:rsidR="004948AF" w:rsidRPr="002C234B">
              <w:rPr>
                <w:rFonts w:ascii="Times New Roman" w:hAnsi="Times New Roman" w:cs="Times New Roman"/>
                <w:sz w:val="28"/>
                <w:szCs w:val="28"/>
              </w:rPr>
              <w:t xml:space="preserve"> programmas īstenošanas laikā,</w:t>
            </w:r>
            <w:r w:rsidR="009673D1">
              <w:rPr>
                <w:rFonts w:ascii="Times New Roman" w:hAnsi="Times New Roman" w:cs="Times New Roman"/>
                <w:sz w:val="28"/>
                <w:szCs w:val="28"/>
              </w:rPr>
              <w:t xml:space="preserve"> kā arī viedokli par programmas rezultātiem pēc tās pabeigšanas</w:t>
            </w:r>
            <w:r w:rsidR="004948AF" w:rsidRPr="002C234B">
              <w:rPr>
                <w:rFonts w:ascii="Times New Roman" w:hAnsi="Times New Roman" w:cs="Times New Roman"/>
                <w:sz w:val="28"/>
                <w:szCs w:val="28"/>
              </w:rPr>
              <w:t xml:space="preserve">. Stratēģiskās padomei </w:t>
            </w:r>
            <w:r w:rsidR="009673D1" w:rsidRPr="00B23FD5">
              <w:rPr>
                <w:rFonts w:ascii="Times New Roman" w:hAnsi="Times New Roman" w:cs="Times New Roman"/>
                <w:sz w:val="28"/>
                <w:szCs w:val="28"/>
              </w:rPr>
              <w:t xml:space="preserve">atbilstoši tās nolikumam, kuru apstiprina nozares ministrija, </w:t>
            </w:r>
            <w:r w:rsidR="004948AF" w:rsidRPr="00B23FD5">
              <w:rPr>
                <w:rFonts w:ascii="Times New Roman" w:hAnsi="Times New Roman" w:cs="Times New Roman"/>
                <w:sz w:val="28"/>
                <w:szCs w:val="28"/>
              </w:rPr>
              <w:t>var būt arī citi  uzdevumi</w:t>
            </w:r>
            <w:r w:rsidR="009673D1" w:rsidRPr="00B23FD5">
              <w:rPr>
                <w:rFonts w:ascii="Times New Roman" w:hAnsi="Times New Roman" w:cs="Times New Roman"/>
                <w:sz w:val="28"/>
                <w:szCs w:val="28"/>
              </w:rPr>
              <w:t xml:space="preserve">. Nozares ministrija varēs neveidot </w:t>
            </w:r>
            <w:r w:rsidR="004948AF" w:rsidRPr="00B23FD5">
              <w:rPr>
                <w:rFonts w:ascii="Times New Roman" w:hAnsi="Times New Roman" w:cs="Times New Roman"/>
                <w:sz w:val="28"/>
                <w:szCs w:val="28"/>
              </w:rPr>
              <w:t xml:space="preserve"> </w:t>
            </w:r>
            <w:r w:rsidR="009673D1" w:rsidRPr="00B23FD5">
              <w:rPr>
                <w:rFonts w:ascii="Times New Roman" w:hAnsi="Times New Roman" w:cs="Times New Roman"/>
                <w:sz w:val="28"/>
                <w:szCs w:val="28"/>
              </w:rPr>
              <w:t xml:space="preserve">stratēģisku padomi, ja tai jau ir </w:t>
            </w:r>
            <w:r w:rsidR="0032210B" w:rsidRPr="00B23FD5">
              <w:rPr>
                <w:rFonts w:ascii="Times New Roman" w:hAnsi="Times New Roman" w:cs="Times New Roman"/>
                <w:sz w:val="28"/>
                <w:szCs w:val="28"/>
              </w:rPr>
              <w:t>jau iepriekš izveidotā padome, kuras kompetencē ir nozares stratēģisko jautājumu risināšana.</w:t>
            </w:r>
          </w:p>
          <w:p w14:paraId="67AA5F1D" w14:textId="77777777" w:rsidR="00B23FD5" w:rsidRDefault="0032210B" w:rsidP="00F441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w:t>
            </w:r>
            <w:r w:rsidR="004948AF" w:rsidRPr="002C234B">
              <w:rPr>
                <w:rFonts w:ascii="Times New Roman" w:hAnsi="Times New Roman" w:cs="Times New Roman"/>
                <w:sz w:val="28"/>
                <w:szCs w:val="28"/>
              </w:rPr>
              <w:t>tratēģiskās padomes sastāvu ministrija veido patstāvīgi</w:t>
            </w:r>
            <w:r w:rsidR="00EB2F3A" w:rsidRPr="002C234B">
              <w:rPr>
                <w:rFonts w:ascii="Times New Roman" w:hAnsi="Times New Roman" w:cs="Times New Roman"/>
                <w:sz w:val="28"/>
                <w:szCs w:val="28"/>
              </w:rPr>
              <w:t xml:space="preserve">, </w:t>
            </w:r>
            <w:r w:rsidR="004948AF" w:rsidRPr="002C234B">
              <w:rPr>
                <w:rFonts w:ascii="Times New Roman" w:hAnsi="Times New Roman" w:cs="Times New Roman"/>
                <w:sz w:val="28"/>
                <w:szCs w:val="28"/>
              </w:rPr>
              <w:t>piesaistot arī</w:t>
            </w:r>
            <w:r w:rsidR="00EB2F3A" w:rsidRPr="002C234B">
              <w:rPr>
                <w:rFonts w:ascii="Times New Roman" w:hAnsi="Times New Roman" w:cs="Times New Roman"/>
                <w:sz w:val="28"/>
                <w:szCs w:val="28"/>
              </w:rPr>
              <w:t xml:space="preserve"> </w:t>
            </w:r>
            <w:r w:rsidR="0074411B" w:rsidRPr="002C234B">
              <w:rPr>
                <w:rFonts w:ascii="Times New Roman" w:hAnsi="Times New Roman" w:cs="Times New Roman"/>
                <w:color w:val="000000" w:themeColor="text1"/>
                <w:sz w:val="28"/>
                <w:szCs w:val="28"/>
              </w:rPr>
              <w:t xml:space="preserve">Izglītības un zinātnes ministrijas </w:t>
            </w:r>
            <w:r w:rsidR="0074411B" w:rsidRPr="002C234B">
              <w:rPr>
                <w:rFonts w:ascii="Times New Roman" w:hAnsi="Times New Roman" w:cs="Times New Roman"/>
                <w:color w:val="000000"/>
                <w:sz w:val="28"/>
                <w:szCs w:val="28"/>
              </w:rPr>
              <w:t>pārstāvi</w:t>
            </w:r>
            <w:r w:rsidR="004948AF" w:rsidRPr="002C234B">
              <w:rPr>
                <w:rFonts w:ascii="Times New Roman" w:hAnsi="Times New Roman" w:cs="Times New Roman"/>
                <w:color w:val="000000"/>
                <w:sz w:val="28"/>
                <w:szCs w:val="28"/>
              </w:rPr>
              <w:t xml:space="preserve">, lai nodrošinātu programmas </w:t>
            </w:r>
            <w:r w:rsidR="00B23FD5" w:rsidRPr="002C234B">
              <w:rPr>
                <w:rFonts w:ascii="Times New Roman" w:hAnsi="Times New Roman" w:cs="Times New Roman"/>
                <w:color w:val="000000"/>
                <w:sz w:val="28"/>
                <w:szCs w:val="28"/>
              </w:rPr>
              <w:t>ietvaros</w:t>
            </w:r>
            <w:r w:rsidR="00B23FD5" w:rsidRPr="002C234B">
              <w:rPr>
                <w:rFonts w:ascii="Times New Roman" w:hAnsi="Times New Roman" w:cs="Times New Roman"/>
                <w:color w:val="000000"/>
                <w:sz w:val="28"/>
                <w:szCs w:val="28"/>
              </w:rPr>
              <w:t xml:space="preserve"> </w:t>
            </w:r>
            <w:r w:rsidR="00B23FD5">
              <w:rPr>
                <w:rFonts w:ascii="Times New Roman" w:hAnsi="Times New Roman" w:cs="Times New Roman"/>
                <w:color w:val="000000"/>
                <w:sz w:val="28"/>
                <w:szCs w:val="28"/>
              </w:rPr>
              <w:t>zinātniskās darbības</w:t>
            </w:r>
            <w:r w:rsidR="00B23FD5" w:rsidRPr="002C234B">
              <w:rPr>
                <w:rFonts w:ascii="Times New Roman" w:hAnsi="Times New Roman" w:cs="Times New Roman"/>
                <w:color w:val="000000"/>
                <w:sz w:val="28"/>
                <w:szCs w:val="28"/>
              </w:rPr>
              <w:t xml:space="preserve"> </w:t>
            </w:r>
            <w:r w:rsidR="00B23FD5">
              <w:rPr>
                <w:rFonts w:ascii="Times New Roman" w:hAnsi="Times New Roman" w:cs="Times New Roman"/>
                <w:color w:val="000000"/>
                <w:sz w:val="28"/>
                <w:szCs w:val="28"/>
              </w:rPr>
              <w:t>īstenošanu</w:t>
            </w:r>
            <w:r w:rsidR="004948AF" w:rsidRPr="002C234B">
              <w:rPr>
                <w:rFonts w:ascii="Times New Roman" w:hAnsi="Times New Roman" w:cs="Times New Roman"/>
                <w:color w:val="000000"/>
                <w:sz w:val="28"/>
                <w:szCs w:val="28"/>
              </w:rPr>
              <w:t>. J</w:t>
            </w:r>
            <w:r w:rsidR="0074411B" w:rsidRPr="002C234B">
              <w:rPr>
                <w:rFonts w:ascii="Times New Roman" w:hAnsi="Times New Roman" w:cs="Times New Roman"/>
                <w:color w:val="000000"/>
                <w:sz w:val="28"/>
                <w:szCs w:val="28"/>
              </w:rPr>
              <w:t>a nepieciešams</w:t>
            </w:r>
            <w:r w:rsidR="000E0746" w:rsidRPr="002C234B">
              <w:rPr>
                <w:rFonts w:ascii="Times New Roman" w:hAnsi="Times New Roman" w:cs="Times New Roman"/>
                <w:color w:val="000000"/>
                <w:sz w:val="28"/>
                <w:szCs w:val="28"/>
              </w:rPr>
              <w:t>,</w:t>
            </w:r>
            <w:r w:rsidR="0074411B" w:rsidRPr="002C234B">
              <w:rPr>
                <w:rFonts w:ascii="Times New Roman" w:hAnsi="Times New Roman" w:cs="Times New Roman"/>
                <w:color w:val="000000"/>
                <w:sz w:val="28"/>
                <w:szCs w:val="28"/>
              </w:rPr>
              <w:t xml:space="preserve"> </w:t>
            </w:r>
            <w:r w:rsidR="004948AF" w:rsidRPr="002C234B">
              <w:rPr>
                <w:rFonts w:ascii="Times New Roman" w:hAnsi="Times New Roman" w:cs="Times New Roman"/>
                <w:color w:val="000000"/>
                <w:sz w:val="28"/>
                <w:szCs w:val="28"/>
              </w:rPr>
              <w:t xml:space="preserve">stratēģiskās padomes sastāvā </w:t>
            </w:r>
            <w:r w:rsidR="0074411B" w:rsidRPr="002C234B">
              <w:rPr>
                <w:rFonts w:ascii="Times New Roman" w:hAnsi="Times New Roman" w:cs="Times New Roman"/>
                <w:color w:val="000000"/>
                <w:sz w:val="28"/>
                <w:szCs w:val="28"/>
              </w:rPr>
              <w:t>piesaista ekspertus, speciālistus, valsts vai pašvaldību institūciju, nevalstisko organizāciju (</w:t>
            </w:r>
            <w:r w:rsidR="0074411B" w:rsidRPr="002C234B">
              <w:rPr>
                <w:rFonts w:ascii="Times New Roman" w:hAnsi="Times New Roman" w:cs="Times New Roman"/>
                <w:color w:val="000000" w:themeColor="text1"/>
                <w:sz w:val="28"/>
                <w:szCs w:val="28"/>
              </w:rPr>
              <w:t>nozares profesionālās un sabiedriskās organizācijas)</w:t>
            </w:r>
            <w:r w:rsidR="0074411B" w:rsidRPr="002C234B">
              <w:rPr>
                <w:rFonts w:ascii="Times New Roman" w:hAnsi="Times New Roman" w:cs="Times New Roman"/>
                <w:color w:val="000000"/>
                <w:sz w:val="28"/>
                <w:szCs w:val="28"/>
              </w:rPr>
              <w:t xml:space="preserve">, valsts kapitālsabiedrību, zinātni pārstāvošo organizāciju pārstāvjus. </w:t>
            </w:r>
            <w:r w:rsidR="004948AF" w:rsidRPr="002C234B">
              <w:rPr>
                <w:rFonts w:ascii="Times New Roman" w:hAnsi="Times New Roman" w:cs="Times New Roman"/>
                <w:color w:val="000000"/>
                <w:sz w:val="28"/>
                <w:szCs w:val="28"/>
              </w:rPr>
              <w:t>Papildus minētajam, s</w:t>
            </w:r>
            <w:r w:rsidR="0074411B" w:rsidRPr="002C234B">
              <w:rPr>
                <w:rFonts w:ascii="Times New Roman" w:hAnsi="Times New Roman" w:cs="Times New Roman"/>
                <w:color w:val="000000"/>
                <w:sz w:val="28"/>
                <w:szCs w:val="28"/>
              </w:rPr>
              <w:t xml:space="preserve">tratēģiskā padome programmas izstrādē konsultējas ar </w:t>
            </w:r>
            <w:r w:rsidR="00B23FD5" w:rsidRPr="002C234B">
              <w:rPr>
                <w:rFonts w:ascii="Times New Roman" w:hAnsi="Times New Roman" w:cs="Times New Roman"/>
                <w:color w:val="000000"/>
                <w:sz w:val="28"/>
                <w:szCs w:val="28"/>
              </w:rPr>
              <w:t>Latvijas Zinātņu akadēmiju</w:t>
            </w:r>
            <w:r w:rsidR="00B23FD5">
              <w:rPr>
                <w:rFonts w:ascii="Times New Roman" w:hAnsi="Times New Roman" w:cs="Times New Roman"/>
                <w:color w:val="000000"/>
                <w:sz w:val="28"/>
                <w:szCs w:val="28"/>
              </w:rPr>
              <w:t xml:space="preserve"> un</w:t>
            </w:r>
            <w:r w:rsidR="00B23FD5" w:rsidRPr="002C234B">
              <w:rPr>
                <w:rFonts w:ascii="Times New Roman" w:hAnsi="Times New Roman" w:cs="Times New Roman"/>
                <w:color w:val="000000"/>
                <w:sz w:val="28"/>
                <w:szCs w:val="28"/>
              </w:rPr>
              <w:t xml:space="preserve"> </w:t>
            </w:r>
            <w:r w:rsidR="0074411B" w:rsidRPr="002C234B">
              <w:rPr>
                <w:rFonts w:ascii="Times New Roman" w:hAnsi="Times New Roman" w:cs="Times New Roman"/>
                <w:color w:val="000000"/>
                <w:sz w:val="28"/>
                <w:szCs w:val="28"/>
              </w:rPr>
              <w:t xml:space="preserve">Latvijas Zinātnes padomi </w:t>
            </w:r>
            <w:r w:rsidR="00B23FD5">
              <w:rPr>
                <w:rFonts w:ascii="Times New Roman" w:hAnsi="Times New Roman" w:cs="Times New Roman"/>
                <w:sz w:val="28"/>
                <w:szCs w:val="28"/>
              </w:rPr>
              <w:t>(turpmāk – padome)</w:t>
            </w:r>
            <w:r w:rsidR="0074411B" w:rsidRPr="002C234B">
              <w:rPr>
                <w:rFonts w:ascii="Times New Roman" w:hAnsi="Times New Roman" w:cs="Times New Roman"/>
                <w:color w:val="000000"/>
                <w:sz w:val="28"/>
                <w:szCs w:val="28"/>
              </w:rPr>
              <w:t>.</w:t>
            </w:r>
            <w:r w:rsidR="0074411B" w:rsidRPr="002C234B">
              <w:rPr>
                <w:rFonts w:ascii="Times New Roman" w:hAnsi="Times New Roman" w:cs="Times New Roman"/>
                <w:sz w:val="28"/>
                <w:szCs w:val="28"/>
              </w:rPr>
              <w:t xml:space="preserve"> </w:t>
            </w:r>
          </w:p>
          <w:p w14:paraId="23CE80B2" w14:textId="0E0FC08B" w:rsidR="0074411B" w:rsidRPr="002C234B" w:rsidRDefault="0074411B"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Programmu apstiprina ar Ministru kabineta rīkojumu saskaņā ar Zinātniskās darbības likuma 13.panta otrās daļas 3.punktu.</w:t>
            </w:r>
          </w:p>
          <w:p w14:paraId="23CE80B3" w14:textId="153416FA" w:rsidR="00B761A2" w:rsidRPr="002C234B" w:rsidRDefault="00F47F92"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 xml:space="preserve">Noteikumu projekts paredz, ka nozaru ministrija izveido programmas īstenošanas un uzraudzības komisiju </w:t>
            </w:r>
            <w:r w:rsidRPr="002C234B">
              <w:rPr>
                <w:rFonts w:ascii="Times New Roman" w:hAnsi="Times New Roman" w:cs="Times New Roman"/>
                <w:sz w:val="28"/>
                <w:szCs w:val="28"/>
              </w:rPr>
              <w:lastRenderedPageBreak/>
              <w:t xml:space="preserve">(turpmāk – komisija), kas darbojas atbilstoši </w:t>
            </w:r>
            <w:r w:rsidR="002221D1">
              <w:rPr>
                <w:rFonts w:ascii="Times New Roman" w:hAnsi="Times New Roman" w:cs="Times New Roman"/>
                <w:sz w:val="28"/>
                <w:szCs w:val="28"/>
              </w:rPr>
              <w:t>nozares</w:t>
            </w:r>
            <w:r w:rsidR="0074411B" w:rsidRPr="002C234B">
              <w:rPr>
                <w:rFonts w:ascii="Times New Roman" w:hAnsi="Times New Roman" w:cs="Times New Roman"/>
                <w:sz w:val="28"/>
                <w:szCs w:val="28"/>
              </w:rPr>
              <w:t xml:space="preserve"> </w:t>
            </w:r>
            <w:r w:rsidR="00B17693" w:rsidRPr="002C234B">
              <w:rPr>
                <w:rFonts w:ascii="Times New Roman" w:hAnsi="Times New Roman" w:cs="Times New Roman"/>
                <w:sz w:val="28"/>
                <w:szCs w:val="28"/>
              </w:rPr>
              <w:t>ministrijas</w:t>
            </w:r>
            <w:r w:rsidR="0074411B" w:rsidRPr="002C234B">
              <w:rPr>
                <w:rFonts w:ascii="Times New Roman" w:hAnsi="Times New Roman" w:cs="Times New Roman"/>
                <w:sz w:val="28"/>
                <w:szCs w:val="28"/>
              </w:rPr>
              <w:t xml:space="preserve"> </w:t>
            </w:r>
            <w:r w:rsidR="00B23FD5">
              <w:rPr>
                <w:rFonts w:ascii="Times New Roman" w:hAnsi="Times New Roman" w:cs="Times New Roman"/>
                <w:sz w:val="28"/>
                <w:szCs w:val="28"/>
              </w:rPr>
              <w:t>izdotam</w:t>
            </w:r>
            <w:r w:rsidR="00B17693" w:rsidRPr="002C234B">
              <w:rPr>
                <w:rFonts w:ascii="Times New Roman" w:hAnsi="Times New Roman" w:cs="Times New Roman"/>
                <w:sz w:val="28"/>
                <w:szCs w:val="28"/>
              </w:rPr>
              <w:t xml:space="preserve"> komisijas </w:t>
            </w:r>
            <w:r w:rsidRPr="002C234B">
              <w:rPr>
                <w:rFonts w:ascii="Times New Roman" w:hAnsi="Times New Roman" w:cs="Times New Roman"/>
                <w:sz w:val="28"/>
                <w:szCs w:val="28"/>
              </w:rPr>
              <w:t xml:space="preserve">nolikumam. </w:t>
            </w:r>
            <w:r w:rsidR="002221D1">
              <w:rPr>
                <w:rFonts w:ascii="Times New Roman" w:hAnsi="Times New Roman" w:cs="Times New Roman"/>
                <w:sz w:val="28"/>
                <w:szCs w:val="28"/>
              </w:rPr>
              <w:t xml:space="preserve">Komisijas sastāvā  kā locekli iekļauj arī Izglītības un zinātnes ministriju, kā padomdevējus – padomes un Studiju un zinātnes administrāciju (turpmāk – administrācija), savukārt </w:t>
            </w:r>
            <w:r w:rsidR="0099231A">
              <w:rPr>
                <w:rFonts w:ascii="Times New Roman" w:hAnsi="Times New Roman" w:cs="Times New Roman"/>
                <w:sz w:val="28"/>
                <w:szCs w:val="28"/>
              </w:rPr>
              <w:t>komisijas</w:t>
            </w:r>
            <w:bookmarkStart w:id="0" w:name="_GoBack"/>
            <w:bookmarkEnd w:id="0"/>
            <w:r w:rsidR="0099231A">
              <w:rPr>
                <w:rFonts w:ascii="Times New Roman" w:hAnsi="Times New Roman" w:cs="Times New Roman"/>
                <w:sz w:val="28"/>
                <w:szCs w:val="28"/>
              </w:rPr>
              <w:t xml:space="preserve"> </w:t>
            </w:r>
            <w:r w:rsidR="002221D1">
              <w:rPr>
                <w:rFonts w:ascii="Times New Roman" w:hAnsi="Times New Roman" w:cs="Times New Roman"/>
                <w:sz w:val="28"/>
                <w:szCs w:val="28"/>
              </w:rPr>
              <w:t>sekretariāta funkcijas izpilda administrāc</w:t>
            </w:r>
            <w:r w:rsidR="00B23FD5">
              <w:rPr>
                <w:rFonts w:ascii="Times New Roman" w:hAnsi="Times New Roman" w:cs="Times New Roman"/>
                <w:sz w:val="28"/>
                <w:szCs w:val="28"/>
              </w:rPr>
              <w:t>ija. Noteikumu projekts paredz</w:t>
            </w:r>
            <w:r w:rsidR="002221D1">
              <w:rPr>
                <w:rFonts w:ascii="Times New Roman" w:hAnsi="Times New Roman" w:cs="Times New Roman"/>
                <w:sz w:val="28"/>
                <w:szCs w:val="28"/>
              </w:rPr>
              <w:t xml:space="preserve"> </w:t>
            </w:r>
            <w:r w:rsidR="00B23FD5">
              <w:rPr>
                <w:rFonts w:ascii="Times New Roman" w:hAnsi="Times New Roman" w:cs="Times New Roman"/>
                <w:sz w:val="28"/>
                <w:szCs w:val="28"/>
              </w:rPr>
              <w:t>programmas īstenošanas</w:t>
            </w:r>
            <w:r w:rsidR="002221D1">
              <w:rPr>
                <w:rFonts w:ascii="Times New Roman" w:hAnsi="Times New Roman" w:cs="Times New Roman"/>
                <w:sz w:val="28"/>
                <w:szCs w:val="28"/>
              </w:rPr>
              <w:t xml:space="preserve"> uzdevumus komisijai</w:t>
            </w:r>
            <w:r w:rsidR="008914B1">
              <w:rPr>
                <w:rFonts w:ascii="Times New Roman" w:hAnsi="Times New Roman" w:cs="Times New Roman"/>
                <w:sz w:val="28"/>
                <w:szCs w:val="28"/>
              </w:rPr>
              <w:t>.</w:t>
            </w:r>
          </w:p>
          <w:p w14:paraId="23CE80B9" w14:textId="58B4D154" w:rsidR="00455FAA" w:rsidRPr="002C234B" w:rsidRDefault="00D35740" w:rsidP="00F44119">
            <w:pPr>
              <w:tabs>
                <w:tab w:val="left" w:pos="709"/>
                <w:tab w:val="left" w:pos="99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Programmas izpildes nodrošināšanai, n</w:t>
            </w:r>
            <w:r w:rsidR="00E26D72" w:rsidRPr="002C234B">
              <w:rPr>
                <w:rFonts w:ascii="Times New Roman" w:hAnsi="Times New Roman" w:cs="Times New Roman"/>
                <w:sz w:val="28"/>
                <w:szCs w:val="28"/>
              </w:rPr>
              <w:t>oteikumu p</w:t>
            </w:r>
            <w:r w:rsidR="00EB2F3A" w:rsidRPr="002C234B">
              <w:rPr>
                <w:rFonts w:ascii="Times New Roman" w:hAnsi="Times New Roman" w:cs="Times New Roman"/>
                <w:sz w:val="28"/>
                <w:szCs w:val="28"/>
              </w:rPr>
              <w:t>rojekts paredz</w:t>
            </w:r>
            <w:r w:rsidR="00B17693" w:rsidRPr="002C234B">
              <w:rPr>
                <w:rFonts w:ascii="Times New Roman" w:hAnsi="Times New Roman" w:cs="Times New Roman"/>
                <w:sz w:val="28"/>
                <w:szCs w:val="28"/>
              </w:rPr>
              <w:t xml:space="preserve"> padomes un </w:t>
            </w:r>
            <w:r w:rsidR="00455FAA" w:rsidRPr="002C234B">
              <w:rPr>
                <w:rFonts w:ascii="Times New Roman" w:hAnsi="Times New Roman" w:cs="Times New Roman"/>
                <w:sz w:val="28"/>
                <w:szCs w:val="28"/>
              </w:rPr>
              <w:t>administrācija</w:t>
            </w:r>
            <w:r w:rsidR="00B17693" w:rsidRPr="002C234B">
              <w:rPr>
                <w:rFonts w:ascii="Times New Roman" w:hAnsi="Times New Roman" w:cs="Times New Roman"/>
                <w:sz w:val="28"/>
                <w:szCs w:val="28"/>
              </w:rPr>
              <w:t xml:space="preserve">s </w:t>
            </w:r>
            <w:r w:rsidR="002221D1">
              <w:rPr>
                <w:rFonts w:ascii="Times New Roman" w:hAnsi="Times New Roman" w:cs="Times New Roman"/>
                <w:sz w:val="28"/>
                <w:szCs w:val="28"/>
              </w:rPr>
              <w:t>uzdevumus</w:t>
            </w:r>
            <w:r w:rsidR="00B17693" w:rsidRPr="002C234B">
              <w:rPr>
                <w:rFonts w:ascii="Times New Roman" w:hAnsi="Times New Roman" w:cs="Times New Roman"/>
                <w:sz w:val="28"/>
                <w:szCs w:val="28"/>
              </w:rPr>
              <w:t xml:space="preserve"> </w:t>
            </w:r>
            <w:r w:rsidR="002221D1">
              <w:rPr>
                <w:rFonts w:ascii="Times New Roman" w:hAnsi="Times New Roman" w:cs="Times New Roman"/>
                <w:sz w:val="28"/>
                <w:szCs w:val="28"/>
              </w:rPr>
              <w:t>konkursa nolikuma sagatavošanā, p</w:t>
            </w:r>
            <w:r w:rsidR="008914B1">
              <w:rPr>
                <w:rFonts w:ascii="Times New Roman" w:hAnsi="Times New Roman" w:cs="Times New Roman"/>
                <w:sz w:val="28"/>
                <w:szCs w:val="28"/>
              </w:rPr>
              <w:t>rojektu konkursa īstenošanā, kā arī</w:t>
            </w:r>
            <w:r w:rsidR="002221D1">
              <w:rPr>
                <w:rFonts w:ascii="Times New Roman" w:hAnsi="Times New Roman" w:cs="Times New Roman"/>
                <w:sz w:val="28"/>
                <w:szCs w:val="28"/>
              </w:rPr>
              <w:t xml:space="preserve"> projektu īstenošanas laikā</w:t>
            </w:r>
            <w:r>
              <w:rPr>
                <w:rFonts w:ascii="Times New Roman" w:hAnsi="Times New Roman" w:cs="Times New Roman"/>
                <w:sz w:val="28"/>
                <w:szCs w:val="28"/>
              </w:rPr>
              <w:t xml:space="preserve">, tostarp, ievērojot līguma par projekta īstenošanu (turpmāk – līgums)  noteikumus. </w:t>
            </w:r>
          </w:p>
          <w:p w14:paraId="23CE80BA" w14:textId="6CF42155" w:rsidR="00F44119" w:rsidRPr="002C234B" w:rsidRDefault="00E26D72" w:rsidP="009A20C9">
            <w:pPr>
              <w:tabs>
                <w:tab w:val="left" w:pos="709"/>
                <w:tab w:val="left" w:pos="993"/>
              </w:tabs>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Projekta</w:t>
            </w:r>
            <w:r w:rsidR="00D35740">
              <w:rPr>
                <w:rFonts w:ascii="Times New Roman" w:hAnsi="Times New Roman" w:cs="Times New Roman"/>
                <w:sz w:val="28"/>
                <w:szCs w:val="28"/>
              </w:rPr>
              <w:t xml:space="preserve"> pieteikuma</w:t>
            </w:r>
            <w:r w:rsidRPr="002C234B">
              <w:rPr>
                <w:rFonts w:ascii="Times New Roman" w:hAnsi="Times New Roman" w:cs="Times New Roman"/>
                <w:sz w:val="28"/>
                <w:szCs w:val="28"/>
              </w:rPr>
              <w:t xml:space="preserve"> iesniedzējs</w:t>
            </w:r>
            <w:r w:rsidR="00D35740">
              <w:rPr>
                <w:rFonts w:ascii="Times New Roman" w:hAnsi="Times New Roman" w:cs="Times New Roman"/>
                <w:sz w:val="28"/>
                <w:szCs w:val="28"/>
              </w:rPr>
              <w:t xml:space="preserve"> projektu konkursam</w:t>
            </w:r>
            <w:r w:rsidRPr="002C234B">
              <w:rPr>
                <w:rFonts w:ascii="Times New Roman" w:hAnsi="Times New Roman" w:cs="Times New Roman"/>
                <w:sz w:val="28"/>
                <w:szCs w:val="28"/>
              </w:rPr>
              <w:t xml:space="preserve"> un </w:t>
            </w:r>
            <w:r w:rsidR="00D35740">
              <w:rPr>
                <w:rFonts w:ascii="Times New Roman" w:hAnsi="Times New Roman" w:cs="Times New Roman"/>
                <w:sz w:val="28"/>
                <w:szCs w:val="28"/>
              </w:rPr>
              <w:t xml:space="preserve">projekta </w:t>
            </w:r>
            <w:r w:rsidRPr="002C234B">
              <w:rPr>
                <w:rFonts w:ascii="Times New Roman" w:hAnsi="Times New Roman" w:cs="Times New Roman"/>
                <w:sz w:val="28"/>
                <w:szCs w:val="28"/>
              </w:rPr>
              <w:t>īstenotājs ir zinātniskā institūcija, kas ir Latvijas Republikas zinātnisko institūciju reģistrā reģistrēta zinātniskā institūcija (publisko tiesību subjekts vai privāto tiesību subjekts) vai augstskola, kas neatkarīgi no juridiskā statusa vai finansēšanas veida atbilstoši tās darbību reglamentējošiem aktiem (statūtiem, nolikumam vai Satversmei) veic ar saimniecisko darbību nesaistītas pamatdarbības un, kas atbilst Eiropas Komisijas 2014. gada 17. jūnija Regulas (ES) Nr. </w:t>
            </w:r>
            <w:hyperlink r:id="rId8" w:tgtFrame="_blank" w:history="1">
              <w:r w:rsidRPr="002C234B">
                <w:rPr>
                  <w:rStyle w:val="Hyperlink"/>
                  <w:rFonts w:ascii="Times New Roman" w:hAnsi="Times New Roman" w:cs="Times New Roman"/>
                  <w:color w:val="auto"/>
                  <w:sz w:val="28"/>
                  <w:szCs w:val="28"/>
                </w:rPr>
                <w:t>651/2014</w:t>
              </w:r>
            </w:hyperlink>
            <w:r w:rsidRPr="002C234B">
              <w:rPr>
                <w:rFonts w:ascii="Times New Roman" w:hAnsi="Times New Roman" w:cs="Times New Roman"/>
                <w:sz w:val="28"/>
                <w:szCs w:val="28"/>
              </w:rPr>
              <w:t>, ar ko noteiktas atbalsta kategorijas atzīst par saderīgām ar iekšējo tirgu, piemērojot Līguma 107. un 108. pantu, 2. panta 83. punktā pētniecības organi</w:t>
            </w:r>
            <w:r w:rsidR="00F44119" w:rsidRPr="002C234B">
              <w:rPr>
                <w:rFonts w:ascii="Times New Roman" w:hAnsi="Times New Roman" w:cs="Times New Roman"/>
                <w:sz w:val="28"/>
                <w:szCs w:val="28"/>
              </w:rPr>
              <w:t xml:space="preserve">zācijai noteiktajai definīcijai. </w:t>
            </w:r>
          </w:p>
          <w:p w14:paraId="2BBFC0F8" w14:textId="28077D25" w:rsidR="00B23FD5" w:rsidRPr="00B23FD5" w:rsidRDefault="00F44119" w:rsidP="00F44119">
            <w:pPr>
              <w:spacing w:after="0" w:line="240" w:lineRule="auto"/>
              <w:jc w:val="both"/>
              <w:rPr>
                <w:rFonts w:ascii="Times New Roman" w:hAnsi="Times New Roman" w:cs="Times New Roman"/>
                <w:sz w:val="28"/>
                <w:szCs w:val="28"/>
              </w:rPr>
            </w:pPr>
            <w:r w:rsidRPr="00B23FD5">
              <w:rPr>
                <w:rFonts w:ascii="Times New Roman" w:hAnsi="Times New Roman" w:cs="Times New Roman"/>
                <w:sz w:val="28"/>
                <w:szCs w:val="28"/>
              </w:rPr>
              <w:t>Zinātniskā institūcija projektu varēs īstenot sa</w:t>
            </w:r>
            <w:r w:rsidR="00D35740" w:rsidRPr="00B23FD5">
              <w:rPr>
                <w:rFonts w:ascii="Times New Roman" w:hAnsi="Times New Roman" w:cs="Times New Roman"/>
                <w:sz w:val="28"/>
                <w:szCs w:val="28"/>
              </w:rPr>
              <w:t xml:space="preserve">darbībā ar </w:t>
            </w:r>
            <w:r w:rsidR="00B23FD5" w:rsidRPr="00B23FD5">
              <w:rPr>
                <w:rFonts w:ascii="Times New Roman" w:hAnsi="Times New Roman" w:cs="Times New Roman"/>
                <w:sz w:val="28"/>
                <w:szCs w:val="28"/>
              </w:rPr>
              <w:t>vienu vai vairākiem sadarbības partneriem</w:t>
            </w:r>
            <w:r w:rsidR="00D35740" w:rsidRPr="00B23FD5">
              <w:rPr>
                <w:rFonts w:ascii="Times New Roman" w:hAnsi="Times New Roman" w:cs="Times New Roman"/>
                <w:sz w:val="28"/>
                <w:szCs w:val="28"/>
              </w:rPr>
              <w:t>, kas var būt valsts vai pašvaldības institūcija, kuras darbības nolikumā vai statūtos ir paredzēta zinātniskās darbības veikšana, vai zinātniskā institūcija, kas atbilst noteikumu projekta noteiktajai pētniecības organizācijas definīcijai</w:t>
            </w:r>
            <w:r w:rsidRPr="00B23FD5">
              <w:rPr>
                <w:rFonts w:ascii="Times New Roman" w:hAnsi="Times New Roman" w:cs="Times New Roman"/>
                <w:sz w:val="28"/>
                <w:szCs w:val="28"/>
              </w:rPr>
              <w:t xml:space="preserve">. </w:t>
            </w:r>
          </w:p>
          <w:p w14:paraId="563850F6" w14:textId="77777777" w:rsidR="00B23FD5" w:rsidRDefault="00D35740" w:rsidP="00F441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Programmas ietvaros </w:t>
            </w:r>
            <w:r w:rsidR="00F44119" w:rsidRPr="002C234B">
              <w:rPr>
                <w:rFonts w:ascii="Times New Roman" w:hAnsi="Times New Roman" w:cs="Times New Roman"/>
                <w:sz w:val="28"/>
                <w:szCs w:val="28"/>
              </w:rPr>
              <w:t xml:space="preserve">tiek </w:t>
            </w:r>
            <w:r>
              <w:rPr>
                <w:rFonts w:ascii="Times New Roman" w:hAnsi="Times New Roman" w:cs="Times New Roman"/>
                <w:sz w:val="28"/>
                <w:szCs w:val="28"/>
              </w:rPr>
              <w:t xml:space="preserve">īstenots </w:t>
            </w:r>
            <w:r w:rsidR="00F44119" w:rsidRPr="002C234B">
              <w:rPr>
                <w:rFonts w:ascii="Times New Roman" w:hAnsi="Times New Roman" w:cs="Times New Roman"/>
                <w:sz w:val="28"/>
                <w:szCs w:val="28"/>
              </w:rPr>
              <w:t>ar saimniecisko darbību nesai</w:t>
            </w:r>
            <w:r w:rsidR="00B23FD5">
              <w:rPr>
                <w:rFonts w:ascii="Times New Roman" w:hAnsi="Times New Roman" w:cs="Times New Roman"/>
                <w:sz w:val="28"/>
                <w:szCs w:val="28"/>
              </w:rPr>
              <w:t>stīts projekts, skaidri nodalot</w:t>
            </w:r>
            <w:r w:rsidR="00F44119" w:rsidRPr="002C234B">
              <w:rPr>
                <w:rFonts w:ascii="Times New Roman" w:hAnsi="Times New Roman" w:cs="Times New Roman"/>
                <w:sz w:val="28"/>
                <w:szCs w:val="28"/>
              </w:rPr>
              <w:t xml:space="preserve"> ar saimniecisko darbību nesaistītas pamatdarbības no darbībām, kas kvalificējamas kā saimnieciskas.</w:t>
            </w:r>
            <w:r w:rsidR="00801CEA" w:rsidRPr="002C234B">
              <w:rPr>
                <w:rFonts w:ascii="Times New Roman" w:hAnsi="Times New Roman" w:cs="Times New Roman"/>
                <w:sz w:val="28"/>
                <w:szCs w:val="28"/>
              </w:rPr>
              <w:t xml:space="preserve"> </w:t>
            </w:r>
          </w:p>
          <w:p w14:paraId="23CE80BB" w14:textId="4986E33B" w:rsidR="00F44119" w:rsidRPr="002C234B" w:rsidRDefault="00801CEA"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Dalības nosacījumus zinātniskajai institūcijai</w:t>
            </w:r>
            <w:r w:rsidR="00D35740">
              <w:rPr>
                <w:rFonts w:ascii="Times New Roman" w:hAnsi="Times New Roman" w:cs="Times New Roman"/>
                <w:sz w:val="28"/>
                <w:szCs w:val="28"/>
              </w:rPr>
              <w:t>, zinātniskajam personālam un sadarbības partnerim</w:t>
            </w:r>
            <w:r w:rsidRPr="002C234B">
              <w:rPr>
                <w:rFonts w:ascii="Times New Roman" w:hAnsi="Times New Roman" w:cs="Times New Roman"/>
                <w:sz w:val="28"/>
                <w:szCs w:val="28"/>
              </w:rPr>
              <w:t xml:space="preserve"> tiek noteikta konkursa nolikumā. </w:t>
            </w:r>
          </w:p>
          <w:p w14:paraId="23CE80BC" w14:textId="700CF9FB" w:rsidR="00F44119" w:rsidRPr="001F799D" w:rsidRDefault="00F44119"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Ar</w:t>
            </w:r>
            <w:r w:rsidR="00C90656" w:rsidRPr="002C234B">
              <w:rPr>
                <w:rFonts w:ascii="Times New Roman" w:hAnsi="Times New Roman" w:cs="Times New Roman"/>
                <w:sz w:val="28"/>
                <w:szCs w:val="28"/>
              </w:rPr>
              <w:t xml:space="preserve"> noteikumu projektu tiek noteikt</w:t>
            </w:r>
            <w:r w:rsidRPr="002C234B">
              <w:rPr>
                <w:rFonts w:ascii="Times New Roman" w:hAnsi="Times New Roman" w:cs="Times New Roman"/>
                <w:sz w:val="28"/>
                <w:szCs w:val="28"/>
              </w:rPr>
              <w:t xml:space="preserve">as projektā </w:t>
            </w:r>
            <w:r w:rsidR="00C90656" w:rsidRPr="002C234B">
              <w:rPr>
                <w:rFonts w:ascii="Times New Roman" w:hAnsi="Times New Roman" w:cs="Times New Roman"/>
                <w:sz w:val="28"/>
                <w:szCs w:val="28"/>
              </w:rPr>
              <w:t>atbalstāmās</w:t>
            </w:r>
            <w:r w:rsidRPr="002C234B">
              <w:rPr>
                <w:rFonts w:ascii="Times New Roman" w:hAnsi="Times New Roman" w:cs="Times New Roman"/>
                <w:sz w:val="28"/>
                <w:szCs w:val="28"/>
              </w:rPr>
              <w:t xml:space="preserve"> darbības, </w:t>
            </w:r>
            <w:r w:rsidR="00C90656" w:rsidRPr="002C234B">
              <w:rPr>
                <w:rFonts w:ascii="Times New Roman" w:hAnsi="Times New Roman" w:cs="Times New Roman"/>
                <w:sz w:val="28"/>
                <w:szCs w:val="28"/>
              </w:rPr>
              <w:t xml:space="preserve">projekta īstenošanas laikā </w:t>
            </w:r>
            <w:r w:rsidR="00C90656" w:rsidRPr="001F799D">
              <w:rPr>
                <w:rFonts w:ascii="Times New Roman" w:hAnsi="Times New Roman" w:cs="Times New Roman"/>
                <w:sz w:val="28"/>
                <w:szCs w:val="28"/>
              </w:rPr>
              <w:t>sagaidāmos rezultātus, projekta iet</w:t>
            </w:r>
            <w:r w:rsidR="004D7E41" w:rsidRPr="001F799D">
              <w:rPr>
                <w:rFonts w:ascii="Times New Roman" w:hAnsi="Times New Roman" w:cs="Times New Roman"/>
                <w:sz w:val="28"/>
                <w:szCs w:val="28"/>
              </w:rPr>
              <w:t xml:space="preserve">varos plānojamos </w:t>
            </w:r>
            <w:r w:rsidR="004D7E41" w:rsidRPr="001F799D">
              <w:rPr>
                <w:rFonts w:ascii="Times New Roman" w:hAnsi="Times New Roman" w:cs="Times New Roman"/>
                <w:sz w:val="28"/>
                <w:szCs w:val="28"/>
              </w:rPr>
              <w:lastRenderedPageBreak/>
              <w:t>izmaksu veidus, tas ir tiešās un netiešās attiecināmās izmaksas, kuras tiek  izvērstas konkursa nolikumā, norādot projekta attiecināmo izmaksu pozīcijas un to pieļaujamo īpatsvaru projekta budžetā.</w:t>
            </w:r>
          </w:p>
          <w:p w14:paraId="35482D97" w14:textId="5F0B5142" w:rsidR="004D7E41" w:rsidRPr="001F799D" w:rsidRDefault="004D7E41" w:rsidP="001F799D">
            <w:pPr>
              <w:pStyle w:val="tv2131"/>
              <w:tabs>
                <w:tab w:val="left" w:pos="993"/>
                <w:tab w:val="left" w:pos="1276"/>
              </w:tabs>
              <w:spacing w:line="240" w:lineRule="auto"/>
              <w:ind w:firstLine="0"/>
              <w:jc w:val="both"/>
              <w:rPr>
                <w:color w:val="auto"/>
                <w:sz w:val="28"/>
                <w:szCs w:val="28"/>
              </w:rPr>
            </w:pPr>
            <w:r w:rsidRPr="001F799D">
              <w:rPr>
                <w:color w:val="auto"/>
                <w:sz w:val="28"/>
                <w:szCs w:val="28"/>
              </w:rPr>
              <w:t>A</w:t>
            </w:r>
            <w:r w:rsidR="001F799D" w:rsidRPr="001F799D">
              <w:rPr>
                <w:color w:val="auto"/>
                <w:sz w:val="28"/>
                <w:szCs w:val="28"/>
              </w:rPr>
              <w:t>r noteikumu projektu nosaka, ka, ja projekta īstenošanas laikā ir gūta peļņa noteikumu projekta 12.punktā veikto</w:t>
            </w:r>
            <w:r w:rsidRPr="001F799D">
              <w:rPr>
                <w:color w:val="auto"/>
                <w:sz w:val="28"/>
                <w:szCs w:val="28"/>
              </w:rPr>
              <w:t xml:space="preserve"> darbību rezultātā, </w:t>
            </w:r>
            <w:r w:rsidR="001F799D" w:rsidRPr="001F799D">
              <w:rPr>
                <w:color w:val="auto"/>
                <w:sz w:val="28"/>
                <w:szCs w:val="28"/>
              </w:rPr>
              <w:t xml:space="preserve">tad </w:t>
            </w:r>
            <w:r w:rsidRPr="001F799D">
              <w:rPr>
                <w:color w:val="auto"/>
                <w:sz w:val="28"/>
                <w:szCs w:val="28"/>
              </w:rPr>
              <w:t>tā pilnā apmērā jāiegulda zinātniskās institūcijas</w:t>
            </w:r>
            <w:r w:rsidR="001F799D" w:rsidRPr="001F799D">
              <w:rPr>
                <w:color w:val="auto"/>
                <w:sz w:val="28"/>
                <w:szCs w:val="28"/>
              </w:rPr>
              <w:t xml:space="preserve"> pamatdarbībās. Minētais piemērojams</w:t>
            </w:r>
            <w:r w:rsidRPr="001F799D">
              <w:rPr>
                <w:color w:val="auto"/>
                <w:sz w:val="28"/>
                <w:szCs w:val="28"/>
              </w:rPr>
              <w:t xml:space="preserve"> gan projekta īstenošanas laikā, gan piecus gadus pēc projekta pabeigšanas.</w:t>
            </w:r>
          </w:p>
          <w:p w14:paraId="23CE80BD" w14:textId="55735829" w:rsidR="00801CEA" w:rsidRPr="002C234B" w:rsidRDefault="00801CEA"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Noteikumu projekts nosaka, ka projektu pieteikumus vērtē</w:t>
            </w:r>
            <w:r w:rsidR="00BE4B05">
              <w:rPr>
                <w:rFonts w:ascii="Times New Roman" w:hAnsi="Times New Roman" w:cs="Times New Roman"/>
                <w:sz w:val="28"/>
                <w:szCs w:val="28"/>
              </w:rPr>
              <w:t xml:space="preserve"> šādā secībā</w:t>
            </w:r>
            <w:r w:rsidRPr="002C234B">
              <w:rPr>
                <w:rFonts w:ascii="Times New Roman" w:hAnsi="Times New Roman" w:cs="Times New Roman"/>
                <w:sz w:val="28"/>
                <w:szCs w:val="28"/>
              </w:rPr>
              <w:t>:</w:t>
            </w:r>
          </w:p>
          <w:p w14:paraId="23CE80BE" w14:textId="50D2347A" w:rsidR="00801CEA" w:rsidRPr="002C234B" w:rsidRDefault="00801CEA" w:rsidP="00BA6D03">
            <w:pPr>
              <w:pStyle w:val="ListParagraph"/>
              <w:numPr>
                <w:ilvl w:val="0"/>
                <w:numId w:val="4"/>
              </w:numPr>
              <w:tabs>
                <w:tab w:val="left" w:pos="417"/>
              </w:tabs>
              <w:ind w:left="0" w:hanging="8"/>
              <w:jc w:val="both"/>
              <w:rPr>
                <w:sz w:val="28"/>
                <w:szCs w:val="28"/>
              </w:rPr>
            </w:pPr>
            <w:r w:rsidRPr="002C234B">
              <w:rPr>
                <w:sz w:val="28"/>
                <w:szCs w:val="28"/>
              </w:rPr>
              <w:t xml:space="preserve">padome </w:t>
            </w:r>
            <w:r w:rsidR="00BA6D03" w:rsidRPr="002C234B">
              <w:rPr>
                <w:sz w:val="28"/>
                <w:szCs w:val="28"/>
              </w:rPr>
              <w:t>–</w:t>
            </w:r>
            <w:r w:rsidRPr="002C234B">
              <w:rPr>
                <w:sz w:val="28"/>
                <w:szCs w:val="28"/>
              </w:rPr>
              <w:t xml:space="preserve"> </w:t>
            </w:r>
            <w:r w:rsidR="00BA6D03" w:rsidRPr="002C234B">
              <w:rPr>
                <w:sz w:val="28"/>
                <w:szCs w:val="28"/>
              </w:rPr>
              <w:t xml:space="preserve">ievērojot </w:t>
            </w:r>
            <w:r w:rsidR="00D35740">
              <w:rPr>
                <w:sz w:val="28"/>
                <w:szCs w:val="28"/>
              </w:rPr>
              <w:t xml:space="preserve">noteikumu projektā noteiktos </w:t>
            </w:r>
            <w:r w:rsidR="00BA6D03" w:rsidRPr="002C234B">
              <w:rPr>
                <w:sz w:val="28"/>
                <w:szCs w:val="28"/>
              </w:rPr>
              <w:t>administratīvos</w:t>
            </w:r>
            <w:r w:rsidRPr="002C234B">
              <w:rPr>
                <w:sz w:val="28"/>
                <w:szCs w:val="28"/>
              </w:rPr>
              <w:t xml:space="preserve"> vērtēšanas</w:t>
            </w:r>
            <w:r w:rsidR="00BA6D03" w:rsidRPr="002C234B">
              <w:rPr>
                <w:sz w:val="28"/>
                <w:szCs w:val="28"/>
              </w:rPr>
              <w:t xml:space="preserve"> kritērijus</w:t>
            </w:r>
            <w:r w:rsidRPr="002C234B">
              <w:rPr>
                <w:sz w:val="28"/>
                <w:szCs w:val="28"/>
              </w:rPr>
              <w:t xml:space="preserve"> (papildus administratīvos kritērijus, ja tādi būs nepieciešami, ietver konkursa nolikumā);</w:t>
            </w:r>
          </w:p>
          <w:p w14:paraId="23CE80BF" w14:textId="1F2796E8" w:rsidR="00BA6D03" w:rsidRPr="002C234B" w:rsidRDefault="001F799D" w:rsidP="00BA6D03">
            <w:pPr>
              <w:pStyle w:val="ListParagraph"/>
              <w:numPr>
                <w:ilvl w:val="0"/>
                <w:numId w:val="4"/>
              </w:numPr>
              <w:tabs>
                <w:tab w:val="left" w:pos="417"/>
              </w:tabs>
              <w:ind w:left="0" w:hanging="8"/>
              <w:jc w:val="both"/>
              <w:rPr>
                <w:sz w:val="28"/>
                <w:szCs w:val="28"/>
              </w:rPr>
            </w:pPr>
            <w:r>
              <w:rPr>
                <w:sz w:val="28"/>
                <w:szCs w:val="28"/>
              </w:rPr>
              <w:t xml:space="preserve">zinātniskie </w:t>
            </w:r>
            <w:r w:rsidR="00BA6D03" w:rsidRPr="002C234B">
              <w:rPr>
                <w:sz w:val="28"/>
                <w:szCs w:val="28"/>
              </w:rPr>
              <w:t>eksperti (Eiropas Komisijas vai līdzvērtīgā ekspertu datu bāzē iekļauti zinātniskie eksperti)</w:t>
            </w:r>
            <w:r>
              <w:rPr>
                <w:sz w:val="28"/>
                <w:szCs w:val="28"/>
              </w:rPr>
              <w:t xml:space="preserve"> (turpmāk – eksperti)</w:t>
            </w:r>
            <w:r w:rsidR="00BA6D03" w:rsidRPr="002C234B">
              <w:rPr>
                <w:sz w:val="28"/>
                <w:szCs w:val="28"/>
              </w:rPr>
              <w:t xml:space="preserve"> – ievērojot </w:t>
            </w:r>
            <w:r w:rsidR="00B23FD5">
              <w:rPr>
                <w:sz w:val="28"/>
                <w:szCs w:val="28"/>
              </w:rPr>
              <w:t>noteikumu projektā noteiktos kvalitātes</w:t>
            </w:r>
            <w:r w:rsidR="00801CEA" w:rsidRPr="002C234B">
              <w:rPr>
                <w:sz w:val="28"/>
                <w:szCs w:val="28"/>
              </w:rPr>
              <w:t xml:space="preserve"> </w:t>
            </w:r>
            <w:r w:rsidR="00D35740">
              <w:rPr>
                <w:sz w:val="28"/>
                <w:szCs w:val="28"/>
              </w:rPr>
              <w:t>kritērijus</w:t>
            </w:r>
            <w:r w:rsidR="00801CEA" w:rsidRPr="002C234B">
              <w:rPr>
                <w:sz w:val="28"/>
                <w:szCs w:val="28"/>
              </w:rPr>
              <w:t>;</w:t>
            </w:r>
          </w:p>
          <w:p w14:paraId="6CDD41E9" w14:textId="77777777" w:rsidR="00BE4B05" w:rsidRDefault="00BA6D03" w:rsidP="00BA6D03">
            <w:pPr>
              <w:pStyle w:val="ListParagraph"/>
              <w:numPr>
                <w:ilvl w:val="0"/>
                <w:numId w:val="4"/>
              </w:numPr>
              <w:tabs>
                <w:tab w:val="left" w:pos="417"/>
              </w:tabs>
              <w:ind w:left="0" w:hanging="8"/>
              <w:jc w:val="both"/>
              <w:rPr>
                <w:sz w:val="28"/>
                <w:szCs w:val="28"/>
              </w:rPr>
            </w:pPr>
            <w:r w:rsidRPr="002C234B">
              <w:rPr>
                <w:sz w:val="28"/>
                <w:szCs w:val="28"/>
              </w:rPr>
              <w:t>komisija – ievērojot konkursa nolikumā noteiktos specifiskos kritērijus</w:t>
            </w:r>
            <w:r w:rsidR="00BE4B05">
              <w:rPr>
                <w:sz w:val="28"/>
                <w:szCs w:val="28"/>
              </w:rPr>
              <w:t xml:space="preserve"> (ja tādi tiks noteikti)</w:t>
            </w:r>
            <w:r w:rsidRPr="002C234B">
              <w:rPr>
                <w:sz w:val="28"/>
                <w:szCs w:val="28"/>
              </w:rPr>
              <w:t xml:space="preserve">. </w:t>
            </w:r>
          </w:p>
          <w:p w14:paraId="1CA989D6" w14:textId="2F19A6C4" w:rsidR="008914B1" w:rsidRPr="002C234B" w:rsidRDefault="00BE4B05" w:rsidP="00BE4B05">
            <w:pPr>
              <w:pStyle w:val="ListParagraph"/>
              <w:tabs>
                <w:tab w:val="left" w:pos="417"/>
              </w:tabs>
              <w:ind w:left="0"/>
              <w:jc w:val="both"/>
              <w:rPr>
                <w:sz w:val="28"/>
                <w:szCs w:val="28"/>
              </w:rPr>
            </w:pPr>
            <w:r>
              <w:rPr>
                <w:sz w:val="28"/>
                <w:szCs w:val="28"/>
              </w:rPr>
              <w:t>Visu minēto kritēriju v</w:t>
            </w:r>
            <w:r w:rsidR="00BA6D03" w:rsidRPr="002C234B">
              <w:rPr>
                <w:sz w:val="28"/>
                <w:szCs w:val="28"/>
              </w:rPr>
              <w:t>ērtēšanas metodika</w:t>
            </w:r>
            <w:r>
              <w:rPr>
                <w:sz w:val="28"/>
                <w:szCs w:val="28"/>
              </w:rPr>
              <w:t>s, vērtēšanas veidlapu paraugi</w:t>
            </w:r>
            <w:r w:rsidR="00BA6D03" w:rsidRPr="002C234B">
              <w:rPr>
                <w:sz w:val="28"/>
                <w:szCs w:val="28"/>
              </w:rPr>
              <w:t xml:space="preserve">, </w:t>
            </w:r>
            <w:r w:rsidR="00B23FD5">
              <w:rPr>
                <w:sz w:val="28"/>
                <w:szCs w:val="28"/>
              </w:rPr>
              <w:t xml:space="preserve">vērtēšanas </w:t>
            </w:r>
            <w:r w:rsidR="00BA6D03" w:rsidRPr="002C234B">
              <w:rPr>
                <w:sz w:val="28"/>
                <w:szCs w:val="28"/>
              </w:rPr>
              <w:t>kārtība</w:t>
            </w:r>
            <w:r>
              <w:rPr>
                <w:sz w:val="28"/>
                <w:szCs w:val="28"/>
              </w:rPr>
              <w:t>s</w:t>
            </w:r>
            <w:r w:rsidR="00BA6D03" w:rsidRPr="002C234B">
              <w:rPr>
                <w:sz w:val="28"/>
                <w:szCs w:val="28"/>
              </w:rPr>
              <w:t xml:space="preserve"> un termiņi tiks  noteikti konkursa nolikumā.</w:t>
            </w:r>
          </w:p>
          <w:p w14:paraId="23CE80C1" w14:textId="660E80E2" w:rsidR="006A69B0" w:rsidRPr="002C234B" w:rsidRDefault="006A69B0" w:rsidP="006A69B0">
            <w:pPr>
              <w:pStyle w:val="ListParagraph"/>
              <w:tabs>
                <w:tab w:val="left" w:pos="417"/>
              </w:tabs>
              <w:ind w:left="0"/>
              <w:jc w:val="both"/>
              <w:rPr>
                <w:sz w:val="28"/>
                <w:szCs w:val="28"/>
              </w:rPr>
            </w:pPr>
            <w:r w:rsidRPr="002C234B">
              <w:rPr>
                <w:sz w:val="28"/>
                <w:szCs w:val="28"/>
              </w:rPr>
              <w:t>Lēmumu par atbalstītajiem un finansējamajiem projektiem  pieņem komisija. Pēc minētā lēmuma pieņemšanas administrācija ar projekta īstenotāju – zinātnisko institūciju slēdz projekta līgumu.</w:t>
            </w:r>
          </w:p>
          <w:p w14:paraId="23CE80C2" w14:textId="04421710" w:rsidR="006A69B0" w:rsidRPr="002C234B" w:rsidRDefault="006A69B0" w:rsidP="00F44119">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N</w:t>
            </w:r>
            <w:r w:rsidR="00F47F92" w:rsidRPr="002C234B">
              <w:rPr>
                <w:rFonts w:ascii="Times New Roman" w:hAnsi="Times New Roman" w:cs="Times New Roman"/>
                <w:sz w:val="28"/>
                <w:szCs w:val="28"/>
              </w:rPr>
              <w:t xml:space="preserve">oteikumu projekts paredz, ka </w:t>
            </w:r>
            <w:r w:rsidRPr="002C234B">
              <w:rPr>
                <w:rFonts w:ascii="Times New Roman" w:hAnsi="Times New Roman" w:cs="Times New Roman"/>
                <w:sz w:val="28"/>
                <w:szCs w:val="28"/>
              </w:rPr>
              <w:t xml:space="preserve">konkursa nolikumu izstrādā </w:t>
            </w:r>
            <w:r w:rsidR="00F47F92" w:rsidRPr="002C234B">
              <w:rPr>
                <w:rFonts w:ascii="Times New Roman" w:hAnsi="Times New Roman" w:cs="Times New Roman"/>
                <w:sz w:val="28"/>
                <w:szCs w:val="28"/>
              </w:rPr>
              <w:t>nozares ministrija</w:t>
            </w:r>
            <w:r w:rsidR="00BE4B05">
              <w:rPr>
                <w:rFonts w:ascii="Times New Roman" w:hAnsi="Times New Roman" w:cs="Times New Roman"/>
                <w:sz w:val="28"/>
                <w:szCs w:val="28"/>
              </w:rPr>
              <w:t xml:space="preserve"> sadarbībā ar padomi un administrāciju</w:t>
            </w:r>
            <w:r w:rsidR="00F47F92" w:rsidRPr="002C234B">
              <w:rPr>
                <w:rFonts w:ascii="Times New Roman" w:hAnsi="Times New Roman" w:cs="Times New Roman"/>
                <w:sz w:val="28"/>
                <w:szCs w:val="28"/>
              </w:rPr>
              <w:t xml:space="preserve"> vai padome</w:t>
            </w:r>
            <w:r w:rsidRPr="002C234B">
              <w:rPr>
                <w:rFonts w:ascii="Times New Roman" w:hAnsi="Times New Roman" w:cs="Times New Roman"/>
                <w:color w:val="000000" w:themeColor="text1"/>
                <w:sz w:val="28"/>
                <w:szCs w:val="28"/>
              </w:rPr>
              <w:t xml:space="preserve"> sadarbībā ar administrāciju. Konkursa nolikumu </w:t>
            </w:r>
            <w:r w:rsidR="00BE4B05">
              <w:rPr>
                <w:rFonts w:ascii="Times New Roman" w:hAnsi="Times New Roman" w:cs="Times New Roman"/>
                <w:color w:val="000000" w:themeColor="text1"/>
                <w:sz w:val="28"/>
                <w:szCs w:val="28"/>
              </w:rPr>
              <w:t xml:space="preserve">pirms to apstiprina komisija, nozares ministrija  </w:t>
            </w:r>
            <w:r w:rsidRPr="002C234B">
              <w:rPr>
                <w:rFonts w:ascii="Times New Roman" w:hAnsi="Times New Roman" w:cs="Times New Roman"/>
                <w:color w:val="000000" w:themeColor="text1"/>
                <w:sz w:val="28"/>
                <w:szCs w:val="28"/>
              </w:rPr>
              <w:t>saskaņo ar</w:t>
            </w:r>
            <w:r w:rsidR="00BE4B05" w:rsidRPr="002C234B">
              <w:rPr>
                <w:rFonts w:ascii="Times New Roman" w:hAnsi="Times New Roman" w:cs="Times New Roman"/>
                <w:color w:val="000000" w:themeColor="text1"/>
                <w:sz w:val="28"/>
                <w:szCs w:val="28"/>
              </w:rPr>
              <w:t xml:space="preserve"> Izglītības un zinātnes ministriju</w:t>
            </w:r>
            <w:r w:rsidRPr="002C234B">
              <w:rPr>
                <w:rFonts w:ascii="Times New Roman" w:hAnsi="Times New Roman" w:cs="Times New Roman"/>
                <w:color w:val="000000" w:themeColor="text1"/>
                <w:sz w:val="28"/>
                <w:szCs w:val="28"/>
              </w:rPr>
              <w:t xml:space="preserve"> </w:t>
            </w:r>
            <w:r w:rsidR="00BE4B05">
              <w:rPr>
                <w:rFonts w:ascii="Times New Roman" w:hAnsi="Times New Roman" w:cs="Times New Roman"/>
                <w:color w:val="000000" w:themeColor="text1"/>
                <w:sz w:val="28"/>
                <w:szCs w:val="28"/>
              </w:rPr>
              <w:t xml:space="preserve"> vai, ja konkursa nolikuma izstrādātāja ir padome, tad ar </w:t>
            </w:r>
            <w:r w:rsidRPr="002C234B">
              <w:rPr>
                <w:rFonts w:ascii="Times New Roman" w:hAnsi="Times New Roman" w:cs="Times New Roman"/>
                <w:color w:val="000000" w:themeColor="text1"/>
                <w:sz w:val="28"/>
                <w:szCs w:val="28"/>
              </w:rPr>
              <w:t xml:space="preserve">nozares ministriju un Izglītības un zinātnes ministriju. </w:t>
            </w:r>
            <w:r w:rsidR="00BE4B05">
              <w:rPr>
                <w:rFonts w:ascii="Times New Roman" w:hAnsi="Times New Roman" w:cs="Times New Roman"/>
                <w:color w:val="000000" w:themeColor="text1"/>
                <w:sz w:val="28"/>
                <w:szCs w:val="28"/>
              </w:rPr>
              <w:t>Noteikumu p</w:t>
            </w:r>
            <w:r w:rsidR="008914B1">
              <w:rPr>
                <w:rFonts w:ascii="Times New Roman" w:hAnsi="Times New Roman" w:cs="Times New Roman"/>
                <w:color w:val="000000" w:themeColor="text1"/>
                <w:sz w:val="28"/>
                <w:szCs w:val="28"/>
              </w:rPr>
              <w:t>rojekts nosaka konkursa nolikumā</w:t>
            </w:r>
            <w:r w:rsidR="00BE4B05">
              <w:rPr>
                <w:rFonts w:ascii="Times New Roman" w:hAnsi="Times New Roman" w:cs="Times New Roman"/>
                <w:color w:val="000000" w:themeColor="text1"/>
                <w:sz w:val="28"/>
                <w:szCs w:val="28"/>
              </w:rPr>
              <w:t xml:space="preserve"> iekļaujamo informāciju un veidlapu paraugus. </w:t>
            </w:r>
          </w:p>
          <w:p w14:paraId="23CE80C3" w14:textId="50393FCB" w:rsidR="00EB2F3A" w:rsidRPr="002C234B" w:rsidRDefault="00803BA2" w:rsidP="00803BA2">
            <w:pPr>
              <w:spacing w:after="0" w:line="240" w:lineRule="auto"/>
              <w:jc w:val="both"/>
              <w:rPr>
                <w:rFonts w:ascii="Times New Roman" w:eastAsia="Times New Roman" w:hAnsi="Times New Roman" w:cs="Times New Roman"/>
                <w:bCs/>
                <w:sz w:val="28"/>
                <w:szCs w:val="28"/>
                <w:lang w:eastAsia="lv-LV"/>
              </w:rPr>
            </w:pPr>
            <w:r w:rsidRPr="002C234B">
              <w:rPr>
                <w:rFonts w:ascii="Times New Roman" w:hAnsi="Times New Roman" w:cs="Times New Roman"/>
                <w:sz w:val="28"/>
                <w:szCs w:val="28"/>
              </w:rPr>
              <w:t>Informācijas un dokumentācijas apmaiņa notiek, izmantojot Nacionālo zinātniskās darbības informācijas sistēmu</w:t>
            </w:r>
            <w:r w:rsidR="00820DAE" w:rsidRPr="002C234B">
              <w:rPr>
                <w:rFonts w:ascii="Times New Roman" w:hAnsi="Times New Roman" w:cs="Times New Roman"/>
                <w:sz w:val="28"/>
                <w:szCs w:val="28"/>
              </w:rPr>
              <w:t xml:space="preserve"> (turpmāk – informācijas sistēma)</w:t>
            </w:r>
            <w:r w:rsidRPr="002C234B">
              <w:rPr>
                <w:rFonts w:ascii="Times New Roman" w:hAnsi="Times New Roman" w:cs="Times New Roman"/>
                <w:sz w:val="28"/>
                <w:szCs w:val="28"/>
              </w:rPr>
              <w:t xml:space="preserve">, ievērojot </w:t>
            </w:r>
            <w:r w:rsidRPr="002C234B">
              <w:rPr>
                <w:rFonts w:ascii="Times New Roman" w:eastAsia="Times New Roman" w:hAnsi="Times New Roman" w:cs="Times New Roman"/>
                <w:bCs/>
                <w:sz w:val="28"/>
                <w:szCs w:val="28"/>
                <w:lang w:eastAsia="lv-LV"/>
              </w:rPr>
              <w:t xml:space="preserve">Ministru kabineta </w:t>
            </w:r>
            <w:r w:rsidRPr="002C234B">
              <w:rPr>
                <w:rFonts w:ascii="Times New Roman" w:eastAsia="Times New Roman" w:hAnsi="Times New Roman" w:cs="Times New Roman"/>
                <w:sz w:val="28"/>
                <w:szCs w:val="28"/>
                <w:lang w:eastAsia="lv-LV"/>
              </w:rPr>
              <w:t xml:space="preserve">2017. gada 27. jūnija </w:t>
            </w:r>
            <w:r w:rsidRPr="002C234B">
              <w:rPr>
                <w:rFonts w:ascii="Times New Roman" w:eastAsia="Times New Roman" w:hAnsi="Times New Roman" w:cs="Times New Roman"/>
                <w:bCs/>
                <w:sz w:val="28"/>
                <w:szCs w:val="28"/>
                <w:lang w:eastAsia="lv-LV"/>
              </w:rPr>
              <w:t>noteikumus Nr. 381</w:t>
            </w:r>
            <w:r w:rsidR="001F799D">
              <w:rPr>
                <w:rFonts w:ascii="Times New Roman" w:eastAsia="Times New Roman" w:hAnsi="Times New Roman" w:cs="Times New Roman"/>
                <w:bCs/>
                <w:sz w:val="28"/>
                <w:szCs w:val="28"/>
                <w:lang w:eastAsia="lv-LV"/>
              </w:rPr>
              <w:t xml:space="preserve"> </w:t>
            </w:r>
            <w:r w:rsidRPr="002C234B">
              <w:rPr>
                <w:rFonts w:ascii="Times New Roman" w:eastAsia="Times New Roman" w:hAnsi="Times New Roman" w:cs="Times New Roman"/>
                <w:bCs/>
                <w:sz w:val="28"/>
                <w:szCs w:val="28"/>
                <w:lang w:eastAsia="lv-LV"/>
              </w:rPr>
              <w:t>“Nacionālās zinātniskās darbības informācijas sistēmas noteikumi”</w:t>
            </w:r>
            <w:r w:rsidR="008D7909" w:rsidRPr="002C234B">
              <w:rPr>
                <w:rFonts w:ascii="Times New Roman" w:eastAsia="Times New Roman" w:hAnsi="Times New Roman" w:cs="Times New Roman"/>
                <w:bCs/>
                <w:sz w:val="28"/>
                <w:szCs w:val="28"/>
                <w:lang w:eastAsia="lv-LV"/>
              </w:rPr>
              <w:t>.</w:t>
            </w:r>
          </w:p>
          <w:p w14:paraId="25F820DE" w14:textId="78A1424B" w:rsidR="008914B1" w:rsidRPr="00E75A89" w:rsidRDefault="00CA5949" w:rsidP="008914B1">
            <w:pPr>
              <w:pStyle w:val="tv2131"/>
              <w:tabs>
                <w:tab w:val="left" w:pos="993"/>
                <w:tab w:val="left" w:pos="1276"/>
              </w:tabs>
              <w:spacing w:line="240" w:lineRule="auto"/>
              <w:ind w:firstLine="720"/>
              <w:jc w:val="both"/>
              <w:rPr>
                <w:color w:val="auto"/>
                <w:sz w:val="28"/>
                <w:szCs w:val="28"/>
              </w:rPr>
            </w:pPr>
            <w:r>
              <w:rPr>
                <w:bCs/>
                <w:sz w:val="28"/>
                <w:szCs w:val="28"/>
              </w:rPr>
              <w:lastRenderedPageBreak/>
              <w:t>Atbilst</w:t>
            </w:r>
            <w:r w:rsidR="008914B1">
              <w:rPr>
                <w:bCs/>
                <w:sz w:val="28"/>
                <w:szCs w:val="28"/>
              </w:rPr>
              <w:t>oši Zinātniskās darbības likuma</w:t>
            </w:r>
            <w:r>
              <w:rPr>
                <w:bCs/>
                <w:sz w:val="28"/>
                <w:szCs w:val="28"/>
              </w:rPr>
              <w:t xml:space="preserve"> 16.panta 4.punktam z</w:t>
            </w:r>
            <w:r w:rsidR="00BE4B05">
              <w:rPr>
                <w:bCs/>
                <w:sz w:val="28"/>
                <w:szCs w:val="28"/>
              </w:rPr>
              <w:t>inātnisko e</w:t>
            </w:r>
            <w:r w:rsidR="00C46737" w:rsidRPr="002C234B">
              <w:rPr>
                <w:bCs/>
                <w:sz w:val="28"/>
                <w:szCs w:val="28"/>
              </w:rPr>
              <w:t xml:space="preserve">kspertīzi </w:t>
            </w:r>
            <w:r w:rsidR="00BE4B05">
              <w:rPr>
                <w:bCs/>
                <w:sz w:val="28"/>
                <w:szCs w:val="28"/>
              </w:rPr>
              <w:t xml:space="preserve">(turpmāk – ekspertīze) </w:t>
            </w:r>
            <w:r w:rsidR="00C46737" w:rsidRPr="002C234B">
              <w:rPr>
                <w:bCs/>
                <w:sz w:val="28"/>
                <w:szCs w:val="28"/>
              </w:rPr>
              <w:t>organizē padome triju mēnešu laikā no projektu piete</w:t>
            </w:r>
            <w:r w:rsidR="008914B1">
              <w:rPr>
                <w:bCs/>
                <w:sz w:val="28"/>
                <w:szCs w:val="28"/>
              </w:rPr>
              <w:t xml:space="preserve">ikumu administratīvā </w:t>
            </w:r>
            <w:proofErr w:type="spellStart"/>
            <w:r w:rsidR="008914B1">
              <w:rPr>
                <w:bCs/>
                <w:sz w:val="28"/>
                <w:szCs w:val="28"/>
              </w:rPr>
              <w:t>izvērtējuma</w:t>
            </w:r>
            <w:proofErr w:type="spellEnd"/>
            <w:r w:rsidR="00C46737" w:rsidRPr="002C234B">
              <w:rPr>
                <w:bCs/>
                <w:sz w:val="28"/>
                <w:szCs w:val="28"/>
              </w:rPr>
              <w:t xml:space="preserve"> pabeigšanas dienas.</w:t>
            </w:r>
            <w:r>
              <w:rPr>
                <w:bCs/>
                <w:sz w:val="28"/>
                <w:szCs w:val="28"/>
              </w:rPr>
              <w:t xml:space="preserve"> </w:t>
            </w:r>
            <w:r w:rsidR="008914B1">
              <w:rPr>
                <w:bCs/>
                <w:sz w:val="28"/>
                <w:szCs w:val="28"/>
              </w:rPr>
              <w:t xml:space="preserve">Padome nodrošina, ka </w:t>
            </w:r>
            <w:r w:rsidR="008914B1" w:rsidRPr="00E75A89">
              <w:rPr>
                <w:color w:val="auto"/>
                <w:sz w:val="28"/>
                <w:szCs w:val="28"/>
              </w:rPr>
              <w:t xml:space="preserve">projekta pieteikuma, projekta </w:t>
            </w:r>
            <w:proofErr w:type="spellStart"/>
            <w:r w:rsidR="008914B1" w:rsidRPr="00E75A89">
              <w:rPr>
                <w:color w:val="auto"/>
                <w:sz w:val="28"/>
                <w:szCs w:val="28"/>
              </w:rPr>
              <w:t>vidusposma</w:t>
            </w:r>
            <w:proofErr w:type="spellEnd"/>
            <w:r w:rsidR="008914B1" w:rsidRPr="00E75A89">
              <w:rPr>
                <w:color w:val="auto"/>
                <w:sz w:val="28"/>
                <w:szCs w:val="28"/>
              </w:rPr>
              <w:t xml:space="preserve"> zinātniskā pārskata un projekta noslēguma zinātniskā pārskata ekspertīzi</w:t>
            </w:r>
            <w:r w:rsidR="008914B1">
              <w:rPr>
                <w:color w:val="auto"/>
                <w:sz w:val="28"/>
                <w:szCs w:val="28"/>
              </w:rPr>
              <w:t xml:space="preserve"> veic</w:t>
            </w:r>
            <w:r w:rsidR="008914B1" w:rsidRPr="00E75A89">
              <w:rPr>
                <w:color w:val="auto"/>
                <w:sz w:val="28"/>
                <w:szCs w:val="28"/>
              </w:rPr>
              <w:t>, piemērojot Eiropas Savienības Pētniecības un inovāciju pamatprogrammas “Apvārsnis 2020” vai “Apvārsnis Eiropa”</w:t>
            </w:r>
            <w:r w:rsidR="001F799D">
              <w:rPr>
                <w:color w:val="auto"/>
                <w:sz w:val="28"/>
                <w:szCs w:val="28"/>
              </w:rPr>
              <w:t xml:space="preserve"> (</w:t>
            </w:r>
            <w:proofErr w:type="spellStart"/>
            <w:r w:rsidR="001F799D" w:rsidRPr="001F799D">
              <w:rPr>
                <w:i/>
                <w:color w:val="auto"/>
                <w:sz w:val="28"/>
                <w:szCs w:val="28"/>
              </w:rPr>
              <w:t>Horizon</w:t>
            </w:r>
            <w:proofErr w:type="spellEnd"/>
            <w:r w:rsidR="001F799D" w:rsidRPr="001F799D">
              <w:rPr>
                <w:i/>
                <w:color w:val="auto"/>
                <w:sz w:val="28"/>
                <w:szCs w:val="28"/>
              </w:rPr>
              <w:t xml:space="preserve"> </w:t>
            </w:r>
            <w:proofErr w:type="spellStart"/>
            <w:r w:rsidR="001F799D" w:rsidRPr="001F799D">
              <w:rPr>
                <w:i/>
                <w:color w:val="auto"/>
                <w:sz w:val="28"/>
                <w:szCs w:val="28"/>
              </w:rPr>
              <w:t>Europe</w:t>
            </w:r>
            <w:proofErr w:type="spellEnd"/>
            <w:r w:rsidR="001F799D">
              <w:rPr>
                <w:color w:val="auto"/>
                <w:sz w:val="28"/>
                <w:szCs w:val="28"/>
              </w:rPr>
              <w:t>)</w:t>
            </w:r>
            <w:r w:rsidR="001F799D">
              <w:rPr>
                <w:rStyle w:val="FootnoteReference"/>
                <w:color w:val="auto"/>
                <w:sz w:val="28"/>
                <w:szCs w:val="28"/>
              </w:rPr>
              <w:footnoteReference w:id="2"/>
            </w:r>
            <w:r w:rsidR="008914B1" w:rsidRPr="00E75A89">
              <w:rPr>
                <w:color w:val="auto"/>
                <w:sz w:val="28"/>
                <w:szCs w:val="28"/>
              </w:rPr>
              <w:t xml:space="preserve"> vērtēšanas pieeju un principus</w:t>
            </w:r>
            <w:r w:rsidR="008914B1">
              <w:rPr>
                <w:color w:val="auto"/>
                <w:sz w:val="28"/>
                <w:szCs w:val="28"/>
              </w:rPr>
              <w:t>.</w:t>
            </w:r>
          </w:p>
          <w:p w14:paraId="23CE80C4" w14:textId="0D3BF09F" w:rsidR="00C46737" w:rsidRPr="002C234B" w:rsidRDefault="00CA5949" w:rsidP="00C46737">
            <w:pPr>
              <w:spacing w:after="0" w:line="240" w:lineRule="auto"/>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Projektu pieteikumu ekspertīzi veic padomes atlasīti eksperti no </w:t>
            </w:r>
            <w:r w:rsidRPr="002C234B">
              <w:rPr>
                <w:rFonts w:ascii="Times New Roman" w:eastAsia="Times New Roman" w:hAnsi="Times New Roman" w:cs="Times New Roman"/>
                <w:bCs/>
                <w:sz w:val="28"/>
                <w:szCs w:val="28"/>
                <w:lang w:eastAsia="lv-LV"/>
              </w:rPr>
              <w:t>Eiropas Komisijas ekspertu vai līdzvērtīgas ekspertu datu bāzes</w:t>
            </w:r>
            <w:r w:rsidR="001F799D">
              <w:rPr>
                <w:rFonts w:ascii="Times New Roman" w:eastAsia="Times New Roman" w:hAnsi="Times New Roman" w:cs="Times New Roman"/>
                <w:bCs/>
                <w:sz w:val="28"/>
                <w:szCs w:val="28"/>
                <w:lang w:eastAsia="lv-LV"/>
              </w:rPr>
              <w:t>, ievērojot noteikumu projektā ekspertiem noteiktās prasības.</w:t>
            </w:r>
          </w:p>
          <w:p w14:paraId="23CE80C5" w14:textId="1ABFD6AF" w:rsidR="005128CF" w:rsidRPr="002C234B" w:rsidRDefault="00820DAE" w:rsidP="00803BA2">
            <w:pPr>
              <w:spacing w:after="0" w:line="240" w:lineRule="auto"/>
              <w:jc w:val="both"/>
              <w:rPr>
                <w:rFonts w:ascii="Times New Roman" w:eastAsia="Times New Roman" w:hAnsi="Times New Roman" w:cs="Times New Roman"/>
                <w:bCs/>
                <w:sz w:val="28"/>
                <w:szCs w:val="28"/>
                <w:lang w:eastAsia="lv-LV"/>
              </w:rPr>
            </w:pPr>
            <w:r w:rsidRPr="002C234B">
              <w:rPr>
                <w:rFonts w:ascii="Times New Roman" w:eastAsia="Times New Roman" w:hAnsi="Times New Roman" w:cs="Times New Roman"/>
                <w:bCs/>
                <w:sz w:val="28"/>
                <w:szCs w:val="28"/>
                <w:lang w:eastAsia="lv-LV"/>
              </w:rPr>
              <w:t xml:space="preserve">Projekta </w:t>
            </w:r>
            <w:r w:rsidR="001F5209" w:rsidRPr="002C234B">
              <w:rPr>
                <w:rFonts w:ascii="Times New Roman" w:eastAsia="Times New Roman" w:hAnsi="Times New Roman" w:cs="Times New Roman"/>
                <w:bCs/>
                <w:sz w:val="28"/>
                <w:szCs w:val="28"/>
                <w:lang w:eastAsia="lv-LV"/>
              </w:rPr>
              <w:t xml:space="preserve">pieteikuma </w:t>
            </w:r>
            <w:r w:rsidRPr="002C234B">
              <w:rPr>
                <w:rFonts w:ascii="Times New Roman" w:eastAsia="Times New Roman" w:hAnsi="Times New Roman" w:cs="Times New Roman"/>
                <w:bCs/>
                <w:sz w:val="28"/>
                <w:szCs w:val="28"/>
                <w:lang w:eastAsia="lv-LV"/>
              </w:rPr>
              <w:t xml:space="preserve"> ekspertīzi</w:t>
            </w:r>
            <w:r w:rsidR="005128CF" w:rsidRPr="002C234B">
              <w:rPr>
                <w:rFonts w:ascii="Times New Roman" w:eastAsia="Times New Roman" w:hAnsi="Times New Roman" w:cs="Times New Roman"/>
                <w:bCs/>
                <w:sz w:val="28"/>
                <w:szCs w:val="28"/>
                <w:lang w:eastAsia="lv-LV"/>
              </w:rPr>
              <w:t xml:space="preserve"> </w:t>
            </w:r>
            <w:r w:rsidRPr="002C234B">
              <w:rPr>
                <w:rFonts w:ascii="Times New Roman" w:eastAsia="Times New Roman" w:hAnsi="Times New Roman" w:cs="Times New Roman"/>
                <w:bCs/>
                <w:sz w:val="28"/>
                <w:szCs w:val="28"/>
                <w:lang w:eastAsia="lv-LV"/>
              </w:rPr>
              <w:t xml:space="preserve">veiks ne mazāk kā 2 eksperti, ievērojot noteikumu projektā noteiktos </w:t>
            </w:r>
            <w:r w:rsidR="001F799D">
              <w:rPr>
                <w:rFonts w:ascii="Times New Roman" w:eastAsia="Times New Roman" w:hAnsi="Times New Roman" w:cs="Times New Roman"/>
                <w:bCs/>
                <w:sz w:val="28"/>
                <w:szCs w:val="28"/>
                <w:lang w:eastAsia="lv-LV"/>
              </w:rPr>
              <w:t>kvalitātes</w:t>
            </w:r>
            <w:r w:rsidRPr="002C234B">
              <w:rPr>
                <w:rFonts w:ascii="Times New Roman" w:eastAsia="Times New Roman" w:hAnsi="Times New Roman" w:cs="Times New Roman"/>
                <w:bCs/>
                <w:sz w:val="28"/>
                <w:szCs w:val="28"/>
                <w:lang w:eastAsia="lv-LV"/>
              </w:rPr>
              <w:t xml:space="preserve"> vērtēšanas kritērijus un konkursa nolikumā noteikto ekspertīzes kārtību,</w:t>
            </w:r>
            <w:r w:rsidR="001F799D">
              <w:rPr>
                <w:rFonts w:ascii="Times New Roman" w:eastAsia="Times New Roman" w:hAnsi="Times New Roman" w:cs="Times New Roman"/>
                <w:bCs/>
                <w:sz w:val="28"/>
                <w:szCs w:val="28"/>
                <w:lang w:eastAsia="lv-LV"/>
              </w:rPr>
              <w:t xml:space="preserve"> termiņus, metodiku un ekspertiem</w:t>
            </w:r>
            <w:r w:rsidRPr="002C234B">
              <w:rPr>
                <w:rFonts w:ascii="Times New Roman" w:eastAsia="Times New Roman" w:hAnsi="Times New Roman" w:cs="Times New Roman"/>
                <w:bCs/>
                <w:sz w:val="28"/>
                <w:szCs w:val="28"/>
                <w:lang w:eastAsia="lv-LV"/>
              </w:rPr>
              <w:t xml:space="preserve"> aizpildāmās veidlapas. Katrs eksperts vispirms dod savu</w:t>
            </w:r>
            <w:r w:rsidR="00CA5949">
              <w:rPr>
                <w:rFonts w:ascii="Times New Roman" w:eastAsia="Times New Roman" w:hAnsi="Times New Roman" w:cs="Times New Roman"/>
                <w:bCs/>
                <w:sz w:val="28"/>
                <w:szCs w:val="28"/>
                <w:lang w:eastAsia="lv-LV"/>
              </w:rPr>
              <w:t xml:space="preserve"> individuālo vērtējumu projekta pieteikumam</w:t>
            </w:r>
            <w:r w:rsidRPr="002C234B">
              <w:rPr>
                <w:rFonts w:ascii="Times New Roman" w:eastAsia="Times New Roman" w:hAnsi="Times New Roman" w:cs="Times New Roman"/>
                <w:bCs/>
                <w:sz w:val="28"/>
                <w:szCs w:val="28"/>
                <w:lang w:eastAsia="lv-LV"/>
              </w:rPr>
              <w:t xml:space="preserve">, aizpildot projekta pieteikuma </w:t>
            </w:r>
            <w:r w:rsidR="00C46737" w:rsidRPr="002C234B">
              <w:rPr>
                <w:rFonts w:ascii="Times New Roman" w:eastAsia="Times New Roman" w:hAnsi="Times New Roman" w:cs="Times New Roman"/>
                <w:bCs/>
                <w:sz w:val="28"/>
                <w:szCs w:val="28"/>
                <w:lang w:eastAsia="lv-LV"/>
              </w:rPr>
              <w:t xml:space="preserve">individuālās </w:t>
            </w:r>
            <w:r w:rsidRPr="002C234B">
              <w:rPr>
                <w:rFonts w:ascii="Times New Roman" w:eastAsia="Times New Roman" w:hAnsi="Times New Roman" w:cs="Times New Roman"/>
                <w:bCs/>
                <w:sz w:val="28"/>
                <w:szCs w:val="28"/>
                <w:lang w:eastAsia="lv-LV"/>
              </w:rPr>
              <w:t xml:space="preserve">ekspertīzes veidlapu un, tad </w:t>
            </w:r>
            <w:r w:rsidR="00721C4E" w:rsidRPr="002C234B">
              <w:rPr>
                <w:rFonts w:ascii="Times New Roman" w:eastAsia="Times New Roman" w:hAnsi="Times New Roman" w:cs="Times New Roman"/>
                <w:bCs/>
                <w:sz w:val="28"/>
                <w:szCs w:val="28"/>
                <w:lang w:eastAsia="lv-LV"/>
              </w:rPr>
              <w:t>izvērtēšanā iesaistītie</w:t>
            </w:r>
            <w:r w:rsidRPr="002C234B">
              <w:rPr>
                <w:rFonts w:ascii="Times New Roman" w:eastAsia="Times New Roman" w:hAnsi="Times New Roman" w:cs="Times New Roman"/>
                <w:bCs/>
                <w:sz w:val="28"/>
                <w:szCs w:val="28"/>
                <w:lang w:eastAsia="lv-LV"/>
              </w:rPr>
              <w:t xml:space="preserve"> eksperti kopīgi aizpilda projekta pieteikuma ko</w:t>
            </w:r>
            <w:r w:rsidR="006B0FA1">
              <w:rPr>
                <w:rFonts w:ascii="Times New Roman" w:eastAsia="Times New Roman" w:hAnsi="Times New Roman" w:cs="Times New Roman"/>
                <w:bCs/>
                <w:sz w:val="28"/>
                <w:szCs w:val="28"/>
                <w:lang w:eastAsia="lv-LV"/>
              </w:rPr>
              <w:t>nsolidēto ekspertīzes veidlapu.</w:t>
            </w:r>
            <w:r w:rsidRPr="002C234B">
              <w:rPr>
                <w:rFonts w:ascii="Times New Roman" w:eastAsia="Times New Roman" w:hAnsi="Times New Roman" w:cs="Times New Roman"/>
                <w:bCs/>
                <w:sz w:val="28"/>
                <w:szCs w:val="28"/>
                <w:lang w:eastAsia="lv-LV"/>
              </w:rPr>
              <w:t xml:space="preserve"> </w:t>
            </w:r>
            <w:r w:rsidR="004D238D" w:rsidRPr="002C234B">
              <w:rPr>
                <w:rFonts w:ascii="Times New Roman" w:eastAsia="Times New Roman" w:hAnsi="Times New Roman" w:cs="Times New Roman"/>
                <w:bCs/>
                <w:sz w:val="28"/>
                <w:szCs w:val="28"/>
                <w:lang w:eastAsia="lv-LV"/>
              </w:rPr>
              <w:t>Padome nodrošina, ka v</w:t>
            </w:r>
            <w:r w:rsidRPr="002C234B">
              <w:rPr>
                <w:rFonts w:ascii="Times New Roman" w:eastAsia="Times New Roman" w:hAnsi="Times New Roman" w:cs="Times New Roman"/>
                <w:bCs/>
                <w:sz w:val="28"/>
                <w:szCs w:val="28"/>
                <w:lang w:eastAsia="lv-LV"/>
              </w:rPr>
              <w:t xml:space="preserve">isa ar ekspertīzi saistītā dokumentācija (projekta pieteikums, ekspertīzes veidlapas, līgums ar ekspertu, novērtēšanas metodikas un cita dokumentācija, kas nepieciešama ekspertīzes veikšanai) </w:t>
            </w:r>
            <w:r w:rsidR="004D238D" w:rsidRPr="002C234B">
              <w:rPr>
                <w:rFonts w:ascii="Times New Roman" w:eastAsia="Times New Roman" w:hAnsi="Times New Roman" w:cs="Times New Roman"/>
                <w:bCs/>
                <w:sz w:val="28"/>
                <w:szCs w:val="28"/>
                <w:lang w:eastAsia="lv-LV"/>
              </w:rPr>
              <w:t xml:space="preserve">ekspertam tiek nodota, izmantojot informācijas sistēmu. </w:t>
            </w:r>
          </w:p>
          <w:p w14:paraId="09740959" w14:textId="3285C6B5" w:rsidR="006B0FA1" w:rsidRPr="0010404F" w:rsidRDefault="004D238D" w:rsidP="0010404F">
            <w:pPr>
              <w:spacing w:after="0" w:line="240" w:lineRule="auto"/>
              <w:ind w:firstLine="720"/>
              <w:jc w:val="both"/>
              <w:rPr>
                <w:rFonts w:ascii="Times New Roman" w:hAnsi="Times New Roman" w:cs="Times New Roman"/>
                <w:sz w:val="28"/>
                <w:szCs w:val="28"/>
              </w:rPr>
            </w:pPr>
            <w:r w:rsidRPr="002C234B">
              <w:rPr>
                <w:rFonts w:ascii="Times New Roman" w:eastAsia="Times New Roman" w:hAnsi="Times New Roman" w:cs="Times New Roman"/>
                <w:bCs/>
                <w:sz w:val="28"/>
                <w:szCs w:val="28"/>
                <w:lang w:eastAsia="lv-LV"/>
              </w:rPr>
              <w:t>Padome, pamatojoties uz</w:t>
            </w:r>
            <w:r w:rsidR="00C46737" w:rsidRPr="002C234B">
              <w:rPr>
                <w:rFonts w:ascii="Times New Roman" w:eastAsia="Times New Roman" w:hAnsi="Times New Roman" w:cs="Times New Roman"/>
                <w:bCs/>
                <w:sz w:val="28"/>
                <w:szCs w:val="28"/>
                <w:lang w:eastAsia="lv-LV"/>
              </w:rPr>
              <w:t xml:space="preserve"> minētajām</w:t>
            </w:r>
            <w:r w:rsidRPr="002C234B">
              <w:rPr>
                <w:rFonts w:ascii="Times New Roman" w:eastAsia="Times New Roman" w:hAnsi="Times New Roman" w:cs="Times New Roman"/>
                <w:bCs/>
                <w:sz w:val="28"/>
                <w:szCs w:val="28"/>
                <w:lang w:eastAsia="lv-LV"/>
              </w:rPr>
              <w:t xml:space="preserve"> ekspertu aizpildītām veidlapām un ievērojot konkursa nolikumā noteikto ekspertīzes konsolidētā vērtējuma aprēķina metodiku, </w:t>
            </w:r>
            <w:r w:rsidR="006B0FA1">
              <w:rPr>
                <w:rFonts w:ascii="Times New Roman" w:eastAsia="Times New Roman" w:hAnsi="Times New Roman" w:cs="Times New Roman"/>
                <w:bCs/>
                <w:sz w:val="28"/>
                <w:szCs w:val="28"/>
                <w:lang w:eastAsia="lv-LV"/>
              </w:rPr>
              <w:t>nosaka</w:t>
            </w:r>
            <w:r w:rsidRPr="002C234B">
              <w:rPr>
                <w:rFonts w:ascii="Times New Roman" w:eastAsia="Times New Roman" w:hAnsi="Times New Roman" w:cs="Times New Roman"/>
                <w:bCs/>
                <w:sz w:val="28"/>
                <w:szCs w:val="28"/>
                <w:lang w:eastAsia="lv-LV"/>
              </w:rPr>
              <w:t xml:space="preserve"> katra projekta pieteikuma ekspertīzes konsolidēto vērtējumu punktos, ievērojot noteikumu projektā katram </w:t>
            </w:r>
            <w:r w:rsidR="006B0FA1">
              <w:rPr>
                <w:rFonts w:ascii="Times New Roman" w:eastAsia="Times New Roman" w:hAnsi="Times New Roman" w:cs="Times New Roman"/>
                <w:bCs/>
                <w:sz w:val="28"/>
                <w:szCs w:val="28"/>
                <w:lang w:eastAsia="lv-LV"/>
              </w:rPr>
              <w:t>kvalitātes</w:t>
            </w:r>
            <w:r w:rsidRPr="002C234B">
              <w:rPr>
                <w:rFonts w:ascii="Times New Roman" w:eastAsia="Times New Roman" w:hAnsi="Times New Roman" w:cs="Times New Roman"/>
                <w:bCs/>
                <w:sz w:val="28"/>
                <w:szCs w:val="28"/>
                <w:lang w:eastAsia="lv-LV"/>
              </w:rPr>
              <w:t xml:space="preserve"> kritērijam noteikto īpatsvaru procentos. Pamatojoties uz minēto vērtējumu, padome sagatavo un iesniedz komisijai projektu </w:t>
            </w:r>
            <w:r w:rsidR="001E2527" w:rsidRPr="002C234B">
              <w:rPr>
                <w:rFonts w:ascii="Times New Roman" w:eastAsia="Times New Roman" w:hAnsi="Times New Roman" w:cs="Times New Roman"/>
                <w:bCs/>
                <w:sz w:val="28"/>
                <w:szCs w:val="28"/>
                <w:lang w:eastAsia="lv-LV"/>
              </w:rPr>
              <w:t>pieteikumu</w:t>
            </w:r>
            <w:r w:rsidRPr="002C234B">
              <w:rPr>
                <w:rFonts w:ascii="Times New Roman" w:eastAsia="Times New Roman" w:hAnsi="Times New Roman" w:cs="Times New Roman"/>
                <w:bCs/>
                <w:sz w:val="28"/>
                <w:szCs w:val="28"/>
                <w:lang w:eastAsia="lv-LV"/>
              </w:rPr>
              <w:t xml:space="preserve"> sarakstu</w:t>
            </w:r>
            <w:r w:rsidR="006B0FA1">
              <w:rPr>
                <w:rFonts w:ascii="Times New Roman" w:eastAsia="Times New Roman" w:hAnsi="Times New Roman" w:cs="Times New Roman"/>
                <w:bCs/>
                <w:sz w:val="28"/>
                <w:szCs w:val="28"/>
                <w:lang w:eastAsia="lv-LV"/>
              </w:rPr>
              <w:t xml:space="preserve">, kurā </w:t>
            </w:r>
            <w:r w:rsidR="00BA689B">
              <w:rPr>
                <w:rFonts w:ascii="Times New Roman" w:eastAsia="Times New Roman" w:hAnsi="Times New Roman" w:cs="Times New Roman"/>
                <w:bCs/>
                <w:sz w:val="28"/>
                <w:szCs w:val="28"/>
                <w:lang w:eastAsia="lv-LV"/>
              </w:rPr>
              <w:t xml:space="preserve">tostarp ir </w:t>
            </w:r>
            <w:r w:rsidR="006B0FA1">
              <w:rPr>
                <w:rFonts w:ascii="Times New Roman" w:eastAsia="Times New Roman" w:hAnsi="Times New Roman" w:cs="Times New Roman"/>
                <w:bCs/>
                <w:sz w:val="28"/>
                <w:szCs w:val="28"/>
                <w:lang w:eastAsia="lv-LV"/>
              </w:rPr>
              <w:t>iekļauti projekti, kas novērtēti virs kvalitātes sliekšņa</w:t>
            </w:r>
            <w:r w:rsidR="001E2527" w:rsidRPr="002C234B">
              <w:rPr>
                <w:rFonts w:ascii="Times New Roman" w:eastAsia="Times New Roman" w:hAnsi="Times New Roman" w:cs="Times New Roman"/>
                <w:bCs/>
                <w:sz w:val="28"/>
                <w:szCs w:val="28"/>
                <w:lang w:eastAsia="lv-LV"/>
              </w:rPr>
              <w:t xml:space="preserve"> (turpmāk – </w:t>
            </w:r>
            <w:r w:rsidR="00BA689B">
              <w:rPr>
                <w:rFonts w:ascii="Times New Roman" w:eastAsia="Times New Roman" w:hAnsi="Times New Roman" w:cs="Times New Roman"/>
                <w:bCs/>
                <w:sz w:val="28"/>
                <w:szCs w:val="28"/>
                <w:lang w:eastAsia="lv-LV"/>
              </w:rPr>
              <w:t xml:space="preserve">ekspertīzes </w:t>
            </w:r>
            <w:r w:rsidR="001E2527" w:rsidRPr="002C234B">
              <w:rPr>
                <w:rFonts w:ascii="Times New Roman" w:eastAsia="Times New Roman" w:hAnsi="Times New Roman" w:cs="Times New Roman"/>
                <w:bCs/>
                <w:sz w:val="28"/>
                <w:szCs w:val="28"/>
                <w:lang w:eastAsia="lv-LV"/>
              </w:rPr>
              <w:t>saraksts).</w:t>
            </w:r>
            <w:r w:rsidR="00BA689B">
              <w:rPr>
                <w:rFonts w:ascii="Times New Roman" w:eastAsia="Times New Roman" w:hAnsi="Times New Roman" w:cs="Times New Roman"/>
                <w:bCs/>
                <w:sz w:val="28"/>
                <w:szCs w:val="28"/>
                <w:lang w:eastAsia="lv-LV"/>
              </w:rPr>
              <w:t xml:space="preserve"> </w:t>
            </w:r>
            <w:r w:rsidR="006B0FA1" w:rsidRPr="00311A29">
              <w:rPr>
                <w:rFonts w:ascii="Times New Roman" w:hAnsi="Times New Roman" w:cs="Times New Roman"/>
                <w:sz w:val="28"/>
                <w:szCs w:val="28"/>
              </w:rPr>
              <w:t xml:space="preserve">Attiecīgi tālāk </w:t>
            </w:r>
            <w:r w:rsidR="00311A29" w:rsidRPr="00311A29">
              <w:rPr>
                <w:rFonts w:ascii="Times New Roman" w:hAnsi="Times New Roman" w:cs="Times New Roman"/>
                <w:sz w:val="28"/>
                <w:szCs w:val="28"/>
              </w:rPr>
              <w:t xml:space="preserve">komisija izvērtē ekspertīzes sarakstā minēto un virs kvalitātes sliekšņa novērtēto projektu </w:t>
            </w:r>
            <w:r w:rsidR="00311A29" w:rsidRPr="00311A29">
              <w:rPr>
                <w:rFonts w:ascii="Times New Roman" w:hAnsi="Times New Roman" w:cs="Times New Roman"/>
                <w:sz w:val="28"/>
                <w:szCs w:val="28"/>
              </w:rPr>
              <w:lastRenderedPageBreak/>
              <w:t>pieteikumu atbilstību programmas mērķiem un uzdevumiem, ko nosaka ar konkursa nolikumā ietvertajiem specifiskajiem vērtēšanas kritērijiem, piešķirot noteiktu punktu skaitu katram specifiskajam  kritērijam. Komisija izveido tādu projekta konkursa</w:t>
            </w:r>
            <w:r w:rsidR="00311A29" w:rsidRPr="00311A29">
              <w:rPr>
                <w:rFonts w:ascii="Times New Roman" w:hAnsi="Times New Roman" w:cs="Times New Roman"/>
                <w:sz w:val="28"/>
                <w:szCs w:val="28"/>
              </w:rPr>
              <w:t xml:space="preserve"> </w:t>
            </w:r>
            <w:r w:rsidR="00311A29" w:rsidRPr="00311A29">
              <w:rPr>
                <w:rFonts w:ascii="Times New Roman" w:hAnsi="Times New Roman" w:cs="Times New Roman"/>
                <w:sz w:val="28"/>
                <w:szCs w:val="28"/>
              </w:rPr>
              <w:t>kopējo projektu pieteikumu sarakstu (turpmāk – kopējais saraksts), kurā projektu pieteikumi</w:t>
            </w:r>
            <w:r w:rsidR="00311A29" w:rsidRPr="00311A29">
              <w:rPr>
                <w:rFonts w:ascii="Times New Roman" w:hAnsi="Times New Roman" w:cs="Times New Roman"/>
                <w:sz w:val="28"/>
                <w:szCs w:val="28"/>
              </w:rPr>
              <w:t xml:space="preserve"> </w:t>
            </w:r>
            <w:r w:rsidR="00311A29" w:rsidRPr="00311A29">
              <w:rPr>
                <w:rFonts w:ascii="Times New Roman" w:hAnsi="Times New Roman" w:cs="Times New Roman"/>
                <w:sz w:val="28"/>
                <w:szCs w:val="28"/>
              </w:rPr>
              <w:t>savstarpēji</w:t>
            </w:r>
            <w:r w:rsidR="00311A29">
              <w:rPr>
                <w:rFonts w:ascii="Times New Roman" w:hAnsi="Times New Roman" w:cs="Times New Roman"/>
                <w:sz w:val="28"/>
                <w:szCs w:val="28"/>
              </w:rPr>
              <w:t xml:space="preserve"> (sinerģija)</w:t>
            </w:r>
            <w:r w:rsidR="00311A29" w:rsidRPr="00311A29">
              <w:rPr>
                <w:rFonts w:ascii="Times New Roman" w:hAnsi="Times New Roman" w:cs="Times New Roman"/>
                <w:sz w:val="28"/>
                <w:szCs w:val="28"/>
              </w:rPr>
              <w:t xml:space="preserve"> papildina vien</w:t>
            </w:r>
            <w:r w:rsidR="00311A29">
              <w:rPr>
                <w:rFonts w:ascii="Times New Roman" w:hAnsi="Times New Roman" w:cs="Times New Roman"/>
                <w:sz w:val="28"/>
                <w:szCs w:val="28"/>
              </w:rPr>
              <w:t>s</w:t>
            </w:r>
            <w:r w:rsidR="00311A29" w:rsidRPr="00311A29">
              <w:rPr>
                <w:rFonts w:ascii="Times New Roman" w:hAnsi="Times New Roman" w:cs="Times New Roman"/>
                <w:sz w:val="28"/>
                <w:szCs w:val="28"/>
              </w:rPr>
              <w:t xml:space="preserve"> otru, lai  kopumā nodrošinātu</w:t>
            </w:r>
            <w:r w:rsidR="00311A29">
              <w:rPr>
                <w:rFonts w:ascii="Times New Roman" w:hAnsi="Times New Roman" w:cs="Times New Roman"/>
                <w:sz w:val="28"/>
                <w:szCs w:val="28"/>
              </w:rPr>
              <w:t xml:space="preserve"> programmas mērķu</w:t>
            </w:r>
            <w:r w:rsidR="00311A29" w:rsidRPr="00311A29">
              <w:rPr>
                <w:rFonts w:ascii="Times New Roman" w:hAnsi="Times New Roman" w:cs="Times New Roman"/>
                <w:sz w:val="28"/>
                <w:szCs w:val="28"/>
              </w:rPr>
              <w:t xml:space="preserve"> un uzdevumu sasniegšanu.  Projektu pieteikumus sarindo kopējā sarakstā prioritārā secībā </w:t>
            </w:r>
            <w:r w:rsidR="00311A29" w:rsidRPr="0010404F">
              <w:rPr>
                <w:rFonts w:ascii="Times New Roman" w:hAnsi="Times New Roman" w:cs="Times New Roman"/>
                <w:sz w:val="28"/>
                <w:szCs w:val="28"/>
              </w:rPr>
              <w:t>pēc iegūtās punktu summas projektu konkursā kopumā, vai programmas uzdevumā, ja to paredz konkursa nolikums, sākot ar visvairāk punktus ieguvušo.</w:t>
            </w:r>
            <w:r w:rsidR="00311A29" w:rsidRPr="0010404F">
              <w:rPr>
                <w:rFonts w:ascii="Times New Roman" w:hAnsi="Times New Roman" w:cs="Times New Roman"/>
                <w:sz w:val="28"/>
                <w:szCs w:val="28"/>
              </w:rPr>
              <w:t xml:space="preserve"> </w:t>
            </w:r>
            <w:r w:rsidR="00311A29" w:rsidRPr="0010404F">
              <w:rPr>
                <w:rFonts w:ascii="Times New Roman" w:hAnsi="Times New Roman" w:cs="Times New Roman"/>
                <w:sz w:val="28"/>
                <w:szCs w:val="28"/>
              </w:rPr>
              <w:t>Komisija apstiprina kopējo sarakstu un pieņem lēmumu</w:t>
            </w:r>
            <w:r w:rsidR="00311A29" w:rsidRPr="0010404F">
              <w:rPr>
                <w:rFonts w:ascii="Times New Roman" w:hAnsi="Times New Roman" w:cs="Times New Roman"/>
                <w:sz w:val="28"/>
                <w:szCs w:val="28"/>
              </w:rPr>
              <w:t xml:space="preserve"> par finansējuma piešķiršanu projekta īstenošanai.</w:t>
            </w:r>
          </w:p>
          <w:p w14:paraId="5EF6F95D" w14:textId="1DE3EA3A" w:rsidR="0010404F" w:rsidRPr="0010404F" w:rsidRDefault="0010404F" w:rsidP="0010404F">
            <w:pPr>
              <w:spacing w:after="0" w:line="240" w:lineRule="auto"/>
              <w:jc w:val="both"/>
              <w:rPr>
                <w:rFonts w:ascii="Times New Roman" w:hAnsi="Times New Roman" w:cs="Times New Roman"/>
                <w:sz w:val="28"/>
                <w:szCs w:val="28"/>
              </w:rPr>
            </w:pPr>
            <w:r w:rsidRPr="0010404F">
              <w:rPr>
                <w:rFonts w:ascii="Times New Roman" w:hAnsi="Times New Roman" w:cs="Times New Roman"/>
                <w:sz w:val="28"/>
                <w:szCs w:val="28"/>
              </w:rPr>
              <w:t>Nozares ministrija un padome publicē finansējamo projektu sarakstu nozares ministrijas mājaslapā un padomes mājaslapā, norādot katra projekta nosaukumu un numuru, projekta vadītāja vārdu un uzvārdu un projektam piešķirtā finansējuma apmēru.</w:t>
            </w:r>
          </w:p>
          <w:p w14:paraId="330CB040" w14:textId="77777777" w:rsidR="00D43DDA" w:rsidRDefault="007634F6" w:rsidP="0010404F">
            <w:pPr>
              <w:spacing w:after="0" w:line="240" w:lineRule="auto"/>
              <w:jc w:val="both"/>
              <w:rPr>
                <w:rFonts w:ascii="Times New Roman" w:hAnsi="Times New Roman" w:cs="Times New Roman"/>
                <w:sz w:val="28"/>
                <w:szCs w:val="28"/>
              </w:rPr>
            </w:pPr>
            <w:r w:rsidRPr="0010404F">
              <w:rPr>
                <w:rFonts w:ascii="Times New Roman" w:eastAsia="Times New Roman" w:hAnsi="Times New Roman" w:cs="Times New Roman"/>
                <w:bCs/>
                <w:sz w:val="28"/>
                <w:szCs w:val="28"/>
                <w:lang w:eastAsia="lv-LV"/>
              </w:rPr>
              <w:t>Noteikumu projekts paredz</w:t>
            </w:r>
            <w:r w:rsidR="00311A29" w:rsidRPr="0010404F">
              <w:rPr>
                <w:rFonts w:ascii="Times New Roman" w:eastAsia="Times New Roman" w:hAnsi="Times New Roman" w:cs="Times New Roman"/>
                <w:bCs/>
                <w:sz w:val="28"/>
                <w:szCs w:val="28"/>
                <w:lang w:eastAsia="lv-LV"/>
              </w:rPr>
              <w:t xml:space="preserve">, ka </w:t>
            </w:r>
            <w:r w:rsidR="00311A29" w:rsidRPr="0010404F">
              <w:rPr>
                <w:rFonts w:ascii="Times New Roman" w:hAnsi="Times New Roman" w:cs="Times New Roman"/>
                <w:sz w:val="28"/>
                <w:szCs w:val="28"/>
              </w:rPr>
              <w:t>p</w:t>
            </w:r>
            <w:r w:rsidR="00311A29" w:rsidRPr="0010404F">
              <w:rPr>
                <w:rFonts w:ascii="Times New Roman" w:hAnsi="Times New Roman" w:cs="Times New Roman"/>
                <w:sz w:val="28"/>
                <w:szCs w:val="28"/>
              </w:rPr>
              <w:t>rojektu finansē no kārtējam gadam nozares ministrijai piešķirtajiem valsts budžeta līdzekļiem program</w:t>
            </w:r>
            <w:r w:rsidR="00311A29" w:rsidRPr="0010404F">
              <w:rPr>
                <w:rFonts w:ascii="Times New Roman" w:hAnsi="Times New Roman" w:cs="Times New Roman"/>
                <w:sz w:val="28"/>
                <w:szCs w:val="28"/>
              </w:rPr>
              <w:t>mas īstenošanai, tostarp nosakot, ka nozares ministrija paredz  ne vairāk ka septiņus procentus no kartējam gadam projekta finansēšanai iedalītajiem</w:t>
            </w:r>
            <w:r w:rsidR="00311A29" w:rsidRPr="00D43DDA">
              <w:rPr>
                <w:rFonts w:ascii="Times New Roman" w:hAnsi="Times New Roman" w:cs="Times New Roman"/>
                <w:sz w:val="28"/>
                <w:szCs w:val="28"/>
              </w:rPr>
              <w:t xml:space="preserve"> līdzekļiem </w:t>
            </w:r>
            <w:r w:rsidR="00D43DDA" w:rsidRPr="00D43DDA">
              <w:rPr>
                <w:rFonts w:ascii="Times New Roman" w:hAnsi="Times New Roman" w:cs="Times New Roman"/>
                <w:sz w:val="28"/>
                <w:szCs w:val="28"/>
              </w:rPr>
              <w:t xml:space="preserve">tādiem </w:t>
            </w:r>
            <w:r w:rsidRPr="00D43DDA">
              <w:rPr>
                <w:rFonts w:ascii="Times New Roman" w:eastAsia="Times New Roman" w:hAnsi="Times New Roman" w:cs="Times New Roman"/>
                <w:bCs/>
                <w:sz w:val="28"/>
                <w:szCs w:val="28"/>
                <w:lang w:eastAsia="lv-LV"/>
              </w:rPr>
              <w:t>pasākumiem, kas saistīti ar konkursa sagatavošanu un norisi; eksper</w:t>
            </w:r>
            <w:r w:rsidR="00311A29" w:rsidRPr="00D43DDA">
              <w:rPr>
                <w:rFonts w:ascii="Times New Roman" w:eastAsia="Times New Roman" w:hAnsi="Times New Roman" w:cs="Times New Roman"/>
                <w:bCs/>
                <w:sz w:val="28"/>
                <w:szCs w:val="28"/>
                <w:lang w:eastAsia="lv-LV"/>
              </w:rPr>
              <w:t>tīzes izdevumu segšanai; valsts</w:t>
            </w:r>
            <w:r w:rsidRPr="00D43DDA">
              <w:rPr>
                <w:rFonts w:ascii="Times New Roman" w:eastAsia="Times New Roman" w:hAnsi="Times New Roman" w:cs="Times New Roman"/>
                <w:bCs/>
                <w:sz w:val="28"/>
                <w:szCs w:val="28"/>
                <w:lang w:eastAsia="lv-LV"/>
              </w:rPr>
              <w:t xml:space="preserve"> budžeta līdzekļu administrē</w:t>
            </w:r>
            <w:r w:rsidR="001F5209" w:rsidRPr="00D43DDA">
              <w:rPr>
                <w:rFonts w:ascii="Times New Roman" w:eastAsia="Times New Roman" w:hAnsi="Times New Roman" w:cs="Times New Roman"/>
                <w:bCs/>
                <w:sz w:val="28"/>
                <w:szCs w:val="28"/>
                <w:lang w:eastAsia="lv-LV"/>
              </w:rPr>
              <w:t xml:space="preserve">šanu un kontroli; </w:t>
            </w:r>
            <w:r w:rsidR="00311A29" w:rsidRPr="00D43DDA">
              <w:rPr>
                <w:rFonts w:ascii="Times New Roman" w:eastAsia="Times New Roman" w:hAnsi="Times New Roman" w:cs="Times New Roman"/>
                <w:bCs/>
                <w:sz w:val="28"/>
                <w:szCs w:val="28"/>
                <w:lang w:eastAsia="lv-LV"/>
              </w:rPr>
              <w:t>sabiedrības informēšanas pasākumiem</w:t>
            </w:r>
            <w:r w:rsidR="001F5209" w:rsidRPr="00D43DDA">
              <w:rPr>
                <w:rFonts w:ascii="Times New Roman" w:eastAsia="Times New Roman" w:hAnsi="Times New Roman" w:cs="Times New Roman"/>
                <w:bCs/>
                <w:sz w:val="28"/>
                <w:szCs w:val="28"/>
                <w:lang w:eastAsia="lv-LV"/>
              </w:rPr>
              <w:t>; komisi</w:t>
            </w:r>
            <w:r w:rsidR="00311A29" w:rsidRPr="00D43DDA">
              <w:rPr>
                <w:rFonts w:ascii="Times New Roman" w:eastAsia="Times New Roman" w:hAnsi="Times New Roman" w:cs="Times New Roman"/>
                <w:bCs/>
                <w:sz w:val="28"/>
                <w:szCs w:val="28"/>
                <w:lang w:eastAsia="lv-LV"/>
              </w:rPr>
              <w:t>jas un tās sekretariāta darbības nodrošināšanai</w:t>
            </w:r>
            <w:r w:rsidR="001F5209" w:rsidRPr="00D43DDA">
              <w:rPr>
                <w:rFonts w:ascii="Times New Roman" w:eastAsia="Times New Roman" w:hAnsi="Times New Roman" w:cs="Times New Roman"/>
                <w:bCs/>
                <w:sz w:val="28"/>
                <w:szCs w:val="28"/>
                <w:lang w:eastAsia="lv-LV"/>
              </w:rPr>
              <w:t>.</w:t>
            </w:r>
          </w:p>
          <w:p w14:paraId="4C488CF1" w14:textId="77777777" w:rsidR="00D43DDA" w:rsidRDefault="00D43DDA" w:rsidP="00D43D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w:t>
            </w:r>
            <w:r w:rsidR="00B263B2" w:rsidRPr="002C234B">
              <w:rPr>
                <w:rFonts w:ascii="Times New Roman" w:eastAsia="Times New Roman" w:hAnsi="Times New Roman" w:cs="Times New Roman"/>
                <w:bCs/>
                <w:sz w:val="28"/>
                <w:szCs w:val="28"/>
                <w:lang w:eastAsia="lv-LV"/>
              </w:rPr>
              <w:t>dministrācija slēdz ar projekta īstenotāju, kas ir zinātniskā institūcija, projekta līg</w:t>
            </w:r>
            <w:r w:rsidR="00C46737" w:rsidRPr="002C234B">
              <w:rPr>
                <w:rFonts w:ascii="Times New Roman" w:eastAsia="Times New Roman" w:hAnsi="Times New Roman" w:cs="Times New Roman"/>
                <w:bCs/>
                <w:sz w:val="28"/>
                <w:szCs w:val="28"/>
                <w:lang w:eastAsia="lv-LV"/>
              </w:rPr>
              <w:t>umu,</w:t>
            </w:r>
            <w:r w:rsidR="001F5209" w:rsidRPr="002C234B">
              <w:rPr>
                <w:rFonts w:ascii="Times New Roman" w:hAnsi="Times New Roman" w:cs="Times New Roman"/>
                <w:sz w:val="28"/>
                <w:szCs w:val="28"/>
              </w:rPr>
              <w:t xml:space="preserve"> ievērojot konkursa nolikumā noteikto projektu līguma paraugu, slēgšanas kārtību un termiņus. </w:t>
            </w:r>
          </w:p>
          <w:p w14:paraId="34748A6A" w14:textId="0276AC3F" w:rsidR="00D43DDA" w:rsidRPr="00414A3D" w:rsidRDefault="00D43DDA" w:rsidP="00414A3D">
            <w:pPr>
              <w:spacing w:after="0" w:line="240" w:lineRule="auto"/>
              <w:jc w:val="both"/>
              <w:rPr>
                <w:rFonts w:ascii="Times New Roman" w:hAnsi="Times New Roman" w:cs="Times New Roman"/>
                <w:sz w:val="28"/>
                <w:szCs w:val="28"/>
              </w:rPr>
            </w:pPr>
            <w:r w:rsidRPr="00414A3D">
              <w:rPr>
                <w:rFonts w:ascii="Times New Roman" w:eastAsia="Times New Roman" w:hAnsi="Times New Roman" w:cs="Times New Roman"/>
                <w:bCs/>
                <w:sz w:val="28"/>
                <w:szCs w:val="28"/>
                <w:lang w:eastAsia="lv-LV"/>
              </w:rPr>
              <w:t xml:space="preserve">Ar noteikumu projektu ir noteikts, ka </w:t>
            </w:r>
            <w:r w:rsidRPr="00414A3D">
              <w:rPr>
                <w:rFonts w:ascii="Times New Roman" w:hAnsi="Times New Roman" w:cs="Times New Roman"/>
                <w:sz w:val="28"/>
                <w:szCs w:val="28"/>
              </w:rPr>
              <w:t>a</w:t>
            </w:r>
            <w:r w:rsidRPr="00414A3D">
              <w:rPr>
                <w:rFonts w:ascii="Times New Roman" w:hAnsi="Times New Roman" w:cs="Times New Roman"/>
                <w:sz w:val="28"/>
                <w:szCs w:val="28"/>
              </w:rPr>
              <w:t>dministrācija</w:t>
            </w:r>
            <w:r w:rsidRPr="00414A3D">
              <w:rPr>
                <w:rFonts w:ascii="Times New Roman" w:hAnsi="Times New Roman" w:cs="Times New Roman"/>
                <w:sz w:val="28"/>
                <w:szCs w:val="28"/>
              </w:rPr>
              <w:t>,</w:t>
            </w:r>
            <w:r w:rsidRPr="00414A3D">
              <w:rPr>
                <w:rFonts w:ascii="Times New Roman" w:hAnsi="Times New Roman" w:cs="Times New Roman"/>
                <w:sz w:val="28"/>
                <w:szCs w:val="28"/>
              </w:rPr>
              <w:t xml:space="preserve"> ievērojot projekta līguma noteiktos termiņus un samaksas kārtību</w:t>
            </w:r>
            <w:r w:rsidRPr="00414A3D">
              <w:rPr>
                <w:rFonts w:ascii="Times New Roman" w:hAnsi="Times New Roman" w:cs="Times New Roman"/>
                <w:sz w:val="28"/>
                <w:szCs w:val="28"/>
              </w:rPr>
              <w:t xml:space="preserve">, </w:t>
            </w:r>
            <w:r w:rsidRPr="00414A3D">
              <w:rPr>
                <w:rFonts w:ascii="Times New Roman" w:hAnsi="Times New Roman" w:cs="Times New Roman"/>
                <w:sz w:val="28"/>
                <w:szCs w:val="28"/>
              </w:rPr>
              <w:t xml:space="preserve">pārskaita zinātniskajai institūcijai avansa maksājumu uz kontu Valsts kasē, nepārsniedzot 30 procentus no projektam piešķirtā kopējā </w:t>
            </w:r>
            <w:r w:rsidRPr="00414A3D">
              <w:rPr>
                <w:rFonts w:ascii="Times New Roman" w:hAnsi="Times New Roman" w:cs="Times New Roman"/>
                <w:sz w:val="28"/>
                <w:szCs w:val="28"/>
              </w:rPr>
              <w:t>finansējuma. T</w:t>
            </w:r>
            <w:r w:rsidRPr="00414A3D">
              <w:rPr>
                <w:rFonts w:ascii="Times New Roman" w:hAnsi="Times New Roman" w:cs="Times New Roman"/>
                <w:sz w:val="28"/>
                <w:szCs w:val="28"/>
              </w:rPr>
              <w:t xml:space="preserve">urpmākos maksājumus zinātniskajai institūcijai veic saskaņā ar projekta līguma nosacījumiem, ievērojot, ka noslēguma maksājums, kas nepārsniedz 10 procentus no projektam piešķirtā kopējā finansējuma un ir noteikts atbilstoši projekta ietvaros faktiski izlietotajai </w:t>
            </w:r>
            <w:r w:rsidRPr="00414A3D">
              <w:rPr>
                <w:rFonts w:ascii="Times New Roman" w:hAnsi="Times New Roman" w:cs="Times New Roman"/>
                <w:sz w:val="28"/>
                <w:szCs w:val="28"/>
              </w:rPr>
              <w:lastRenderedPageBreak/>
              <w:t>attiecināmo izmaksu kopsummai un sasniegtajiem projektā plānotajiem rezultātiem, zinātniskajai institūcijai tiek izmaksāts pēc tam, kad atbilstoši projekta līguma nosacījumiem administrācijā ir iesniegts un apstiprināts projekta noslēguma zinātniskais pārskats un projekta noslēguma finanšu pārskats.</w:t>
            </w:r>
          </w:p>
          <w:p w14:paraId="44D815D3" w14:textId="2C19DCC8" w:rsidR="00414A3D" w:rsidRPr="00414A3D" w:rsidRDefault="00414A3D" w:rsidP="00414A3D">
            <w:pPr>
              <w:spacing w:after="0" w:line="240" w:lineRule="auto"/>
              <w:jc w:val="both"/>
              <w:rPr>
                <w:rFonts w:ascii="Times New Roman" w:hAnsi="Times New Roman" w:cs="Times New Roman"/>
                <w:sz w:val="28"/>
                <w:szCs w:val="28"/>
              </w:rPr>
            </w:pPr>
            <w:r w:rsidRPr="00414A3D">
              <w:rPr>
                <w:rFonts w:ascii="Times New Roman" w:hAnsi="Times New Roman" w:cs="Times New Roman"/>
                <w:sz w:val="28"/>
                <w:szCs w:val="28"/>
              </w:rPr>
              <w:t>Administrācija kontrolē, kā z</w:t>
            </w:r>
            <w:r w:rsidRPr="00414A3D">
              <w:rPr>
                <w:rFonts w:ascii="Times New Roman" w:hAnsi="Times New Roman" w:cs="Times New Roman"/>
                <w:sz w:val="28"/>
                <w:szCs w:val="28"/>
              </w:rPr>
              <w:t>inātniskā institūcija nodrošina projekta īstenošanas finanšu plūsmas un darbību veidu skaidru nodalīšanu no citu zinātniskās institūcijas darbību finanšu plūsmām un darbību veidiem.</w:t>
            </w:r>
          </w:p>
          <w:p w14:paraId="7BF29C4A" w14:textId="42DCB609" w:rsidR="00414A3D" w:rsidRDefault="00414A3D" w:rsidP="00803BA2">
            <w:pPr>
              <w:spacing w:after="0" w:line="240" w:lineRule="auto"/>
              <w:jc w:val="both"/>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Projekta īstenošanas terminu varēs </w:t>
            </w:r>
            <w:r w:rsidR="0010404F">
              <w:rPr>
                <w:rFonts w:ascii="Times New Roman" w:eastAsia="Times New Roman" w:hAnsi="Times New Roman" w:cs="Times New Roman"/>
                <w:bCs/>
                <w:sz w:val="28"/>
                <w:szCs w:val="28"/>
                <w:lang w:eastAsia="lv-LV"/>
              </w:rPr>
              <w:t>pagarināt</w:t>
            </w:r>
            <w:r>
              <w:rPr>
                <w:rFonts w:ascii="Times New Roman" w:eastAsia="Times New Roman" w:hAnsi="Times New Roman" w:cs="Times New Roman"/>
                <w:bCs/>
                <w:sz w:val="28"/>
                <w:szCs w:val="28"/>
                <w:lang w:eastAsia="lv-LV"/>
              </w:rPr>
              <w:t xml:space="preserve"> pa vienu gadu</w:t>
            </w:r>
            <w:r w:rsidR="0010404F" w:rsidRPr="00E75A89">
              <w:rPr>
                <w:sz w:val="28"/>
                <w:szCs w:val="28"/>
              </w:rPr>
              <w:t>, ja tas nepieciešams projekta rezultātu nostiprināšanai un publiskošana</w:t>
            </w:r>
            <w:r>
              <w:rPr>
                <w:rFonts w:ascii="Times New Roman" w:eastAsia="Times New Roman" w:hAnsi="Times New Roman" w:cs="Times New Roman"/>
                <w:bCs/>
                <w:sz w:val="28"/>
                <w:szCs w:val="28"/>
                <w:lang w:eastAsia="lv-LV"/>
              </w:rPr>
              <w:t xml:space="preserve">, </w:t>
            </w:r>
            <w:r w:rsidR="0010404F">
              <w:rPr>
                <w:rFonts w:ascii="Times New Roman" w:eastAsia="Times New Roman" w:hAnsi="Times New Roman" w:cs="Times New Roman"/>
                <w:bCs/>
                <w:sz w:val="28"/>
                <w:szCs w:val="28"/>
                <w:lang w:eastAsia="lv-LV"/>
              </w:rPr>
              <w:t>taču</w:t>
            </w:r>
            <w:r>
              <w:rPr>
                <w:rFonts w:ascii="Times New Roman" w:eastAsia="Times New Roman" w:hAnsi="Times New Roman" w:cs="Times New Roman"/>
                <w:bCs/>
                <w:sz w:val="28"/>
                <w:szCs w:val="28"/>
                <w:lang w:eastAsia="lv-LV"/>
              </w:rPr>
              <w:t xml:space="preserve"> </w:t>
            </w:r>
            <w:r w:rsidRPr="00E75A89">
              <w:rPr>
                <w:sz w:val="28"/>
                <w:szCs w:val="28"/>
              </w:rPr>
              <w:t xml:space="preserve">bez papildus </w:t>
            </w:r>
            <w:r w:rsidR="0010404F">
              <w:rPr>
                <w:sz w:val="28"/>
                <w:szCs w:val="28"/>
              </w:rPr>
              <w:t>finansējuma piešķiršanas un</w:t>
            </w:r>
            <w:r w:rsidRPr="00E75A89">
              <w:rPr>
                <w:sz w:val="28"/>
                <w:szCs w:val="28"/>
              </w:rPr>
              <w:t xml:space="preserve"> projekta noslēguma zinātniskā pārskata ekspertīzes veikšanas.</w:t>
            </w:r>
          </w:p>
          <w:p w14:paraId="23CE80CA" w14:textId="3CB61975" w:rsidR="001F5209" w:rsidRPr="002C234B" w:rsidRDefault="00B263B2" w:rsidP="00803BA2">
            <w:pPr>
              <w:spacing w:after="0" w:line="240" w:lineRule="auto"/>
              <w:jc w:val="both"/>
              <w:rPr>
                <w:rFonts w:ascii="Times New Roman" w:eastAsia="Times New Roman" w:hAnsi="Times New Roman" w:cs="Times New Roman"/>
                <w:bCs/>
                <w:sz w:val="28"/>
                <w:szCs w:val="28"/>
                <w:lang w:eastAsia="lv-LV"/>
              </w:rPr>
            </w:pPr>
            <w:r w:rsidRPr="002C234B">
              <w:rPr>
                <w:rFonts w:ascii="Times New Roman" w:eastAsia="Times New Roman" w:hAnsi="Times New Roman" w:cs="Times New Roman"/>
                <w:bCs/>
                <w:sz w:val="28"/>
                <w:szCs w:val="28"/>
                <w:lang w:eastAsia="lv-LV"/>
              </w:rPr>
              <w:t>Noteikumu projekts paredz, ka</w:t>
            </w:r>
            <w:r w:rsidR="0010404F">
              <w:rPr>
                <w:rFonts w:ascii="Times New Roman" w:eastAsia="Times New Roman" w:hAnsi="Times New Roman" w:cs="Times New Roman"/>
                <w:bCs/>
                <w:sz w:val="28"/>
                <w:szCs w:val="28"/>
                <w:lang w:eastAsia="lv-LV"/>
              </w:rPr>
              <w:t xml:space="preserve"> </w:t>
            </w:r>
            <w:r w:rsidR="00414A3D">
              <w:rPr>
                <w:rFonts w:ascii="Times New Roman" w:eastAsia="Times New Roman" w:hAnsi="Times New Roman" w:cs="Times New Roman"/>
                <w:bCs/>
                <w:sz w:val="28"/>
                <w:szCs w:val="28"/>
                <w:lang w:eastAsia="lv-LV"/>
              </w:rPr>
              <w:t>zinātniskajai institūcijai</w:t>
            </w:r>
            <w:r w:rsidR="0010404F">
              <w:rPr>
                <w:rFonts w:ascii="Times New Roman" w:eastAsia="Times New Roman" w:hAnsi="Times New Roman" w:cs="Times New Roman"/>
                <w:bCs/>
                <w:sz w:val="28"/>
                <w:szCs w:val="28"/>
                <w:lang w:eastAsia="lv-LV"/>
              </w:rPr>
              <w:t xml:space="preserve"> </w:t>
            </w:r>
            <w:r w:rsidR="0010404F">
              <w:rPr>
                <w:rFonts w:ascii="Times New Roman" w:eastAsia="Times New Roman" w:hAnsi="Times New Roman" w:cs="Times New Roman"/>
                <w:bCs/>
                <w:sz w:val="28"/>
                <w:szCs w:val="28"/>
                <w:lang w:eastAsia="lv-LV"/>
              </w:rPr>
              <w:t xml:space="preserve">īstenojot projektu un ievērojot projekta līguma </w:t>
            </w:r>
            <w:r w:rsidR="0010404F">
              <w:rPr>
                <w:rFonts w:ascii="Times New Roman" w:eastAsia="Times New Roman" w:hAnsi="Times New Roman" w:cs="Times New Roman"/>
                <w:bCs/>
                <w:sz w:val="28"/>
                <w:szCs w:val="28"/>
                <w:lang w:eastAsia="lv-LV"/>
              </w:rPr>
              <w:t>nosacījumus</w:t>
            </w:r>
            <w:r w:rsidR="0010404F">
              <w:rPr>
                <w:rFonts w:ascii="Times New Roman" w:eastAsia="Times New Roman" w:hAnsi="Times New Roman" w:cs="Times New Roman"/>
                <w:bCs/>
                <w:sz w:val="28"/>
                <w:szCs w:val="28"/>
                <w:lang w:eastAsia="lv-LV"/>
              </w:rPr>
              <w:t>, ir obligāti iesniedzami:</w:t>
            </w:r>
          </w:p>
          <w:p w14:paraId="23CE80CB" w14:textId="5183D206" w:rsidR="001F5209" w:rsidRPr="002C234B" w:rsidRDefault="0010404F" w:rsidP="001F5209">
            <w:pPr>
              <w:pStyle w:val="ListParagraph"/>
              <w:numPr>
                <w:ilvl w:val="0"/>
                <w:numId w:val="5"/>
              </w:numPr>
              <w:tabs>
                <w:tab w:val="left" w:pos="275"/>
              </w:tabs>
              <w:ind w:left="-8" w:firstLine="8"/>
              <w:jc w:val="both"/>
              <w:rPr>
                <w:bCs/>
                <w:sz w:val="28"/>
                <w:szCs w:val="28"/>
              </w:rPr>
            </w:pPr>
            <w:r>
              <w:rPr>
                <w:bCs/>
                <w:sz w:val="28"/>
                <w:szCs w:val="28"/>
              </w:rPr>
              <w:t xml:space="preserve">administrācijai - </w:t>
            </w:r>
            <w:r>
              <w:rPr>
                <w:sz w:val="28"/>
                <w:szCs w:val="28"/>
              </w:rPr>
              <w:t xml:space="preserve">projekta posma, kas nav īsāks par 6 mēnešiem, kā arī projekta </w:t>
            </w:r>
            <w:proofErr w:type="spellStart"/>
            <w:r>
              <w:rPr>
                <w:sz w:val="28"/>
                <w:szCs w:val="28"/>
              </w:rPr>
              <w:t>vidus</w:t>
            </w:r>
            <w:r w:rsidRPr="00E75A89">
              <w:rPr>
                <w:sz w:val="28"/>
                <w:szCs w:val="28"/>
              </w:rPr>
              <w:t>posma</w:t>
            </w:r>
            <w:proofErr w:type="spellEnd"/>
            <w:r w:rsidRPr="00E75A89">
              <w:rPr>
                <w:sz w:val="28"/>
                <w:szCs w:val="28"/>
              </w:rPr>
              <w:t xml:space="preserve"> un noslēguma finanšu pārskatu par projektam piešķirtā finansējuma izlietojumu;</w:t>
            </w:r>
            <w:r w:rsidR="00B263B2" w:rsidRPr="002C234B">
              <w:rPr>
                <w:bCs/>
                <w:sz w:val="28"/>
                <w:szCs w:val="28"/>
              </w:rPr>
              <w:t xml:space="preserve"> </w:t>
            </w:r>
          </w:p>
          <w:p w14:paraId="23CE80CC" w14:textId="77777777" w:rsidR="00B263B2" w:rsidRPr="002C234B" w:rsidRDefault="00B263B2" w:rsidP="001F5209">
            <w:pPr>
              <w:pStyle w:val="ListParagraph"/>
              <w:numPr>
                <w:ilvl w:val="0"/>
                <w:numId w:val="5"/>
              </w:numPr>
              <w:tabs>
                <w:tab w:val="left" w:pos="275"/>
              </w:tabs>
              <w:ind w:left="-8" w:firstLine="8"/>
              <w:jc w:val="both"/>
              <w:rPr>
                <w:bCs/>
                <w:sz w:val="28"/>
                <w:szCs w:val="28"/>
              </w:rPr>
            </w:pPr>
            <w:r w:rsidRPr="002C234B">
              <w:rPr>
                <w:bCs/>
                <w:sz w:val="28"/>
                <w:szCs w:val="28"/>
              </w:rPr>
              <w:t xml:space="preserve">padomei – projekta </w:t>
            </w:r>
            <w:proofErr w:type="spellStart"/>
            <w:r w:rsidRPr="002C234B">
              <w:rPr>
                <w:bCs/>
                <w:sz w:val="28"/>
                <w:szCs w:val="28"/>
              </w:rPr>
              <w:t>vidusposma</w:t>
            </w:r>
            <w:proofErr w:type="spellEnd"/>
            <w:r w:rsidRPr="002C234B">
              <w:rPr>
                <w:bCs/>
                <w:sz w:val="28"/>
                <w:szCs w:val="28"/>
              </w:rPr>
              <w:t xml:space="preserve"> zinātnisko pārskatu  un projekta noslēguma zinātnisko pārskatu. Padome nodrošina minēto zinātnisko pārskatu ekspertīzes procedūras norisi un eksperti sniedz savu </w:t>
            </w:r>
            <w:r w:rsidR="001F5209" w:rsidRPr="002C234B">
              <w:rPr>
                <w:bCs/>
                <w:sz w:val="28"/>
                <w:szCs w:val="28"/>
              </w:rPr>
              <w:t>novērtējumu par tiem;</w:t>
            </w:r>
          </w:p>
          <w:p w14:paraId="23CE80CD" w14:textId="77777777" w:rsidR="001F5209" w:rsidRPr="002C234B" w:rsidRDefault="001F5209" w:rsidP="001F5209">
            <w:pPr>
              <w:pStyle w:val="ListParagraph"/>
              <w:numPr>
                <w:ilvl w:val="0"/>
                <w:numId w:val="5"/>
              </w:numPr>
              <w:tabs>
                <w:tab w:val="left" w:pos="275"/>
              </w:tabs>
              <w:ind w:left="-8" w:firstLine="8"/>
              <w:jc w:val="both"/>
              <w:rPr>
                <w:bCs/>
                <w:sz w:val="28"/>
                <w:szCs w:val="28"/>
              </w:rPr>
            </w:pPr>
            <w:r w:rsidRPr="002C234B">
              <w:rPr>
                <w:bCs/>
                <w:sz w:val="28"/>
                <w:szCs w:val="28"/>
              </w:rPr>
              <w:t>nozaru ministrijai – projekta uzdevumu izpildes saturisko atskaiti un citas atskaites, kas paredzētas projekta īstenošanas līgumā.</w:t>
            </w:r>
          </w:p>
          <w:p w14:paraId="23CE80CF" w14:textId="7E65EBE4" w:rsidR="00B17494" w:rsidRPr="00F71D2A" w:rsidRDefault="00B17494" w:rsidP="00F71D2A">
            <w:pPr>
              <w:spacing w:after="0" w:line="240" w:lineRule="auto"/>
              <w:jc w:val="both"/>
              <w:rPr>
                <w:rFonts w:ascii="Times New Roman" w:hAnsi="Times New Roman" w:cs="Times New Roman"/>
                <w:color w:val="000000" w:themeColor="text1"/>
                <w:sz w:val="28"/>
                <w:szCs w:val="28"/>
              </w:rPr>
            </w:pPr>
            <w:r w:rsidRPr="002C234B">
              <w:rPr>
                <w:rFonts w:ascii="Times New Roman" w:hAnsi="Times New Roman" w:cs="Times New Roman"/>
                <w:color w:val="000000" w:themeColor="text1"/>
                <w:sz w:val="28"/>
                <w:szCs w:val="28"/>
              </w:rPr>
              <w:t xml:space="preserve">Noteikumu projektā noteikts, ka </w:t>
            </w:r>
            <w:r w:rsidR="0010404F">
              <w:rPr>
                <w:rFonts w:ascii="Times New Roman" w:hAnsi="Times New Roman" w:cs="Times New Roman"/>
                <w:color w:val="000000" w:themeColor="text1"/>
                <w:sz w:val="28"/>
                <w:szCs w:val="28"/>
              </w:rPr>
              <w:t xml:space="preserve">projekta īstenošanas laikā </w:t>
            </w:r>
            <w:r w:rsidRPr="002C234B">
              <w:rPr>
                <w:rFonts w:ascii="Times New Roman" w:hAnsi="Times New Roman" w:cs="Times New Roman"/>
                <w:color w:val="000000" w:themeColor="text1"/>
                <w:sz w:val="28"/>
                <w:szCs w:val="28"/>
              </w:rPr>
              <w:t xml:space="preserve">eksperti saskaņā ar konkursa nolikumā ekspertīzes veikšanas metodiku izvērtē projekta </w:t>
            </w:r>
            <w:proofErr w:type="spellStart"/>
            <w:r w:rsidRPr="002C234B">
              <w:rPr>
                <w:rFonts w:ascii="Times New Roman" w:hAnsi="Times New Roman" w:cs="Times New Roman"/>
                <w:color w:val="000000" w:themeColor="text1"/>
                <w:sz w:val="28"/>
                <w:szCs w:val="28"/>
              </w:rPr>
              <w:t>vidusposma</w:t>
            </w:r>
            <w:proofErr w:type="spellEnd"/>
            <w:r w:rsidRPr="002C234B">
              <w:rPr>
                <w:rFonts w:ascii="Times New Roman" w:hAnsi="Times New Roman" w:cs="Times New Roman"/>
                <w:color w:val="000000" w:themeColor="text1"/>
                <w:sz w:val="28"/>
                <w:szCs w:val="28"/>
              </w:rPr>
              <w:t xml:space="preserve"> </w:t>
            </w:r>
            <w:r w:rsidRPr="00F71D2A">
              <w:rPr>
                <w:rFonts w:ascii="Times New Roman" w:hAnsi="Times New Roman" w:cs="Times New Roman"/>
                <w:color w:val="000000" w:themeColor="text1"/>
                <w:sz w:val="28"/>
                <w:szCs w:val="28"/>
              </w:rPr>
              <w:t xml:space="preserve">zinātnisko pārskatu vai projekta noslēguma zinātnisko pārskatu, aizpildot ekspertīzes veidlapu un ekspertīzes konsolidēto veidlapu, un </w:t>
            </w:r>
            <w:proofErr w:type="spellStart"/>
            <w:r w:rsidRPr="00F71D2A">
              <w:rPr>
                <w:rFonts w:ascii="Times New Roman" w:hAnsi="Times New Roman" w:cs="Times New Roman"/>
                <w:color w:val="000000" w:themeColor="text1"/>
                <w:sz w:val="28"/>
                <w:szCs w:val="28"/>
              </w:rPr>
              <w:t>nosūta</w:t>
            </w:r>
            <w:proofErr w:type="spellEnd"/>
            <w:r w:rsidRPr="00F71D2A">
              <w:rPr>
                <w:rFonts w:ascii="Times New Roman" w:hAnsi="Times New Roman" w:cs="Times New Roman"/>
                <w:color w:val="000000" w:themeColor="text1"/>
                <w:sz w:val="28"/>
                <w:szCs w:val="28"/>
              </w:rPr>
              <w:t xml:space="preserve"> padomei, izmantojot informācijas sistēmu</w:t>
            </w:r>
            <w:r w:rsidR="009A20C9" w:rsidRPr="00F71D2A">
              <w:rPr>
                <w:rFonts w:ascii="Times New Roman" w:hAnsi="Times New Roman" w:cs="Times New Roman"/>
                <w:color w:val="000000" w:themeColor="text1"/>
                <w:sz w:val="28"/>
                <w:szCs w:val="28"/>
              </w:rPr>
              <w:t>.</w:t>
            </w:r>
          </w:p>
          <w:p w14:paraId="0321777B" w14:textId="65952FC7" w:rsidR="0010404F" w:rsidRPr="00F71D2A" w:rsidRDefault="0010404F" w:rsidP="00F71D2A">
            <w:pPr>
              <w:spacing w:after="0" w:line="240" w:lineRule="auto"/>
              <w:jc w:val="both"/>
              <w:rPr>
                <w:rFonts w:ascii="Times New Roman" w:hAnsi="Times New Roman" w:cs="Times New Roman"/>
                <w:sz w:val="28"/>
                <w:szCs w:val="28"/>
              </w:rPr>
            </w:pPr>
            <w:r w:rsidRPr="00F71D2A">
              <w:rPr>
                <w:rFonts w:ascii="Times New Roman" w:hAnsi="Times New Roman" w:cs="Times New Roman"/>
                <w:color w:val="000000" w:themeColor="text1"/>
                <w:sz w:val="28"/>
                <w:szCs w:val="28"/>
              </w:rPr>
              <w:t xml:space="preserve">Ja ekspertu slēdziens </w:t>
            </w:r>
            <w:r w:rsidRPr="00F71D2A">
              <w:rPr>
                <w:rFonts w:ascii="Times New Roman" w:hAnsi="Times New Roman" w:cs="Times New Roman"/>
                <w:sz w:val="28"/>
                <w:szCs w:val="28"/>
              </w:rPr>
              <w:t xml:space="preserve">projekta </w:t>
            </w:r>
            <w:proofErr w:type="spellStart"/>
            <w:r w:rsidRPr="00F71D2A">
              <w:rPr>
                <w:rFonts w:ascii="Times New Roman" w:hAnsi="Times New Roman" w:cs="Times New Roman"/>
                <w:sz w:val="28"/>
                <w:szCs w:val="28"/>
              </w:rPr>
              <w:t>vidusposma</w:t>
            </w:r>
            <w:proofErr w:type="spellEnd"/>
            <w:r w:rsidRPr="00F71D2A">
              <w:rPr>
                <w:rFonts w:ascii="Times New Roman" w:hAnsi="Times New Roman" w:cs="Times New Roman"/>
                <w:sz w:val="28"/>
                <w:szCs w:val="28"/>
              </w:rPr>
              <w:t xml:space="preserve"> zinātniskā pārskata </w:t>
            </w:r>
            <w:r w:rsidRPr="00F71D2A">
              <w:rPr>
                <w:rFonts w:ascii="Times New Roman" w:hAnsi="Times New Roman" w:cs="Times New Roman"/>
                <w:sz w:val="28"/>
                <w:szCs w:val="28"/>
              </w:rPr>
              <w:t>ekspertīzes konsolidētajā</w:t>
            </w:r>
            <w:r w:rsidRPr="00F71D2A">
              <w:rPr>
                <w:rFonts w:ascii="Times New Roman" w:hAnsi="Times New Roman" w:cs="Times New Roman"/>
                <w:sz w:val="28"/>
                <w:szCs w:val="28"/>
              </w:rPr>
              <w:t xml:space="preserve"> </w:t>
            </w:r>
            <w:r w:rsidRPr="00F71D2A">
              <w:rPr>
                <w:rFonts w:ascii="Times New Roman" w:hAnsi="Times New Roman" w:cs="Times New Roman"/>
                <w:sz w:val="28"/>
                <w:szCs w:val="28"/>
              </w:rPr>
              <w:t>vērtējumā</w:t>
            </w:r>
            <w:r w:rsidRPr="00F71D2A">
              <w:rPr>
                <w:rFonts w:ascii="Times New Roman" w:hAnsi="Times New Roman" w:cs="Times New Roman"/>
                <w:sz w:val="28"/>
                <w:szCs w:val="28"/>
              </w:rPr>
              <w:t xml:space="preserve"> ir “Projektu neturpināt” vai projekta noslēguma zinātniskā pārskata ekspertīzes konsolidētais vērtējums ir “Projekta mērķis nav sasniegts” vai projekta rezultāti un saturiskās </w:t>
            </w:r>
            <w:r w:rsidRPr="00F71D2A">
              <w:rPr>
                <w:rFonts w:ascii="Times New Roman" w:hAnsi="Times New Roman" w:cs="Times New Roman"/>
                <w:sz w:val="28"/>
                <w:szCs w:val="28"/>
              </w:rPr>
              <w:lastRenderedPageBreak/>
              <w:t>atskaites par projekta rezultātiem neatbilst projekta līguma noteikumiem, komisija pieņem lēmumu</w:t>
            </w:r>
            <w:r w:rsidR="00127162" w:rsidRPr="00F71D2A">
              <w:rPr>
                <w:rFonts w:ascii="Times New Roman" w:hAnsi="Times New Roman" w:cs="Times New Roman"/>
                <w:sz w:val="28"/>
                <w:szCs w:val="28"/>
              </w:rPr>
              <w:t xml:space="preserve"> par projekta izbeigšanu un nepamatoti izlietotā piešķirtā finansējuma atgūšanu</w:t>
            </w:r>
            <w:r w:rsidRPr="00F71D2A">
              <w:rPr>
                <w:rFonts w:ascii="Times New Roman" w:hAnsi="Times New Roman" w:cs="Times New Roman"/>
                <w:sz w:val="28"/>
                <w:szCs w:val="28"/>
              </w:rPr>
              <w:t xml:space="preserve">. </w:t>
            </w:r>
            <w:r w:rsidR="00127162" w:rsidRPr="00F71D2A">
              <w:rPr>
                <w:rFonts w:ascii="Times New Roman" w:hAnsi="Times New Roman" w:cs="Times New Roman"/>
                <w:sz w:val="28"/>
                <w:szCs w:val="28"/>
              </w:rPr>
              <w:t xml:space="preserve">Administrācija, ievērojot minēto lēmumu, nodrošina </w:t>
            </w:r>
            <w:r w:rsidR="00127162" w:rsidRPr="00F71D2A">
              <w:rPr>
                <w:rFonts w:ascii="Times New Roman" w:hAnsi="Times New Roman" w:cs="Times New Roman"/>
                <w:sz w:val="28"/>
                <w:szCs w:val="28"/>
              </w:rPr>
              <w:t>nepamatoti izlietotā piešķirtā finansējuma atgūšanu.</w:t>
            </w:r>
            <w:r w:rsidR="00127162" w:rsidRPr="00F71D2A">
              <w:rPr>
                <w:rFonts w:ascii="Times New Roman" w:hAnsi="Times New Roman" w:cs="Times New Roman"/>
                <w:sz w:val="28"/>
                <w:szCs w:val="28"/>
              </w:rPr>
              <w:t xml:space="preserve"> Savukārt, ja ekspertu slēdziens ir pozitīvs, tas ir “Projekta mērķis ir sasniegts”, tad administrācija nodrošina, ka projekta finansēšanu atbilstoši projekta līgumam. </w:t>
            </w:r>
          </w:p>
          <w:p w14:paraId="591BC02E" w14:textId="10BE904D" w:rsidR="00127162" w:rsidRPr="00F71D2A" w:rsidRDefault="00127162" w:rsidP="00F71D2A">
            <w:pPr>
              <w:spacing w:after="0" w:line="240" w:lineRule="auto"/>
              <w:jc w:val="both"/>
              <w:rPr>
                <w:rFonts w:ascii="Times New Roman" w:hAnsi="Times New Roman" w:cs="Times New Roman"/>
                <w:sz w:val="28"/>
                <w:szCs w:val="28"/>
              </w:rPr>
            </w:pPr>
            <w:r w:rsidRPr="00F71D2A">
              <w:rPr>
                <w:rFonts w:ascii="Times New Roman" w:hAnsi="Times New Roman" w:cs="Times New Roman"/>
                <w:sz w:val="28"/>
                <w:szCs w:val="28"/>
              </w:rPr>
              <w:t xml:space="preserve">Arī administrācijai ir tiesības pieņemt </w:t>
            </w:r>
            <w:r w:rsidRPr="00F71D2A">
              <w:rPr>
                <w:rFonts w:ascii="Times New Roman" w:hAnsi="Times New Roman" w:cs="Times New Roman"/>
                <w:sz w:val="28"/>
                <w:szCs w:val="28"/>
              </w:rPr>
              <w:t>lēmumu par projekta izbeigšanu un nepamatoti izlietotā piešķirtā finansējuma atgūšanu</w:t>
            </w:r>
            <w:r w:rsidR="00F71D2A">
              <w:rPr>
                <w:rFonts w:ascii="Times New Roman" w:hAnsi="Times New Roman" w:cs="Times New Roman"/>
                <w:sz w:val="28"/>
                <w:szCs w:val="28"/>
              </w:rPr>
              <w:t>,</w:t>
            </w:r>
            <w:r w:rsidR="00F71D2A" w:rsidRPr="00F71D2A">
              <w:rPr>
                <w:rFonts w:ascii="Times New Roman" w:hAnsi="Times New Roman" w:cs="Times New Roman"/>
                <w:sz w:val="28"/>
                <w:szCs w:val="28"/>
              </w:rPr>
              <w:t xml:space="preserve"> </w:t>
            </w:r>
            <w:r w:rsidR="00F71D2A">
              <w:rPr>
                <w:rFonts w:ascii="Times New Roman" w:hAnsi="Times New Roman" w:cs="Times New Roman"/>
                <w:sz w:val="28"/>
                <w:szCs w:val="28"/>
              </w:rPr>
              <w:t>nodrošinot</w:t>
            </w:r>
            <w:r w:rsidR="00F71D2A" w:rsidRPr="00F71D2A">
              <w:rPr>
                <w:rFonts w:ascii="Times New Roman" w:hAnsi="Times New Roman" w:cs="Times New Roman"/>
                <w:sz w:val="28"/>
                <w:szCs w:val="28"/>
              </w:rPr>
              <w:t xml:space="preserve"> nepamatoti izlietotā piešķirtā finansējuma atgūšanu</w:t>
            </w:r>
            <w:r w:rsidRPr="00F71D2A">
              <w:rPr>
                <w:rFonts w:ascii="Times New Roman" w:hAnsi="Times New Roman" w:cs="Times New Roman"/>
                <w:sz w:val="28"/>
                <w:szCs w:val="28"/>
              </w:rPr>
              <w:t xml:space="preserve">, ja </w:t>
            </w:r>
            <w:r w:rsidRPr="00F71D2A">
              <w:rPr>
                <w:rFonts w:ascii="Times New Roman" w:hAnsi="Times New Roman" w:cs="Times New Roman"/>
                <w:sz w:val="28"/>
                <w:szCs w:val="28"/>
              </w:rPr>
              <w:t xml:space="preserve">administrācija konstatē, ka projekta īstenošanai piešķirtais finansējums izlietots neatbilstoši projekta finansējuma izlietojuma nosacījumiem vai uzdevumiem, kā arī konstatē </w:t>
            </w:r>
            <w:proofErr w:type="spellStart"/>
            <w:r w:rsidRPr="00F71D2A">
              <w:rPr>
                <w:rFonts w:ascii="Times New Roman" w:hAnsi="Times New Roman" w:cs="Times New Roman"/>
                <w:sz w:val="28"/>
                <w:szCs w:val="28"/>
              </w:rPr>
              <w:t>vidusposma</w:t>
            </w:r>
            <w:proofErr w:type="spellEnd"/>
            <w:r w:rsidRPr="00F71D2A">
              <w:rPr>
                <w:rFonts w:ascii="Times New Roman" w:hAnsi="Times New Roman" w:cs="Times New Roman"/>
                <w:sz w:val="28"/>
                <w:szCs w:val="28"/>
              </w:rPr>
              <w:t xml:space="preserve"> un noslēguma finanšu pārskata neatbilstības normatīvo aktu, konkursa nolikuma vai projekta </w:t>
            </w:r>
            <w:r w:rsidRPr="00F71D2A">
              <w:rPr>
                <w:rFonts w:ascii="Times New Roman" w:hAnsi="Times New Roman" w:cs="Times New Roman"/>
                <w:sz w:val="28"/>
                <w:szCs w:val="28"/>
              </w:rPr>
              <w:t xml:space="preserve">līguma nosacījumiem. </w:t>
            </w:r>
          </w:p>
          <w:p w14:paraId="27178FBA" w14:textId="79B28C9F" w:rsidR="0010404F" w:rsidRPr="00F71D2A" w:rsidRDefault="00F71D2A" w:rsidP="00F71D2A">
            <w:pPr>
              <w:spacing w:after="0" w:line="240" w:lineRule="auto"/>
              <w:jc w:val="both"/>
              <w:rPr>
                <w:rFonts w:ascii="Times New Roman" w:hAnsi="Times New Roman" w:cs="Times New Roman"/>
                <w:sz w:val="28"/>
                <w:szCs w:val="28"/>
              </w:rPr>
            </w:pPr>
            <w:r w:rsidRPr="00F71D2A">
              <w:rPr>
                <w:rFonts w:ascii="Times New Roman" w:hAnsi="Times New Roman" w:cs="Times New Roman"/>
                <w:sz w:val="28"/>
                <w:szCs w:val="28"/>
              </w:rPr>
              <w:t>Papildus minētajam</w:t>
            </w:r>
            <w:r>
              <w:rPr>
                <w:rFonts w:ascii="Times New Roman" w:hAnsi="Times New Roman" w:cs="Times New Roman"/>
                <w:sz w:val="28"/>
                <w:szCs w:val="28"/>
              </w:rPr>
              <w:t>,</w:t>
            </w:r>
            <w:r w:rsidRPr="00F71D2A">
              <w:rPr>
                <w:rFonts w:ascii="Times New Roman" w:hAnsi="Times New Roman" w:cs="Times New Roman"/>
                <w:sz w:val="28"/>
                <w:szCs w:val="28"/>
              </w:rPr>
              <w:t xml:space="preserve"> noteikumu projekts paredz, administrācijai tiesības apturēt finansējuma piešķiršanu, ja </w:t>
            </w:r>
            <w:r w:rsidR="00127162" w:rsidRPr="00F71D2A">
              <w:rPr>
                <w:rFonts w:ascii="Times New Roman" w:hAnsi="Times New Roman" w:cs="Times New Roman"/>
                <w:sz w:val="28"/>
                <w:szCs w:val="28"/>
              </w:rPr>
              <w:t>zinātniskā institūcija</w:t>
            </w:r>
            <w:r w:rsidR="00127162" w:rsidRPr="00F71D2A">
              <w:rPr>
                <w:rFonts w:ascii="Times New Roman" w:hAnsi="Times New Roman" w:cs="Times New Roman"/>
                <w:sz w:val="28"/>
                <w:szCs w:val="28"/>
              </w:rPr>
              <w:t xml:space="preserve"> nesniedz finanšu (posma, </w:t>
            </w:r>
            <w:proofErr w:type="spellStart"/>
            <w:r w:rsidR="00127162" w:rsidRPr="00F71D2A">
              <w:rPr>
                <w:rFonts w:ascii="Times New Roman" w:hAnsi="Times New Roman" w:cs="Times New Roman"/>
                <w:sz w:val="28"/>
                <w:szCs w:val="28"/>
              </w:rPr>
              <w:t>vidusposma</w:t>
            </w:r>
            <w:proofErr w:type="spellEnd"/>
            <w:r w:rsidR="00127162" w:rsidRPr="00F71D2A">
              <w:rPr>
                <w:rFonts w:ascii="Times New Roman" w:hAnsi="Times New Roman" w:cs="Times New Roman"/>
                <w:sz w:val="28"/>
                <w:szCs w:val="28"/>
              </w:rPr>
              <w:t xml:space="preserve"> vai noslēguma) pārskatus, </w:t>
            </w:r>
            <w:r w:rsidR="00127162" w:rsidRPr="00F71D2A">
              <w:rPr>
                <w:rFonts w:ascii="Times New Roman" w:hAnsi="Times New Roman" w:cs="Times New Roman"/>
                <w:sz w:val="28"/>
                <w:szCs w:val="28"/>
              </w:rPr>
              <w:t>kā arī</w:t>
            </w:r>
            <w:r w:rsidRPr="00F71D2A">
              <w:rPr>
                <w:rFonts w:ascii="Times New Roman" w:hAnsi="Times New Roman" w:cs="Times New Roman"/>
                <w:sz w:val="28"/>
                <w:szCs w:val="28"/>
              </w:rPr>
              <w:t>,</w:t>
            </w:r>
            <w:r w:rsidR="00127162" w:rsidRPr="00F71D2A">
              <w:rPr>
                <w:rFonts w:ascii="Times New Roman" w:hAnsi="Times New Roman" w:cs="Times New Roman"/>
                <w:sz w:val="28"/>
                <w:szCs w:val="28"/>
              </w:rPr>
              <w:t xml:space="preserve"> ja zinātniskā institūcija nepilda jebkuras citas projekta </w:t>
            </w:r>
            <w:r w:rsidR="00127162" w:rsidRPr="00F71D2A">
              <w:rPr>
                <w:rFonts w:ascii="Times New Roman" w:hAnsi="Times New Roman" w:cs="Times New Roman"/>
                <w:sz w:val="28"/>
                <w:szCs w:val="28"/>
              </w:rPr>
              <w:t xml:space="preserve">līgumā noteiktās saistības. </w:t>
            </w:r>
          </w:p>
          <w:p w14:paraId="23CE80D0" w14:textId="14D65C89" w:rsidR="0053481E" w:rsidRPr="002C234B" w:rsidRDefault="001F5209" w:rsidP="001F5209">
            <w:pPr>
              <w:spacing w:after="0" w:line="240" w:lineRule="auto"/>
              <w:jc w:val="both"/>
              <w:rPr>
                <w:rFonts w:ascii="Times New Roman" w:eastAsia="Times New Roman" w:hAnsi="Times New Roman" w:cs="Times New Roman"/>
                <w:bCs/>
                <w:sz w:val="28"/>
                <w:szCs w:val="28"/>
                <w:lang w:eastAsia="lv-LV"/>
              </w:rPr>
            </w:pPr>
            <w:r w:rsidRPr="002C234B">
              <w:rPr>
                <w:rFonts w:ascii="Times New Roman" w:hAnsi="Times New Roman" w:cs="Times New Roman"/>
                <w:color w:val="000000" w:themeColor="text1"/>
                <w:sz w:val="28"/>
                <w:szCs w:val="28"/>
              </w:rPr>
              <w:t xml:space="preserve">Pamatojoties uz attiecīgajā gadā un programmā saņemtajiem projektu </w:t>
            </w:r>
            <w:proofErr w:type="spellStart"/>
            <w:r w:rsidRPr="002C234B">
              <w:rPr>
                <w:rFonts w:ascii="Times New Roman" w:hAnsi="Times New Roman" w:cs="Times New Roman"/>
                <w:color w:val="000000" w:themeColor="text1"/>
                <w:sz w:val="28"/>
                <w:szCs w:val="28"/>
              </w:rPr>
              <w:t>vidusposma</w:t>
            </w:r>
            <w:proofErr w:type="spellEnd"/>
            <w:r w:rsidRPr="002C234B">
              <w:rPr>
                <w:rFonts w:ascii="Times New Roman" w:hAnsi="Times New Roman" w:cs="Times New Roman"/>
                <w:color w:val="000000" w:themeColor="text1"/>
                <w:sz w:val="28"/>
                <w:szCs w:val="28"/>
              </w:rPr>
              <w:t xml:space="preserve"> zinātniskajiem pārskatiem un projektu noslēguma</w:t>
            </w:r>
            <w:r w:rsidRPr="002C234B" w:rsidDel="009F736D">
              <w:rPr>
                <w:rFonts w:ascii="Times New Roman" w:hAnsi="Times New Roman" w:cs="Times New Roman"/>
                <w:color w:val="000000" w:themeColor="text1"/>
                <w:sz w:val="28"/>
                <w:szCs w:val="28"/>
              </w:rPr>
              <w:t xml:space="preserve"> </w:t>
            </w:r>
            <w:r w:rsidRPr="002C234B">
              <w:rPr>
                <w:rFonts w:ascii="Times New Roman" w:hAnsi="Times New Roman" w:cs="Times New Roman"/>
                <w:color w:val="000000" w:themeColor="text1"/>
                <w:sz w:val="28"/>
                <w:szCs w:val="28"/>
              </w:rPr>
              <w:t xml:space="preserve">zinātniskajiem pārskatiem, padome sagatavo ikgadēju ziņojumu par programmas īstenošanu, ievērojot konkursa nolikumā noteikto par šāda ziņojuma saturu. Minēto ziņojumu padome publicē savā mājaslapā un, izmantojot informācijas sistēmu, </w:t>
            </w:r>
            <w:proofErr w:type="spellStart"/>
            <w:r w:rsidRPr="002C234B">
              <w:rPr>
                <w:rFonts w:ascii="Times New Roman" w:hAnsi="Times New Roman" w:cs="Times New Roman"/>
                <w:color w:val="000000" w:themeColor="text1"/>
                <w:sz w:val="28"/>
                <w:szCs w:val="28"/>
              </w:rPr>
              <w:t>nosūta</w:t>
            </w:r>
            <w:proofErr w:type="spellEnd"/>
            <w:r w:rsidRPr="002C234B">
              <w:rPr>
                <w:rFonts w:ascii="Times New Roman" w:hAnsi="Times New Roman" w:cs="Times New Roman"/>
                <w:color w:val="000000" w:themeColor="text1"/>
                <w:sz w:val="28"/>
                <w:szCs w:val="28"/>
              </w:rPr>
              <w:t xml:space="preserve"> to ministrijai publicēšanai tās mājaslapā.</w:t>
            </w:r>
          </w:p>
          <w:p w14:paraId="23CE80D1" w14:textId="77777777" w:rsidR="002B7F11" w:rsidRPr="002C234B" w:rsidRDefault="0053481E" w:rsidP="00803BA2">
            <w:pPr>
              <w:spacing w:after="0" w:line="240" w:lineRule="auto"/>
              <w:jc w:val="both"/>
              <w:rPr>
                <w:rFonts w:ascii="Times New Roman" w:eastAsia="Times New Roman" w:hAnsi="Times New Roman" w:cs="Times New Roman"/>
                <w:bCs/>
                <w:sz w:val="28"/>
                <w:szCs w:val="28"/>
                <w:lang w:eastAsia="lv-LV"/>
              </w:rPr>
            </w:pPr>
            <w:r w:rsidRPr="002C234B">
              <w:rPr>
                <w:rFonts w:ascii="Times New Roman" w:eastAsia="Times New Roman" w:hAnsi="Times New Roman" w:cs="Times New Roman"/>
                <w:bCs/>
                <w:sz w:val="28"/>
                <w:szCs w:val="28"/>
                <w:lang w:eastAsia="lv-LV"/>
              </w:rPr>
              <w:t xml:space="preserve">Ar noteikumu projektu ir noteikts, ka </w:t>
            </w:r>
            <w:r w:rsidR="002B7F11" w:rsidRPr="002C234B">
              <w:rPr>
                <w:rFonts w:ascii="Times New Roman" w:hAnsi="Times New Roman" w:cs="Times New Roman"/>
                <w:sz w:val="28"/>
                <w:szCs w:val="28"/>
              </w:rPr>
              <w:t xml:space="preserve">administrācija projekta izpildes gaitā tās īstenošanas vietās pārbauda projekta īstenošanai piešķirto finanšu līdzekļu izlietojumu, uzrauga rezultātu izpildi, kā arī kontrolē  izmaksu efektivitāti. Administrācija veic arī papildu pārbaudi projekta izpildes gaitā, pamatojoties uz komisijas argumentētu ierosinājumu. Administrācijai, </w:t>
            </w:r>
            <w:r w:rsidR="002B7F11" w:rsidRPr="002C234B">
              <w:rPr>
                <w:rFonts w:ascii="Times New Roman" w:eastAsia="Times New Roman" w:hAnsi="Times New Roman" w:cs="Times New Roman"/>
                <w:bCs/>
                <w:sz w:val="28"/>
                <w:szCs w:val="28"/>
                <w:lang w:eastAsia="lv-LV"/>
              </w:rPr>
              <w:t>saskaņojot ar komisiju, ir tiesības pieprasīt zinātniskajai institūcijai daļēji vai pilnībā segt projekta ietvaros saņemto valsts budžeta finansējumu, ja tie ir nepamatoti izlietoti.</w:t>
            </w:r>
          </w:p>
          <w:p w14:paraId="5D33FA92" w14:textId="71131A27" w:rsidR="00F71D2A" w:rsidRPr="00E75A89" w:rsidRDefault="002B7F11" w:rsidP="00F71D2A">
            <w:pPr>
              <w:pStyle w:val="Title"/>
              <w:jc w:val="both"/>
              <w:outlineLvl w:val="0"/>
              <w:rPr>
                <w:szCs w:val="28"/>
              </w:rPr>
            </w:pPr>
            <w:r w:rsidRPr="002C234B">
              <w:rPr>
                <w:szCs w:val="28"/>
              </w:rPr>
              <w:lastRenderedPageBreak/>
              <w:t>Noteikumu projekts nosaka, ka pabeidzot projekta  īstenošanu, administrācija</w:t>
            </w:r>
            <w:r w:rsidR="00F71D2A">
              <w:rPr>
                <w:szCs w:val="28"/>
              </w:rPr>
              <w:t xml:space="preserve"> sagatavo un</w:t>
            </w:r>
            <w:r w:rsidRPr="002C234B">
              <w:rPr>
                <w:szCs w:val="28"/>
              </w:rPr>
              <w:t xml:space="preserve"> iesniedz komisijai </w:t>
            </w:r>
            <w:r w:rsidR="00F71D2A">
              <w:rPr>
                <w:szCs w:val="28"/>
              </w:rPr>
              <w:t xml:space="preserve">projekta noslēguma </w:t>
            </w:r>
            <w:r w:rsidRPr="002C234B">
              <w:rPr>
                <w:szCs w:val="28"/>
              </w:rPr>
              <w:t>atzinumu</w:t>
            </w:r>
            <w:r w:rsidR="00F71D2A">
              <w:rPr>
                <w:szCs w:val="28"/>
              </w:rPr>
              <w:t>, kas satur izvērstu pamatojošu informāciju</w:t>
            </w:r>
            <w:r w:rsidRPr="002C234B">
              <w:rPr>
                <w:szCs w:val="28"/>
              </w:rPr>
              <w:t xml:space="preserve"> par </w:t>
            </w:r>
            <w:r w:rsidR="00F71D2A">
              <w:rPr>
                <w:szCs w:val="28"/>
              </w:rPr>
              <w:t>projekta</w:t>
            </w:r>
            <w:r w:rsidR="00F71D2A" w:rsidRPr="00E75A89">
              <w:rPr>
                <w:szCs w:val="28"/>
              </w:rPr>
              <w:t xml:space="preserve"> īstenošanai piešķirto finanšu līdzekļu izlietojuma atbilstību projekta līgumā noteiktajam mērķim, uzdevumiem un īstenošanas </w:t>
            </w:r>
            <w:r w:rsidR="00F71D2A">
              <w:rPr>
                <w:szCs w:val="28"/>
              </w:rPr>
              <w:t xml:space="preserve">termiņiem, kā arī </w:t>
            </w:r>
            <w:r w:rsidR="00F71D2A" w:rsidRPr="00E75A89">
              <w:rPr>
                <w:szCs w:val="28"/>
              </w:rPr>
              <w:t>projektā plānotajiem rezultātiem un sasniegtajiem rezultātiem.</w:t>
            </w:r>
            <w:bookmarkStart w:id="1" w:name="p10"/>
            <w:bookmarkStart w:id="2" w:name="p-533592"/>
            <w:bookmarkEnd w:id="1"/>
            <w:bookmarkEnd w:id="2"/>
          </w:p>
          <w:p w14:paraId="38F30019" w14:textId="77777777" w:rsidR="001E1411" w:rsidRDefault="00F71D2A" w:rsidP="00F71D2A">
            <w:pPr>
              <w:pStyle w:val="Title"/>
              <w:jc w:val="both"/>
              <w:outlineLvl w:val="0"/>
              <w:rPr>
                <w:szCs w:val="28"/>
              </w:rPr>
            </w:pPr>
            <w:r>
              <w:rPr>
                <w:rFonts w:eastAsiaTheme="minorHAnsi"/>
                <w:szCs w:val="28"/>
              </w:rPr>
              <w:t xml:space="preserve">Noteikumu projekts nosaka, ka </w:t>
            </w:r>
            <w:r>
              <w:rPr>
                <w:szCs w:val="28"/>
              </w:rPr>
              <w:t>a</w:t>
            </w:r>
            <w:r w:rsidRPr="00E75A89">
              <w:rPr>
                <w:szCs w:val="28"/>
              </w:rPr>
              <w:t>dministrācija veic projekta īstenošanai piešķirto finanšu līdzekļu izlietojuma un izmaksu efektivitātes kontroli.</w:t>
            </w:r>
            <w:r>
              <w:rPr>
                <w:szCs w:val="28"/>
              </w:rPr>
              <w:t xml:space="preserve"> Lai to īstenotu a</w:t>
            </w:r>
            <w:r w:rsidRPr="00E75A89">
              <w:rPr>
                <w:szCs w:val="28"/>
              </w:rPr>
              <w:t>dministrācija projekta izpildes gaitā</w:t>
            </w:r>
            <w:r>
              <w:rPr>
                <w:szCs w:val="28"/>
              </w:rPr>
              <w:t xml:space="preserve"> un</w:t>
            </w:r>
            <w:r w:rsidRPr="00E75A89">
              <w:rPr>
                <w:szCs w:val="28"/>
              </w:rPr>
              <w:t xml:space="preserve"> </w:t>
            </w:r>
            <w:r>
              <w:rPr>
                <w:szCs w:val="28"/>
              </w:rPr>
              <w:t>projekta</w:t>
            </w:r>
            <w:r w:rsidRPr="00E75A89">
              <w:rPr>
                <w:szCs w:val="28"/>
              </w:rPr>
              <w:t xml:space="preserve"> īstenošanas vietās pārbauda projekta īstenošanai piešķirto finanšu līdzekļu izlietojumu, </w:t>
            </w:r>
            <w:r w:rsidRPr="00B1483F">
              <w:t xml:space="preserve">uzrauga </w:t>
            </w:r>
            <w:r w:rsidRPr="00E75A89">
              <w:t>līguma izpildi</w:t>
            </w:r>
            <w:r w:rsidRPr="00E75A89">
              <w:rPr>
                <w:szCs w:val="28"/>
              </w:rPr>
              <w:t xml:space="preserve">, kā arī kontrolē projekta izmaksu efektivitāti. Administrācija veic arī papildu pārbaudi projekta izpildes gaitā, pamatojoties uz komisijas argumentētu ierosinājumu. Minētās papildu pārbaudes norises kārtību izstrādā un apstiprina administrācija, saskaņojot ar komisiju. </w:t>
            </w:r>
          </w:p>
          <w:p w14:paraId="086C51D0" w14:textId="7E1A94F6" w:rsidR="00F71D2A" w:rsidRPr="00E75A89" w:rsidRDefault="00F71D2A" w:rsidP="00F71D2A">
            <w:pPr>
              <w:pStyle w:val="Title"/>
              <w:jc w:val="both"/>
              <w:outlineLvl w:val="0"/>
              <w:rPr>
                <w:szCs w:val="28"/>
              </w:rPr>
            </w:pPr>
            <w:r w:rsidRPr="00E75A89">
              <w:rPr>
                <w:szCs w:val="28"/>
              </w:rPr>
              <w:t xml:space="preserve">Zinātniskās institūcijas vadītājs </w:t>
            </w:r>
            <w:r w:rsidR="001E1411">
              <w:rPr>
                <w:szCs w:val="28"/>
              </w:rPr>
              <w:t>nodrošina administrācijai</w:t>
            </w:r>
            <w:r w:rsidRPr="00E75A89">
              <w:rPr>
                <w:szCs w:val="28"/>
              </w:rPr>
              <w:t xml:space="preserve"> netraucētu piekļuvi visai ar projekta īstenošanu saistītajai dokumentācijai, projekta izpildes gaitā iegūtajiem rezultātiem (nodevumiem) un rezultātu sasniegšanu apliecinošajiem dokumentiem (tai skaitā dokumentācijai, kura apliecina publisko iepirkumu procedūras veikšanu atbilstoši normatīvajiem aktiem par publisko iepirkumu).</w:t>
            </w:r>
          </w:p>
          <w:p w14:paraId="261E9095" w14:textId="77777777" w:rsidR="0089308D" w:rsidRDefault="001E1411" w:rsidP="0089308D">
            <w:pPr>
              <w:pStyle w:val="Title"/>
              <w:jc w:val="both"/>
              <w:outlineLvl w:val="0"/>
            </w:pPr>
            <w:r>
              <w:rPr>
                <w:szCs w:val="28"/>
              </w:rPr>
              <w:t>Noteikumu projekts paredz tiesības</w:t>
            </w:r>
            <w:r w:rsidR="00F71D2A" w:rsidRPr="00E75A89">
              <w:t>, nozares ministrija</w:t>
            </w:r>
            <w:r>
              <w:t>i, ja</w:t>
            </w:r>
            <w:r w:rsidR="00F71D2A" w:rsidRPr="00E75A89">
              <w:t xml:space="preserve"> </w:t>
            </w:r>
            <w:r>
              <w:t xml:space="preserve">tas </w:t>
            </w:r>
            <w:r w:rsidRPr="00E75A89">
              <w:t>nepieciešams</w:t>
            </w:r>
            <w:r>
              <w:t>,</w:t>
            </w:r>
            <w:r w:rsidRPr="00E75A89">
              <w:t xml:space="preserve"> </w:t>
            </w:r>
            <w:r w:rsidR="00F71D2A" w:rsidRPr="00E75A89">
              <w:t xml:space="preserve">piesaistīt iekšējos vai ārējos auditorus, lai novērtētu </w:t>
            </w:r>
            <w:r>
              <w:t>zinātniskās institūcijas</w:t>
            </w:r>
            <w:r w:rsidR="00F71D2A" w:rsidRPr="00E75A89">
              <w:t xml:space="preserve"> ieviestās kontroles procedūras un faktiski veiktās darbības, kas īstenotas, lai nodrošinātu finanšu līdzekļu izlietojuma atbilstību programmas mērķim, uzdevumiem un sasniedzamajiem rādītājiem.</w:t>
            </w:r>
          </w:p>
          <w:p w14:paraId="0D3C83F0" w14:textId="6BEFDEDE" w:rsidR="0089308D" w:rsidRPr="00E75A89" w:rsidRDefault="0099231A" w:rsidP="0099231A">
            <w:pPr>
              <w:pStyle w:val="Title"/>
              <w:jc w:val="both"/>
              <w:outlineLvl w:val="0"/>
              <w:rPr>
                <w:szCs w:val="28"/>
              </w:rPr>
            </w:pPr>
            <w:r>
              <w:rPr>
                <w:szCs w:val="28"/>
              </w:rPr>
              <w:t xml:space="preserve">Administrācija, izpildot komisijas sekretariāta funkcijas, </w:t>
            </w:r>
            <w:r w:rsidRPr="00DC39B5">
              <w:rPr>
                <w:szCs w:val="28"/>
              </w:rPr>
              <w:t>mēneša laikā no administrācijas atzinuma iesniegšanas dienas komisijā</w:t>
            </w:r>
            <w:r>
              <w:rPr>
                <w:szCs w:val="28"/>
              </w:rPr>
              <w:t>,</w:t>
            </w:r>
            <w:r w:rsidRPr="00DC39B5">
              <w:rPr>
                <w:szCs w:val="28"/>
              </w:rPr>
              <w:t xml:space="preserve"> sagatavo un iesniedz saskaņošanai komisijai un apstiprināšanai nozares ministrijai ziņojumu par finansētā projekta īstenošanas gaitā plānoto un sasniegto rezultātu atbilstību programmas mērķim un uzdevumiem. Minēto ziņojumu nozares ministrija un administrācija publicē savā mājaslapā, trīs darbadienu laikā no tā apstiprināšanas dienas.</w:t>
            </w:r>
          </w:p>
          <w:p w14:paraId="29859B52" w14:textId="77777777" w:rsidR="0089308D" w:rsidRDefault="0089308D" w:rsidP="00DA2188">
            <w:pPr>
              <w:spacing w:after="0" w:line="240" w:lineRule="auto"/>
              <w:jc w:val="both"/>
              <w:rPr>
                <w:rFonts w:ascii="Times New Roman" w:hAnsi="Times New Roman" w:cs="Times New Roman"/>
                <w:sz w:val="28"/>
                <w:szCs w:val="28"/>
              </w:rPr>
            </w:pPr>
          </w:p>
          <w:p w14:paraId="05A463CC" w14:textId="77777777" w:rsidR="0089308D" w:rsidRDefault="0089308D" w:rsidP="00DA2188">
            <w:pPr>
              <w:spacing w:after="0" w:line="240" w:lineRule="auto"/>
              <w:jc w:val="both"/>
              <w:rPr>
                <w:rFonts w:ascii="Times New Roman" w:hAnsi="Times New Roman" w:cs="Times New Roman"/>
                <w:sz w:val="28"/>
                <w:szCs w:val="28"/>
              </w:rPr>
            </w:pPr>
          </w:p>
          <w:p w14:paraId="23CE80D2" w14:textId="44DC2906" w:rsidR="0089308D" w:rsidRPr="002C234B" w:rsidRDefault="0089308D" w:rsidP="00DA2188">
            <w:pPr>
              <w:spacing w:after="0" w:line="240" w:lineRule="auto"/>
              <w:jc w:val="both"/>
              <w:rPr>
                <w:rFonts w:ascii="Times New Roman" w:hAnsi="Times New Roman" w:cs="Times New Roman"/>
                <w:sz w:val="28"/>
                <w:szCs w:val="28"/>
              </w:rPr>
            </w:pPr>
          </w:p>
        </w:tc>
      </w:tr>
      <w:tr w:rsidR="00E5323B" w:rsidRPr="002C234B" w14:paraId="23CE80D7" w14:textId="77777777" w:rsidTr="00B57259">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23CE80D4" w14:textId="488D0EE4"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3.</w:t>
            </w:r>
          </w:p>
        </w:tc>
        <w:tc>
          <w:tcPr>
            <w:tcW w:w="1263" w:type="pct"/>
            <w:tcBorders>
              <w:top w:val="outset" w:sz="6" w:space="0" w:color="auto"/>
              <w:left w:val="outset" w:sz="6" w:space="0" w:color="auto"/>
              <w:bottom w:val="outset" w:sz="6" w:space="0" w:color="auto"/>
              <w:right w:val="outset" w:sz="6" w:space="0" w:color="auto"/>
            </w:tcBorders>
            <w:hideMark/>
          </w:tcPr>
          <w:p w14:paraId="23CE80D5"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Projekta izstrādē iesaistītās institūcijas un publiskas personas kapitālsabiedrības</w:t>
            </w:r>
          </w:p>
        </w:tc>
        <w:tc>
          <w:tcPr>
            <w:tcW w:w="3388" w:type="pct"/>
            <w:tcBorders>
              <w:top w:val="outset" w:sz="6" w:space="0" w:color="auto"/>
              <w:left w:val="outset" w:sz="6" w:space="0" w:color="auto"/>
              <w:bottom w:val="outset" w:sz="6" w:space="0" w:color="auto"/>
              <w:right w:val="outset" w:sz="6" w:space="0" w:color="auto"/>
            </w:tcBorders>
            <w:hideMark/>
          </w:tcPr>
          <w:p w14:paraId="23CE80D6" w14:textId="5A7D0BD9" w:rsidR="00E5323B" w:rsidRPr="002C234B" w:rsidRDefault="00A11468" w:rsidP="00A11468">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Izglītības un zinātnes ministrija</w:t>
            </w:r>
            <w:r w:rsidR="009A20C9" w:rsidRPr="002C234B">
              <w:rPr>
                <w:rFonts w:ascii="Times New Roman" w:eastAsia="Times New Roman" w:hAnsi="Times New Roman" w:cs="Times New Roman"/>
                <w:iCs/>
                <w:sz w:val="28"/>
                <w:szCs w:val="28"/>
                <w:lang w:eastAsia="lv-LV"/>
              </w:rPr>
              <w:t>,</w:t>
            </w:r>
            <w:r w:rsidR="00721C4E" w:rsidRPr="002C234B">
              <w:rPr>
                <w:rFonts w:ascii="Times New Roman" w:eastAsia="Times New Roman" w:hAnsi="Times New Roman" w:cs="Times New Roman"/>
                <w:iCs/>
                <w:sz w:val="28"/>
                <w:szCs w:val="28"/>
                <w:lang w:eastAsia="lv-LV"/>
              </w:rPr>
              <w:t xml:space="preserve"> Ekonomikas ministrija,</w:t>
            </w:r>
            <w:r w:rsidR="009A20C9" w:rsidRPr="002C234B">
              <w:rPr>
                <w:rFonts w:ascii="Times New Roman" w:eastAsia="Times New Roman" w:hAnsi="Times New Roman" w:cs="Times New Roman"/>
                <w:iCs/>
                <w:sz w:val="28"/>
                <w:szCs w:val="28"/>
                <w:lang w:eastAsia="lv-LV"/>
              </w:rPr>
              <w:t xml:space="preserve"> Latvijas Zinātnes padome.</w:t>
            </w:r>
          </w:p>
        </w:tc>
      </w:tr>
      <w:tr w:rsidR="00E5323B" w:rsidRPr="002C234B" w14:paraId="23CE80DB" w14:textId="77777777" w:rsidTr="00B57259">
        <w:trPr>
          <w:tblCellSpacing w:w="15" w:type="dxa"/>
        </w:trPr>
        <w:tc>
          <w:tcPr>
            <w:tcW w:w="285" w:type="pct"/>
            <w:tcBorders>
              <w:top w:val="outset" w:sz="6" w:space="0" w:color="auto"/>
              <w:left w:val="outset" w:sz="6" w:space="0" w:color="auto"/>
              <w:bottom w:val="outset" w:sz="6" w:space="0" w:color="auto"/>
              <w:right w:val="outset" w:sz="6" w:space="0" w:color="auto"/>
            </w:tcBorders>
            <w:hideMark/>
          </w:tcPr>
          <w:p w14:paraId="23CE80D8"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4.</w:t>
            </w:r>
          </w:p>
        </w:tc>
        <w:tc>
          <w:tcPr>
            <w:tcW w:w="1263" w:type="pct"/>
            <w:tcBorders>
              <w:top w:val="outset" w:sz="6" w:space="0" w:color="auto"/>
              <w:left w:val="outset" w:sz="6" w:space="0" w:color="auto"/>
              <w:bottom w:val="outset" w:sz="6" w:space="0" w:color="auto"/>
              <w:right w:val="outset" w:sz="6" w:space="0" w:color="auto"/>
            </w:tcBorders>
            <w:hideMark/>
          </w:tcPr>
          <w:p w14:paraId="23CE80D9"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388" w:type="pct"/>
            <w:tcBorders>
              <w:top w:val="outset" w:sz="6" w:space="0" w:color="auto"/>
              <w:left w:val="outset" w:sz="6" w:space="0" w:color="auto"/>
              <w:bottom w:val="outset" w:sz="6" w:space="0" w:color="auto"/>
              <w:right w:val="outset" w:sz="6" w:space="0" w:color="auto"/>
            </w:tcBorders>
            <w:hideMark/>
          </w:tcPr>
          <w:p w14:paraId="23CE80DA" w14:textId="77777777" w:rsidR="00E5323B" w:rsidRPr="002C234B" w:rsidRDefault="00DA218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0DC"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318"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3030"/>
        <w:gridCol w:w="6026"/>
      </w:tblGrid>
      <w:tr w:rsidR="00C32D14" w:rsidRPr="002C234B" w14:paraId="23CE80DE" w14:textId="77777777" w:rsidTr="002C234B">
        <w:trPr>
          <w:tblCellSpacing w:w="15" w:type="dxa"/>
        </w:trPr>
        <w:tc>
          <w:tcPr>
            <w:tcW w:w="4969" w:type="pct"/>
            <w:gridSpan w:val="3"/>
            <w:tcBorders>
              <w:top w:val="outset" w:sz="6" w:space="0" w:color="auto"/>
              <w:left w:val="outset" w:sz="6" w:space="0" w:color="auto"/>
              <w:bottom w:val="outset" w:sz="6" w:space="0" w:color="auto"/>
              <w:right w:val="outset" w:sz="6" w:space="0" w:color="auto"/>
            </w:tcBorders>
            <w:vAlign w:val="center"/>
            <w:hideMark/>
          </w:tcPr>
          <w:p w14:paraId="23CE80DD"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II. Tiesību akta projekta ietekme uz sabiedrību, tautsaimniecības attīstību un administratīvo slogu</w:t>
            </w:r>
          </w:p>
        </w:tc>
      </w:tr>
      <w:tr w:rsidR="00C32D14" w:rsidRPr="002C234B" w14:paraId="23CE80E2" w14:textId="77777777" w:rsidTr="002C234B">
        <w:trPr>
          <w:tblCellSpacing w:w="15" w:type="dxa"/>
        </w:trPr>
        <w:tc>
          <w:tcPr>
            <w:tcW w:w="277" w:type="pct"/>
            <w:tcBorders>
              <w:top w:val="outset" w:sz="6" w:space="0" w:color="auto"/>
              <w:left w:val="outset" w:sz="6" w:space="0" w:color="auto"/>
              <w:bottom w:val="outset" w:sz="6" w:space="0" w:color="auto"/>
              <w:right w:val="outset" w:sz="6" w:space="0" w:color="auto"/>
            </w:tcBorders>
            <w:hideMark/>
          </w:tcPr>
          <w:p w14:paraId="23CE80DF"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567" w:type="pct"/>
            <w:tcBorders>
              <w:top w:val="outset" w:sz="6" w:space="0" w:color="auto"/>
              <w:left w:val="outset" w:sz="6" w:space="0" w:color="auto"/>
              <w:bottom w:val="outset" w:sz="6" w:space="0" w:color="auto"/>
              <w:right w:val="outset" w:sz="6" w:space="0" w:color="auto"/>
            </w:tcBorders>
            <w:hideMark/>
          </w:tcPr>
          <w:p w14:paraId="23CE80E0"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Sabiedrības </w:t>
            </w:r>
            <w:proofErr w:type="spellStart"/>
            <w:r w:rsidRPr="002C234B">
              <w:rPr>
                <w:rFonts w:ascii="Times New Roman" w:eastAsia="Times New Roman" w:hAnsi="Times New Roman" w:cs="Times New Roman"/>
                <w:iCs/>
                <w:sz w:val="28"/>
                <w:szCs w:val="28"/>
                <w:lang w:eastAsia="lv-LV"/>
              </w:rPr>
              <w:t>mērķgrupas</w:t>
            </w:r>
            <w:proofErr w:type="spellEnd"/>
            <w:r w:rsidRPr="002C234B">
              <w:rPr>
                <w:rFonts w:ascii="Times New Roman" w:eastAsia="Times New Roman" w:hAnsi="Times New Roman" w:cs="Times New Roman"/>
                <w:iCs/>
                <w:sz w:val="28"/>
                <w:szCs w:val="28"/>
                <w:lang w:eastAsia="lv-LV"/>
              </w:rPr>
              <w:t>, kuras tiesiskais regulējums ietekmē vai varētu ietekmēt</w:t>
            </w:r>
          </w:p>
        </w:tc>
        <w:tc>
          <w:tcPr>
            <w:tcW w:w="3094" w:type="pct"/>
            <w:tcBorders>
              <w:top w:val="outset" w:sz="6" w:space="0" w:color="auto"/>
              <w:left w:val="outset" w:sz="6" w:space="0" w:color="auto"/>
              <w:bottom w:val="outset" w:sz="6" w:space="0" w:color="auto"/>
              <w:right w:val="outset" w:sz="6" w:space="0" w:color="auto"/>
            </w:tcBorders>
            <w:hideMark/>
          </w:tcPr>
          <w:p w14:paraId="23CE80E1" w14:textId="77777777" w:rsidR="00E5323B" w:rsidRPr="002C234B" w:rsidRDefault="006D3FB8" w:rsidP="006D3FB8">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Zinātniskās institūcijas, tajā skaitā augstskolas, un tajās nodarbinātie un studējošie; nozaru ministrijas un tajās nodarbinātie; citas valsts iestādes (piem., padome un administrācija) un tajā nodarbinātie, nozari pārstāvošās profesionālās organizācijas un zinātnes nozari pārstāvošās institūcijas</w:t>
            </w:r>
            <w:r w:rsidR="009A20C9" w:rsidRPr="002C234B">
              <w:rPr>
                <w:rFonts w:ascii="Times New Roman" w:eastAsia="Times New Roman" w:hAnsi="Times New Roman" w:cs="Times New Roman"/>
                <w:iCs/>
                <w:sz w:val="28"/>
                <w:szCs w:val="28"/>
                <w:lang w:eastAsia="lv-LV"/>
              </w:rPr>
              <w:t>.</w:t>
            </w:r>
          </w:p>
        </w:tc>
      </w:tr>
      <w:tr w:rsidR="00C32D14" w:rsidRPr="002C234B" w14:paraId="23CE80E9" w14:textId="77777777" w:rsidTr="002C234B">
        <w:trPr>
          <w:tblCellSpacing w:w="15" w:type="dxa"/>
        </w:trPr>
        <w:tc>
          <w:tcPr>
            <w:tcW w:w="277" w:type="pct"/>
            <w:tcBorders>
              <w:top w:val="outset" w:sz="6" w:space="0" w:color="auto"/>
              <w:left w:val="outset" w:sz="6" w:space="0" w:color="auto"/>
              <w:bottom w:val="outset" w:sz="6" w:space="0" w:color="auto"/>
              <w:right w:val="outset" w:sz="6" w:space="0" w:color="auto"/>
            </w:tcBorders>
            <w:hideMark/>
          </w:tcPr>
          <w:p w14:paraId="23CE80E3"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w:t>
            </w:r>
          </w:p>
        </w:tc>
        <w:tc>
          <w:tcPr>
            <w:tcW w:w="1567" w:type="pct"/>
            <w:tcBorders>
              <w:top w:val="outset" w:sz="6" w:space="0" w:color="auto"/>
              <w:left w:val="outset" w:sz="6" w:space="0" w:color="auto"/>
              <w:bottom w:val="outset" w:sz="6" w:space="0" w:color="auto"/>
              <w:right w:val="outset" w:sz="6" w:space="0" w:color="auto"/>
            </w:tcBorders>
            <w:hideMark/>
          </w:tcPr>
          <w:p w14:paraId="23CE80E4"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Tiesiskā regulējuma ietekme uz tautsaimniecību un administratīvo slogu</w:t>
            </w:r>
          </w:p>
        </w:tc>
        <w:tc>
          <w:tcPr>
            <w:tcW w:w="3094" w:type="pct"/>
            <w:tcBorders>
              <w:top w:val="outset" w:sz="6" w:space="0" w:color="auto"/>
              <w:left w:val="outset" w:sz="6" w:space="0" w:color="auto"/>
              <w:bottom w:val="outset" w:sz="6" w:space="0" w:color="auto"/>
              <w:right w:val="outset" w:sz="6" w:space="0" w:color="auto"/>
            </w:tcBorders>
            <w:hideMark/>
          </w:tcPr>
          <w:p w14:paraId="23CE80E5" w14:textId="77777777" w:rsidR="00D25532" w:rsidRPr="002C234B" w:rsidRDefault="001F53F0" w:rsidP="00D25532">
            <w:pPr>
              <w:spacing w:after="0" w:line="240" w:lineRule="auto"/>
              <w:contextualSpacing/>
              <w:jc w:val="both"/>
              <w:rPr>
                <w:rFonts w:ascii="Times New Roman" w:hAnsi="Times New Roman" w:cs="Times New Roman"/>
                <w:sz w:val="28"/>
                <w:szCs w:val="28"/>
              </w:rPr>
            </w:pPr>
            <w:r w:rsidRPr="002C234B">
              <w:rPr>
                <w:rFonts w:ascii="Times New Roman" w:hAnsi="Times New Roman" w:cs="Times New Roman"/>
                <w:sz w:val="28"/>
                <w:szCs w:val="28"/>
              </w:rPr>
              <w:t>Noteikumu projekta tiesiskais regulējums</w:t>
            </w:r>
            <w:r w:rsidR="00D25532" w:rsidRPr="002C234B">
              <w:rPr>
                <w:rFonts w:ascii="Times New Roman" w:hAnsi="Times New Roman" w:cs="Times New Roman"/>
                <w:sz w:val="28"/>
                <w:szCs w:val="28"/>
              </w:rPr>
              <w:t xml:space="preserve"> ietekmēs</w:t>
            </w:r>
            <w:r w:rsidRPr="002C234B">
              <w:rPr>
                <w:rFonts w:ascii="Times New Roman" w:hAnsi="Times New Roman" w:cs="Times New Roman"/>
                <w:sz w:val="28"/>
                <w:szCs w:val="28"/>
              </w:rPr>
              <w:t xml:space="preserve"> </w:t>
            </w:r>
            <w:r w:rsidR="00D25532" w:rsidRPr="002C234B">
              <w:rPr>
                <w:rFonts w:ascii="Times New Roman" w:hAnsi="Times New Roman" w:cs="Times New Roman"/>
                <w:sz w:val="28"/>
                <w:szCs w:val="28"/>
              </w:rPr>
              <w:t>Latvijas Nacionālā attīstības plānā 2014.-2020.gadam</w:t>
            </w:r>
            <w:r w:rsidR="00D25532" w:rsidRPr="002C234B">
              <w:rPr>
                <w:rFonts w:ascii="Calibri" w:hAnsi="Calibri" w:cs="Times New Roman"/>
                <w:sz w:val="28"/>
                <w:szCs w:val="28"/>
                <w:vertAlign w:val="superscript"/>
              </w:rPr>
              <w:footnoteReference w:id="3"/>
            </w:r>
            <w:r w:rsidR="00D25532" w:rsidRPr="002C234B">
              <w:rPr>
                <w:rFonts w:ascii="Times New Roman" w:eastAsia="Times New Roman" w:hAnsi="Times New Roman" w:cs="Times New Roman"/>
                <w:sz w:val="28"/>
                <w:szCs w:val="28"/>
                <w:lang w:eastAsia="lv-LV"/>
              </w:rPr>
              <w:t xml:space="preserve"> (turpmāk – NAP) noteiktais par </w:t>
            </w:r>
            <w:r w:rsidR="00D25532" w:rsidRPr="002C234B">
              <w:rPr>
                <w:rFonts w:ascii="Times New Roman" w:hAnsi="Times New Roman" w:cs="Times New Roman"/>
                <w:sz w:val="28"/>
                <w:szCs w:val="28"/>
              </w:rPr>
              <w:t xml:space="preserve">Latvijas zinātnes lomu tautsaimniecības izaugsmes kontekstā, tas ir NAP rīcības virzienā „Attīstīta pētniecība, inovācija un augstākā izglītība” noteikts privātā sektora ieguldījums pētniecībā un attīstībā [172] un radīt zinātniekus, kas nodarbināti privātajā sektorā, skaita pieaugumu [173], kā arī šī rīcības virziena 2. mērķis nosaka: </w:t>
            </w:r>
            <w:r w:rsidR="00D25532" w:rsidRPr="002C234B">
              <w:rPr>
                <w:rFonts w:ascii="Times New Roman" w:hAnsi="Times New Roman" w:cs="Times New Roman"/>
                <w:bCs/>
                <w:sz w:val="28"/>
                <w:szCs w:val="28"/>
              </w:rPr>
              <w:t xml:space="preserve">[177] </w:t>
            </w:r>
            <w:r w:rsidR="00D25532" w:rsidRPr="002C234B">
              <w:rPr>
                <w:rFonts w:ascii="Times New Roman" w:hAnsi="Times New Roman" w:cs="Times New Roman"/>
                <w:sz w:val="28"/>
                <w:szCs w:val="28"/>
              </w:rPr>
              <w:t>„Komercializējot zināšanas, veicināt inovatīvu, starptautiski konkurētspējīgu produktu ar augstu pievienoto vērtību radīšanu un ieviešanu ražošanā, šādi paaugstinot minēto produktu izlaides apjoma īpatsvaru tautas saimniecībā”.</w:t>
            </w:r>
          </w:p>
          <w:p w14:paraId="23CE80E6" w14:textId="77777777" w:rsidR="001F53F0" w:rsidRPr="002C234B" w:rsidRDefault="001F53F0" w:rsidP="00DA2D33">
            <w:pPr>
              <w:spacing w:after="0" w:line="240" w:lineRule="auto"/>
              <w:jc w:val="both"/>
              <w:rPr>
                <w:rFonts w:ascii="Times New Roman" w:eastAsia="Times New Roman" w:hAnsi="Times New Roman" w:cs="Times New Roman"/>
                <w:iCs/>
                <w:sz w:val="28"/>
                <w:szCs w:val="28"/>
                <w:lang w:eastAsia="lv-LV"/>
              </w:rPr>
            </w:pPr>
            <w:r w:rsidRPr="002C234B">
              <w:rPr>
                <w:rFonts w:ascii="Times New Roman" w:hAnsi="Times New Roman"/>
                <w:sz w:val="28"/>
                <w:szCs w:val="28"/>
              </w:rPr>
              <w:t>Ar noteikumu projektu tiks īstenota Latvijas Viedās specializācijas stratēģijā</w:t>
            </w:r>
            <w:r w:rsidRPr="002C234B">
              <w:rPr>
                <w:rStyle w:val="FootnoteReference"/>
                <w:rFonts w:ascii="Times New Roman" w:hAnsi="Times New Roman"/>
                <w:sz w:val="28"/>
                <w:szCs w:val="28"/>
              </w:rPr>
              <w:footnoteReference w:id="4"/>
            </w:r>
            <w:r w:rsidRPr="002C234B">
              <w:rPr>
                <w:rFonts w:ascii="Times New Roman" w:hAnsi="Times New Roman"/>
                <w:sz w:val="28"/>
                <w:szCs w:val="28"/>
              </w:rPr>
              <w:t xml:space="preserve"> (izskatīts 2013.gada 17.decembra Ministru kabineta sēdē Nr.67 96. §) noteikto tautsaimniecības transformācijas virzienu, izaugsmes prioritāšu un specializācijas jomu attīstība.</w:t>
            </w:r>
          </w:p>
          <w:p w14:paraId="23CE80E7" w14:textId="388FD353" w:rsidR="00DA2D33" w:rsidRPr="002C234B" w:rsidRDefault="00DA2D33" w:rsidP="00DA2D33">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Administratīvais slogs zinātniskajām institūcijām, tajā skaitā augstskolām, samazinās, jo par katru </w:t>
            </w:r>
            <w:r w:rsidRPr="002C234B">
              <w:rPr>
                <w:rFonts w:ascii="Times New Roman" w:eastAsia="Times New Roman" w:hAnsi="Times New Roman" w:cs="Times New Roman"/>
                <w:iCs/>
                <w:sz w:val="28"/>
                <w:szCs w:val="28"/>
                <w:lang w:eastAsia="lv-LV"/>
              </w:rPr>
              <w:lastRenderedPageBreak/>
              <w:t xml:space="preserve">projektu tiek slēgts </w:t>
            </w:r>
            <w:r w:rsidR="0099231A">
              <w:rPr>
                <w:rFonts w:ascii="Times New Roman" w:eastAsia="Times New Roman" w:hAnsi="Times New Roman" w:cs="Times New Roman"/>
                <w:iCs/>
                <w:sz w:val="28"/>
                <w:szCs w:val="28"/>
                <w:lang w:eastAsia="lv-LV"/>
              </w:rPr>
              <w:t xml:space="preserve">projekta </w:t>
            </w:r>
            <w:r w:rsidRPr="002C234B">
              <w:rPr>
                <w:rFonts w:ascii="Times New Roman" w:eastAsia="Times New Roman" w:hAnsi="Times New Roman" w:cs="Times New Roman"/>
                <w:iCs/>
                <w:sz w:val="28"/>
                <w:szCs w:val="28"/>
                <w:lang w:eastAsia="lv-LV"/>
              </w:rPr>
              <w:t xml:space="preserve">īstenošanas līgums, saskaņā ar kuru </w:t>
            </w:r>
            <w:r w:rsidR="0099231A">
              <w:rPr>
                <w:rFonts w:ascii="Times New Roman" w:eastAsia="Times New Roman" w:hAnsi="Times New Roman" w:cs="Times New Roman"/>
                <w:iCs/>
                <w:sz w:val="28"/>
                <w:szCs w:val="28"/>
                <w:lang w:eastAsia="lv-LV"/>
              </w:rPr>
              <w:t xml:space="preserve">zinātniskā institūcija kā </w:t>
            </w:r>
            <w:r w:rsidRPr="002C234B">
              <w:rPr>
                <w:rFonts w:ascii="Times New Roman" w:eastAsia="Times New Roman" w:hAnsi="Times New Roman" w:cs="Times New Roman"/>
                <w:iCs/>
                <w:sz w:val="28"/>
                <w:szCs w:val="28"/>
                <w:lang w:eastAsia="lv-LV"/>
              </w:rPr>
              <w:t>projekta īstenotājs sniedz informāciju un dokumentāciju uzreiz</w:t>
            </w:r>
            <w:r w:rsidR="0099231A">
              <w:rPr>
                <w:rFonts w:ascii="Times New Roman" w:eastAsia="Times New Roman" w:hAnsi="Times New Roman" w:cs="Times New Roman"/>
                <w:iCs/>
                <w:sz w:val="28"/>
                <w:szCs w:val="28"/>
                <w:lang w:eastAsia="lv-LV"/>
              </w:rPr>
              <w:t xml:space="preserve"> administrācijai un/vai padomei, izmantojot</w:t>
            </w:r>
            <w:r w:rsidRPr="002C234B">
              <w:rPr>
                <w:rFonts w:ascii="Times New Roman" w:eastAsia="Times New Roman" w:hAnsi="Times New Roman" w:cs="Times New Roman"/>
                <w:iCs/>
                <w:sz w:val="28"/>
                <w:szCs w:val="28"/>
                <w:lang w:eastAsia="lv-LV"/>
              </w:rPr>
              <w:t xml:space="preserve"> </w:t>
            </w:r>
            <w:r w:rsidR="0099231A">
              <w:rPr>
                <w:rFonts w:ascii="Times New Roman" w:eastAsia="Times New Roman" w:hAnsi="Times New Roman" w:cs="Times New Roman"/>
                <w:iCs/>
                <w:sz w:val="28"/>
                <w:szCs w:val="28"/>
                <w:lang w:eastAsia="lv-LV"/>
              </w:rPr>
              <w:t>informācijas sistēmu</w:t>
            </w:r>
            <w:r w:rsidR="001F53F0" w:rsidRPr="002C234B">
              <w:rPr>
                <w:rFonts w:ascii="Times New Roman" w:eastAsia="Times New Roman" w:hAnsi="Times New Roman" w:cs="Times New Roman"/>
                <w:iCs/>
                <w:sz w:val="28"/>
                <w:szCs w:val="28"/>
                <w:lang w:eastAsia="lv-LV"/>
              </w:rPr>
              <w:t>.</w:t>
            </w:r>
          </w:p>
          <w:p w14:paraId="23CE80E8" w14:textId="680988F1" w:rsidR="0099231A" w:rsidRPr="002C234B" w:rsidRDefault="001F53F0" w:rsidP="001F53F0">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Ievērojot spēkā esošo </w:t>
            </w:r>
            <w:r w:rsidR="0099231A">
              <w:rPr>
                <w:rFonts w:ascii="Times New Roman" w:eastAsia="Times New Roman" w:hAnsi="Times New Roman" w:cs="Times New Roman"/>
                <w:iCs/>
                <w:sz w:val="28"/>
                <w:szCs w:val="28"/>
                <w:lang w:eastAsia="lv-LV"/>
              </w:rPr>
              <w:t>regulējumu (MK noteikumi Nr.443</w:t>
            </w:r>
            <w:r w:rsidRPr="002C234B">
              <w:rPr>
                <w:rFonts w:ascii="Times New Roman" w:eastAsia="Times New Roman" w:hAnsi="Times New Roman" w:cs="Times New Roman"/>
                <w:iCs/>
                <w:sz w:val="28"/>
                <w:szCs w:val="28"/>
                <w:lang w:eastAsia="lv-LV"/>
              </w:rPr>
              <w:t xml:space="preserve"> un MK noteikumi Nr.597)</w:t>
            </w:r>
            <w:r w:rsidR="0099231A">
              <w:rPr>
                <w:rFonts w:ascii="Times New Roman" w:eastAsia="Times New Roman" w:hAnsi="Times New Roman" w:cs="Times New Roman"/>
                <w:iCs/>
                <w:sz w:val="28"/>
                <w:szCs w:val="28"/>
                <w:lang w:eastAsia="lv-LV"/>
              </w:rPr>
              <w:t>,</w:t>
            </w:r>
            <w:r w:rsidRPr="002C234B">
              <w:rPr>
                <w:rFonts w:ascii="Times New Roman" w:eastAsia="Times New Roman" w:hAnsi="Times New Roman" w:cs="Times New Roman"/>
                <w:iCs/>
                <w:sz w:val="28"/>
                <w:szCs w:val="28"/>
                <w:lang w:eastAsia="lv-LV"/>
              </w:rPr>
              <w:t xml:space="preserve"> nozaru ministrijas</w:t>
            </w:r>
            <w:r w:rsidR="0099231A">
              <w:rPr>
                <w:rFonts w:ascii="Times New Roman" w:eastAsia="Times New Roman" w:hAnsi="Times New Roman" w:cs="Times New Roman"/>
                <w:iCs/>
                <w:sz w:val="28"/>
                <w:szCs w:val="28"/>
                <w:lang w:eastAsia="lv-LV"/>
              </w:rPr>
              <w:t xml:space="preserve"> turpina</w:t>
            </w:r>
            <w:r w:rsidRPr="002C234B">
              <w:rPr>
                <w:rFonts w:ascii="Times New Roman" w:eastAsia="Times New Roman" w:hAnsi="Times New Roman" w:cs="Times New Roman"/>
                <w:iCs/>
                <w:sz w:val="28"/>
                <w:szCs w:val="28"/>
                <w:lang w:eastAsia="lv-LV"/>
              </w:rPr>
              <w:t xml:space="preserve"> definē</w:t>
            </w:r>
            <w:r w:rsidR="0099231A">
              <w:rPr>
                <w:rFonts w:ascii="Times New Roman" w:eastAsia="Times New Roman" w:hAnsi="Times New Roman" w:cs="Times New Roman"/>
                <w:iCs/>
                <w:sz w:val="28"/>
                <w:szCs w:val="28"/>
                <w:lang w:eastAsia="lv-LV"/>
              </w:rPr>
              <w:t>t</w:t>
            </w:r>
            <w:r w:rsidRPr="002C234B">
              <w:rPr>
                <w:rFonts w:ascii="Times New Roman" w:eastAsia="Times New Roman" w:hAnsi="Times New Roman" w:cs="Times New Roman"/>
                <w:iCs/>
                <w:sz w:val="28"/>
                <w:szCs w:val="28"/>
                <w:lang w:eastAsia="lv-LV"/>
              </w:rPr>
              <w:t xml:space="preserve"> programmu mērķus un uzdevumus, kā arī </w:t>
            </w:r>
            <w:r w:rsidR="0099231A">
              <w:rPr>
                <w:rFonts w:ascii="Times New Roman" w:eastAsia="Times New Roman" w:hAnsi="Times New Roman" w:cs="Times New Roman"/>
                <w:iCs/>
                <w:sz w:val="28"/>
                <w:szCs w:val="28"/>
                <w:lang w:eastAsia="lv-LV"/>
              </w:rPr>
              <w:t>turpmāk piedalās projektu pieteikumu</w:t>
            </w:r>
            <w:r w:rsidRPr="002C234B">
              <w:rPr>
                <w:rFonts w:ascii="Times New Roman" w:eastAsia="Times New Roman" w:hAnsi="Times New Roman" w:cs="Times New Roman"/>
                <w:iCs/>
                <w:sz w:val="28"/>
                <w:szCs w:val="28"/>
                <w:lang w:eastAsia="lv-LV"/>
              </w:rPr>
              <w:t xml:space="preserve"> novē</w:t>
            </w:r>
            <w:r w:rsidR="0099231A">
              <w:rPr>
                <w:rFonts w:ascii="Times New Roman" w:eastAsia="Times New Roman" w:hAnsi="Times New Roman" w:cs="Times New Roman"/>
                <w:iCs/>
                <w:sz w:val="28"/>
                <w:szCs w:val="28"/>
                <w:lang w:eastAsia="lv-LV"/>
              </w:rPr>
              <w:t>rtēšanas un uzraudzības komisijas</w:t>
            </w:r>
            <w:r w:rsidRPr="002C234B">
              <w:rPr>
                <w:rFonts w:ascii="Times New Roman" w:eastAsia="Times New Roman" w:hAnsi="Times New Roman" w:cs="Times New Roman"/>
                <w:iCs/>
                <w:sz w:val="28"/>
                <w:szCs w:val="28"/>
                <w:lang w:eastAsia="lv-LV"/>
              </w:rPr>
              <w:t xml:space="preserve"> darbā un lēmumu pieņemšanā. Ievērojot minēto, ar noteikumu projektu administratīvais</w:t>
            </w:r>
            <w:r w:rsidR="00DA2D33" w:rsidRPr="002C234B">
              <w:rPr>
                <w:rFonts w:ascii="Times New Roman" w:eastAsia="Times New Roman" w:hAnsi="Times New Roman" w:cs="Times New Roman"/>
                <w:iCs/>
                <w:sz w:val="28"/>
                <w:szCs w:val="28"/>
                <w:lang w:eastAsia="lv-LV"/>
              </w:rPr>
              <w:t xml:space="preserve"> slogs nozaru ministrijām </w:t>
            </w:r>
            <w:r w:rsidRPr="002C234B">
              <w:rPr>
                <w:rFonts w:ascii="Times New Roman" w:eastAsia="Times New Roman" w:hAnsi="Times New Roman" w:cs="Times New Roman"/>
                <w:iCs/>
                <w:sz w:val="28"/>
                <w:szCs w:val="28"/>
                <w:lang w:eastAsia="lv-LV"/>
              </w:rPr>
              <w:t>nepalielinās.</w:t>
            </w:r>
            <w:r w:rsidR="0099231A">
              <w:rPr>
                <w:rFonts w:ascii="Times New Roman" w:eastAsia="Times New Roman" w:hAnsi="Times New Roman" w:cs="Times New Roman"/>
                <w:iCs/>
                <w:sz w:val="28"/>
                <w:szCs w:val="28"/>
                <w:lang w:eastAsia="lv-LV"/>
              </w:rPr>
              <w:t xml:space="preserve"> </w:t>
            </w:r>
          </w:p>
        </w:tc>
      </w:tr>
      <w:tr w:rsidR="00C32D14" w:rsidRPr="002C234B" w14:paraId="23CE80ED" w14:textId="77777777" w:rsidTr="002C234B">
        <w:trPr>
          <w:trHeight w:val="169"/>
          <w:tblCellSpacing w:w="15" w:type="dxa"/>
        </w:trPr>
        <w:tc>
          <w:tcPr>
            <w:tcW w:w="277" w:type="pct"/>
            <w:tcBorders>
              <w:top w:val="outset" w:sz="6" w:space="0" w:color="auto"/>
              <w:left w:val="outset" w:sz="6" w:space="0" w:color="auto"/>
              <w:bottom w:val="outset" w:sz="6" w:space="0" w:color="auto"/>
              <w:right w:val="outset" w:sz="6" w:space="0" w:color="auto"/>
            </w:tcBorders>
            <w:hideMark/>
          </w:tcPr>
          <w:p w14:paraId="23CE80EA"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3.</w:t>
            </w:r>
          </w:p>
        </w:tc>
        <w:tc>
          <w:tcPr>
            <w:tcW w:w="1567" w:type="pct"/>
            <w:tcBorders>
              <w:top w:val="outset" w:sz="6" w:space="0" w:color="auto"/>
              <w:left w:val="outset" w:sz="6" w:space="0" w:color="auto"/>
              <w:bottom w:val="outset" w:sz="6" w:space="0" w:color="auto"/>
              <w:right w:val="outset" w:sz="6" w:space="0" w:color="auto"/>
            </w:tcBorders>
            <w:hideMark/>
          </w:tcPr>
          <w:p w14:paraId="23CE80EB"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Administratīvo izmaksu monetārs novērtējums</w:t>
            </w:r>
          </w:p>
        </w:tc>
        <w:tc>
          <w:tcPr>
            <w:tcW w:w="3094" w:type="pct"/>
            <w:tcBorders>
              <w:top w:val="outset" w:sz="6" w:space="0" w:color="auto"/>
              <w:left w:val="outset" w:sz="6" w:space="0" w:color="auto"/>
              <w:bottom w:val="outset" w:sz="6" w:space="0" w:color="auto"/>
              <w:right w:val="outset" w:sz="6" w:space="0" w:color="auto"/>
            </w:tcBorders>
            <w:hideMark/>
          </w:tcPr>
          <w:p w14:paraId="23CE80EC" w14:textId="77777777" w:rsidR="00E5323B" w:rsidRPr="002C234B" w:rsidRDefault="00C32D14" w:rsidP="00C32D14">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sz w:val="28"/>
                <w:szCs w:val="28"/>
                <w:lang w:eastAsia="lv-LV"/>
              </w:rPr>
              <w:t xml:space="preserve">Administratīvās izmaksas naudas izteiksmē gada laikā </w:t>
            </w:r>
            <w:proofErr w:type="spellStart"/>
            <w:r w:rsidRPr="002C234B">
              <w:rPr>
                <w:rFonts w:ascii="Times New Roman" w:eastAsia="Times New Roman" w:hAnsi="Times New Roman"/>
                <w:sz w:val="28"/>
                <w:szCs w:val="28"/>
                <w:lang w:eastAsia="lv-LV"/>
              </w:rPr>
              <w:t>mērķgrupām</w:t>
            </w:r>
            <w:proofErr w:type="spellEnd"/>
            <w:r w:rsidRPr="002C234B">
              <w:rPr>
                <w:rFonts w:ascii="Times New Roman" w:eastAsia="Times New Roman" w:hAnsi="Times New Roman"/>
                <w:sz w:val="28"/>
                <w:szCs w:val="28"/>
                <w:lang w:eastAsia="lv-LV"/>
              </w:rPr>
              <w:t>, ko veido fiziskas personas (</w:t>
            </w:r>
            <w:r w:rsidRPr="002C234B">
              <w:rPr>
                <w:rFonts w:ascii="Times New Roman" w:eastAsia="Times New Roman" w:hAnsi="Times New Roman" w:cs="Times New Roman"/>
                <w:sz w:val="28"/>
                <w:szCs w:val="28"/>
              </w:rPr>
              <w:t>zinātnieki, zinātniskajā darbā iesaistītās personas, akadēmiskais personāls)</w:t>
            </w:r>
            <w:r w:rsidRPr="002C234B">
              <w:rPr>
                <w:rFonts w:ascii="Times New Roman" w:eastAsia="Times New Roman" w:hAnsi="Times New Roman"/>
                <w:sz w:val="28"/>
                <w:szCs w:val="28"/>
                <w:lang w:eastAsia="lv-LV"/>
              </w:rPr>
              <w:t>, nepārsniedz 200 </w:t>
            </w:r>
            <w:proofErr w:type="spellStart"/>
            <w:r w:rsidRPr="002C234B">
              <w:rPr>
                <w:rFonts w:ascii="Times New Roman" w:eastAsia="Times New Roman" w:hAnsi="Times New Roman"/>
                <w:i/>
                <w:sz w:val="28"/>
                <w:szCs w:val="28"/>
                <w:lang w:eastAsia="lv-LV"/>
              </w:rPr>
              <w:t>euro</w:t>
            </w:r>
            <w:proofErr w:type="spellEnd"/>
            <w:r w:rsidRPr="002C234B">
              <w:rPr>
                <w:rFonts w:ascii="Times New Roman" w:eastAsia="Times New Roman" w:hAnsi="Times New Roman"/>
                <w:sz w:val="28"/>
                <w:szCs w:val="28"/>
                <w:lang w:eastAsia="lv-LV"/>
              </w:rPr>
              <w:t>, bet juridiskajām personām (</w:t>
            </w:r>
            <w:proofErr w:type="spellStart"/>
            <w:r w:rsidRPr="002C234B">
              <w:rPr>
                <w:rFonts w:ascii="Times New Roman" w:eastAsia="Times New Roman" w:hAnsi="Times New Roman" w:cs="Times New Roman"/>
                <w:sz w:val="28"/>
                <w:szCs w:val="28"/>
              </w:rPr>
              <w:t>zinātniskājām</w:t>
            </w:r>
            <w:proofErr w:type="spellEnd"/>
            <w:r w:rsidRPr="002C234B">
              <w:rPr>
                <w:rFonts w:ascii="Times New Roman" w:eastAsia="Times New Roman" w:hAnsi="Times New Roman" w:cs="Times New Roman"/>
                <w:sz w:val="28"/>
                <w:szCs w:val="28"/>
              </w:rPr>
              <w:t xml:space="preserve"> institūcijām, augstskolām, tautsaimniecības nozaru organizācijām, un nozaru ministrijām, kuru pārraudzībā ir zinātniskie institūti)</w:t>
            </w:r>
            <w:r w:rsidRPr="002C234B">
              <w:rPr>
                <w:rFonts w:ascii="Times New Roman" w:eastAsia="Times New Roman" w:hAnsi="Times New Roman"/>
                <w:sz w:val="28"/>
                <w:szCs w:val="28"/>
                <w:lang w:eastAsia="lv-LV"/>
              </w:rPr>
              <w:t> – 2000 </w:t>
            </w:r>
            <w:proofErr w:type="spellStart"/>
            <w:r w:rsidRPr="002C234B">
              <w:rPr>
                <w:rFonts w:ascii="Times New Roman" w:eastAsia="Times New Roman" w:hAnsi="Times New Roman"/>
                <w:i/>
                <w:sz w:val="28"/>
                <w:szCs w:val="28"/>
                <w:lang w:eastAsia="lv-LV"/>
              </w:rPr>
              <w:t>euro</w:t>
            </w:r>
            <w:proofErr w:type="spellEnd"/>
            <w:r w:rsidRPr="002C234B">
              <w:rPr>
                <w:rFonts w:ascii="Times New Roman" w:eastAsia="Times New Roman" w:hAnsi="Times New Roman"/>
                <w:sz w:val="28"/>
                <w:szCs w:val="28"/>
                <w:lang w:eastAsia="lv-LV"/>
              </w:rPr>
              <w:t>.</w:t>
            </w:r>
          </w:p>
        </w:tc>
      </w:tr>
      <w:tr w:rsidR="00C32D14" w:rsidRPr="002C234B" w14:paraId="23CE80F1" w14:textId="77777777" w:rsidTr="002C234B">
        <w:trPr>
          <w:tblCellSpacing w:w="15" w:type="dxa"/>
        </w:trPr>
        <w:tc>
          <w:tcPr>
            <w:tcW w:w="277" w:type="pct"/>
            <w:tcBorders>
              <w:top w:val="outset" w:sz="6" w:space="0" w:color="auto"/>
              <w:left w:val="outset" w:sz="6" w:space="0" w:color="auto"/>
              <w:bottom w:val="outset" w:sz="6" w:space="0" w:color="auto"/>
              <w:right w:val="outset" w:sz="6" w:space="0" w:color="auto"/>
            </w:tcBorders>
            <w:hideMark/>
          </w:tcPr>
          <w:p w14:paraId="23CE80EE"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4.</w:t>
            </w:r>
          </w:p>
        </w:tc>
        <w:tc>
          <w:tcPr>
            <w:tcW w:w="1567" w:type="pct"/>
            <w:tcBorders>
              <w:top w:val="outset" w:sz="6" w:space="0" w:color="auto"/>
              <w:left w:val="outset" w:sz="6" w:space="0" w:color="auto"/>
              <w:bottom w:val="outset" w:sz="6" w:space="0" w:color="auto"/>
              <w:right w:val="outset" w:sz="6" w:space="0" w:color="auto"/>
            </w:tcBorders>
            <w:hideMark/>
          </w:tcPr>
          <w:p w14:paraId="23CE80EF"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Atbilstības izmaksu monetārs novērtējums</w:t>
            </w:r>
          </w:p>
        </w:tc>
        <w:tc>
          <w:tcPr>
            <w:tcW w:w="3094" w:type="pct"/>
            <w:tcBorders>
              <w:top w:val="outset" w:sz="6" w:space="0" w:color="auto"/>
              <w:left w:val="outset" w:sz="6" w:space="0" w:color="auto"/>
              <w:bottom w:val="outset" w:sz="6" w:space="0" w:color="auto"/>
              <w:right w:val="outset" w:sz="6" w:space="0" w:color="auto"/>
            </w:tcBorders>
            <w:hideMark/>
          </w:tcPr>
          <w:p w14:paraId="23CE80F0" w14:textId="77777777" w:rsidR="00E5323B" w:rsidRPr="002C234B" w:rsidRDefault="001F53F0"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Noteikumu projekts </w:t>
            </w:r>
            <w:r w:rsidR="00D25532" w:rsidRPr="002C234B">
              <w:rPr>
                <w:rFonts w:ascii="Times New Roman" w:eastAsia="Times New Roman" w:hAnsi="Times New Roman" w:cs="Times New Roman"/>
                <w:iCs/>
                <w:sz w:val="28"/>
                <w:szCs w:val="28"/>
                <w:lang w:eastAsia="lv-LV"/>
              </w:rPr>
              <w:t>šo</w:t>
            </w:r>
            <w:r w:rsidRPr="002C234B">
              <w:rPr>
                <w:rFonts w:ascii="Times New Roman" w:eastAsia="Times New Roman" w:hAnsi="Times New Roman" w:cs="Times New Roman"/>
                <w:iCs/>
                <w:sz w:val="28"/>
                <w:szCs w:val="28"/>
                <w:lang w:eastAsia="lv-LV"/>
              </w:rPr>
              <w:t xml:space="preserve"> jomu neskar.</w:t>
            </w:r>
          </w:p>
        </w:tc>
      </w:tr>
      <w:tr w:rsidR="00C32D14" w:rsidRPr="002C234B" w14:paraId="23CE80F5" w14:textId="77777777" w:rsidTr="002C234B">
        <w:trPr>
          <w:tblCellSpacing w:w="15" w:type="dxa"/>
        </w:trPr>
        <w:tc>
          <w:tcPr>
            <w:tcW w:w="277" w:type="pct"/>
            <w:tcBorders>
              <w:top w:val="outset" w:sz="6" w:space="0" w:color="auto"/>
              <w:left w:val="outset" w:sz="6" w:space="0" w:color="auto"/>
              <w:bottom w:val="outset" w:sz="6" w:space="0" w:color="auto"/>
              <w:right w:val="outset" w:sz="6" w:space="0" w:color="auto"/>
            </w:tcBorders>
            <w:hideMark/>
          </w:tcPr>
          <w:p w14:paraId="23CE80F2"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w:t>
            </w:r>
          </w:p>
        </w:tc>
        <w:tc>
          <w:tcPr>
            <w:tcW w:w="1567" w:type="pct"/>
            <w:tcBorders>
              <w:top w:val="outset" w:sz="6" w:space="0" w:color="auto"/>
              <w:left w:val="outset" w:sz="6" w:space="0" w:color="auto"/>
              <w:bottom w:val="outset" w:sz="6" w:space="0" w:color="auto"/>
              <w:right w:val="outset" w:sz="6" w:space="0" w:color="auto"/>
            </w:tcBorders>
            <w:hideMark/>
          </w:tcPr>
          <w:p w14:paraId="23CE80F3"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094" w:type="pct"/>
            <w:tcBorders>
              <w:top w:val="outset" w:sz="6" w:space="0" w:color="auto"/>
              <w:left w:val="outset" w:sz="6" w:space="0" w:color="auto"/>
              <w:bottom w:val="outset" w:sz="6" w:space="0" w:color="auto"/>
              <w:right w:val="outset" w:sz="6" w:space="0" w:color="auto"/>
            </w:tcBorders>
            <w:hideMark/>
          </w:tcPr>
          <w:p w14:paraId="23CE80F4" w14:textId="77777777" w:rsidR="00E5323B" w:rsidRPr="002C234B" w:rsidRDefault="001F53F0"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0F6"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33"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902"/>
        <w:gridCol w:w="1350"/>
        <w:gridCol w:w="851"/>
        <w:gridCol w:w="1351"/>
        <w:gridCol w:w="859"/>
        <w:gridCol w:w="1413"/>
        <w:gridCol w:w="849"/>
        <w:gridCol w:w="902"/>
      </w:tblGrid>
      <w:tr w:rsidR="00E5323B" w:rsidRPr="002C234B" w14:paraId="23CE80F8" w14:textId="77777777" w:rsidTr="002C234B">
        <w:trPr>
          <w:tblCellSpacing w:w="15" w:type="dxa"/>
        </w:trPr>
        <w:tc>
          <w:tcPr>
            <w:tcW w:w="9417" w:type="dxa"/>
            <w:gridSpan w:val="8"/>
            <w:tcBorders>
              <w:top w:val="outset" w:sz="6" w:space="0" w:color="auto"/>
              <w:left w:val="outset" w:sz="6" w:space="0" w:color="auto"/>
              <w:bottom w:val="outset" w:sz="6" w:space="0" w:color="auto"/>
              <w:right w:val="outset" w:sz="6" w:space="0" w:color="auto"/>
            </w:tcBorders>
            <w:vAlign w:val="center"/>
            <w:hideMark/>
          </w:tcPr>
          <w:p w14:paraId="23CE80F7"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III. Tiesību akta projekta ietekme uz valsts budžetu un pašvaldību budžetiem</w:t>
            </w:r>
          </w:p>
        </w:tc>
      </w:tr>
      <w:tr w:rsidR="00E5323B" w:rsidRPr="002C234B" w14:paraId="23CE80FC" w14:textId="77777777" w:rsidTr="002C234B">
        <w:trPr>
          <w:tblCellSpacing w:w="15" w:type="dxa"/>
        </w:trPr>
        <w:tc>
          <w:tcPr>
            <w:tcW w:w="1857" w:type="dxa"/>
            <w:vMerge w:val="restart"/>
            <w:tcBorders>
              <w:top w:val="outset" w:sz="6" w:space="0" w:color="auto"/>
              <w:left w:val="outset" w:sz="6" w:space="0" w:color="auto"/>
              <w:bottom w:val="outset" w:sz="6" w:space="0" w:color="auto"/>
              <w:right w:val="outset" w:sz="6" w:space="0" w:color="auto"/>
            </w:tcBorders>
            <w:vAlign w:val="center"/>
            <w:hideMark/>
          </w:tcPr>
          <w:p w14:paraId="23CE80F9"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Rādītāji</w:t>
            </w:r>
          </w:p>
        </w:tc>
        <w:tc>
          <w:tcPr>
            <w:tcW w:w="2171"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23CE80FA" w14:textId="77777777" w:rsidR="00655F2C" w:rsidRPr="002C234B" w:rsidRDefault="00DA218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2018.gads</w:t>
            </w:r>
          </w:p>
        </w:tc>
        <w:tc>
          <w:tcPr>
            <w:tcW w:w="5329" w:type="dxa"/>
            <w:gridSpan w:val="5"/>
            <w:tcBorders>
              <w:top w:val="outset" w:sz="6" w:space="0" w:color="auto"/>
              <w:left w:val="outset" w:sz="6" w:space="0" w:color="auto"/>
              <w:bottom w:val="outset" w:sz="6" w:space="0" w:color="auto"/>
              <w:right w:val="outset" w:sz="6" w:space="0" w:color="auto"/>
            </w:tcBorders>
            <w:vAlign w:val="center"/>
            <w:hideMark/>
          </w:tcPr>
          <w:p w14:paraId="23CE80FB"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Turpmākie trīs gadi (</w:t>
            </w:r>
            <w:proofErr w:type="spellStart"/>
            <w:r w:rsidRPr="002C234B">
              <w:rPr>
                <w:rFonts w:ascii="Times New Roman" w:eastAsia="Times New Roman" w:hAnsi="Times New Roman" w:cs="Times New Roman"/>
                <w:i/>
                <w:iCs/>
                <w:sz w:val="28"/>
                <w:szCs w:val="28"/>
                <w:lang w:eastAsia="lv-LV"/>
              </w:rPr>
              <w:t>euro</w:t>
            </w:r>
            <w:proofErr w:type="spellEnd"/>
            <w:r w:rsidRPr="002C234B">
              <w:rPr>
                <w:rFonts w:ascii="Times New Roman" w:eastAsia="Times New Roman" w:hAnsi="Times New Roman" w:cs="Times New Roman"/>
                <w:iCs/>
                <w:sz w:val="28"/>
                <w:szCs w:val="28"/>
                <w:lang w:eastAsia="lv-LV"/>
              </w:rPr>
              <w:t>)</w:t>
            </w:r>
          </w:p>
        </w:tc>
      </w:tr>
      <w:tr w:rsidR="00E5323B" w:rsidRPr="002C234B" w14:paraId="23CE8102" w14:textId="77777777" w:rsidTr="002C234B">
        <w:trPr>
          <w:tblCellSpacing w:w="15" w:type="dxa"/>
        </w:trPr>
        <w:tc>
          <w:tcPr>
            <w:tcW w:w="1857" w:type="dxa"/>
            <w:vMerge/>
            <w:tcBorders>
              <w:top w:val="outset" w:sz="6" w:space="0" w:color="auto"/>
              <w:left w:val="outset" w:sz="6" w:space="0" w:color="auto"/>
              <w:bottom w:val="outset" w:sz="6" w:space="0" w:color="auto"/>
              <w:right w:val="outset" w:sz="6" w:space="0" w:color="auto"/>
            </w:tcBorders>
            <w:vAlign w:val="center"/>
            <w:hideMark/>
          </w:tcPr>
          <w:p w14:paraId="23CE80FD"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p>
        </w:tc>
        <w:tc>
          <w:tcPr>
            <w:tcW w:w="2171" w:type="dxa"/>
            <w:gridSpan w:val="2"/>
            <w:vMerge/>
            <w:tcBorders>
              <w:top w:val="outset" w:sz="6" w:space="0" w:color="auto"/>
              <w:left w:val="outset" w:sz="6" w:space="0" w:color="auto"/>
              <w:bottom w:val="outset" w:sz="6" w:space="0" w:color="auto"/>
              <w:right w:val="outset" w:sz="6" w:space="0" w:color="auto"/>
            </w:tcBorders>
            <w:vAlign w:val="center"/>
            <w:hideMark/>
          </w:tcPr>
          <w:p w14:paraId="23CE80FE"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p>
        </w:tc>
        <w:tc>
          <w:tcPr>
            <w:tcW w:w="2180" w:type="dxa"/>
            <w:gridSpan w:val="2"/>
            <w:tcBorders>
              <w:top w:val="outset" w:sz="6" w:space="0" w:color="auto"/>
              <w:left w:val="outset" w:sz="6" w:space="0" w:color="auto"/>
              <w:bottom w:val="outset" w:sz="6" w:space="0" w:color="auto"/>
              <w:right w:val="outset" w:sz="6" w:space="0" w:color="auto"/>
            </w:tcBorders>
            <w:vAlign w:val="center"/>
            <w:hideMark/>
          </w:tcPr>
          <w:p w14:paraId="23CE80FF" w14:textId="77777777" w:rsidR="00655F2C" w:rsidRPr="002C234B" w:rsidRDefault="00DA218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2019.g.</w:t>
            </w:r>
          </w:p>
        </w:tc>
        <w:tc>
          <w:tcPr>
            <w:tcW w:w="2232" w:type="dxa"/>
            <w:gridSpan w:val="2"/>
            <w:tcBorders>
              <w:top w:val="outset" w:sz="6" w:space="0" w:color="auto"/>
              <w:left w:val="outset" w:sz="6" w:space="0" w:color="auto"/>
              <w:bottom w:val="outset" w:sz="6" w:space="0" w:color="auto"/>
              <w:right w:val="outset" w:sz="6" w:space="0" w:color="auto"/>
            </w:tcBorders>
            <w:vAlign w:val="center"/>
            <w:hideMark/>
          </w:tcPr>
          <w:p w14:paraId="23CE8100" w14:textId="77777777" w:rsidR="00655F2C" w:rsidRPr="002C234B" w:rsidRDefault="00DA218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2020.g.</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01" w14:textId="77777777" w:rsidR="00655F2C" w:rsidRPr="002C234B" w:rsidRDefault="00DA218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2021.g.</w:t>
            </w:r>
          </w:p>
        </w:tc>
      </w:tr>
      <w:tr w:rsidR="00E5323B" w:rsidRPr="002C234B" w14:paraId="23CE810B" w14:textId="77777777" w:rsidTr="002C234B">
        <w:trPr>
          <w:tblCellSpacing w:w="15" w:type="dxa"/>
        </w:trPr>
        <w:tc>
          <w:tcPr>
            <w:tcW w:w="1857" w:type="dxa"/>
            <w:vMerge/>
            <w:tcBorders>
              <w:top w:val="outset" w:sz="6" w:space="0" w:color="auto"/>
              <w:left w:val="outset" w:sz="6" w:space="0" w:color="auto"/>
              <w:bottom w:val="outset" w:sz="6" w:space="0" w:color="auto"/>
              <w:right w:val="outset" w:sz="6" w:space="0" w:color="auto"/>
            </w:tcBorders>
            <w:vAlign w:val="center"/>
            <w:hideMark/>
          </w:tcPr>
          <w:p w14:paraId="23CE8103"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04" w14:textId="77777777" w:rsidR="00655F2C" w:rsidRPr="002C234B" w:rsidRDefault="00E5323B" w:rsidP="00E5323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saskaņā ar valsts budžetu kārtējam gadam</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05" w14:textId="77777777" w:rsidR="00655F2C" w:rsidRPr="002C234B" w:rsidRDefault="00E5323B" w:rsidP="00E5323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izmaiņas kārtējā gadā, salīdzinot ar valsts budžetu kārtējam gadam</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06" w14:textId="77777777" w:rsidR="00655F2C" w:rsidRPr="002C234B" w:rsidRDefault="00E5323B" w:rsidP="00E5323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saskaņā ar vidēja termiņa budžeta ietvaru</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07" w14:textId="21AC0F72" w:rsidR="00655F2C" w:rsidRPr="002C234B" w:rsidRDefault="00E5323B" w:rsidP="00C757D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 xml:space="preserve">izmaiņas, salīdzinot ar vidēja termiņa budžeta ietvaru </w:t>
            </w:r>
            <w:r w:rsidR="00C757DB" w:rsidRPr="002C234B">
              <w:rPr>
                <w:rFonts w:ascii="Times New Roman" w:eastAsia="Times New Roman" w:hAnsi="Times New Roman" w:cs="Times New Roman"/>
                <w:iCs/>
                <w:sz w:val="24"/>
                <w:szCs w:val="24"/>
                <w:lang w:eastAsia="lv-LV"/>
              </w:rPr>
              <w:t>2019.</w:t>
            </w:r>
            <w:r w:rsidRPr="002C234B">
              <w:rPr>
                <w:rFonts w:ascii="Times New Roman" w:eastAsia="Times New Roman" w:hAnsi="Times New Roman" w:cs="Times New Roman"/>
                <w:iCs/>
                <w:sz w:val="24"/>
                <w:szCs w:val="24"/>
                <w:lang w:eastAsia="lv-LV"/>
              </w:rPr>
              <w:t xml:space="preserve"> gadam</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08" w14:textId="77777777" w:rsidR="00655F2C" w:rsidRPr="002C234B" w:rsidRDefault="00E5323B" w:rsidP="00E5323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saskaņā ar vidēja termiņa budžeta ietvaru</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09" w14:textId="09B8C18C" w:rsidR="00655F2C" w:rsidRPr="002C234B" w:rsidRDefault="00E5323B" w:rsidP="00C757D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 xml:space="preserve">izmaiņas, salīdzinot ar vidēja termiņa budžeta ietvaru </w:t>
            </w:r>
            <w:r w:rsidR="00C757DB" w:rsidRPr="002C234B">
              <w:rPr>
                <w:rFonts w:ascii="Times New Roman" w:eastAsia="Times New Roman" w:hAnsi="Times New Roman" w:cs="Times New Roman"/>
                <w:iCs/>
                <w:sz w:val="24"/>
                <w:szCs w:val="24"/>
                <w:lang w:eastAsia="lv-LV"/>
              </w:rPr>
              <w:t>2020.</w:t>
            </w:r>
            <w:r w:rsidRPr="002C234B">
              <w:rPr>
                <w:rFonts w:ascii="Times New Roman" w:eastAsia="Times New Roman" w:hAnsi="Times New Roman" w:cs="Times New Roman"/>
                <w:iCs/>
                <w:sz w:val="24"/>
                <w:szCs w:val="24"/>
                <w:lang w:eastAsia="lv-LV"/>
              </w:rPr>
              <w:t xml:space="preserve"> gadam</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0A" w14:textId="7C15A6AA" w:rsidR="00655F2C" w:rsidRPr="002C234B" w:rsidRDefault="00E5323B" w:rsidP="00C757DB">
            <w:pPr>
              <w:spacing w:after="0" w:line="240" w:lineRule="auto"/>
              <w:rPr>
                <w:rFonts w:ascii="Times New Roman" w:eastAsia="Times New Roman" w:hAnsi="Times New Roman" w:cs="Times New Roman"/>
                <w:iCs/>
                <w:sz w:val="24"/>
                <w:szCs w:val="24"/>
                <w:lang w:eastAsia="lv-LV"/>
              </w:rPr>
            </w:pPr>
            <w:r w:rsidRPr="002C234B">
              <w:rPr>
                <w:rFonts w:ascii="Times New Roman" w:eastAsia="Times New Roman" w:hAnsi="Times New Roman" w:cs="Times New Roman"/>
                <w:iCs/>
                <w:sz w:val="24"/>
                <w:szCs w:val="24"/>
                <w:lang w:eastAsia="lv-LV"/>
              </w:rPr>
              <w:t xml:space="preserve">izmaiņas, salīdzinot ar vidēja termiņa budžeta ietvaru </w:t>
            </w:r>
            <w:r w:rsidR="00C757DB" w:rsidRPr="002C234B">
              <w:rPr>
                <w:rFonts w:ascii="Times New Roman" w:eastAsia="Times New Roman" w:hAnsi="Times New Roman" w:cs="Times New Roman"/>
                <w:iCs/>
                <w:sz w:val="24"/>
                <w:szCs w:val="24"/>
                <w:lang w:eastAsia="lv-LV"/>
              </w:rPr>
              <w:t>2021.</w:t>
            </w:r>
            <w:r w:rsidRPr="002C234B">
              <w:rPr>
                <w:rFonts w:ascii="Times New Roman" w:eastAsia="Times New Roman" w:hAnsi="Times New Roman" w:cs="Times New Roman"/>
                <w:iCs/>
                <w:sz w:val="24"/>
                <w:szCs w:val="24"/>
                <w:lang w:eastAsia="lv-LV"/>
              </w:rPr>
              <w:t xml:space="preserve"> gadam</w:t>
            </w:r>
          </w:p>
        </w:tc>
      </w:tr>
      <w:tr w:rsidR="00E5323B" w:rsidRPr="002C234B" w14:paraId="23CE8114"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vAlign w:val="center"/>
            <w:hideMark/>
          </w:tcPr>
          <w:p w14:paraId="23CE810C"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0D"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0E"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0F"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4</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10"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11"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6</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12"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7</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13"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8</w:t>
            </w:r>
          </w:p>
        </w:tc>
      </w:tr>
      <w:tr w:rsidR="00F35C05" w:rsidRPr="002C234B" w14:paraId="23CE811D"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1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1. Budžeta ieņēmumi</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16" w14:textId="5FFD456F"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4 536 828</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17" w14:textId="2BEBBFB0"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18" w14:textId="512DB04C"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4 137 550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19" w14:textId="52E370CB"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1A" w14:textId="77B4E69F"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4 137 550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1B" w14:textId="13989408"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1C" w14:textId="2009156F"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r>
      <w:tr w:rsidR="00F35C05" w:rsidRPr="002C234B" w14:paraId="23CE8126"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1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1.1. valsts pamatbudžets, tai skaitā ieņēmumi no maksas pakalpojumiem un citi pašu ieņēmumi</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1F" w14:textId="6D511111"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4 536 828</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20" w14:textId="181939E4"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21" w14:textId="01D08AB1"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4 137 550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22" w14:textId="25B4F97E"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23" w14:textId="260CAEBB"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4 137 550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24" w14:textId="160FBB0E"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25" w14:textId="4C51CDAB" w:rsidR="00DF098A"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w:t>
            </w:r>
          </w:p>
          <w:p w14:paraId="29F8E40F" w14:textId="794BF821" w:rsidR="00F35C05" w:rsidRPr="002C234B" w:rsidRDefault="00DF098A" w:rsidP="00DF098A">
            <w:pPr>
              <w:rPr>
                <w:rFonts w:ascii="Times New Roman" w:eastAsia="Times New Roman" w:hAnsi="Times New Roman" w:cs="Times New Roman"/>
                <w:sz w:val="28"/>
                <w:szCs w:val="28"/>
                <w:lang w:eastAsia="lv-LV"/>
              </w:rPr>
            </w:pPr>
            <w:r w:rsidRPr="002C234B">
              <w:rPr>
                <w:rFonts w:ascii="Times New Roman" w:eastAsia="Times New Roman" w:hAnsi="Times New Roman" w:cs="Times New Roman"/>
                <w:sz w:val="28"/>
                <w:szCs w:val="28"/>
                <w:lang w:eastAsia="lv-LV"/>
              </w:rPr>
              <w:t>0</w:t>
            </w:r>
          </w:p>
        </w:tc>
      </w:tr>
      <w:tr w:rsidR="00F35C05" w:rsidRPr="002C234B" w14:paraId="1A9F0562"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tcPr>
          <w:p w14:paraId="6F0E2715" w14:textId="1978EE7B"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EM budžeta apakšprogramma 29.05.00 „Valsts pētījumu programma enerģētikā”</w:t>
            </w:r>
          </w:p>
        </w:tc>
        <w:tc>
          <w:tcPr>
            <w:tcW w:w="1320" w:type="dxa"/>
            <w:tcBorders>
              <w:top w:val="outset" w:sz="6" w:space="0" w:color="auto"/>
              <w:left w:val="outset" w:sz="6" w:space="0" w:color="auto"/>
              <w:bottom w:val="outset" w:sz="6" w:space="0" w:color="auto"/>
              <w:right w:val="outset" w:sz="6" w:space="0" w:color="auto"/>
            </w:tcBorders>
            <w:vAlign w:val="center"/>
          </w:tcPr>
          <w:p w14:paraId="0CFE3257" w14:textId="369C95A3"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21" w:type="dxa"/>
            <w:tcBorders>
              <w:top w:val="outset" w:sz="6" w:space="0" w:color="auto"/>
              <w:left w:val="outset" w:sz="6" w:space="0" w:color="auto"/>
              <w:bottom w:val="outset" w:sz="6" w:space="0" w:color="auto"/>
              <w:right w:val="outset" w:sz="6" w:space="0" w:color="auto"/>
            </w:tcBorders>
            <w:vAlign w:val="center"/>
          </w:tcPr>
          <w:p w14:paraId="0EDDE1B1" w14:textId="30256CF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21" w:type="dxa"/>
            <w:tcBorders>
              <w:top w:val="outset" w:sz="6" w:space="0" w:color="auto"/>
              <w:left w:val="outset" w:sz="6" w:space="0" w:color="auto"/>
              <w:bottom w:val="outset" w:sz="6" w:space="0" w:color="auto"/>
              <w:right w:val="outset" w:sz="6" w:space="0" w:color="auto"/>
            </w:tcBorders>
            <w:vAlign w:val="center"/>
          </w:tcPr>
          <w:p w14:paraId="7127EB9C" w14:textId="26D1FA54"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29" w:type="dxa"/>
            <w:tcBorders>
              <w:top w:val="outset" w:sz="6" w:space="0" w:color="auto"/>
              <w:left w:val="outset" w:sz="6" w:space="0" w:color="auto"/>
              <w:bottom w:val="outset" w:sz="6" w:space="0" w:color="auto"/>
              <w:right w:val="outset" w:sz="6" w:space="0" w:color="auto"/>
            </w:tcBorders>
            <w:vAlign w:val="center"/>
          </w:tcPr>
          <w:p w14:paraId="2386B53D" w14:textId="6DAF564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83" w:type="dxa"/>
            <w:tcBorders>
              <w:top w:val="outset" w:sz="6" w:space="0" w:color="auto"/>
              <w:left w:val="outset" w:sz="6" w:space="0" w:color="auto"/>
              <w:bottom w:val="outset" w:sz="6" w:space="0" w:color="auto"/>
              <w:right w:val="outset" w:sz="6" w:space="0" w:color="auto"/>
            </w:tcBorders>
            <w:vAlign w:val="center"/>
          </w:tcPr>
          <w:p w14:paraId="01E3987D" w14:textId="607D1DA3"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19" w:type="dxa"/>
            <w:tcBorders>
              <w:top w:val="outset" w:sz="6" w:space="0" w:color="auto"/>
              <w:left w:val="outset" w:sz="6" w:space="0" w:color="auto"/>
              <w:bottom w:val="outset" w:sz="6" w:space="0" w:color="auto"/>
              <w:right w:val="outset" w:sz="6" w:space="0" w:color="auto"/>
            </w:tcBorders>
            <w:vAlign w:val="center"/>
          </w:tcPr>
          <w:p w14:paraId="135DB726" w14:textId="6B3E8D08"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857" w:type="dxa"/>
            <w:tcBorders>
              <w:top w:val="outset" w:sz="6" w:space="0" w:color="auto"/>
              <w:left w:val="outset" w:sz="6" w:space="0" w:color="auto"/>
              <w:bottom w:val="outset" w:sz="6" w:space="0" w:color="auto"/>
              <w:right w:val="outset" w:sz="6" w:space="0" w:color="auto"/>
            </w:tcBorders>
            <w:vAlign w:val="center"/>
          </w:tcPr>
          <w:p w14:paraId="0D47E814" w14:textId="5B49AC23"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r>
      <w:tr w:rsidR="00F35C05" w:rsidRPr="002C234B" w14:paraId="0F12C2E3"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tcPr>
          <w:p w14:paraId="3BD81B2A" w14:textId="1F6B5862"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IZM budžeta apakšprogramma 05.12.00 „Valsts pētījumu programmas”</w:t>
            </w:r>
          </w:p>
        </w:tc>
        <w:tc>
          <w:tcPr>
            <w:tcW w:w="1320" w:type="dxa"/>
            <w:tcBorders>
              <w:top w:val="outset" w:sz="6" w:space="0" w:color="auto"/>
              <w:left w:val="outset" w:sz="6" w:space="0" w:color="auto"/>
              <w:bottom w:val="outset" w:sz="6" w:space="0" w:color="auto"/>
              <w:right w:val="outset" w:sz="6" w:space="0" w:color="auto"/>
            </w:tcBorders>
            <w:vAlign w:val="center"/>
          </w:tcPr>
          <w:p w14:paraId="6C96EF13" w14:textId="130EBF54"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2 536 828</w:t>
            </w:r>
          </w:p>
        </w:tc>
        <w:tc>
          <w:tcPr>
            <w:tcW w:w="821" w:type="dxa"/>
            <w:tcBorders>
              <w:top w:val="outset" w:sz="6" w:space="0" w:color="auto"/>
              <w:left w:val="outset" w:sz="6" w:space="0" w:color="auto"/>
              <w:bottom w:val="outset" w:sz="6" w:space="0" w:color="auto"/>
              <w:right w:val="outset" w:sz="6" w:space="0" w:color="auto"/>
            </w:tcBorders>
            <w:vAlign w:val="center"/>
          </w:tcPr>
          <w:p w14:paraId="755E9D6A" w14:textId="37CEAF1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21" w:type="dxa"/>
            <w:tcBorders>
              <w:top w:val="outset" w:sz="6" w:space="0" w:color="auto"/>
              <w:left w:val="outset" w:sz="6" w:space="0" w:color="auto"/>
              <w:bottom w:val="outset" w:sz="6" w:space="0" w:color="auto"/>
              <w:right w:val="outset" w:sz="6" w:space="0" w:color="auto"/>
            </w:tcBorders>
            <w:vAlign w:val="center"/>
          </w:tcPr>
          <w:p w14:paraId="49C9F2E7" w14:textId="0F1FDA54"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2 137 550</w:t>
            </w:r>
          </w:p>
        </w:tc>
        <w:tc>
          <w:tcPr>
            <w:tcW w:w="829" w:type="dxa"/>
            <w:tcBorders>
              <w:top w:val="outset" w:sz="6" w:space="0" w:color="auto"/>
              <w:left w:val="outset" w:sz="6" w:space="0" w:color="auto"/>
              <w:bottom w:val="outset" w:sz="6" w:space="0" w:color="auto"/>
              <w:right w:val="outset" w:sz="6" w:space="0" w:color="auto"/>
            </w:tcBorders>
            <w:vAlign w:val="center"/>
          </w:tcPr>
          <w:p w14:paraId="63786A72" w14:textId="7A8DC30C"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83" w:type="dxa"/>
            <w:tcBorders>
              <w:top w:val="outset" w:sz="6" w:space="0" w:color="auto"/>
              <w:left w:val="outset" w:sz="6" w:space="0" w:color="auto"/>
              <w:bottom w:val="outset" w:sz="6" w:space="0" w:color="auto"/>
              <w:right w:val="outset" w:sz="6" w:space="0" w:color="auto"/>
            </w:tcBorders>
            <w:vAlign w:val="center"/>
          </w:tcPr>
          <w:p w14:paraId="1D989226" w14:textId="54077B3E"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2 137 550</w:t>
            </w:r>
          </w:p>
        </w:tc>
        <w:tc>
          <w:tcPr>
            <w:tcW w:w="819" w:type="dxa"/>
            <w:tcBorders>
              <w:top w:val="outset" w:sz="6" w:space="0" w:color="auto"/>
              <w:left w:val="outset" w:sz="6" w:space="0" w:color="auto"/>
              <w:bottom w:val="outset" w:sz="6" w:space="0" w:color="auto"/>
              <w:right w:val="outset" w:sz="6" w:space="0" w:color="auto"/>
            </w:tcBorders>
            <w:vAlign w:val="center"/>
          </w:tcPr>
          <w:p w14:paraId="012B8384" w14:textId="59B554BB"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857" w:type="dxa"/>
            <w:tcBorders>
              <w:top w:val="outset" w:sz="6" w:space="0" w:color="auto"/>
              <w:left w:val="outset" w:sz="6" w:space="0" w:color="auto"/>
              <w:bottom w:val="outset" w:sz="6" w:space="0" w:color="auto"/>
              <w:right w:val="outset" w:sz="6" w:space="0" w:color="auto"/>
            </w:tcBorders>
            <w:vAlign w:val="center"/>
          </w:tcPr>
          <w:p w14:paraId="7D610BE8" w14:textId="345D9A19"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r>
      <w:tr w:rsidR="00F35C05" w:rsidRPr="002C234B" w14:paraId="23CE812F"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2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1.2. valsts speciālais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2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2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2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2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2C"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2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2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38"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3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1.3. pašvaldību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3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3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33"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3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3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3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3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41"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3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Budžeta izdevumi</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3A" w14:textId="11B7FF0B"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4 536 828</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3B" w14:textId="13832157"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3C" w14:textId="0958C04F"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4 137 550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3D" w14:textId="3389964A"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3E" w14:textId="72907FC9"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4 137 550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3F" w14:textId="77777777" w:rsidR="00F35C05" w:rsidRPr="002C234B" w:rsidRDefault="00F35C05"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40" w14:textId="14DEA987" w:rsidR="00F35C05" w:rsidRPr="002C234B" w:rsidRDefault="00DF098A" w:rsidP="00F35C05">
            <w:pPr>
              <w:spacing w:after="0" w:line="240" w:lineRule="auto"/>
              <w:rPr>
                <w:rFonts w:ascii="Times New Roman" w:eastAsia="Times New Roman" w:hAnsi="Times New Roman" w:cs="Times New Roman"/>
                <w:b/>
                <w:iCs/>
                <w:sz w:val="28"/>
                <w:szCs w:val="28"/>
                <w:lang w:eastAsia="lv-LV"/>
              </w:rPr>
            </w:pPr>
            <w:r w:rsidRPr="002C234B">
              <w:rPr>
                <w:rFonts w:ascii="Times New Roman" w:eastAsia="Times New Roman" w:hAnsi="Times New Roman" w:cs="Times New Roman"/>
                <w:b/>
                <w:iCs/>
                <w:sz w:val="28"/>
                <w:szCs w:val="28"/>
                <w:lang w:eastAsia="lv-LV"/>
              </w:rPr>
              <w:t xml:space="preserve"> </w:t>
            </w:r>
            <w:r w:rsidR="00F35C05" w:rsidRPr="002C234B">
              <w:rPr>
                <w:rFonts w:ascii="Times New Roman" w:eastAsia="Times New Roman" w:hAnsi="Times New Roman" w:cs="Times New Roman"/>
                <w:b/>
                <w:iCs/>
                <w:sz w:val="28"/>
                <w:szCs w:val="28"/>
                <w:lang w:eastAsia="lv-LV"/>
              </w:rPr>
              <w:t>0</w:t>
            </w:r>
          </w:p>
        </w:tc>
      </w:tr>
      <w:tr w:rsidR="00F35C05" w:rsidRPr="002C234B" w14:paraId="23CE814A"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4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2.1. valsts pamatbudžets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43" w14:textId="1D6749C1"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4 536 828</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4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45" w14:textId="7FC9A42C"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4 137 550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4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47" w14:textId="613E6A6E"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4 137 550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4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49" w14:textId="3D1A6ABF"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407576E6"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tcPr>
          <w:p w14:paraId="02F6DA26" w14:textId="1DF5434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EM budžeta apakšprogramma 29.05.00 „Valsts pētījumu programma enerģētikā”</w:t>
            </w:r>
          </w:p>
        </w:tc>
        <w:tc>
          <w:tcPr>
            <w:tcW w:w="1320" w:type="dxa"/>
            <w:tcBorders>
              <w:top w:val="outset" w:sz="6" w:space="0" w:color="auto"/>
              <w:left w:val="outset" w:sz="6" w:space="0" w:color="auto"/>
              <w:bottom w:val="outset" w:sz="6" w:space="0" w:color="auto"/>
              <w:right w:val="outset" w:sz="6" w:space="0" w:color="auto"/>
            </w:tcBorders>
            <w:vAlign w:val="center"/>
          </w:tcPr>
          <w:p w14:paraId="531B9AE0" w14:textId="01056FC9"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21" w:type="dxa"/>
            <w:tcBorders>
              <w:top w:val="outset" w:sz="6" w:space="0" w:color="auto"/>
              <w:left w:val="outset" w:sz="6" w:space="0" w:color="auto"/>
              <w:bottom w:val="outset" w:sz="6" w:space="0" w:color="auto"/>
              <w:right w:val="outset" w:sz="6" w:space="0" w:color="auto"/>
            </w:tcBorders>
            <w:vAlign w:val="center"/>
          </w:tcPr>
          <w:p w14:paraId="6511709F" w14:textId="343BCBF5"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21" w:type="dxa"/>
            <w:tcBorders>
              <w:top w:val="outset" w:sz="6" w:space="0" w:color="auto"/>
              <w:left w:val="outset" w:sz="6" w:space="0" w:color="auto"/>
              <w:bottom w:val="outset" w:sz="6" w:space="0" w:color="auto"/>
              <w:right w:val="outset" w:sz="6" w:space="0" w:color="auto"/>
            </w:tcBorders>
            <w:vAlign w:val="center"/>
          </w:tcPr>
          <w:p w14:paraId="691A6E28" w14:textId="48912C4D"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29" w:type="dxa"/>
            <w:tcBorders>
              <w:top w:val="outset" w:sz="6" w:space="0" w:color="auto"/>
              <w:left w:val="outset" w:sz="6" w:space="0" w:color="auto"/>
              <w:bottom w:val="outset" w:sz="6" w:space="0" w:color="auto"/>
              <w:right w:val="outset" w:sz="6" w:space="0" w:color="auto"/>
            </w:tcBorders>
            <w:vAlign w:val="center"/>
          </w:tcPr>
          <w:p w14:paraId="3600F209" w14:textId="3D496D9B"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83" w:type="dxa"/>
            <w:tcBorders>
              <w:top w:val="outset" w:sz="6" w:space="0" w:color="auto"/>
              <w:left w:val="outset" w:sz="6" w:space="0" w:color="auto"/>
              <w:bottom w:val="outset" w:sz="6" w:space="0" w:color="auto"/>
              <w:right w:val="outset" w:sz="6" w:space="0" w:color="auto"/>
            </w:tcBorders>
            <w:vAlign w:val="center"/>
          </w:tcPr>
          <w:p w14:paraId="5D52269F" w14:textId="009CD978"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2 000 000</w:t>
            </w:r>
          </w:p>
        </w:tc>
        <w:tc>
          <w:tcPr>
            <w:tcW w:w="819" w:type="dxa"/>
            <w:tcBorders>
              <w:top w:val="outset" w:sz="6" w:space="0" w:color="auto"/>
              <w:left w:val="outset" w:sz="6" w:space="0" w:color="auto"/>
              <w:bottom w:val="outset" w:sz="6" w:space="0" w:color="auto"/>
              <w:right w:val="outset" w:sz="6" w:space="0" w:color="auto"/>
            </w:tcBorders>
            <w:vAlign w:val="center"/>
          </w:tcPr>
          <w:p w14:paraId="33A09C6C" w14:textId="7A9EE879"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857" w:type="dxa"/>
            <w:tcBorders>
              <w:top w:val="outset" w:sz="6" w:space="0" w:color="auto"/>
              <w:left w:val="outset" w:sz="6" w:space="0" w:color="auto"/>
              <w:bottom w:val="outset" w:sz="6" w:space="0" w:color="auto"/>
              <w:right w:val="outset" w:sz="6" w:space="0" w:color="auto"/>
            </w:tcBorders>
            <w:vAlign w:val="center"/>
          </w:tcPr>
          <w:p w14:paraId="339D9BF9" w14:textId="37ECFE52"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r>
      <w:tr w:rsidR="00F35C05" w:rsidRPr="002C234B" w14:paraId="4B9E7F4B"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tcPr>
          <w:p w14:paraId="3CFA55A1" w14:textId="06176CD6"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IZM budžeta apakšprogram</w:t>
            </w:r>
            <w:r w:rsidRPr="002C234B">
              <w:rPr>
                <w:rFonts w:ascii="Times New Roman" w:eastAsia="Times New Roman" w:hAnsi="Times New Roman" w:cs="Times New Roman"/>
                <w:iCs/>
                <w:sz w:val="28"/>
                <w:szCs w:val="28"/>
                <w:lang w:eastAsia="lv-LV"/>
              </w:rPr>
              <w:lastRenderedPageBreak/>
              <w:t>ma 05.12.00 „Valsts pētījumu programmas”</w:t>
            </w:r>
          </w:p>
        </w:tc>
        <w:tc>
          <w:tcPr>
            <w:tcW w:w="1320" w:type="dxa"/>
            <w:tcBorders>
              <w:top w:val="outset" w:sz="6" w:space="0" w:color="auto"/>
              <w:left w:val="outset" w:sz="6" w:space="0" w:color="auto"/>
              <w:bottom w:val="outset" w:sz="6" w:space="0" w:color="auto"/>
              <w:right w:val="outset" w:sz="6" w:space="0" w:color="auto"/>
            </w:tcBorders>
            <w:vAlign w:val="center"/>
          </w:tcPr>
          <w:p w14:paraId="6AB3D09C" w14:textId="5E5EC42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2 536 828</w:t>
            </w:r>
          </w:p>
        </w:tc>
        <w:tc>
          <w:tcPr>
            <w:tcW w:w="821" w:type="dxa"/>
            <w:tcBorders>
              <w:top w:val="outset" w:sz="6" w:space="0" w:color="auto"/>
              <w:left w:val="outset" w:sz="6" w:space="0" w:color="auto"/>
              <w:bottom w:val="outset" w:sz="6" w:space="0" w:color="auto"/>
              <w:right w:val="outset" w:sz="6" w:space="0" w:color="auto"/>
            </w:tcBorders>
            <w:vAlign w:val="center"/>
          </w:tcPr>
          <w:p w14:paraId="0F56E9AF" w14:textId="750C3A8F"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21" w:type="dxa"/>
            <w:tcBorders>
              <w:top w:val="outset" w:sz="6" w:space="0" w:color="auto"/>
              <w:left w:val="outset" w:sz="6" w:space="0" w:color="auto"/>
              <w:bottom w:val="outset" w:sz="6" w:space="0" w:color="auto"/>
              <w:right w:val="outset" w:sz="6" w:space="0" w:color="auto"/>
            </w:tcBorders>
            <w:vAlign w:val="center"/>
          </w:tcPr>
          <w:p w14:paraId="144F9F77" w14:textId="462088AC"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2 137 550</w:t>
            </w:r>
          </w:p>
        </w:tc>
        <w:tc>
          <w:tcPr>
            <w:tcW w:w="829" w:type="dxa"/>
            <w:tcBorders>
              <w:top w:val="outset" w:sz="6" w:space="0" w:color="auto"/>
              <w:left w:val="outset" w:sz="6" w:space="0" w:color="auto"/>
              <w:bottom w:val="outset" w:sz="6" w:space="0" w:color="auto"/>
              <w:right w:val="outset" w:sz="6" w:space="0" w:color="auto"/>
            </w:tcBorders>
            <w:vAlign w:val="center"/>
          </w:tcPr>
          <w:p w14:paraId="4DA5573F" w14:textId="44FEB2B1"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83" w:type="dxa"/>
            <w:tcBorders>
              <w:top w:val="outset" w:sz="6" w:space="0" w:color="auto"/>
              <w:left w:val="outset" w:sz="6" w:space="0" w:color="auto"/>
              <w:bottom w:val="outset" w:sz="6" w:space="0" w:color="auto"/>
              <w:right w:val="outset" w:sz="6" w:space="0" w:color="auto"/>
            </w:tcBorders>
            <w:vAlign w:val="center"/>
          </w:tcPr>
          <w:p w14:paraId="5B10DC82" w14:textId="022FC3B9"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2 137 550</w:t>
            </w:r>
          </w:p>
        </w:tc>
        <w:tc>
          <w:tcPr>
            <w:tcW w:w="819" w:type="dxa"/>
            <w:tcBorders>
              <w:top w:val="outset" w:sz="6" w:space="0" w:color="auto"/>
              <w:left w:val="outset" w:sz="6" w:space="0" w:color="auto"/>
              <w:bottom w:val="outset" w:sz="6" w:space="0" w:color="auto"/>
              <w:right w:val="outset" w:sz="6" w:space="0" w:color="auto"/>
            </w:tcBorders>
            <w:vAlign w:val="center"/>
          </w:tcPr>
          <w:p w14:paraId="30E85227" w14:textId="0E1299B2"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857" w:type="dxa"/>
            <w:tcBorders>
              <w:top w:val="outset" w:sz="6" w:space="0" w:color="auto"/>
              <w:left w:val="outset" w:sz="6" w:space="0" w:color="auto"/>
              <w:bottom w:val="outset" w:sz="6" w:space="0" w:color="auto"/>
              <w:right w:val="outset" w:sz="6" w:space="0" w:color="auto"/>
            </w:tcBorders>
            <w:vAlign w:val="center"/>
          </w:tcPr>
          <w:p w14:paraId="1CE839E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p w14:paraId="1400FFA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p w14:paraId="04788D6A" w14:textId="5554299E"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0</w:t>
            </w:r>
          </w:p>
          <w:p w14:paraId="5BA45D5C" w14:textId="619E4A54"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r>
      <w:tr w:rsidR="00F35C05" w:rsidRPr="002C234B" w14:paraId="23CE8153"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4B" w14:textId="761B0E1A"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2.2. valsts speciālais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4C"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4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4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4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5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5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5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5C"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5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2.3. pašvaldību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5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5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5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5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5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5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5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65"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5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 Finansiālā ietekme</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5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5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6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6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6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63"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6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6E"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6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3.1. valsts pamatbudžets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6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6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6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6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6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6C"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6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77"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6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3.2. speciālais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7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7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7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73"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7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7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7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80"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7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3.3. pašvaldību budžets</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7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7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7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7C"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7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7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7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89"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8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4. Finanšu līdzekļi papildu izdevumu finansēšanai (kompensējošu izdevumu samazinājumu norāda ar "+" zīmi)</w:t>
            </w:r>
          </w:p>
        </w:tc>
        <w:tc>
          <w:tcPr>
            <w:tcW w:w="1320" w:type="dxa"/>
            <w:tcBorders>
              <w:top w:val="outset" w:sz="6" w:space="0" w:color="auto"/>
              <w:left w:val="outset" w:sz="6" w:space="0" w:color="auto"/>
              <w:bottom w:val="outset" w:sz="6" w:space="0" w:color="auto"/>
              <w:right w:val="outset" w:sz="6" w:space="0" w:color="auto"/>
            </w:tcBorders>
            <w:vAlign w:val="center"/>
            <w:hideMark/>
          </w:tcPr>
          <w:p w14:paraId="23CE8182"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83"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tc>
        <w:tc>
          <w:tcPr>
            <w:tcW w:w="1321" w:type="dxa"/>
            <w:tcBorders>
              <w:top w:val="outset" w:sz="6" w:space="0" w:color="auto"/>
              <w:left w:val="outset" w:sz="6" w:space="0" w:color="auto"/>
              <w:bottom w:val="outset" w:sz="6" w:space="0" w:color="auto"/>
              <w:right w:val="outset" w:sz="6" w:space="0" w:color="auto"/>
            </w:tcBorders>
            <w:vAlign w:val="center"/>
            <w:hideMark/>
          </w:tcPr>
          <w:p w14:paraId="23CE8184"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85"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tc>
        <w:tc>
          <w:tcPr>
            <w:tcW w:w="1383" w:type="dxa"/>
            <w:tcBorders>
              <w:top w:val="outset" w:sz="6" w:space="0" w:color="auto"/>
              <w:left w:val="outset" w:sz="6" w:space="0" w:color="auto"/>
              <w:bottom w:val="outset" w:sz="6" w:space="0" w:color="auto"/>
              <w:right w:val="outset" w:sz="6" w:space="0" w:color="auto"/>
            </w:tcBorders>
            <w:vAlign w:val="center"/>
            <w:hideMark/>
          </w:tcPr>
          <w:p w14:paraId="23CE8186"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8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8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w:t>
            </w:r>
          </w:p>
        </w:tc>
      </w:tr>
      <w:tr w:rsidR="00F35C05" w:rsidRPr="002C234B" w14:paraId="23CE81A1"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8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 Precizēta finansiālā ietekme</w:t>
            </w:r>
          </w:p>
        </w:tc>
        <w:tc>
          <w:tcPr>
            <w:tcW w:w="1320" w:type="dxa"/>
            <w:vMerge w:val="restart"/>
            <w:tcBorders>
              <w:top w:val="outset" w:sz="6" w:space="0" w:color="auto"/>
              <w:left w:val="outset" w:sz="6" w:space="0" w:color="auto"/>
              <w:bottom w:val="outset" w:sz="6" w:space="0" w:color="auto"/>
              <w:right w:val="outset" w:sz="6" w:space="0" w:color="auto"/>
            </w:tcBorders>
            <w:vAlign w:val="center"/>
            <w:hideMark/>
          </w:tcPr>
          <w:p w14:paraId="23CE818B"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8C"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8D"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8E"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8F"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0"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91"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21" w:type="dxa"/>
            <w:vMerge w:val="restart"/>
            <w:tcBorders>
              <w:top w:val="outset" w:sz="6" w:space="0" w:color="auto"/>
              <w:left w:val="outset" w:sz="6" w:space="0" w:color="auto"/>
              <w:bottom w:val="outset" w:sz="6" w:space="0" w:color="auto"/>
              <w:right w:val="outset" w:sz="6" w:space="0" w:color="auto"/>
            </w:tcBorders>
            <w:vAlign w:val="center"/>
            <w:hideMark/>
          </w:tcPr>
          <w:p w14:paraId="23CE8192"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3"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4"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5"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6"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7"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98"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0</w:t>
            </w:r>
          </w:p>
        </w:tc>
        <w:tc>
          <w:tcPr>
            <w:tcW w:w="1383" w:type="dxa"/>
            <w:vMerge w:val="restart"/>
            <w:tcBorders>
              <w:top w:val="outset" w:sz="6" w:space="0" w:color="auto"/>
              <w:left w:val="outset" w:sz="6" w:space="0" w:color="auto"/>
              <w:bottom w:val="outset" w:sz="6" w:space="0" w:color="auto"/>
              <w:right w:val="outset" w:sz="6" w:space="0" w:color="auto"/>
            </w:tcBorders>
            <w:vAlign w:val="center"/>
            <w:hideMark/>
          </w:tcPr>
          <w:p w14:paraId="23CE8199"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A"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B"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C"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D"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p>
          <w:p w14:paraId="23CE819E" w14:textId="77777777"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X</w:t>
            </w: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9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A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AA"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A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5.1. valsts pamatbudžets</w:t>
            </w:r>
          </w:p>
        </w:tc>
        <w:tc>
          <w:tcPr>
            <w:tcW w:w="1320" w:type="dxa"/>
            <w:vMerge/>
            <w:tcBorders>
              <w:top w:val="outset" w:sz="6" w:space="0" w:color="auto"/>
              <w:left w:val="outset" w:sz="6" w:space="0" w:color="auto"/>
              <w:bottom w:val="outset" w:sz="6" w:space="0" w:color="auto"/>
              <w:right w:val="outset" w:sz="6" w:space="0" w:color="auto"/>
            </w:tcBorders>
            <w:vAlign w:val="center"/>
            <w:hideMark/>
          </w:tcPr>
          <w:p w14:paraId="23CE81A3"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A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vMerge/>
            <w:tcBorders>
              <w:top w:val="outset" w:sz="6" w:space="0" w:color="auto"/>
              <w:left w:val="outset" w:sz="6" w:space="0" w:color="auto"/>
              <w:bottom w:val="outset" w:sz="6" w:space="0" w:color="auto"/>
              <w:right w:val="outset" w:sz="6" w:space="0" w:color="auto"/>
            </w:tcBorders>
            <w:vAlign w:val="center"/>
            <w:hideMark/>
          </w:tcPr>
          <w:p w14:paraId="23CE81A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A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3CE81A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A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A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B3"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A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5.2. speciālais budžets</w:t>
            </w:r>
          </w:p>
        </w:tc>
        <w:tc>
          <w:tcPr>
            <w:tcW w:w="1320" w:type="dxa"/>
            <w:vMerge/>
            <w:tcBorders>
              <w:top w:val="outset" w:sz="6" w:space="0" w:color="auto"/>
              <w:left w:val="outset" w:sz="6" w:space="0" w:color="auto"/>
              <w:bottom w:val="outset" w:sz="6" w:space="0" w:color="auto"/>
              <w:right w:val="outset" w:sz="6" w:space="0" w:color="auto"/>
            </w:tcBorders>
            <w:vAlign w:val="center"/>
            <w:hideMark/>
          </w:tcPr>
          <w:p w14:paraId="23CE81AC"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A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vMerge/>
            <w:tcBorders>
              <w:top w:val="outset" w:sz="6" w:space="0" w:color="auto"/>
              <w:left w:val="outset" w:sz="6" w:space="0" w:color="auto"/>
              <w:bottom w:val="outset" w:sz="6" w:space="0" w:color="auto"/>
              <w:right w:val="outset" w:sz="6" w:space="0" w:color="auto"/>
            </w:tcBorders>
            <w:vAlign w:val="center"/>
            <w:hideMark/>
          </w:tcPr>
          <w:p w14:paraId="23CE81A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AF"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3CE81B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B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B2"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BC"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B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5.3. pašvaldību budžets</w:t>
            </w:r>
          </w:p>
        </w:tc>
        <w:tc>
          <w:tcPr>
            <w:tcW w:w="1320" w:type="dxa"/>
            <w:vMerge/>
            <w:tcBorders>
              <w:top w:val="outset" w:sz="6" w:space="0" w:color="auto"/>
              <w:left w:val="outset" w:sz="6" w:space="0" w:color="auto"/>
              <w:bottom w:val="outset" w:sz="6" w:space="0" w:color="auto"/>
              <w:right w:val="outset" w:sz="6" w:space="0" w:color="auto"/>
            </w:tcBorders>
            <w:vAlign w:val="center"/>
            <w:hideMark/>
          </w:tcPr>
          <w:p w14:paraId="23CE81B5"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1" w:type="dxa"/>
            <w:tcBorders>
              <w:top w:val="outset" w:sz="6" w:space="0" w:color="auto"/>
              <w:left w:val="outset" w:sz="6" w:space="0" w:color="auto"/>
              <w:bottom w:val="outset" w:sz="6" w:space="0" w:color="auto"/>
              <w:right w:val="outset" w:sz="6" w:space="0" w:color="auto"/>
            </w:tcBorders>
            <w:vAlign w:val="center"/>
            <w:hideMark/>
          </w:tcPr>
          <w:p w14:paraId="23CE81B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21" w:type="dxa"/>
            <w:vMerge/>
            <w:tcBorders>
              <w:top w:val="outset" w:sz="6" w:space="0" w:color="auto"/>
              <w:left w:val="outset" w:sz="6" w:space="0" w:color="auto"/>
              <w:bottom w:val="outset" w:sz="6" w:space="0" w:color="auto"/>
              <w:right w:val="outset" w:sz="6" w:space="0" w:color="auto"/>
            </w:tcBorders>
            <w:vAlign w:val="center"/>
            <w:hideMark/>
          </w:tcPr>
          <w:p w14:paraId="23CE81B7"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29" w:type="dxa"/>
            <w:tcBorders>
              <w:top w:val="outset" w:sz="6" w:space="0" w:color="auto"/>
              <w:left w:val="outset" w:sz="6" w:space="0" w:color="auto"/>
              <w:bottom w:val="outset" w:sz="6" w:space="0" w:color="auto"/>
              <w:right w:val="outset" w:sz="6" w:space="0" w:color="auto"/>
            </w:tcBorders>
            <w:vAlign w:val="center"/>
            <w:hideMark/>
          </w:tcPr>
          <w:p w14:paraId="23CE81B8"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1383" w:type="dxa"/>
            <w:vMerge/>
            <w:tcBorders>
              <w:top w:val="outset" w:sz="6" w:space="0" w:color="auto"/>
              <w:left w:val="outset" w:sz="6" w:space="0" w:color="auto"/>
              <w:bottom w:val="outset" w:sz="6" w:space="0" w:color="auto"/>
              <w:right w:val="outset" w:sz="6" w:space="0" w:color="auto"/>
            </w:tcBorders>
            <w:vAlign w:val="center"/>
            <w:hideMark/>
          </w:tcPr>
          <w:p w14:paraId="23CE81B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c>
          <w:tcPr>
            <w:tcW w:w="819" w:type="dxa"/>
            <w:tcBorders>
              <w:top w:val="outset" w:sz="6" w:space="0" w:color="auto"/>
              <w:left w:val="outset" w:sz="6" w:space="0" w:color="auto"/>
              <w:bottom w:val="outset" w:sz="6" w:space="0" w:color="auto"/>
              <w:right w:val="outset" w:sz="6" w:space="0" w:color="auto"/>
            </w:tcBorders>
            <w:vAlign w:val="center"/>
            <w:hideMark/>
          </w:tcPr>
          <w:p w14:paraId="23CE81BA"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c>
          <w:tcPr>
            <w:tcW w:w="857" w:type="dxa"/>
            <w:tcBorders>
              <w:top w:val="outset" w:sz="6" w:space="0" w:color="auto"/>
              <w:left w:val="outset" w:sz="6" w:space="0" w:color="auto"/>
              <w:bottom w:val="outset" w:sz="6" w:space="0" w:color="auto"/>
              <w:right w:val="outset" w:sz="6" w:space="0" w:color="auto"/>
            </w:tcBorders>
            <w:vAlign w:val="center"/>
            <w:hideMark/>
          </w:tcPr>
          <w:p w14:paraId="23CE81BB"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0</w:t>
            </w:r>
          </w:p>
        </w:tc>
      </w:tr>
      <w:tr w:rsidR="00F35C05" w:rsidRPr="002C234B" w14:paraId="23CE81BF"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BD"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6. Detalizēts ieņēmumu un izdevumu aprēķins (ja nepieciešams, </w:t>
            </w:r>
            <w:r w:rsidRPr="002C234B">
              <w:rPr>
                <w:rFonts w:ascii="Times New Roman" w:eastAsia="Times New Roman" w:hAnsi="Times New Roman" w:cs="Times New Roman"/>
                <w:iCs/>
                <w:sz w:val="28"/>
                <w:szCs w:val="28"/>
                <w:lang w:eastAsia="lv-LV"/>
              </w:rPr>
              <w:lastRenderedPageBreak/>
              <w:t>detalizētu ieņēmumu un izdevumu aprēķinu var pievienot anotācijas pielikumā)</w:t>
            </w:r>
          </w:p>
        </w:tc>
        <w:tc>
          <w:tcPr>
            <w:tcW w:w="7530" w:type="dxa"/>
            <w:gridSpan w:val="7"/>
            <w:vMerge w:val="restart"/>
            <w:tcBorders>
              <w:top w:val="outset" w:sz="6" w:space="0" w:color="auto"/>
              <w:left w:val="outset" w:sz="6" w:space="0" w:color="auto"/>
              <w:bottom w:val="outset" w:sz="6" w:space="0" w:color="auto"/>
              <w:right w:val="outset" w:sz="6" w:space="0" w:color="auto"/>
            </w:tcBorders>
            <w:vAlign w:val="center"/>
            <w:hideMark/>
          </w:tcPr>
          <w:p w14:paraId="23CE81BE"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 </w:t>
            </w:r>
          </w:p>
        </w:tc>
      </w:tr>
      <w:tr w:rsidR="00F35C05" w:rsidRPr="002C234B" w14:paraId="23CE81C2"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C0"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6.1. detalizēts ieņēmumu aprēķins</w:t>
            </w:r>
          </w:p>
        </w:tc>
        <w:tc>
          <w:tcPr>
            <w:tcW w:w="7530" w:type="dxa"/>
            <w:gridSpan w:val="7"/>
            <w:vMerge/>
            <w:tcBorders>
              <w:top w:val="outset" w:sz="6" w:space="0" w:color="auto"/>
              <w:left w:val="outset" w:sz="6" w:space="0" w:color="auto"/>
              <w:bottom w:val="outset" w:sz="6" w:space="0" w:color="auto"/>
              <w:right w:val="outset" w:sz="6" w:space="0" w:color="auto"/>
            </w:tcBorders>
            <w:vAlign w:val="center"/>
            <w:hideMark/>
          </w:tcPr>
          <w:p w14:paraId="23CE81C1"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r>
      <w:tr w:rsidR="00F35C05" w:rsidRPr="002C234B" w14:paraId="23CE81C5"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C3"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6.2. detalizēts izdevumu aprēķins</w:t>
            </w:r>
          </w:p>
        </w:tc>
        <w:tc>
          <w:tcPr>
            <w:tcW w:w="7530" w:type="dxa"/>
            <w:gridSpan w:val="7"/>
            <w:vMerge/>
            <w:tcBorders>
              <w:top w:val="outset" w:sz="6" w:space="0" w:color="auto"/>
              <w:left w:val="outset" w:sz="6" w:space="0" w:color="auto"/>
              <w:bottom w:val="outset" w:sz="6" w:space="0" w:color="auto"/>
              <w:right w:val="outset" w:sz="6" w:space="0" w:color="auto"/>
            </w:tcBorders>
            <w:vAlign w:val="center"/>
            <w:hideMark/>
          </w:tcPr>
          <w:p w14:paraId="23CE81C4"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p>
        </w:tc>
      </w:tr>
      <w:tr w:rsidR="00F35C05" w:rsidRPr="002C234B" w14:paraId="23CE81C8" w14:textId="77777777" w:rsidTr="002C234B">
        <w:trPr>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C6"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7. Amata vietu skaita izmaiņas</w:t>
            </w:r>
          </w:p>
        </w:tc>
        <w:tc>
          <w:tcPr>
            <w:tcW w:w="7530" w:type="dxa"/>
            <w:gridSpan w:val="7"/>
            <w:tcBorders>
              <w:top w:val="outset" w:sz="6" w:space="0" w:color="auto"/>
              <w:left w:val="outset" w:sz="6" w:space="0" w:color="auto"/>
              <w:bottom w:val="outset" w:sz="6" w:space="0" w:color="auto"/>
              <w:right w:val="outset" w:sz="6" w:space="0" w:color="auto"/>
            </w:tcBorders>
            <w:hideMark/>
          </w:tcPr>
          <w:p w14:paraId="23CE81C7" w14:textId="243847B0" w:rsidR="00F35C05" w:rsidRPr="002C234B" w:rsidRDefault="00F35C05" w:rsidP="00F35C05">
            <w:pPr>
              <w:spacing w:after="0" w:line="240" w:lineRule="auto"/>
              <w:jc w:val="center"/>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 paredzēts palielināt amata vietu skaitu.</w:t>
            </w:r>
          </w:p>
        </w:tc>
      </w:tr>
      <w:tr w:rsidR="00F35C05" w:rsidRPr="002C234B" w14:paraId="23CE81CD" w14:textId="77777777" w:rsidTr="002C234B">
        <w:trPr>
          <w:trHeight w:val="548"/>
          <w:tblCellSpacing w:w="15" w:type="dxa"/>
        </w:trPr>
        <w:tc>
          <w:tcPr>
            <w:tcW w:w="1857" w:type="dxa"/>
            <w:tcBorders>
              <w:top w:val="outset" w:sz="6" w:space="0" w:color="auto"/>
              <w:left w:val="outset" w:sz="6" w:space="0" w:color="auto"/>
              <w:bottom w:val="outset" w:sz="6" w:space="0" w:color="auto"/>
              <w:right w:val="outset" w:sz="6" w:space="0" w:color="auto"/>
            </w:tcBorders>
            <w:hideMark/>
          </w:tcPr>
          <w:p w14:paraId="23CE81C9" w14:textId="77777777" w:rsidR="00F35C05" w:rsidRPr="002C234B" w:rsidRDefault="00F35C05" w:rsidP="00F35C05">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8. Cita informācija</w:t>
            </w:r>
          </w:p>
        </w:tc>
        <w:tc>
          <w:tcPr>
            <w:tcW w:w="7530" w:type="dxa"/>
            <w:gridSpan w:val="7"/>
            <w:tcBorders>
              <w:top w:val="outset" w:sz="6" w:space="0" w:color="auto"/>
              <w:left w:val="outset" w:sz="6" w:space="0" w:color="auto"/>
              <w:bottom w:val="outset" w:sz="6" w:space="0" w:color="auto"/>
              <w:right w:val="outset" w:sz="6" w:space="0" w:color="auto"/>
            </w:tcBorders>
            <w:hideMark/>
          </w:tcPr>
          <w:p w14:paraId="23CE81CA" w14:textId="77777777" w:rsidR="00F35C05" w:rsidRPr="002C234B" w:rsidRDefault="00F35C05" w:rsidP="00F35C05">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Programmas projektus nozares ministrijas finansēs no tām  piešķirtajiem valsts budžeta līdzekļiem zinātnes finansēšanai.</w:t>
            </w:r>
          </w:p>
          <w:p w14:paraId="23CE81CB" w14:textId="02045173" w:rsidR="00F35C05" w:rsidRPr="002C234B" w:rsidRDefault="00F35C05" w:rsidP="00F35C05">
            <w:pPr>
              <w:spacing w:after="0" w:line="240" w:lineRule="auto"/>
              <w:jc w:val="both"/>
              <w:rPr>
                <w:rFonts w:ascii="Times New Roman" w:eastAsia="Calibri" w:hAnsi="Times New Roman" w:cs="Times New Roman"/>
                <w:iCs/>
                <w:sz w:val="28"/>
                <w:szCs w:val="28"/>
              </w:rPr>
            </w:pPr>
            <w:r w:rsidRPr="002C234B">
              <w:rPr>
                <w:rFonts w:ascii="Times New Roman" w:eastAsia="Calibri" w:hAnsi="Times New Roman" w:cs="Times New Roman"/>
                <w:sz w:val="28"/>
                <w:szCs w:val="28"/>
              </w:rPr>
              <w:t>Izglītības un zinātnes ministrija programmas Letonikā un Latviešu valodā</w:t>
            </w:r>
            <w:r w:rsidRPr="002C234B">
              <w:rPr>
                <w:rFonts w:ascii="Times New Roman" w:eastAsia="Times New Roman" w:hAnsi="Times New Roman" w:cs="Times New Roman"/>
                <w:sz w:val="28"/>
                <w:szCs w:val="28"/>
                <w:lang w:eastAsia="lv-LV"/>
              </w:rPr>
              <w:t xml:space="preserve"> </w:t>
            </w:r>
            <w:r w:rsidRPr="002C234B">
              <w:rPr>
                <w:rFonts w:ascii="Times New Roman" w:eastAsia="Calibri" w:hAnsi="Times New Roman" w:cs="Times New Roman"/>
                <w:sz w:val="28"/>
                <w:szCs w:val="28"/>
              </w:rPr>
              <w:t xml:space="preserve">finansēs no  </w:t>
            </w:r>
            <w:r w:rsidRPr="002C234B">
              <w:rPr>
                <w:rFonts w:ascii="Times New Roman" w:eastAsia="Times New Roman" w:hAnsi="Times New Roman" w:cs="Times New Roman"/>
                <w:sz w:val="28"/>
                <w:szCs w:val="28"/>
                <w:lang w:eastAsia="lv-LV"/>
              </w:rPr>
              <w:t xml:space="preserve">Izglītības un zinātnes ministrijas valsts budžeta programmas 05.00.00 “Zinātne” apakšprogrammas </w:t>
            </w:r>
            <w:r w:rsidRPr="002C234B">
              <w:rPr>
                <w:rFonts w:ascii="Times New Roman" w:eastAsia="Calibri" w:hAnsi="Times New Roman" w:cs="Times New Roman"/>
                <w:sz w:val="28"/>
                <w:szCs w:val="28"/>
              </w:rPr>
              <w:t xml:space="preserve">05.12.00 “Valsts pētījumu programmas”. Apakšprogrammā 05.12.00 “Valsts pētījumu programmas” </w:t>
            </w:r>
            <w:r w:rsidR="0016494D" w:rsidRPr="002C234B">
              <w:rPr>
                <w:rFonts w:ascii="Times New Roman" w:eastAsia="Calibri" w:hAnsi="Times New Roman" w:cs="Times New Roman"/>
                <w:sz w:val="28"/>
                <w:szCs w:val="28"/>
              </w:rPr>
              <w:t>plānots finansējums</w:t>
            </w:r>
            <w:r w:rsidRPr="002C234B">
              <w:rPr>
                <w:rFonts w:ascii="Times New Roman" w:eastAsia="Calibri" w:hAnsi="Times New Roman" w:cs="Times New Roman"/>
                <w:sz w:val="28"/>
                <w:szCs w:val="28"/>
              </w:rPr>
              <w:t xml:space="preserve"> </w:t>
            </w:r>
            <w:r w:rsidR="0016494D" w:rsidRPr="002C234B">
              <w:rPr>
                <w:rFonts w:ascii="Times New Roman" w:eastAsia="Calibri" w:hAnsi="Times New Roman" w:cs="Times New Roman"/>
                <w:iCs/>
                <w:sz w:val="28"/>
                <w:szCs w:val="28"/>
              </w:rPr>
              <w:t>2 536 </w:t>
            </w:r>
            <w:r w:rsidRPr="002C234B">
              <w:rPr>
                <w:rFonts w:ascii="Times New Roman" w:eastAsia="Calibri" w:hAnsi="Times New Roman" w:cs="Times New Roman"/>
                <w:iCs/>
                <w:sz w:val="28"/>
                <w:szCs w:val="28"/>
              </w:rPr>
              <w:t>828</w:t>
            </w:r>
            <w:r w:rsidRPr="002C234B">
              <w:rPr>
                <w:rFonts w:ascii="Times New Roman" w:eastAsia="Calibri" w:hAnsi="Times New Roman" w:cs="Times New Roman"/>
                <w:sz w:val="28"/>
                <w:szCs w:val="28"/>
              </w:rPr>
              <w:t xml:space="preserve"> </w:t>
            </w:r>
            <w:proofErr w:type="spellStart"/>
            <w:r w:rsidRPr="002C234B">
              <w:rPr>
                <w:rFonts w:ascii="Times New Roman" w:eastAsia="Calibri" w:hAnsi="Times New Roman" w:cs="Times New Roman"/>
                <w:i/>
                <w:sz w:val="28"/>
                <w:szCs w:val="28"/>
              </w:rPr>
              <w:t>euro</w:t>
            </w:r>
            <w:proofErr w:type="spellEnd"/>
            <w:r w:rsidR="0016494D" w:rsidRPr="002C234B">
              <w:rPr>
                <w:rFonts w:ascii="Times New Roman" w:eastAsia="Calibri" w:hAnsi="Times New Roman" w:cs="Times New Roman"/>
                <w:i/>
                <w:sz w:val="28"/>
                <w:szCs w:val="28"/>
              </w:rPr>
              <w:t xml:space="preserve"> apmērā</w:t>
            </w:r>
            <w:r w:rsidRPr="002C234B">
              <w:rPr>
                <w:rFonts w:ascii="Times New Roman" w:eastAsia="Calibri" w:hAnsi="Times New Roman" w:cs="Times New Roman"/>
                <w:i/>
                <w:sz w:val="28"/>
                <w:szCs w:val="28"/>
              </w:rPr>
              <w:t xml:space="preserve"> </w:t>
            </w:r>
            <w:r w:rsidRPr="002C234B">
              <w:rPr>
                <w:rFonts w:ascii="Times New Roman" w:eastAsia="Calibri" w:hAnsi="Times New Roman" w:cs="Times New Roman"/>
                <w:sz w:val="28"/>
                <w:szCs w:val="28"/>
              </w:rPr>
              <w:t xml:space="preserve">2018.gadā,  </w:t>
            </w:r>
            <w:r w:rsidRPr="002C234B">
              <w:rPr>
                <w:rFonts w:ascii="Times New Roman" w:eastAsia="Calibri" w:hAnsi="Times New Roman" w:cs="Times New Roman"/>
                <w:iCs/>
                <w:sz w:val="28"/>
                <w:szCs w:val="28"/>
              </w:rPr>
              <w:t xml:space="preserve">2 137 550 </w:t>
            </w:r>
            <w:proofErr w:type="spellStart"/>
            <w:r w:rsidRPr="002C234B">
              <w:rPr>
                <w:rFonts w:ascii="Times New Roman" w:eastAsia="Calibri" w:hAnsi="Times New Roman" w:cs="Times New Roman"/>
                <w:i/>
                <w:iCs/>
                <w:sz w:val="28"/>
                <w:szCs w:val="28"/>
              </w:rPr>
              <w:t>euro</w:t>
            </w:r>
            <w:proofErr w:type="spellEnd"/>
            <w:r w:rsidR="0016494D" w:rsidRPr="002C234B">
              <w:rPr>
                <w:rFonts w:ascii="Times New Roman" w:eastAsia="Calibri" w:hAnsi="Times New Roman" w:cs="Times New Roman"/>
                <w:iCs/>
                <w:sz w:val="28"/>
                <w:szCs w:val="28"/>
              </w:rPr>
              <w:t xml:space="preserve"> apmērā</w:t>
            </w:r>
            <w:r w:rsidRPr="002C234B">
              <w:rPr>
                <w:rFonts w:ascii="Times New Roman" w:eastAsia="Calibri" w:hAnsi="Times New Roman" w:cs="Times New Roman"/>
                <w:iCs/>
                <w:sz w:val="28"/>
                <w:szCs w:val="28"/>
              </w:rPr>
              <w:t xml:space="preserve"> 2019.gadā un 2 137 550 </w:t>
            </w:r>
            <w:proofErr w:type="spellStart"/>
            <w:r w:rsidRPr="002C234B">
              <w:rPr>
                <w:rFonts w:ascii="Times New Roman" w:eastAsia="Calibri" w:hAnsi="Times New Roman" w:cs="Times New Roman"/>
                <w:i/>
                <w:iCs/>
                <w:sz w:val="28"/>
                <w:szCs w:val="28"/>
              </w:rPr>
              <w:t>euro</w:t>
            </w:r>
            <w:proofErr w:type="spellEnd"/>
            <w:r w:rsidRPr="002C234B">
              <w:rPr>
                <w:rFonts w:ascii="Times New Roman" w:eastAsia="Calibri" w:hAnsi="Times New Roman" w:cs="Times New Roman"/>
                <w:iCs/>
                <w:sz w:val="28"/>
                <w:szCs w:val="28"/>
              </w:rPr>
              <w:t xml:space="preserve"> </w:t>
            </w:r>
            <w:r w:rsidR="0016494D" w:rsidRPr="002C234B">
              <w:rPr>
                <w:rFonts w:ascii="Times New Roman" w:eastAsia="Calibri" w:hAnsi="Times New Roman" w:cs="Times New Roman"/>
                <w:iCs/>
                <w:sz w:val="28"/>
                <w:szCs w:val="28"/>
              </w:rPr>
              <w:t xml:space="preserve">apmērā </w:t>
            </w:r>
            <w:r w:rsidRPr="002C234B">
              <w:rPr>
                <w:rFonts w:ascii="Times New Roman" w:eastAsia="Calibri" w:hAnsi="Times New Roman" w:cs="Times New Roman"/>
                <w:iCs/>
                <w:sz w:val="28"/>
                <w:szCs w:val="28"/>
              </w:rPr>
              <w:t xml:space="preserve">un 2 137 550 </w:t>
            </w:r>
            <w:proofErr w:type="spellStart"/>
            <w:r w:rsidRPr="002C234B">
              <w:rPr>
                <w:rFonts w:ascii="Times New Roman" w:eastAsia="Calibri" w:hAnsi="Times New Roman" w:cs="Times New Roman"/>
                <w:i/>
                <w:iCs/>
                <w:sz w:val="28"/>
                <w:szCs w:val="28"/>
              </w:rPr>
              <w:t>euro</w:t>
            </w:r>
            <w:proofErr w:type="spellEnd"/>
            <w:r w:rsidRPr="002C234B">
              <w:rPr>
                <w:rFonts w:ascii="Times New Roman" w:eastAsia="Calibri" w:hAnsi="Times New Roman" w:cs="Times New Roman"/>
                <w:iCs/>
                <w:sz w:val="28"/>
                <w:szCs w:val="28"/>
              </w:rPr>
              <w:t xml:space="preserve"> </w:t>
            </w:r>
            <w:r w:rsidR="0016494D" w:rsidRPr="002C234B">
              <w:rPr>
                <w:rFonts w:ascii="Times New Roman" w:eastAsia="Calibri" w:hAnsi="Times New Roman" w:cs="Times New Roman"/>
                <w:iCs/>
                <w:sz w:val="28"/>
                <w:szCs w:val="28"/>
              </w:rPr>
              <w:t xml:space="preserve"> apmērā </w:t>
            </w:r>
            <w:r w:rsidRPr="002C234B">
              <w:rPr>
                <w:rFonts w:ascii="Times New Roman" w:eastAsia="Calibri" w:hAnsi="Times New Roman" w:cs="Times New Roman"/>
                <w:iCs/>
                <w:sz w:val="28"/>
                <w:szCs w:val="28"/>
              </w:rPr>
              <w:t>2021.gadā.</w:t>
            </w:r>
          </w:p>
          <w:p w14:paraId="23CE81CC" w14:textId="515DBCA4" w:rsidR="00F35C05" w:rsidRPr="002C234B" w:rsidRDefault="00F35C05" w:rsidP="00F35C05">
            <w:pPr>
              <w:spacing w:after="0" w:line="240" w:lineRule="auto"/>
              <w:jc w:val="both"/>
              <w:rPr>
                <w:rFonts w:ascii="Times New Roman" w:eastAsia="Calibri" w:hAnsi="Times New Roman" w:cs="Times New Roman"/>
                <w:sz w:val="28"/>
                <w:szCs w:val="28"/>
              </w:rPr>
            </w:pPr>
            <w:r w:rsidRPr="002C234B">
              <w:rPr>
                <w:rFonts w:ascii="Times New Roman" w:eastAsia="Times New Roman" w:hAnsi="Times New Roman" w:cs="Times New Roman"/>
                <w:sz w:val="28"/>
                <w:szCs w:val="28"/>
                <w:lang w:eastAsia="lv-LV"/>
              </w:rPr>
              <w:t>Programmas enerģētikas jomā īstenošanai ar likuma “</w:t>
            </w:r>
            <w:r w:rsidRPr="002C234B">
              <w:rPr>
                <w:rFonts w:ascii="Times New Roman" w:eastAsia="Times New Roman" w:hAnsi="Times New Roman" w:cs="Times New Roman"/>
                <w:bCs/>
                <w:sz w:val="28"/>
                <w:szCs w:val="28"/>
                <w:lang w:eastAsia="lv-LV"/>
              </w:rPr>
              <w:t>Par valsts budžetu 2018. gadam” 52.pantu</w:t>
            </w:r>
            <w:r w:rsidRPr="002C234B">
              <w:rPr>
                <w:rFonts w:ascii="Times New Roman" w:eastAsia="Times New Roman" w:hAnsi="Times New Roman" w:cs="Times New Roman"/>
                <w:sz w:val="28"/>
                <w:szCs w:val="28"/>
                <w:lang w:eastAsia="lv-LV"/>
              </w:rPr>
              <w:t xml:space="preserve"> ir novirzīti 2 000 000 </w:t>
            </w:r>
            <w:proofErr w:type="spellStart"/>
            <w:r w:rsidRPr="002C234B">
              <w:rPr>
                <w:rFonts w:ascii="Times New Roman" w:eastAsia="Times New Roman" w:hAnsi="Times New Roman" w:cs="Times New Roman"/>
                <w:i/>
                <w:sz w:val="28"/>
                <w:szCs w:val="28"/>
                <w:lang w:eastAsia="lv-LV"/>
              </w:rPr>
              <w:t>euro</w:t>
            </w:r>
            <w:proofErr w:type="spellEnd"/>
            <w:r w:rsidRPr="002C234B">
              <w:rPr>
                <w:rFonts w:ascii="Times New Roman" w:eastAsia="Times New Roman" w:hAnsi="Times New Roman" w:cs="Times New Roman"/>
                <w:sz w:val="28"/>
                <w:szCs w:val="28"/>
                <w:lang w:eastAsia="lv-LV"/>
              </w:rPr>
              <w:t xml:space="preserve"> Ekonomikas ministrijas budžeta apakšprogrammā 29.05.00 "Valsts pētījumu programma enerģētikā" un ar </w:t>
            </w:r>
            <w:r w:rsidRPr="002C234B">
              <w:rPr>
                <w:rFonts w:ascii="Times New Roman" w:eastAsia="Times New Roman" w:hAnsi="Times New Roman" w:cs="Times New Roman"/>
                <w:bCs/>
                <w:sz w:val="28"/>
                <w:szCs w:val="28"/>
                <w:lang w:eastAsia="lv-LV"/>
              </w:rPr>
              <w:t xml:space="preserve">likuma “Par vidēja termiņa budžeta ietvaru 2018., 2019. un 2020. gadam” 23.pantu ir noteikts, ka </w:t>
            </w:r>
            <w:r w:rsidRPr="002C234B">
              <w:rPr>
                <w:rFonts w:ascii="Times New Roman" w:eastAsia="Times New Roman" w:hAnsi="Times New Roman" w:cs="Times New Roman"/>
                <w:sz w:val="28"/>
                <w:szCs w:val="28"/>
                <w:lang w:eastAsia="lv-LV"/>
              </w:rPr>
              <w:t xml:space="preserve">Ekonomikas ministrijas budžetā izdevumu segšanai tiek novirzīti 2 000 000 </w:t>
            </w:r>
            <w:proofErr w:type="spellStart"/>
            <w:r w:rsidRPr="002C234B">
              <w:rPr>
                <w:rFonts w:ascii="Times New Roman" w:eastAsia="Times New Roman" w:hAnsi="Times New Roman" w:cs="Times New Roman"/>
                <w:i/>
                <w:iCs/>
                <w:sz w:val="28"/>
                <w:szCs w:val="28"/>
                <w:lang w:eastAsia="lv-LV"/>
              </w:rPr>
              <w:t>euro</w:t>
            </w:r>
            <w:proofErr w:type="spellEnd"/>
            <w:r w:rsidRPr="002C234B">
              <w:rPr>
                <w:rFonts w:ascii="Times New Roman" w:eastAsia="Times New Roman" w:hAnsi="Times New Roman" w:cs="Times New Roman"/>
                <w:sz w:val="28"/>
                <w:szCs w:val="28"/>
                <w:lang w:eastAsia="lv-LV"/>
              </w:rPr>
              <w:t xml:space="preserve"> ik gadu valsts pētījumu programmai enerģētikā.</w:t>
            </w:r>
          </w:p>
        </w:tc>
      </w:tr>
    </w:tbl>
    <w:p w14:paraId="23CE81CE"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9"/>
        <w:gridCol w:w="5864"/>
      </w:tblGrid>
      <w:tr w:rsidR="00E5323B" w:rsidRPr="002C234B" w14:paraId="23CE81D0" w14:textId="77777777" w:rsidTr="002C234B">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3CE81CF"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IV. Tiesību akta projekta ietekme uz spēkā esošo tiesību normu sistēmu</w:t>
            </w:r>
          </w:p>
        </w:tc>
      </w:tr>
      <w:tr w:rsidR="00E5323B" w:rsidRPr="002C234B" w14:paraId="23CE81D4"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D1"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601" w:type="pct"/>
            <w:tcBorders>
              <w:top w:val="outset" w:sz="6" w:space="0" w:color="auto"/>
              <w:left w:val="outset" w:sz="6" w:space="0" w:color="auto"/>
              <w:bottom w:val="outset" w:sz="6" w:space="0" w:color="auto"/>
              <w:right w:val="outset" w:sz="6" w:space="0" w:color="auto"/>
            </w:tcBorders>
            <w:hideMark/>
          </w:tcPr>
          <w:p w14:paraId="23CE81D2"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Saistītie tiesību aktu projekti</w:t>
            </w:r>
          </w:p>
        </w:tc>
        <w:tc>
          <w:tcPr>
            <w:tcW w:w="3054" w:type="pct"/>
            <w:tcBorders>
              <w:top w:val="outset" w:sz="6" w:space="0" w:color="auto"/>
              <w:left w:val="outset" w:sz="6" w:space="0" w:color="auto"/>
              <w:bottom w:val="outset" w:sz="6" w:space="0" w:color="auto"/>
              <w:right w:val="outset" w:sz="6" w:space="0" w:color="auto"/>
            </w:tcBorders>
            <w:hideMark/>
          </w:tcPr>
          <w:p w14:paraId="23CE81D3" w14:textId="77777777" w:rsidR="00E5323B" w:rsidRPr="002C234B" w:rsidRDefault="004F3DFE" w:rsidP="004F3DFE">
            <w:pPr>
              <w:spacing w:after="0" w:line="240" w:lineRule="auto"/>
              <w:jc w:val="both"/>
              <w:rPr>
                <w:rFonts w:ascii="Times New Roman" w:eastAsia="Times New Roman" w:hAnsi="Times New Roman" w:cs="Times New Roman"/>
                <w:bCs/>
                <w:sz w:val="28"/>
                <w:szCs w:val="28"/>
                <w:lang w:eastAsia="lv-LV"/>
              </w:rPr>
            </w:pPr>
            <w:r w:rsidRPr="002C234B">
              <w:rPr>
                <w:rFonts w:ascii="Times New Roman" w:eastAsia="Times New Roman" w:hAnsi="Times New Roman" w:cs="Times New Roman"/>
                <w:iCs/>
                <w:sz w:val="28"/>
                <w:szCs w:val="28"/>
                <w:lang w:eastAsia="lv-LV"/>
              </w:rPr>
              <w:t xml:space="preserve">Noteikumu projekts ir saistīts ar </w:t>
            </w:r>
            <w:r w:rsidRPr="002C234B">
              <w:rPr>
                <w:rFonts w:ascii="Times New Roman" w:eastAsia="Times New Roman" w:hAnsi="Times New Roman" w:cs="Times New Roman"/>
                <w:bCs/>
                <w:sz w:val="28"/>
                <w:szCs w:val="28"/>
                <w:lang w:eastAsia="lv-LV"/>
              </w:rPr>
              <w:t>likumprojektu “Grozījumi Zinātniskās darbības likumā”</w:t>
            </w:r>
            <w:r w:rsidR="009A20C9" w:rsidRPr="002C234B">
              <w:rPr>
                <w:rFonts w:ascii="Times New Roman" w:eastAsia="Times New Roman" w:hAnsi="Times New Roman" w:cs="Times New Roman"/>
                <w:bCs/>
                <w:sz w:val="28"/>
                <w:szCs w:val="28"/>
                <w:lang w:eastAsia="lv-LV"/>
              </w:rPr>
              <w:t xml:space="preserve"> (izskatīts Ministru kabineta 2018.gada 22.maija sēdē (prot. Nr.25 24.§; iesniegts Saeimā 2018.gada 29.maijā Nr.1279/lp12), </w:t>
            </w:r>
            <w:r w:rsidRPr="002C234B">
              <w:rPr>
                <w:rFonts w:ascii="Times New Roman" w:eastAsia="Times New Roman" w:hAnsi="Times New Roman" w:cs="Times New Roman"/>
                <w:bCs/>
                <w:sz w:val="28"/>
                <w:szCs w:val="28"/>
                <w:lang w:eastAsia="lv-LV"/>
              </w:rPr>
              <w:t xml:space="preserve">kura 3.pants nosaka deleģējumu Ministru kabinetam noteikt </w:t>
            </w:r>
            <w:r w:rsidRPr="002C234B">
              <w:rPr>
                <w:rFonts w:ascii="Times New Roman" w:hAnsi="Times New Roman" w:cs="Times New Roman"/>
                <w:sz w:val="28"/>
                <w:szCs w:val="28"/>
              </w:rPr>
              <w:t xml:space="preserve">valsts pētījumu programmu projektu pieteikšanas, ekspertīzes, īstenošanas, finansēšanas un valsts pētījumu </w:t>
            </w:r>
            <w:r w:rsidRPr="002C234B">
              <w:rPr>
                <w:rFonts w:ascii="Times New Roman" w:hAnsi="Times New Roman" w:cs="Times New Roman"/>
                <w:sz w:val="28"/>
                <w:szCs w:val="28"/>
              </w:rPr>
              <w:lastRenderedPageBreak/>
              <w:t>programmu projektu īstenošanai piešķirto finanšu līdzekļu izlietojuma kontroles kārtību.</w:t>
            </w:r>
          </w:p>
        </w:tc>
      </w:tr>
      <w:tr w:rsidR="00E5323B" w:rsidRPr="002C234B" w14:paraId="23CE81D8"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D5"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2.</w:t>
            </w:r>
          </w:p>
        </w:tc>
        <w:tc>
          <w:tcPr>
            <w:tcW w:w="1601" w:type="pct"/>
            <w:tcBorders>
              <w:top w:val="outset" w:sz="6" w:space="0" w:color="auto"/>
              <w:left w:val="outset" w:sz="6" w:space="0" w:color="auto"/>
              <w:bottom w:val="outset" w:sz="6" w:space="0" w:color="auto"/>
              <w:right w:val="outset" w:sz="6" w:space="0" w:color="auto"/>
            </w:tcBorders>
            <w:hideMark/>
          </w:tcPr>
          <w:p w14:paraId="23CE81D6"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Atbildīgā institūcija</w:t>
            </w:r>
          </w:p>
        </w:tc>
        <w:tc>
          <w:tcPr>
            <w:tcW w:w="3054" w:type="pct"/>
            <w:tcBorders>
              <w:top w:val="outset" w:sz="6" w:space="0" w:color="auto"/>
              <w:left w:val="outset" w:sz="6" w:space="0" w:color="auto"/>
              <w:bottom w:val="outset" w:sz="6" w:space="0" w:color="auto"/>
              <w:right w:val="outset" w:sz="6" w:space="0" w:color="auto"/>
            </w:tcBorders>
            <w:hideMark/>
          </w:tcPr>
          <w:p w14:paraId="23CE81D7" w14:textId="72906B04" w:rsidR="00E5323B" w:rsidRPr="002C234B" w:rsidRDefault="004F3DFE"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Izglītības un zinātnes ministrija</w:t>
            </w:r>
            <w:r w:rsidR="00721C4E" w:rsidRPr="002C234B">
              <w:rPr>
                <w:rFonts w:ascii="Times New Roman" w:eastAsia="Times New Roman" w:hAnsi="Times New Roman" w:cs="Times New Roman"/>
                <w:iCs/>
                <w:sz w:val="28"/>
                <w:szCs w:val="28"/>
                <w:lang w:eastAsia="lv-LV"/>
              </w:rPr>
              <w:t>.</w:t>
            </w:r>
          </w:p>
        </w:tc>
      </w:tr>
      <w:tr w:rsidR="00C32D14" w:rsidRPr="002C234B" w14:paraId="23CE81DC"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D9"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w:t>
            </w:r>
          </w:p>
        </w:tc>
        <w:tc>
          <w:tcPr>
            <w:tcW w:w="1601" w:type="pct"/>
            <w:tcBorders>
              <w:top w:val="outset" w:sz="6" w:space="0" w:color="auto"/>
              <w:left w:val="outset" w:sz="6" w:space="0" w:color="auto"/>
              <w:bottom w:val="outset" w:sz="6" w:space="0" w:color="auto"/>
              <w:right w:val="outset" w:sz="6" w:space="0" w:color="auto"/>
            </w:tcBorders>
            <w:hideMark/>
          </w:tcPr>
          <w:p w14:paraId="23CE81DA"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054" w:type="pct"/>
            <w:tcBorders>
              <w:top w:val="outset" w:sz="6" w:space="0" w:color="auto"/>
              <w:left w:val="outset" w:sz="6" w:space="0" w:color="auto"/>
              <w:bottom w:val="outset" w:sz="6" w:space="0" w:color="auto"/>
              <w:right w:val="outset" w:sz="6" w:space="0" w:color="auto"/>
            </w:tcBorders>
            <w:hideMark/>
          </w:tcPr>
          <w:p w14:paraId="23CE81DB" w14:textId="77777777" w:rsidR="00E5323B" w:rsidRPr="002C234B" w:rsidRDefault="00957937" w:rsidP="009A20C9">
            <w:pPr>
              <w:spacing w:after="0" w:line="240" w:lineRule="auto"/>
              <w:jc w:val="both"/>
              <w:rPr>
                <w:rFonts w:ascii="Times New Roman" w:eastAsia="Times New Roman" w:hAnsi="Times New Roman" w:cs="Times New Roman"/>
                <w:iCs/>
                <w:sz w:val="28"/>
                <w:szCs w:val="28"/>
                <w:lang w:eastAsia="lv-LV"/>
              </w:rPr>
            </w:pPr>
            <w:r w:rsidRPr="002C234B">
              <w:rPr>
                <w:rFonts w:ascii="Times New Roman" w:hAnsi="Times New Roman"/>
                <w:bCs/>
                <w:sz w:val="28"/>
                <w:szCs w:val="28"/>
              </w:rPr>
              <w:t xml:space="preserve">Noteikumu projekts būs attiecināms uz jaunām programmām. Uz 2014. - 2017.gada programmu īstenošanas laiku (līdz 2018.gada 31.decembrim) </w:t>
            </w:r>
            <w:r w:rsidR="009A20C9" w:rsidRPr="002C234B">
              <w:rPr>
                <w:rFonts w:ascii="Times New Roman" w:hAnsi="Times New Roman"/>
                <w:bCs/>
                <w:sz w:val="28"/>
                <w:szCs w:val="28"/>
              </w:rPr>
              <w:t>ir</w:t>
            </w:r>
            <w:r w:rsidRPr="002C234B">
              <w:rPr>
                <w:rFonts w:ascii="Times New Roman" w:hAnsi="Times New Roman"/>
                <w:bCs/>
                <w:sz w:val="28"/>
                <w:szCs w:val="28"/>
              </w:rPr>
              <w:t xml:space="preserve"> spēkā Ministru kabineta </w:t>
            </w:r>
            <w:r w:rsidRPr="002C234B">
              <w:rPr>
                <w:rFonts w:ascii="Times New Roman" w:hAnsi="Times New Roman"/>
                <w:sz w:val="28"/>
                <w:szCs w:val="28"/>
              </w:rPr>
              <w:t xml:space="preserve">2006.gada 30.maijā </w:t>
            </w:r>
            <w:r w:rsidRPr="002C234B">
              <w:rPr>
                <w:rFonts w:ascii="Times New Roman" w:hAnsi="Times New Roman"/>
                <w:bCs/>
                <w:sz w:val="28"/>
                <w:szCs w:val="28"/>
              </w:rPr>
              <w:t>noteikumi Nr.443</w:t>
            </w:r>
            <w:r w:rsidRPr="002C234B">
              <w:rPr>
                <w:rFonts w:ascii="Times New Roman" w:hAnsi="Times New Roman"/>
                <w:sz w:val="28"/>
                <w:szCs w:val="28"/>
              </w:rPr>
              <w:t xml:space="preserve"> </w:t>
            </w:r>
            <w:r w:rsidRPr="002C234B">
              <w:rPr>
                <w:rFonts w:ascii="Times New Roman" w:hAnsi="Times New Roman"/>
                <w:bCs/>
                <w:sz w:val="28"/>
                <w:szCs w:val="28"/>
              </w:rPr>
              <w:t xml:space="preserve">“Valsts pētījumu programmu pieteikšanas, ekspertīzes un finansēšanas kārtība” un Ministru kabineta </w:t>
            </w:r>
            <w:r w:rsidRPr="002C234B">
              <w:rPr>
                <w:rFonts w:ascii="Times New Roman" w:hAnsi="Times New Roman"/>
                <w:sz w:val="28"/>
                <w:szCs w:val="28"/>
              </w:rPr>
              <w:t xml:space="preserve">2014.gada 30.septembra </w:t>
            </w:r>
            <w:r w:rsidRPr="002C234B">
              <w:rPr>
                <w:rFonts w:ascii="Times New Roman" w:hAnsi="Times New Roman"/>
                <w:bCs/>
                <w:sz w:val="28"/>
                <w:szCs w:val="28"/>
              </w:rPr>
              <w:t>noteikumi Nr.597</w:t>
            </w:r>
            <w:r w:rsidRPr="002C234B">
              <w:rPr>
                <w:rFonts w:ascii="Times New Roman" w:hAnsi="Times New Roman"/>
                <w:sz w:val="28"/>
                <w:szCs w:val="28"/>
              </w:rPr>
              <w:t xml:space="preserve"> </w:t>
            </w:r>
            <w:r w:rsidRPr="002C234B">
              <w:rPr>
                <w:rFonts w:ascii="Times New Roman" w:hAnsi="Times New Roman"/>
                <w:bCs/>
                <w:sz w:val="28"/>
                <w:szCs w:val="28"/>
              </w:rPr>
              <w:t xml:space="preserve">“Kārtība, kādā veic valsts pētījumu programmu īstenošanai piešķirto finanšu līdzekļu izlietojuma kontroli”. 2014.-2017.gada programmu īstenošanas termiņš līdz 2018.gada 31.decembrim ir noteikts, </w:t>
            </w:r>
            <w:r w:rsidRPr="002C234B">
              <w:rPr>
                <w:rFonts w:ascii="Times New Roman" w:hAnsi="Times New Roman"/>
                <w:sz w:val="28"/>
                <w:szCs w:val="28"/>
              </w:rPr>
              <w:t>pamatojoties uz Ministru kabineta 2014. gada 7. oktobra rīkojumu Nr. 559 “Par papildu valsts pētījumu programmām” 10.punktu un Ministru kabineta 2014. gada 7. oktobra rīkojumu Nr. 558 “Par valsts pētījumu programmām” 8.punktu.</w:t>
            </w:r>
          </w:p>
        </w:tc>
      </w:tr>
    </w:tbl>
    <w:p w14:paraId="23CE81DD"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9"/>
        <w:gridCol w:w="5864"/>
      </w:tblGrid>
      <w:tr w:rsidR="00C32D14" w:rsidRPr="002C234B" w14:paraId="23CE81DF" w14:textId="77777777" w:rsidTr="002C234B">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3CE81DE"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V. Tiesību akta projekta atbilstība Latvijas Republikas starptautiskajām saistībām</w:t>
            </w:r>
          </w:p>
        </w:tc>
      </w:tr>
      <w:tr w:rsidR="00C32D14" w:rsidRPr="002C234B" w14:paraId="23CE81E4"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E0"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601" w:type="pct"/>
            <w:tcBorders>
              <w:top w:val="outset" w:sz="6" w:space="0" w:color="auto"/>
              <w:left w:val="outset" w:sz="6" w:space="0" w:color="auto"/>
              <w:bottom w:val="outset" w:sz="6" w:space="0" w:color="auto"/>
              <w:right w:val="outset" w:sz="6" w:space="0" w:color="auto"/>
            </w:tcBorders>
            <w:hideMark/>
          </w:tcPr>
          <w:p w14:paraId="23CE81E1"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Saistības pret Eiropas Savienību</w:t>
            </w:r>
          </w:p>
        </w:tc>
        <w:tc>
          <w:tcPr>
            <w:tcW w:w="3054" w:type="pct"/>
            <w:tcBorders>
              <w:top w:val="outset" w:sz="6" w:space="0" w:color="auto"/>
              <w:left w:val="outset" w:sz="6" w:space="0" w:color="auto"/>
              <w:bottom w:val="outset" w:sz="6" w:space="0" w:color="auto"/>
              <w:right w:val="outset" w:sz="6" w:space="0" w:color="auto"/>
            </w:tcBorders>
            <w:hideMark/>
          </w:tcPr>
          <w:p w14:paraId="23CE81E2" w14:textId="77777777" w:rsidR="00E5323B" w:rsidRPr="002C234B" w:rsidRDefault="009A20C9" w:rsidP="00957937">
            <w:pPr>
              <w:spacing w:after="0" w:line="240" w:lineRule="auto"/>
              <w:jc w:val="both"/>
              <w:rPr>
                <w:rFonts w:ascii="Times New Roman" w:hAnsi="Times New Roman" w:cs="Times New Roman"/>
                <w:sz w:val="28"/>
                <w:szCs w:val="28"/>
                <w:lang w:eastAsia="lv-LV"/>
              </w:rPr>
            </w:pPr>
            <w:r w:rsidRPr="002C234B">
              <w:rPr>
                <w:rFonts w:ascii="Times New Roman" w:hAnsi="Times New Roman" w:cs="Times New Roman"/>
                <w:sz w:val="28"/>
                <w:szCs w:val="28"/>
              </w:rPr>
              <w:t>1.</w:t>
            </w:r>
            <w:r w:rsidR="00582BB6" w:rsidRPr="002C234B">
              <w:rPr>
                <w:rFonts w:ascii="Times New Roman" w:hAnsi="Times New Roman" w:cs="Times New Roman"/>
                <w:sz w:val="28"/>
                <w:szCs w:val="28"/>
              </w:rPr>
              <w:t xml:space="preserve">Eiropas Komisijas 2014. gada 17. jūnija Regula (EK) Nr.651/2014, ar ko noteiktas atbalsta kategorijas atzīst par saderīgām ar iekšējo tirgu, piemērojot Līguma 107. un 108. </w:t>
            </w:r>
            <w:r w:rsidRPr="002C234B">
              <w:rPr>
                <w:rFonts w:ascii="Times New Roman" w:hAnsi="Times New Roman" w:cs="Times New Roman"/>
                <w:sz w:val="28"/>
                <w:szCs w:val="28"/>
                <w:lang w:eastAsia="lv-LV"/>
              </w:rPr>
              <w:t>(turpmāk – R</w:t>
            </w:r>
            <w:r w:rsidR="0005726F" w:rsidRPr="002C234B">
              <w:rPr>
                <w:rFonts w:ascii="Times New Roman" w:hAnsi="Times New Roman" w:cs="Times New Roman"/>
                <w:sz w:val="28"/>
                <w:szCs w:val="28"/>
                <w:lang w:eastAsia="lv-LV"/>
              </w:rPr>
              <w:t>egula Nr.651/2014)</w:t>
            </w:r>
            <w:r w:rsidR="00582BB6" w:rsidRPr="002C234B">
              <w:rPr>
                <w:rFonts w:ascii="Times New Roman" w:hAnsi="Times New Roman" w:cs="Times New Roman"/>
                <w:sz w:val="28"/>
                <w:szCs w:val="28"/>
                <w:lang w:eastAsia="lv-LV"/>
              </w:rPr>
              <w:t>.</w:t>
            </w:r>
          </w:p>
          <w:p w14:paraId="23CE81E3" w14:textId="77777777" w:rsidR="0005726F" w:rsidRPr="002C234B" w:rsidRDefault="009A20C9" w:rsidP="00957937">
            <w:pPr>
              <w:spacing w:after="0" w:line="240" w:lineRule="auto"/>
              <w:jc w:val="both"/>
              <w:rPr>
                <w:rFonts w:ascii="Times New Roman" w:eastAsia="Times New Roman" w:hAnsi="Times New Roman" w:cs="Times New Roman"/>
                <w:iCs/>
                <w:sz w:val="28"/>
                <w:szCs w:val="28"/>
                <w:lang w:eastAsia="lv-LV"/>
              </w:rPr>
            </w:pPr>
            <w:r w:rsidRPr="002C234B">
              <w:rPr>
                <w:rFonts w:ascii="Times New Roman" w:hAnsi="Times New Roman" w:cs="Times New Roman"/>
                <w:sz w:val="28"/>
                <w:szCs w:val="28"/>
              </w:rPr>
              <w:t>2.</w:t>
            </w:r>
            <w:r w:rsidR="0005726F" w:rsidRPr="002C234B">
              <w:rPr>
                <w:rFonts w:ascii="Times New Roman" w:hAnsi="Times New Roman" w:cs="Times New Roman"/>
                <w:sz w:val="28"/>
                <w:szCs w:val="28"/>
              </w:rPr>
              <w:t xml:space="preserve">Eiropas Komisijas 2014. gada 21. marta Regulas Nr. </w:t>
            </w:r>
            <w:hyperlink r:id="rId9" w:tgtFrame="_blank" w:history="1">
              <w:r w:rsidR="0005726F" w:rsidRPr="002C234B">
                <w:rPr>
                  <w:rFonts w:ascii="Times New Roman" w:hAnsi="Times New Roman" w:cs="Times New Roman"/>
                  <w:sz w:val="28"/>
                  <w:szCs w:val="28"/>
                </w:rPr>
                <w:t>316/2014</w:t>
              </w:r>
            </w:hyperlink>
            <w:r w:rsidR="0005726F" w:rsidRPr="002C234B">
              <w:rPr>
                <w:rFonts w:ascii="Times New Roman" w:hAnsi="Times New Roman" w:cs="Times New Roman"/>
                <w:sz w:val="28"/>
                <w:szCs w:val="28"/>
              </w:rPr>
              <w:t xml:space="preserve"> par Līguma par Eiropas Savienības darbību 101. panta 3. punkta piemērošanu tehnoloģiju nodošanas n</w:t>
            </w:r>
            <w:r w:rsidRPr="002C234B">
              <w:rPr>
                <w:rFonts w:ascii="Times New Roman" w:hAnsi="Times New Roman" w:cs="Times New Roman"/>
                <w:sz w:val="28"/>
                <w:szCs w:val="28"/>
              </w:rPr>
              <w:t>olīgumu kategorijām (turpmāk – R</w:t>
            </w:r>
            <w:r w:rsidR="0005726F" w:rsidRPr="002C234B">
              <w:rPr>
                <w:rFonts w:ascii="Times New Roman" w:hAnsi="Times New Roman" w:cs="Times New Roman"/>
                <w:sz w:val="28"/>
                <w:szCs w:val="28"/>
              </w:rPr>
              <w:t>egula Nr.316/2014)</w:t>
            </w:r>
            <w:r w:rsidR="00957937" w:rsidRPr="002C234B">
              <w:rPr>
                <w:rFonts w:ascii="Times New Roman" w:hAnsi="Times New Roman" w:cs="Times New Roman"/>
                <w:sz w:val="28"/>
                <w:szCs w:val="28"/>
              </w:rPr>
              <w:t>.</w:t>
            </w:r>
          </w:p>
        </w:tc>
      </w:tr>
      <w:tr w:rsidR="00C32D14" w:rsidRPr="002C234B" w14:paraId="23CE81E8"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E5"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w:t>
            </w:r>
          </w:p>
        </w:tc>
        <w:tc>
          <w:tcPr>
            <w:tcW w:w="1601" w:type="pct"/>
            <w:tcBorders>
              <w:top w:val="outset" w:sz="6" w:space="0" w:color="auto"/>
              <w:left w:val="outset" w:sz="6" w:space="0" w:color="auto"/>
              <w:bottom w:val="outset" w:sz="6" w:space="0" w:color="auto"/>
              <w:right w:val="outset" w:sz="6" w:space="0" w:color="auto"/>
            </w:tcBorders>
            <w:hideMark/>
          </w:tcPr>
          <w:p w14:paraId="23CE81E6"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Citas starptautiskās saistības</w:t>
            </w:r>
          </w:p>
        </w:tc>
        <w:tc>
          <w:tcPr>
            <w:tcW w:w="3054" w:type="pct"/>
            <w:tcBorders>
              <w:top w:val="outset" w:sz="6" w:space="0" w:color="auto"/>
              <w:left w:val="outset" w:sz="6" w:space="0" w:color="auto"/>
              <w:bottom w:val="outset" w:sz="6" w:space="0" w:color="auto"/>
              <w:right w:val="outset" w:sz="6" w:space="0" w:color="auto"/>
            </w:tcBorders>
            <w:hideMark/>
          </w:tcPr>
          <w:p w14:paraId="23CE81E7" w14:textId="77777777" w:rsidR="00E5323B" w:rsidRPr="002C234B" w:rsidRDefault="00582BB6"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r>
      <w:tr w:rsidR="00E5323B" w:rsidRPr="002C234B" w14:paraId="23CE81EC"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1E9"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w:t>
            </w:r>
          </w:p>
        </w:tc>
        <w:tc>
          <w:tcPr>
            <w:tcW w:w="1601" w:type="pct"/>
            <w:tcBorders>
              <w:top w:val="outset" w:sz="6" w:space="0" w:color="auto"/>
              <w:left w:val="outset" w:sz="6" w:space="0" w:color="auto"/>
              <w:bottom w:val="outset" w:sz="6" w:space="0" w:color="auto"/>
              <w:right w:val="outset" w:sz="6" w:space="0" w:color="auto"/>
            </w:tcBorders>
            <w:hideMark/>
          </w:tcPr>
          <w:p w14:paraId="23CE81EA"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054" w:type="pct"/>
            <w:tcBorders>
              <w:top w:val="outset" w:sz="6" w:space="0" w:color="auto"/>
              <w:left w:val="outset" w:sz="6" w:space="0" w:color="auto"/>
              <w:bottom w:val="outset" w:sz="6" w:space="0" w:color="auto"/>
              <w:right w:val="outset" w:sz="6" w:space="0" w:color="auto"/>
            </w:tcBorders>
            <w:hideMark/>
          </w:tcPr>
          <w:p w14:paraId="23CE81EB" w14:textId="77777777" w:rsidR="00E5323B" w:rsidRPr="002C234B" w:rsidRDefault="00582BB6"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1ED"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212"/>
        <w:gridCol w:w="2198"/>
        <w:gridCol w:w="1046"/>
        <w:gridCol w:w="1244"/>
        <w:gridCol w:w="2790"/>
      </w:tblGrid>
      <w:tr w:rsidR="00E5323B" w:rsidRPr="002C234B" w14:paraId="23CE81EF" w14:textId="77777777" w:rsidTr="002C234B">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23CE81EE"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1. tabula</w:t>
            </w:r>
            <w:r w:rsidRPr="002C234B">
              <w:rPr>
                <w:rFonts w:ascii="Times New Roman" w:eastAsia="Times New Roman" w:hAnsi="Times New Roman" w:cs="Times New Roman"/>
                <w:b/>
                <w:bCs/>
                <w:iCs/>
                <w:sz w:val="28"/>
                <w:szCs w:val="28"/>
                <w:lang w:eastAsia="lv-LV"/>
              </w:rPr>
              <w:br/>
              <w:t>Tiesību akta projekta atbilstība ES tiesību aktiem</w:t>
            </w:r>
          </w:p>
        </w:tc>
      </w:tr>
      <w:tr w:rsidR="00E5323B" w:rsidRPr="002C234B" w14:paraId="23CE81F2"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1F0"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Attiecīgā ES tiesību akta </w:t>
            </w:r>
            <w:r w:rsidRPr="002C234B">
              <w:rPr>
                <w:rFonts w:ascii="Times New Roman" w:eastAsia="Times New Roman" w:hAnsi="Times New Roman" w:cs="Times New Roman"/>
                <w:iCs/>
                <w:sz w:val="28"/>
                <w:szCs w:val="28"/>
                <w:lang w:eastAsia="lv-LV"/>
              </w:rPr>
              <w:lastRenderedPageBreak/>
              <w:t>datums, numurs un nosaukums</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1F1" w14:textId="77777777" w:rsidR="00E5323B" w:rsidRPr="002C234B" w:rsidRDefault="009A20C9" w:rsidP="00E5323B">
            <w:pPr>
              <w:spacing w:after="0" w:line="240" w:lineRule="auto"/>
              <w:rPr>
                <w:rFonts w:ascii="Times New Roman" w:eastAsia="Times New Roman" w:hAnsi="Times New Roman" w:cs="Times New Roman"/>
                <w:iCs/>
                <w:sz w:val="28"/>
                <w:szCs w:val="28"/>
                <w:lang w:eastAsia="lv-LV"/>
              </w:rPr>
            </w:pPr>
            <w:r w:rsidRPr="002C234B">
              <w:rPr>
                <w:rFonts w:ascii="Times New Roman" w:hAnsi="Times New Roman"/>
                <w:sz w:val="28"/>
                <w:szCs w:val="28"/>
              </w:rPr>
              <w:lastRenderedPageBreak/>
              <w:t>Regula Nr.651/2014 un Regula Nr.316/2014</w:t>
            </w:r>
            <w:r w:rsidR="00957937" w:rsidRPr="002C234B">
              <w:rPr>
                <w:rFonts w:ascii="Times New Roman" w:hAnsi="Times New Roman"/>
                <w:sz w:val="28"/>
                <w:szCs w:val="28"/>
              </w:rPr>
              <w:t>.</w:t>
            </w:r>
          </w:p>
        </w:tc>
      </w:tr>
      <w:tr w:rsidR="00E5323B" w:rsidRPr="002C234B" w14:paraId="23CE81F7"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vAlign w:val="center"/>
            <w:hideMark/>
          </w:tcPr>
          <w:p w14:paraId="23CE81F3"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w:t>
            </w:r>
          </w:p>
        </w:tc>
        <w:tc>
          <w:tcPr>
            <w:tcW w:w="1157" w:type="pct"/>
            <w:tcBorders>
              <w:top w:val="outset" w:sz="6" w:space="0" w:color="auto"/>
              <w:left w:val="outset" w:sz="6" w:space="0" w:color="auto"/>
              <w:bottom w:val="outset" w:sz="6" w:space="0" w:color="auto"/>
              <w:right w:val="outset" w:sz="6" w:space="0" w:color="auto"/>
            </w:tcBorders>
            <w:vAlign w:val="center"/>
            <w:hideMark/>
          </w:tcPr>
          <w:p w14:paraId="23CE81F4"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B</w:t>
            </w:r>
          </w:p>
        </w:tc>
        <w:tc>
          <w:tcPr>
            <w:tcW w:w="1190" w:type="pct"/>
            <w:gridSpan w:val="2"/>
            <w:tcBorders>
              <w:top w:val="outset" w:sz="6" w:space="0" w:color="auto"/>
              <w:left w:val="outset" w:sz="6" w:space="0" w:color="auto"/>
              <w:bottom w:val="outset" w:sz="6" w:space="0" w:color="auto"/>
              <w:right w:val="outset" w:sz="6" w:space="0" w:color="auto"/>
            </w:tcBorders>
            <w:vAlign w:val="center"/>
            <w:hideMark/>
          </w:tcPr>
          <w:p w14:paraId="23CE81F5"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w:t>
            </w:r>
          </w:p>
        </w:tc>
        <w:tc>
          <w:tcPr>
            <w:tcW w:w="1418" w:type="pct"/>
            <w:tcBorders>
              <w:top w:val="outset" w:sz="6" w:space="0" w:color="auto"/>
              <w:left w:val="outset" w:sz="6" w:space="0" w:color="auto"/>
              <w:bottom w:val="outset" w:sz="6" w:space="0" w:color="auto"/>
              <w:right w:val="outset" w:sz="6" w:space="0" w:color="auto"/>
            </w:tcBorders>
            <w:vAlign w:val="center"/>
            <w:hideMark/>
          </w:tcPr>
          <w:p w14:paraId="23CE81F6"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D</w:t>
            </w:r>
          </w:p>
        </w:tc>
      </w:tr>
      <w:tr w:rsidR="00E5323B" w:rsidRPr="002C234B" w14:paraId="23CE81FC"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1F8"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Attiecīgā ES tiesību akta panta numurs (uzskaitot katru tiesību akta vienību – pantu, daļu, punktu, apakšpunktu)</w:t>
            </w:r>
          </w:p>
        </w:tc>
        <w:tc>
          <w:tcPr>
            <w:tcW w:w="1157" w:type="pct"/>
            <w:tcBorders>
              <w:top w:val="outset" w:sz="6" w:space="0" w:color="auto"/>
              <w:left w:val="outset" w:sz="6" w:space="0" w:color="auto"/>
              <w:bottom w:val="outset" w:sz="6" w:space="0" w:color="auto"/>
              <w:right w:val="outset" w:sz="6" w:space="0" w:color="auto"/>
            </w:tcBorders>
            <w:hideMark/>
          </w:tcPr>
          <w:p w14:paraId="23CE81F9"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Projekta vienība, kas pārņem vai ievieš katru šīs tabulas A ailē minēto ES tiesību akta vienību, vai tiesību akts, kur attiecīgā ES tiesību akta vienība pārņemta vai ieviesta</w:t>
            </w:r>
          </w:p>
        </w:tc>
        <w:tc>
          <w:tcPr>
            <w:tcW w:w="1190" w:type="pct"/>
            <w:gridSpan w:val="2"/>
            <w:tcBorders>
              <w:top w:val="outset" w:sz="6" w:space="0" w:color="auto"/>
              <w:left w:val="outset" w:sz="6" w:space="0" w:color="auto"/>
              <w:bottom w:val="outset" w:sz="6" w:space="0" w:color="auto"/>
              <w:right w:val="outset" w:sz="6" w:space="0" w:color="auto"/>
            </w:tcBorders>
            <w:hideMark/>
          </w:tcPr>
          <w:p w14:paraId="23CE81FA"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Informācija par to, vai šīs tabulas A ailē minētās ES tiesību akta vienības tiek pārņemtas vai ieviestas pilnībā vai daļēji.</w:t>
            </w:r>
            <w:r w:rsidRPr="002C234B">
              <w:rPr>
                <w:rFonts w:ascii="Times New Roman" w:eastAsia="Times New Roman" w:hAnsi="Times New Roman" w:cs="Times New Roman"/>
                <w:iCs/>
                <w:sz w:val="28"/>
                <w:szCs w:val="28"/>
                <w:lang w:eastAsia="lv-LV"/>
              </w:rPr>
              <w:br/>
              <w:t>Ja attiecīgā ES tiesību akta vienība tiek pārņemta vai ieviesta daļēji, sniedz attiecīgu skaidrojumu, kā arī precīzi norāda, kad un kādā veidā ES tiesību akta vienība tiks pārņemta vai ieviesta pilnībā.</w:t>
            </w:r>
            <w:r w:rsidRPr="002C234B">
              <w:rPr>
                <w:rFonts w:ascii="Times New Roman" w:eastAsia="Times New Roman" w:hAnsi="Times New Roman" w:cs="Times New Roman"/>
                <w:iCs/>
                <w:sz w:val="28"/>
                <w:szCs w:val="28"/>
                <w:lang w:eastAsia="lv-LV"/>
              </w:rPr>
              <w:br/>
              <w:t>Norāda institūciju, kas ir atbildīga par šo saistību izpildi pilnībā</w:t>
            </w:r>
          </w:p>
        </w:tc>
        <w:tc>
          <w:tcPr>
            <w:tcW w:w="1418" w:type="pct"/>
            <w:tcBorders>
              <w:top w:val="outset" w:sz="6" w:space="0" w:color="auto"/>
              <w:left w:val="outset" w:sz="6" w:space="0" w:color="auto"/>
              <w:bottom w:val="outset" w:sz="6" w:space="0" w:color="auto"/>
              <w:right w:val="outset" w:sz="6" w:space="0" w:color="auto"/>
            </w:tcBorders>
            <w:hideMark/>
          </w:tcPr>
          <w:p w14:paraId="23CE81FB"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Informācija par to, vai šīs tabulas B ailē minētās projekta vienības paredz stingrākas prasības nekā šīs tabulas A ailē minētās ES tiesību akta vienības.</w:t>
            </w:r>
            <w:r w:rsidRPr="002C234B">
              <w:rPr>
                <w:rFonts w:ascii="Times New Roman" w:eastAsia="Times New Roman" w:hAnsi="Times New Roman" w:cs="Times New Roman"/>
                <w:iCs/>
                <w:sz w:val="28"/>
                <w:szCs w:val="28"/>
                <w:lang w:eastAsia="lv-LV"/>
              </w:rPr>
              <w:br/>
              <w:t>Ja projekts satur stingrākas prasības nekā attiecīgais ES tiesību akts, norāda pamatojumu un samērīgumu.</w:t>
            </w:r>
            <w:r w:rsidRPr="002C234B">
              <w:rPr>
                <w:rFonts w:ascii="Times New Roman" w:eastAsia="Times New Roman" w:hAnsi="Times New Roman" w:cs="Times New Roman"/>
                <w:iCs/>
                <w:sz w:val="28"/>
                <w:szCs w:val="28"/>
                <w:lang w:eastAsia="lv-LV"/>
              </w:rPr>
              <w:br/>
              <w:t>Norāda iespējamās alternatīvas (t. sk. alternatīvas, kas neparedz tiesiskā regulējuma izstrādi) – kādos gadījumos būtu iespējams izvairīties no stingrāku prasību noteikšanas, nekā paredzēts attiecīgajos ES tiesību aktos</w:t>
            </w:r>
          </w:p>
        </w:tc>
      </w:tr>
      <w:tr w:rsidR="00957937" w:rsidRPr="002C234B" w14:paraId="23CE8202"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tcPr>
          <w:p w14:paraId="23CE81FD"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Regulas Nr.651/2014 2. panta 86. punkts</w:t>
            </w:r>
          </w:p>
        </w:tc>
        <w:tc>
          <w:tcPr>
            <w:tcW w:w="1157" w:type="pct"/>
            <w:tcBorders>
              <w:top w:val="outset" w:sz="6" w:space="0" w:color="auto"/>
              <w:left w:val="outset" w:sz="6" w:space="0" w:color="auto"/>
              <w:bottom w:val="outset" w:sz="6" w:space="0" w:color="auto"/>
              <w:right w:val="outset" w:sz="6" w:space="0" w:color="auto"/>
            </w:tcBorders>
          </w:tcPr>
          <w:p w14:paraId="23CE81FE" w14:textId="77777777" w:rsidR="00957937"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projekta 2.3.apakšpunkts</w:t>
            </w:r>
          </w:p>
        </w:tc>
        <w:tc>
          <w:tcPr>
            <w:tcW w:w="1190" w:type="pct"/>
            <w:gridSpan w:val="2"/>
            <w:tcBorders>
              <w:top w:val="outset" w:sz="6" w:space="0" w:color="auto"/>
              <w:left w:val="outset" w:sz="6" w:space="0" w:color="auto"/>
              <w:bottom w:val="outset" w:sz="6" w:space="0" w:color="auto"/>
              <w:right w:val="outset" w:sz="6" w:space="0" w:color="auto"/>
            </w:tcBorders>
          </w:tcPr>
          <w:p w14:paraId="23CE81FF"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00"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Atbildīgā institūcija ir padome.</w:t>
            </w:r>
          </w:p>
        </w:tc>
        <w:tc>
          <w:tcPr>
            <w:tcW w:w="1418" w:type="pct"/>
            <w:tcBorders>
              <w:top w:val="outset" w:sz="6" w:space="0" w:color="auto"/>
              <w:left w:val="outset" w:sz="6" w:space="0" w:color="auto"/>
              <w:bottom w:val="outset" w:sz="6" w:space="0" w:color="auto"/>
              <w:right w:val="outset" w:sz="6" w:space="0" w:color="auto"/>
            </w:tcBorders>
          </w:tcPr>
          <w:p w14:paraId="23CE8201"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Noteikumu projekts neparedz stingrākas prasības nekā A ailē minētā ES tiesību akta vienība.</w:t>
            </w:r>
          </w:p>
        </w:tc>
      </w:tr>
      <w:tr w:rsidR="00957937" w:rsidRPr="002C234B" w14:paraId="23CE8208"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tcPr>
          <w:p w14:paraId="23CE8203"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Regulas Nr.651/2014 2. panta 84. punkts</w:t>
            </w:r>
          </w:p>
        </w:tc>
        <w:tc>
          <w:tcPr>
            <w:tcW w:w="1157" w:type="pct"/>
            <w:tcBorders>
              <w:top w:val="outset" w:sz="6" w:space="0" w:color="auto"/>
              <w:left w:val="outset" w:sz="6" w:space="0" w:color="auto"/>
              <w:bottom w:val="outset" w:sz="6" w:space="0" w:color="auto"/>
              <w:right w:val="outset" w:sz="6" w:space="0" w:color="auto"/>
            </w:tcBorders>
          </w:tcPr>
          <w:p w14:paraId="23CE8204" w14:textId="77777777" w:rsidR="00957937"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projekta 2.4.apakšpunkts</w:t>
            </w:r>
          </w:p>
        </w:tc>
        <w:tc>
          <w:tcPr>
            <w:tcW w:w="1190" w:type="pct"/>
            <w:gridSpan w:val="2"/>
            <w:tcBorders>
              <w:top w:val="outset" w:sz="6" w:space="0" w:color="auto"/>
              <w:left w:val="outset" w:sz="6" w:space="0" w:color="auto"/>
              <w:bottom w:val="outset" w:sz="6" w:space="0" w:color="auto"/>
              <w:right w:val="outset" w:sz="6" w:space="0" w:color="auto"/>
            </w:tcBorders>
          </w:tcPr>
          <w:p w14:paraId="23CE8205"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06"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Atbildīgā institūcija ir padome.</w:t>
            </w:r>
          </w:p>
        </w:tc>
        <w:tc>
          <w:tcPr>
            <w:tcW w:w="1418" w:type="pct"/>
            <w:tcBorders>
              <w:top w:val="outset" w:sz="6" w:space="0" w:color="auto"/>
              <w:left w:val="outset" w:sz="6" w:space="0" w:color="auto"/>
              <w:bottom w:val="outset" w:sz="6" w:space="0" w:color="auto"/>
              <w:right w:val="outset" w:sz="6" w:space="0" w:color="auto"/>
            </w:tcBorders>
          </w:tcPr>
          <w:p w14:paraId="23CE8207"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Noteikumu projekts neparedz stingrākas prasības nekā A ailē minētā ES tiesību akta vienība.</w:t>
            </w:r>
          </w:p>
        </w:tc>
      </w:tr>
      <w:tr w:rsidR="00957937" w:rsidRPr="002C234B" w14:paraId="23CE820E"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tcPr>
          <w:p w14:paraId="23CE8209"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Regulas Nr.651/2014 2. panta 114. punkts</w:t>
            </w:r>
          </w:p>
        </w:tc>
        <w:tc>
          <w:tcPr>
            <w:tcW w:w="1157" w:type="pct"/>
            <w:tcBorders>
              <w:top w:val="outset" w:sz="6" w:space="0" w:color="auto"/>
              <w:left w:val="outset" w:sz="6" w:space="0" w:color="auto"/>
              <w:bottom w:val="outset" w:sz="6" w:space="0" w:color="auto"/>
              <w:right w:val="outset" w:sz="6" w:space="0" w:color="auto"/>
            </w:tcBorders>
          </w:tcPr>
          <w:p w14:paraId="23CE820A" w14:textId="77777777" w:rsidR="00957937"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projekta 2.6.apakšpunkts</w:t>
            </w:r>
          </w:p>
        </w:tc>
        <w:tc>
          <w:tcPr>
            <w:tcW w:w="1190" w:type="pct"/>
            <w:gridSpan w:val="2"/>
            <w:tcBorders>
              <w:top w:val="outset" w:sz="6" w:space="0" w:color="auto"/>
              <w:left w:val="outset" w:sz="6" w:space="0" w:color="auto"/>
              <w:bottom w:val="outset" w:sz="6" w:space="0" w:color="auto"/>
              <w:right w:val="outset" w:sz="6" w:space="0" w:color="auto"/>
            </w:tcBorders>
          </w:tcPr>
          <w:p w14:paraId="23CE820B"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0C"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lastRenderedPageBreak/>
              <w:t>Atbildīgā institūcija ir padome.</w:t>
            </w:r>
          </w:p>
        </w:tc>
        <w:tc>
          <w:tcPr>
            <w:tcW w:w="1418" w:type="pct"/>
            <w:tcBorders>
              <w:top w:val="outset" w:sz="6" w:space="0" w:color="auto"/>
              <w:left w:val="outset" w:sz="6" w:space="0" w:color="auto"/>
              <w:bottom w:val="outset" w:sz="6" w:space="0" w:color="auto"/>
              <w:right w:val="outset" w:sz="6" w:space="0" w:color="auto"/>
            </w:tcBorders>
          </w:tcPr>
          <w:p w14:paraId="23CE820D"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lastRenderedPageBreak/>
              <w:t xml:space="preserve">Noteikumu projekts neparedz stingrākas prasības nekā A ailē </w:t>
            </w:r>
            <w:r w:rsidRPr="002C234B">
              <w:rPr>
                <w:rFonts w:ascii="Times New Roman" w:hAnsi="Times New Roman"/>
                <w:sz w:val="28"/>
                <w:szCs w:val="28"/>
              </w:rPr>
              <w:lastRenderedPageBreak/>
              <w:t>minētā ES tiesību akta vienība.</w:t>
            </w:r>
          </w:p>
        </w:tc>
      </w:tr>
      <w:tr w:rsidR="00957937" w:rsidRPr="002C234B" w14:paraId="23CE8214"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tcPr>
          <w:p w14:paraId="23CE820F"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Regulas Nr.651/2014 2. panta 85. punkts</w:t>
            </w:r>
          </w:p>
        </w:tc>
        <w:tc>
          <w:tcPr>
            <w:tcW w:w="1157" w:type="pct"/>
            <w:tcBorders>
              <w:top w:val="outset" w:sz="6" w:space="0" w:color="auto"/>
              <w:left w:val="outset" w:sz="6" w:space="0" w:color="auto"/>
              <w:bottom w:val="outset" w:sz="6" w:space="0" w:color="auto"/>
              <w:right w:val="outset" w:sz="6" w:space="0" w:color="auto"/>
            </w:tcBorders>
          </w:tcPr>
          <w:p w14:paraId="23CE8210" w14:textId="6D9F372B" w:rsidR="00957937" w:rsidRPr="002C234B" w:rsidRDefault="00E521B2"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Noteikumu projekta 2.17</w:t>
            </w:r>
            <w:r w:rsidR="00957937" w:rsidRPr="002C234B">
              <w:rPr>
                <w:rFonts w:ascii="Times New Roman" w:eastAsia="Times New Roman" w:hAnsi="Times New Roman" w:cs="Times New Roman"/>
                <w:iCs/>
                <w:sz w:val="28"/>
                <w:szCs w:val="28"/>
                <w:lang w:eastAsia="lv-LV"/>
              </w:rPr>
              <w:t>.apakšpunkts</w:t>
            </w:r>
          </w:p>
        </w:tc>
        <w:tc>
          <w:tcPr>
            <w:tcW w:w="1190" w:type="pct"/>
            <w:gridSpan w:val="2"/>
            <w:tcBorders>
              <w:top w:val="outset" w:sz="6" w:space="0" w:color="auto"/>
              <w:left w:val="outset" w:sz="6" w:space="0" w:color="auto"/>
              <w:bottom w:val="outset" w:sz="6" w:space="0" w:color="auto"/>
              <w:right w:val="outset" w:sz="6" w:space="0" w:color="auto"/>
            </w:tcBorders>
          </w:tcPr>
          <w:p w14:paraId="23CE8211"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12"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Atbildīgā institūcija ir padome.</w:t>
            </w:r>
          </w:p>
        </w:tc>
        <w:tc>
          <w:tcPr>
            <w:tcW w:w="1418" w:type="pct"/>
            <w:tcBorders>
              <w:top w:val="outset" w:sz="6" w:space="0" w:color="auto"/>
              <w:left w:val="outset" w:sz="6" w:space="0" w:color="auto"/>
              <w:bottom w:val="outset" w:sz="6" w:space="0" w:color="auto"/>
              <w:right w:val="outset" w:sz="6" w:space="0" w:color="auto"/>
            </w:tcBorders>
          </w:tcPr>
          <w:p w14:paraId="23CE8213"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Noteikumu projekts neparedz stingrākas prasības nekā A ailē minētā ES tiesību akta vienība.</w:t>
            </w:r>
          </w:p>
        </w:tc>
      </w:tr>
      <w:tr w:rsidR="00957937" w:rsidRPr="002C234B" w14:paraId="23CE821A"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tcPr>
          <w:p w14:paraId="23CE8215"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Regulas Nr.316/2014 1.panta “b” apakšpunkts</w:t>
            </w:r>
          </w:p>
        </w:tc>
        <w:tc>
          <w:tcPr>
            <w:tcW w:w="1157" w:type="pct"/>
            <w:tcBorders>
              <w:top w:val="outset" w:sz="6" w:space="0" w:color="auto"/>
              <w:left w:val="outset" w:sz="6" w:space="0" w:color="auto"/>
              <w:bottom w:val="outset" w:sz="6" w:space="0" w:color="auto"/>
              <w:right w:val="outset" w:sz="6" w:space="0" w:color="auto"/>
            </w:tcBorders>
          </w:tcPr>
          <w:p w14:paraId="23CE8216" w14:textId="784F870A" w:rsidR="00957937" w:rsidRPr="002C234B" w:rsidRDefault="00E521B2" w:rsidP="00E5323B">
            <w:pPr>
              <w:spacing w:after="0" w:line="240" w:lineRule="auto"/>
              <w:rPr>
                <w:rFonts w:ascii="Times New Roman" w:eastAsia="Times New Roman" w:hAnsi="Times New Roman" w:cs="Times New Roman"/>
                <w:iCs/>
                <w:sz w:val="28"/>
                <w:szCs w:val="28"/>
                <w:lang w:eastAsia="lv-LV"/>
              </w:rPr>
            </w:pPr>
            <w:r>
              <w:rPr>
                <w:rFonts w:ascii="Times New Roman" w:eastAsia="Times New Roman" w:hAnsi="Times New Roman" w:cs="Times New Roman"/>
                <w:iCs/>
                <w:sz w:val="28"/>
                <w:szCs w:val="28"/>
                <w:lang w:eastAsia="lv-LV"/>
              </w:rPr>
              <w:t>Noteikumu projekta 2.19</w:t>
            </w:r>
            <w:r w:rsidR="00957937" w:rsidRPr="002C234B">
              <w:rPr>
                <w:rFonts w:ascii="Times New Roman" w:eastAsia="Times New Roman" w:hAnsi="Times New Roman" w:cs="Times New Roman"/>
                <w:iCs/>
                <w:sz w:val="28"/>
                <w:szCs w:val="28"/>
                <w:lang w:eastAsia="lv-LV"/>
              </w:rPr>
              <w:t>.apakšpunkts</w:t>
            </w:r>
          </w:p>
        </w:tc>
        <w:tc>
          <w:tcPr>
            <w:tcW w:w="1190" w:type="pct"/>
            <w:gridSpan w:val="2"/>
            <w:tcBorders>
              <w:top w:val="outset" w:sz="6" w:space="0" w:color="auto"/>
              <w:left w:val="outset" w:sz="6" w:space="0" w:color="auto"/>
              <w:bottom w:val="outset" w:sz="6" w:space="0" w:color="auto"/>
              <w:right w:val="outset" w:sz="6" w:space="0" w:color="auto"/>
            </w:tcBorders>
          </w:tcPr>
          <w:p w14:paraId="23CE8217"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18" w14:textId="77777777" w:rsidR="00957937" w:rsidRPr="002C234B" w:rsidRDefault="00957937" w:rsidP="00957937">
            <w:pPr>
              <w:spacing w:after="0" w:line="240" w:lineRule="auto"/>
              <w:jc w:val="both"/>
              <w:rPr>
                <w:rFonts w:ascii="Times New Roman" w:hAnsi="Times New Roman"/>
                <w:sz w:val="28"/>
                <w:szCs w:val="28"/>
              </w:rPr>
            </w:pPr>
            <w:r w:rsidRPr="002C234B">
              <w:rPr>
                <w:rFonts w:ascii="Times New Roman" w:hAnsi="Times New Roman"/>
                <w:sz w:val="28"/>
                <w:szCs w:val="28"/>
              </w:rPr>
              <w:t>Atbildīgā institūcija ir padome.</w:t>
            </w:r>
          </w:p>
        </w:tc>
        <w:tc>
          <w:tcPr>
            <w:tcW w:w="1418" w:type="pct"/>
            <w:tcBorders>
              <w:top w:val="outset" w:sz="6" w:space="0" w:color="auto"/>
              <w:left w:val="outset" w:sz="6" w:space="0" w:color="auto"/>
              <w:bottom w:val="outset" w:sz="6" w:space="0" w:color="auto"/>
              <w:right w:val="outset" w:sz="6" w:space="0" w:color="auto"/>
            </w:tcBorders>
          </w:tcPr>
          <w:p w14:paraId="23CE8219" w14:textId="77777777" w:rsidR="00957937" w:rsidRPr="002C234B" w:rsidRDefault="00957937" w:rsidP="00E5323B">
            <w:pPr>
              <w:spacing w:after="0" w:line="240" w:lineRule="auto"/>
              <w:rPr>
                <w:rFonts w:ascii="Times New Roman" w:hAnsi="Times New Roman"/>
                <w:sz w:val="28"/>
                <w:szCs w:val="28"/>
              </w:rPr>
            </w:pPr>
            <w:r w:rsidRPr="002C234B">
              <w:rPr>
                <w:rFonts w:ascii="Times New Roman" w:hAnsi="Times New Roman"/>
                <w:sz w:val="28"/>
                <w:szCs w:val="28"/>
              </w:rPr>
              <w:t>Noteikumu projekts neparedz stingrākas prasības nekā A ailē minētā ES tiesību akta vienība.</w:t>
            </w:r>
          </w:p>
        </w:tc>
      </w:tr>
      <w:tr w:rsidR="00E5323B" w:rsidRPr="002C234B" w14:paraId="23CE8220"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1B" w14:textId="77777777" w:rsidR="00E5323B" w:rsidRPr="002C234B" w:rsidRDefault="00582BB6" w:rsidP="00E5323B">
            <w:pPr>
              <w:spacing w:after="0" w:line="240" w:lineRule="auto"/>
              <w:rPr>
                <w:rFonts w:ascii="Times New Roman" w:eastAsia="Times New Roman" w:hAnsi="Times New Roman" w:cs="Times New Roman"/>
                <w:iCs/>
                <w:sz w:val="28"/>
                <w:szCs w:val="28"/>
                <w:lang w:eastAsia="lv-LV"/>
              </w:rPr>
            </w:pPr>
            <w:r w:rsidRPr="002C234B">
              <w:rPr>
                <w:rFonts w:ascii="Times New Roman" w:hAnsi="Times New Roman"/>
                <w:sz w:val="28"/>
                <w:szCs w:val="28"/>
              </w:rPr>
              <w:t>Regulas Nr.651/2014 2. panta 83. punkts</w:t>
            </w:r>
          </w:p>
        </w:tc>
        <w:tc>
          <w:tcPr>
            <w:tcW w:w="1157" w:type="pct"/>
            <w:tcBorders>
              <w:top w:val="outset" w:sz="6" w:space="0" w:color="auto"/>
              <w:left w:val="outset" w:sz="6" w:space="0" w:color="auto"/>
              <w:bottom w:val="outset" w:sz="6" w:space="0" w:color="auto"/>
              <w:right w:val="outset" w:sz="6" w:space="0" w:color="auto"/>
            </w:tcBorders>
            <w:hideMark/>
          </w:tcPr>
          <w:p w14:paraId="23CE821C" w14:textId="0EF0A924" w:rsidR="00E5323B" w:rsidRPr="002C234B" w:rsidRDefault="00582BB6"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Noteikumu projekta </w:t>
            </w:r>
            <w:r w:rsidR="00E521B2">
              <w:rPr>
                <w:rFonts w:ascii="Times New Roman" w:eastAsia="Times New Roman" w:hAnsi="Times New Roman" w:cs="Times New Roman"/>
                <w:iCs/>
                <w:sz w:val="28"/>
                <w:szCs w:val="28"/>
                <w:lang w:eastAsia="lv-LV"/>
              </w:rPr>
              <w:t>2.12</w:t>
            </w:r>
            <w:r w:rsidR="00957937" w:rsidRPr="002C234B">
              <w:rPr>
                <w:rFonts w:ascii="Times New Roman" w:eastAsia="Times New Roman" w:hAnsi="Times New Roman" w:cs="Times New Roman"/>
                <w:iCs/>
                <w:sz w:val="28"/>
                <w:szCs w:val="28"/>
                <w:lang w:eastAsia="lv-LV"/>
              </w:rPr>
              <w:t>.apakšpunkts</w:t>
            </w:r>
          </w:p>
        </w:tc>
        <w:tc>
          <w:tcPr>
            <w:tcW w:w="1190" w:type="pct"/>
            <w:gridSpan w:val="2"/>
            <w:tcBorders>
              <w:top w:val="outset" w:sz="6" w:space="0" w:color="auto"/>
              <w:left w:val="outset" w:sz="6" w:space="0" w:color="auto"/>
              <w:bottom w:val="outset" w:sz="6" w:space="0" w:color="auto"/>
              <w:right w:val="outset" w:sz="6" w:space="0" w:color="auto"/>
            </w:tcBorders>
            <w:hideMark/>
          </w:tcPr>
          <w:p w14:paraId="23CE821D" w14:textId="77777777" w:rsidR="00582BB6" w:rsidRPr="002C234B" w:rsidRDefault="00582BB6" w:rsidP="00582BB6">
            <w:pPr>
              <w:spacing w:after="0" w:line="240" w:lineRule="auto"/>
              <w:jc w:val="both"/>
              <w:rPr>
                <w:rFonts w:ascii="Times New Roman" w:hAnsi="Times New Roman"/>
                <w:sz w:val="28"/>
                <w:szCs w:val="28"/>
              </w:rPr>
            </w:pPr>
            <w:r w:rsidRPr="002C234B">
              <w:rPr>
                <w:rFonts w:ascii="Times New Roman" w:hAnsi="Times New Roman"/>
                <w:sz w:val="28"/>
                <w:szCs w:val="28"/>
              </w:rPr>
              <w:t>A ailē minētā ES tiesību akta vienība ieviesta pilnībā.</w:t>
            </w:r>
          </w:p>
          <w:p w14:paraId="23CE821E" w14:textId="77777777" w:rsidR="00E5323B" w:rsidRPr="002C234B" w:rsidRDefault="00582BB6" w:rsidP="00582BB6">
            <w:pPr>
              <w:spacing w:after="0" w:line="240" w:lineRule="auto"/>
              <w:rPr>
                <w:rFonts w:ascii="Times New Roman" w:eastAsia="Times New Roman" w:hAnsi="Times New Roman" w:cs="Times New Roman"/>
                <w:iCs/>
                <w:sz w:val="28"/>
                <w:szCs w:val="28"/>
                <w:lang w:eastAsia="lv-LV"/>
              </w:rPr>
            </w:pPr>
            <w:r w:rsidRPr="002C234B">
              <w:rPr>
                <w:rFonts w:ascii="Times New Roman" w:hAnsi="Times New Roman"/>
                <w:sz w:val="28"/>
                <w:szCs w:val="28"/>
              </w:rPr>
              <w:t>Atbildīgā institūcija ir padome.</w:t>
            </w:r>
          </w:p>
        </w:tc>
        <w:tc>
          <w:tcPr>
            <w:tcW w:w="1418" w:type="pct"/>
            <w:tcBorders>
              <w:top w:val="outset" w:sz="6" w:space="0" w:color="auto"/>
              <w:left w:val="outset" w:sz="6" w:space="0" w:color="auto"/>
              <w:bottom w:val="outset" w:sz="6" w:space="0" w:color="auto"/>
              <w:right w:val="outset" w:sz="6" w:space="0" w:color="auto"/>
            </w:tcBorders>
            <w:hideMark/>
          </w:tcPr>
          <w:p w14:paraId="23CE821F" w14:textId="77777777" w:rsidR="00E5323B" w:rsidRPr="002C234B" w:rsidRDefault="00582BB6" w:rsidP="00E5323B">
            <w:pPr>
              <w:spacing w:after="0" w:line="240" w:lineRule="auto"/>
              <w:rPr>
                <w:rFonts w:ascii="Times New Roman" w:eastAsia="Times New Roman" w:hAnsi="Times New Roman" w:cs="Times New Roman"/>
                <w:iCs/>
                <w:sz w:val="28"/>
                <w:szCs w:val="28"/>
                <w:lang w:eastAsia="lv-LV"/>
              </w:rPr>
            </w:pPr>
            <w:r w:rsidRPr="002C234B">
              <w:rPr>
                <w:rFonts w:ascii="Times New Roman" w:hAnsi="Times New Roman"/>
                <w:sz w:val="28"/>
                <w:szCs w:val="28"/>
              </w:rPr>
              <w:t>Noteikumu projekts neparedz stingrākas prasības nekā A ailē minētā ES tiesību akta vienība.</w:t>
            </w:r>
          </w:p>
        </w:tc>
      </w:tr>
      <w:tr w:rsidR="00E5323B" w:rsidRPr="002C234B" w14:paraId="23CE8223"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21"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Kā ir izmantota ES tiesību aktā paredzētā rīcības brīvība dalībvalstij pārņemt vai ieviest noteiktas ES tiesību akta normas? Kādēļ?</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22"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r>
      <w:tr w:rsidR="00E5323B" w:rsidRPr="002C234B" w14:paraId="23CE8226"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24"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Saistības sniegt paziņojumu ES institūcijām un ES dalībvalstīm atbilstoši normatīvajiem aktiem, kas regulē informācijas sniegšanu par tehnisko noteikumu, valsts atbalsta piešķiršanas un </w:t>
            </w:r>
            <w:r w:rsidRPr="002C234B">
              <w:rPr>
                <w:rFonts w:ascii="Times New Roman" w:eastAsia="Times New Roman" w:hAnsi="Times New Roman" w:cs="Times New Roman"/>
                <w:iCs/>
                <w:sz w:val="28"/>
                <w:szCs w:val="28"/>
                <w:lang w:eastAsia="lv-LV"/>
              </w:rPr>
              <w:lastRenderedPageBreak/>
              <w:t>finanšu noteikumu (attiecībā uz monetāro politiku) projektiem</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25"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Noteikumu projekts šo jomu neskar.</w:t>
            </w:r>
          </w:p>
        </w:tc>
      </w:tr>
      <w:tr w:rsidR="00E5323B" w:rsidRPr="002C234B" w14:paraId="23CE8229"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27"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28"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r w:rsidR="00E5323B" w:rsidRPr="002C234B" w14:paraId="23CE822B" w14:textId="77777777" w:rsidTr="002C234B">
        <w:trPr>
          <w:tblCellSpacing w:w="15" w:type="dxa"/>
        </w:trPr>
        <w:tc>
          <w:tcPr>
            <w:tcW w:w="4968" w:type="pct"/>
            <w:gridSpan w:val="5"/>
            <w:tcBorders>
              <w:top w:val="outset" w:sz="6" w:space="0" w:color="auto"/>
              <w:left w:val="outset" w:sz="6" w:space="0" w:color="auto"/>
              <w:bottom w:val="outset" w:sz="6" w:space="0" w:color="auto"/>
              <w:right w:val="outset" w:sz="6" w:space="0" w:color="auto"/>
            </w:tcBorders>
            <w:vAlign w:val="center"/>
            <w:hideMark/>
          </w:tcPr>
          <w:p w14:paraId="23CE822A"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2. tabula</w:t>
            </w:r>
            <w:r w:rsidRPr="002C234B">
              <w:rPr>
                <w:rFonts w:ascii="Times New Roman" w:eastAsia="Times New Roman" w:hAnsi="Times New Roman" w:cs="Times New Roman"/>
                <w:b/>
                <w:bCs/>
                <w:iCs/>
                <w:sz w:val="28"/>
                <w:szCs w:val="28"/>
                <w:lang w:eastAsia="lv-LV"/>
              </w:rPr>
              <w:br/>
              <w:t>Ar tiesību akta projektu izpildītās vai uzņemtās saistības, kas izriet no starptautiskajiem tiesību aktiem vai starptautiskas institūcijas vai organizācijas dokumentiem.</w:t>
            </w:r>
            <w:r w:rsidRPr="002C234B">
              <w:rPr>
                <w:rFonts w:ascii="Times New Roman" w:eastAsia="Times New Roman" w:hAnsi="Times New Roman" w:cs="Times New Roman"/>
                <w:b/>
                <w:bCs/>
                <w:iCs/>
                <w:sz w:val="28"/>
                <w:szCs w:val="28"/>
                <w:lang w:eastAsia="lv-LV"/>
              </w:rPr>
              <w:br/>
              <w:t>Pasākumi šo saistību izpildei</w:t>
            </w:r>
          </w:p>
        </w:tc>
      </w:tr>
      <w:tr w:rsidR="00E5323B" w:rsidRPr="002C234B" w14:paraId="23CE822E"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2C"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Attiecīgā starptautiskā tiesību akta vai starptautiskas institūcijas vai organizācijas dokumenta (turpmāk – starptautiskais dokuments) datums, numurs un nosaukums</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2D"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r>
      <w:tr w:rsidR="00E5323B" w:rsidRPr="002C234B" w14:paraId="23CE8232"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vAlign w:val="center"/>
            <w:hideMark/>
          </w:tcPr>
          <w:p w14:paraId="23CE822F"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A</w:t>
            </w:r>
          </w:p>
        </w:tc>
        <w:tc>
          <w:tcPr>
            <w:tcW w:w="1699" w:type="pct"/>
            <w:gridSpan w:val="2"/>
            <w:tcBorders>
              <w:top w:val="outset" w:sz="6" w:space="0" w:color="auto"/>
              <w:left w:val="outset" w:sz="6" w:space="0" w:color="auto"/>
              <w:bottom w:val="outset" w:sz="6" w:space="0" w:color="auto"/>
              <w:right w:val="outset" w:sz="6" w:space="0" w:color="auto"/>
            </w:tcBorders>
            <w:vAlign w:val="center"/>
            <w:hideMark/>
          </w:tcPr>
          <w:p w14:paraId="23CE8230"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B</w:t>
            </w:r>
          </w:p>
        </w:tc>
        <w:tc>
          <w:tcPr>
            <w:tcW w:w="2082" w:type="pct"/>
            <w:gridSpan w:val="2"/>
            <w:tcBorders>
              <w:top w:val="outset" w:sz="6" w:space="0" w:color="auto"/>
              <w:left w:val="outset" w:sz="6" w:space="0" w:color="auto"/>
              <w:bottom w:val="outset" w:sz="6" w:space="0" w:color="auto"/>
              <w:right w:val="outset" w:sz="6" w:space="0" w:color="auto"/>
            </w:tcBorders>
            <w:vAlign w:val="center"/>
            <w:hideMark/>
          </w:tcPr>
          <w:p w14:paraId="23CE8231"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w:t>
            </w:r>
          </w:p>
        </w:tc>
      </w:tr>
      <w:tr w:rsidR="00E5323B" w:rsidRPr="002C234B" w14:paraId="23CE8236"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33"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Starptautiskās saistības (pēc būtības), kas izriet no norādītā starptautiskā dokumenta.</w:t>
            </w:r>
            <w:r w:rsidRPr="002C234B">
              <w:rPr>
                <w:rFonts w:ascii="Times New Roman" w:eastAsia="Times New Roman" w:hAnsi="Times New Roman" w:cs="Times New Roman"/>
                <w:iCs/>
                <w:sz w:val="28"/>
                <w:szCs w:val="28"/>
                <w:lang w:eastAsia="lv-LV"/>
              </w:rPr>
              <w:br/>
              <w:t>Konkrēti veicamie pasākumi vai uzdevumi, kas nepieciešami šo starptautisko saistību izpildei</w:t>
            </w:r>
          </w:p>
        </w:tc>
        <w:tc>
          <w:tcPr>
            <w:tcW w:w="1699" w:type="pct"/>
            <w:gridSpan w:val="2"/>
            <w:tcBorders>
              <w:top w:val="outset" w:sz="6" w:space="0" w:color="auto"/>
              <w:left w:val="outset" w:sz="6" w:space="0" w:color="auto"/>
              <w:bottom w:val="outset" w:sz="6" w:space="0" w:color="auto"/>
              <w:right w:val="outset" w:sz="6" w:space="0" w:color="auto"/>
            </w:tcBorders>
            <w:hideMark/>
          </w:tcPr>
          <w:p w14:paraId="23CE8234"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Ja pasākumi vai uzdevumi, ar ko tiks izpildītas starptautiskās saistības, tiek noteikti projektā, norāda attiecīgo projekta vienību vai dokumentu, kurā sniegts izvērsts skaidrojums, kādā veidā tiks nodrošināta starptautisko saistību izpilde</w:t>
            </w:r>
          </w:p>
        </w:tc>
        <w:tc>
          <w:tcPr>
            <w:tcW w:w="2082" w:type="pct"/>
            <w:gridSpan w:val="2"/>
            <w:tcBorders>
              <w:top w:val="outset" w:sz="6" w:space="0" w:color="auto"/>
              <w:left w:val="outset" w:sz="6" w:space="0" w:color="auto"/>
              <w:bottom w:val="outset" w:sz="6" w:space="0" w:color="auto"/>
              <w:right w:val="outset" w:sz="6" w:space="0" w:color="auto"/>
            </w:tcBorders>
            <w:hideMark/>
          </w:tcPr>
          <w:p w14:paraId="23CE8235"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Informācija par to, vai starptautiskās saistības, kas minētas šīs tabulas A ailē, tiek izpildītas pilnībā vai daļēji.</w:t>
            </w:r>
            <w:r w:rsidRPr="002C234B">
              <w:rPr>
                <w:rFonts w:ascii="Times New Roman" w:eastAsia="Times New Roman" w:hAnsi="Times New Roman" w:cs="Times New Roman"/>
                <w:iCs/>
                <w:sz w:val="28"/>
                <w:szCs w:val="28"/>
                <w:lang w:eastAsia="lv-LV"/>
              </w:rPr>
              <w:br/>
              <w:t>Ja attiecīgās starptautiskās saistības tiek izpildītas daļēji, sniedz skaidrojumu, kā arī precīzi norāda, kad un kādā veidā starptautiskās saistības tiks izpildītas pilnībā.</w:t>
            </w:r>
            <w:r w:rsidRPr="002C234B">
              <w:rPr>
                <w:rFonts w:ascii="Times New Roman" w:eastAsia="Times New Roman" w:hAnsi="Times New Roman" w:cs="Times New Roman"/>
                <w:iCs/>
                <w:sz w:val="28"/>
                <w:szCs w:val="28"/>
                <w:lang w:eastAsia="lv-LV"/>
              </w:rPr>
              <w:br/>
              <w:t>Norāda institūciju, kas ir atbildīga par šo saistību izpildi pilnībā</w:t>
            </w:r>
          </w:p>
        </w:tc>
      </w:tr>
      <w:tr w:rsidR="00E5323B" w:rsidRPr="002C234B" w14:paraId="23CE823A"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37"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c>
          <w:tcPr>
            <w:tcW w:w="1699" w:type="pct"/>
            <w:gridSpan w:val="2"/>
            <w:tcBorders>
              <w:top w:val="outset" w:sz="6" w:space="0" w:color="auto"/>
              <w:left w:val="outset" w:sz="6" w:space="0" w:color="auto"/>
              <w:bottom w:val="outset" w:sz="6" w:space="0" w:color="auto"/>
              <w:right w:val="outset" w:sz="6" w:space="0" w:color="auto"/>
            </w:tcBorders>
            <w:hideMark/>
          </w:tcPr>
          <w:p w14:paraId="23CE8238"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c>
          <w:tcPr>
            <w:tcW w:w="2082" w:type="pct"/>
            <w:gridSpan w:val="2"/>
            <w:tcBorders>
              <w:top w:val="outset" w:sz="6" w:space="0" w:color="auto"/>
              <w:left w:val="outset" w:sz="6" w:space="0" w:color="auto"/>
              <w:bottom w:val="outset" w:sz="6" w:space="0" w:color="auto"/>
              <w:right w:val="outset" w:sz="6" w:space="0" w:color="auto"/>
            </w:tcBorders>
            <w:hideMark/>
          </w:tcPr>
          <w:p w14:paraId="23CE8239"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projekts šo jomu neskar.</w:t>
            </w:r>
          </w:p>
        </w:tc>
      </w:tr>
      <w:tr w:rsidR="00E5323B" w:rsidRPr="002C234B" w14:paraId="23CE823D"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3B"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Vai starptautiskajā </w:t>
            </w:r>
            <w:r w:rsidRPr="002C234B">
              <w:rPr>
                <w:rFonts w:ascii="Times New Roman" w:eastAsia="Times New Roman" w:hAnsi="Times New Roman" w:cs="Times New Roman"/>
                <w:iCs/>
                <w:sz w:val="28"/>
                <w:szCs w:val="28"/>
                <w:lang w:eastAsia="lv-LV"/>
              </w:rPr>
              <w:lastRenderedPageBreak/>
              <w:t>dokumentā paredzētās saistības nav pretrunā ar jau esošajām Latvijas Republikas starptautiskajām saistībām</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3C"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Noteikumu projekts šo jomu neskar.</w:t>
            </w:r>
          </w:p>
        </w:tc>
      </w:tr>
      <w:tr w:rsidR="00E5323B" w:rsidRPr="002C234B" w14:paraId="23CE8240" w14:textId="77777777" w:rsidTr="002C234B">
        <w:trPr>
          <w:tblCellSpacing w:w="15" w:type="dxa"/>
        </w:trPr>
        <w:tc>
          <w:tcPr>
            <w:tcW w:w="1156" w:type="pct"/>
            <w:tcBorders>
              <w:top w:val="outset" w:sz="6" w:space="0" w:color="auto"/>
              <w:left w:val="outset" w:sz="6" w:space="0" w:color="auto"/>
              <w:bottom w:val="outset" w:sz="6" w:space="0" w:color="auto"/>
              <w:right w:val="outset" w:sz="6" w:space="0" w:color="auto"/>
            </w:tcBorders>
            <w:hideMark/>
          </w:tcPr>
          <w:p w14:paraId="23CE823E"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796" w:type="pct"/>
            <w:gridSpan w:val="4"/>
            <w:tcBorders>
              <w:top w:val="outset" w:sz="6" w:space="0" w:color="auto"/>
              <w:left w:val="outset" w:sz="6" w:space="0" w:color="auto"/>
              <w:bottom w:val="outset" w:sz="6" w:space="0" w:color="auto"/>
              <w:right w:val="outset" w:sz="6" w:space="0" w:color="auto"/>
            </w:tcBorders>
            <w:hideMark/>
          </w:tcPr>
          <w:p w14:paraId="23CE823F" w14:textId="77777777" w:rsidR="00E5323B" w:rsidRPr="002C234B" w:rsidRDefault="00957937"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241"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9"/>
        <w:gridCol w:w="2980"/>
        <w:gridCol w:w="6001"/>
      </w:tblGrid>
      <w:tr w:rsidR="00E5323B" w:rsidRPr="002C234B" w14:paraId="23CE8243" w14:textId="77777777" w:rsidTr="002C234B">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3CE8242"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VI. Sabiedrības līdzdalība un komunikācijas aktivitātes</w:t>
            </w:r>
          </w:p>
        </w:tc>
      </w:tr>
      <w:tr w:rsidR="00C32D14" w:rsidRPr="002C234B" w14:paraId="23CE8247" w14:textId="77777777" w:rsidTr="002C234B">
        <w:trPr>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23CE8244"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564" w:type="pct"/>
            <w:tcBorders>
              <w:top w:val="outset" w:sz="6" w:space="0" w:color="auto"/>
              <w:left w:val="outset" w:sz="6" w:space="0" w:color="auto"/>
              <w:bottom w:val="outset" w:sz="6" w:space="0" w:color="auto"/>
              <w:right w:val="outset" w:sz="6" w:space="0" w:color="auto"/>
            </w:tcBorders>
            <w:hideMark/>
          </w:tcPr>
          <w:p w14:paraId="23CE8245"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Plānotās sabiedrības līdzdalības un komunikācijas aktivitātes saistībā ar projektu</w:t>
            </w:r>
          </w:p>
        </w:tc>
        <w:tc>
          <w:tcPr>
            <w:tcW w:w="3127" w:type="pct"/>
            <w:tcBorders>
              <w:top w:val="outset" w:sz="6" w:space="0" w:color="auto"/>
              <w:left w:val="outset" w:sz="6" w:space="0" w:color="auto"/>
              <w:bottom w:val="outset" w:sz="6" w:space="0" w:color="auto"/>
              <w:right w:val="outset" w:sz="6" w:space="0" w:color="auto"/>
            </w:tcBorders>
            <w:hideMark/>
          </w:tcPr>
          <w:p w14:paraId="23CE8246" w14:textId="77777777" w:rsidR="00E5323B" w:rsidRPr="002C234B" w:rsidRDefault="00A328B7" w:rsidP="00A328B7">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sz w:val="28"/>
                <w:szCs w:val="28"/>
                <w:lang w:eastAsia="lv-LV"/>
              </w:rPr>
              <w:t>Sabiedrības pārstāvji var</w:t>
            </w:r>
            <w:r w:rsidR="004F3DFE" w:rsidRPr="002C234B">
              <w:rPr>
                <w:rFonts w:ascii="Times New Roman" w:eastAsia="Times New Roman" w:hAnsi="Times New Roman"/>
                <w:sz w:val="28"/>
                <w:szCs w:val="28"/>
                <w:lang w:eastAsia="lv-LV"/>
              </w:rPr>
              <w:t xml:space="preserve"> līdzdarboties </w:t>
            </w:r>
            <w:r w:rsidR="00C32D14" w:rsidRPr="002C234B">
              <w:rPr>
                <w:rFonts w:ascii="Times New Roman" w:eastAsia="Times New Roman" w:hAnsi="Times New Roman"/>
                <w:sz w:val="28"/>
                <w:szCs w:val="28"/>
                <w:lang w:eastAsia="lv-LV"/>
              </w:rPr>
              <w:t>projekta pilnveidē</w:t>
            </w:r>
            <w:r w:rsidR="004F3DFE" w:rsidRPr="002C234B">
              <w:rPr>
                <w:rFonts w:ascii="Times New Roman" w:eastAsia="Times New Roman" w:hAnsi="Times New Roman"/>
                <w:sz w:val="28"/>
                <w:szCs w:val="28"/>
                <w:lang w:eastAsia="lv-LV"/>
              </w:rPr>
              <w:t>, sniedzot</w:t>
            </w:r>
            <w:r w:rsidRPr="002C234B">
              <w:rPr>
                <w:rFonts w:ascii="Times New Roman" w:eastAsia="Times New Roman" w:hAnsi="Times New Roman"/>
                <w:sz w:val="28"/>
                <w:szCs w:val="28"/>
                <w:lang w:eastAsia="lv-LV"/>
              </w:rPr>
              <w:t xml:space="preserve"> viedokli ministrijai, kā arī </w:t>
            </w:r>
            <w:r w:rsidR="004F3DFE" w:rsidRPr="002C234B">
              <w:rPr>
                <w:rFonts w:ascii="Times New Roman" w:eastAsia="Times New Roman" w:hAnsi="Times New Roman"/>
                <w:sz w:val="28"/>
                <w:szCs w:val="28"/>
                <w:lang w:eastAsia="lv-LV"/>
              </w:rPr>
              <w:t xml:space="preserve"> atzinumu pēc projekta izsludināšanas Valsts sekretāru sanāksmē. </w:t>
            </w:r>
          </w:p>
        </w:tc>
      </w:tr>
      <w:tr w:rsidR="00C32D14" w:rsidRPr="002C234B" w14:paraId="23CE824F" w14:textId="77777777" w:rsidTr="002C234B">
        <w:trPr>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23CE8248"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2.</w:t>
            </w:r>
          </w:p>
        </w:tc>
        <w:tc>
          <w:tcPr>
            <w:tcW w:w="1564" w:type="pct"/>
            <w:tcBorders>
              <w:top w:val="outset" w:sz="6" w:space="0" w:color="auto"/>
              <w:left w:val="outset" w:sz="6" w:space="0" w:color="auto"/>
              <w:bottom w:val="outset" w:sz="6" w:space="0" w:color="auto"/>
              <w:right w:val="outset" w:sz="6" w:space="0" w:color="auto"/>
            </w:tcBorders>
            <w:hideMark/>
          </w:tcPr>
          <w:p w14:paraId="23CE8249"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Sabiedrības līdzdalība projekta izstrādē</w:t>
            </w:r>
          </w:p>
        </w:tc>
        <w:tc>
          <w:tcPr>
            <w:tcW w:w="3127" w:type="pct"/>
            <w:tcBorders>
              <w:top w:val="outset" w:sz="6" w:space="0" w:color="auto"/>
              <w:left w:val="outset" w:sz="6" w:space="0" w:color="auto"/>
              <w:bottom w:val="outset" w:sz="6" w:space="0" w:color="auto"/>
              <w:right w:val="outset" w:sz="6" w:space="0" w:color="auto"/>
            </w:tcBorders>
            <w:hideMark/>
          </w:tcPr>
          <w:p w14:paraId="23CE824A" w14:textId="4D766EF8" w:rsidR="00DC7801" w:rsidRPr="002C234B" w:rsidRDefault="00A328B7" w:rsidP="00C32D14">
            <w:pPr>
              <w:spacing w:after="0" w:line="240" w:lineRule="auto"/>
              <w:jc w:val="both"/>
              <w:rPr>
                <w:rFonts w:ascii="Times New Roman" w:hAnsi="Times New Roman" w:cs="Times New Roman"/>
                <w:sz w:val="28"/>
                <w:szCs w:val="28"/>
              </w:rPr>
            </w:pPr>
            <w:r w:rsidRPr="002C234B">
              <w:rPr>
                <w:rFonts w:ascii="Times New Roman" w:hAnsi="Times New Roman" w:cs="Times New Roman"/>
                <w:sz w:val="28"/>
                <w:szCs w:val="28"/>
              </w:rPr>
              <w:t xml:space="preserve">Lai informētu sabiedrību par noteikumu projektu un dotu iespēju ieinteresētajām personām izteikt viedokli, projekts 2018. gada </w:t>
            </w:r>
            <w:r w:rsidR="00644DF1">
              <w:rPr>
                <w:rFonts w:ascii="Times New Roman" w:hAnsi="Times New Roman" w:cs="Times New Roman"/>
                <w:sz w:val="28"/>
                <w:szCs w:val="28"/>
              </w:rPr>
              <w:t>4.jūnijā</w:t>
            </w:r>
            <w:r w:rsidRPr="002C234B">
              <w:rPr>
                <w:rFonts w:ascii="Times New Roman" w:hAnsi="Times New Roman" w:cs="Times New Roman"/>
                <w:sz w:val="28"/>
                <w:szCs w:val="28"/>
              </w:rPr>
              <w:t xml:space="preserve"> ievietots</w:t>
            </w:r>
            <w:r w:rsidR="00DC7801" w:rsidRPr="002C234B">
              <w:rPr>
                <w:rFonts w:ascii="Times New Roman" w:hAnsi="Times New Roman" w:cs="Times New Roman"/>
                <w:sz w:val="28"/>
                <w:szCs w:val="28"/>
              </w:rPr>
              <w:t>:</w:t>
            </w:r>
          </w:p>
          <w:p w14:paraId="23CE824B" w14:textId="762F2607" w:rsidR="00DC7801" w:rsidRPr="002C234B" w:rsidRDefault="00A328B7" w:rsidP="00644DF1">
            <w:pPr>
              <w:pStyle w:val="ListParagraph"/>
              <w:numPr>
                <w:ilvl w:val="0"/>
                <w:numId w:val="6"/>
              </w:numPr>
              <w:ind w:left="0" w:firstLine="360"/>
              <w:jc w:val="both"/>
              <w:rPr>
                <w:sz w:val="28"/>
                <w:szCs w:val="28"/>
              </w:rPr>
            </w:pPr>
            <w:r w:rsidRPr="002C234B">
              <w:rPr>
                <w:sz w:val="28"/>
                <w:szCs w:val="28"/>
              </w:rPr>
              <w:t>Izglītības un zinātnes ministrijas</w:t>
            </w:r>
            <w:r w:rsidR="00644DF1">
              <w:rPr>
                <w:sz w:val="28"/>
                <w:szCs w:val="28"/>
              </w:rPr>
              <w:t xml:space="preserve"> mājaslapā </w:t>
            </w:r>
            <w:hyperlink r:id="rId10" w:history="1">
              <w:r w:rsidR="00644DF1" w:rsidRPr="00796FB1">
                <w:rPr>
                  <w:rStyle w:val="Hyperlink"/>
                  <w:sz w:val="28"/>
                  <w:szCs w:val="28"/>
                </w:rPr>
                <w:t>http://www.izm.gov.lv/lv/sabiedribas-lidzdaliba/sabiedriskajai-apspriesanai-nodotie-normativo-aktu-projekti/2968-mk-noteikumu-projekta-tiesibu-akts-valsts-petijumu-programmu-projektu-pieteiksanas-ekspertizes-istenosanas-finansesanas-un-valsts-petijumu-programmu-projektu-istenosanai-pieskirto-finansu-lidzeklu-izlietojuma-kontroles-kartiba</w:t>
              </w:r>
            </w:hyperlink>
            <w:r w:rsidR="00644DF1">
              <w:rPr>
                <w:sz w:val="28"/>
                <w:szCs w:val="28"/>
              </w:rPr>
              <w:t xml:space="preserve"> </w:t>
            </w:r>
            <w:r w:rsidR="00DC7801" w:rsidRPr="002C234B">
              <w:rPr>
                <w:sz w:val="28"/>
                <w:szCs w:val="28"/>
              </w:rPr>
              <w:t>;</w:t>
            </w:r>
          </w:p>
          <w:p w14:paraId="23CE824C" w14:textId="21548536" w:rsidR="00DC7801" w:rsidRPr="002C234B" w:rsidRDefault="00A328B7" w:rsidP="00123200">
            <w:pPr>
              <w:pStyle w:val="ListParagraph"/>
              <w:numPr>
                <w:ilvl w:val="0"/>
                <w:numId w:val="6"/>
              </w:numPr>
              <w:ind w:left="0" w:firstLine="360"/>
              <w:jc w:val="both"/>
              <w:rPr>
                <w:sz w:val="28"/>
                <w:szCs w:val="28"/>
              </w:rPr>
            </w:pPr>
            <w:r w:rsidRPr="002C234B">
              <w:rPr>
                <w:sz w:val="28"/>
                <w:szCs w:val="28"/>
              </w:rPr>
              <w:t>Latvijas Zinātnes padom</w:t>
            </w:r>
            <w:r w:rsidR="00DC7801" w:rsidRPr="002C234B">
              <w:rPr>
                <w:sz w:val="28"/>
                <w:szCs w:val="28"/>
              </w:rPr>
              <w:t xml:space="preserve">es </w:t>
            </w:r>
            <w:r w:rsidR="00644DF1">
              <w:rPr>
                <w:sz w:val="28"/>
                <w:szCs w:val="28"/>
              </w:rPr>
              <w:t xml:space="preserve">mājaslapā </w:t>
            </w:r>
            <w:hyperlink r:id="rId11" w:history="1">
              <w:r w:rsidR="00644DF1" w:rsidRPr="00796FB1">
                <w:rPr>
                  <w:rStyle w:val="Hyperlink"/>
                  <w:sz w:val="28"/>
                  <w:szCs w:val="28"/>
                </w:rPr>
                <w:t>https://www.lzp.gov.lv/</w:t>
              </w:r>
            </w:hyperlink>
            <w:r w:rsidR="00644DF1">
              <w:rPr>
                <w:sz w:val="28"/>
                <w:szCs w:val="28"/>
              </w:rPr>
              <w:t xml:space="preserve"> ;</w:t>
            </w:r>
          </w:p>
          <w:p w14:paraId="23CE824E" w14:textId="2F85433A" w:rsidR="00A328B7" w:rsidRPr="0099231A" w:rsidRDefault="00644DF1" w:rsidP="0099231A">
            <w:pPr>
              <w:pStyle w:val="ListParagraph"/>
              <w:numPr>
                <w:ilvl w:val="0"/>
                <w:numId w:val="6"/>
              </w:numPr>
              <w:ind w:left="0" w:firstLine="360"/>
              <w:jc w:val="both"/>
              <w:rPr>
                <w:sz w:val="28"/>
                <w:szCs w:val="28"/>
              </w:rPr>
            </w:pPr>
            <w:r>
              <w:rPr>
                <w:sz w:val="28"/>
                <w:szCs w:val="28"/>
              </w:rPr>
              <w:t>Latvijas Zinātņu akadēmijas</w:t>
            </w:r>
            <w:r w:rsidR="0099231A">
              <w:rPr>
                <w:sz w:val="28"/>
                <w:szCs w:val="28"/>
              </w:rPr>
              <w:t xml:space="preserve"> mājaslapas sadaļa “Jaunumi”.</w:t>
            </w:r>
          </w:p>
        </w:tc>
      </w:tr>
      <w:tr w:rsidR="00E5323B" w:rsidRPr="002C234B" w14:paraId="23CE8253" w14:textId="77777777" w:rsidTr="002C234B">
        <w:trPr>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23CE8250"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w:t>
            </w:r>
          </w:p>
        </w:tc>
        <w:tc>
          <w:tcPr>
            <w:tcW w:w="1564" w:type="pct"/>
            <w:tcBorders>
              <w:top w:val="outset" w:sz="6" w:space="0" w:color="auto"/>
              <w:left w:val="outset" w:sz="6" w:space="0" w:color="auto"/>
              <w:bottom w:val="outset" w:sz="6" w:space="0" w:color="auto"/>
              <w:right w:val="outset" w:sz="6" w:space="0" w:color="auto"/>
            </w:tcBorders>
            <w:hideMark/>
          </w:tcPr>
          <w:p w14:paraId="23CE8251"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Sabiedrības līdzdalības rezultāti</w:t>
            </w:r>
          </w:p>
        </w:tc>
        <w:tc>
          <w:tcPr>
            <w:tcW w:w="3127" w:type="pct"/>
            <w:tcBorders>
              <w:top w:val="outset" w:sz="6" w:space="0" w:color="auto"/>
              <w:left w:val="outset" w:sz="6" w:space="0" w:color="auto"/>
              <w:bottom w:val="outset" w:sz="6" w:space="0" w:color="auto"/>
              <w:right w:val="outset" w:sz="6" w:space="0" w:color="auto"/>
            </w:tcBorders>
            <w:hideMark/>
          </w:tcPr>
          <w:p w14:paraId="23CE8252" w14:textId="77777777" w:rsidR="00E5323B" w:rsidRPr="002C234B" w:rsidRDefault="00C32D14"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sz w:val="28"/>
                <w:szCs w:val="28"/>
              </w:rPr>
              <w:t>Šobrīd nav saņemti priekšlikumi no sabiedrības pārstāvjiem.</w:t>
            </w:r>
          </w:p>
        </w:tc>
      </w:tr>
      <w:tr w:rsidR="00E5323B" w:rsidRPr="002C234B" w14:paraId="23CE8257" w14:textId="77777777" w:rsidTr="002C234B">
        <w:trPr>
          <w:tblCellSpacing w:w="15" w:type="dxa"/>
        </w:trPr>
        <w:tc>
          <w:tcPr>
            <w:tcW w:w="246" w:type="pct"/>
            <w:tcBorders>
              <w:top w:val="outset" w:sz="6" w:space="0" w:color="auto"/>
              <w:left w:val="outset" w:sz="6" w:space="0" w:color="auto"/>
              <w:bottom w:val="outset" w:sz="6" w:space="0" w:color="auto"/>
              <w:right w:val="outset" w:sz="6" w:space="0" w:color="auto"/>
            </w:tcBorders>
            <w:hideMark/>
          </w:tcPr>
          <w:p w14:paraId="23CE8254"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4.</w:t>
            </w:r>
          </w:p>
        </w:tc>
        <w:tc>
          <w:tcPr>
            <w:tcW w:w="1564" w:type="pct"/>
            <w:tcBorders>
              <w:top w:val="outset" w:sz="6" w:space="0" w:color="auto"/>
              <w:left w:val="outset" w:sz="6" w:space="0" w:color="auto"/>
              <w:bottom w:val="outset" w:sz="6" w:space="0" w:color="auto"/>
              <w:right w:val="outset" w:sz="6" w:space="0" w:color="auto"/>
            </w:tcBorders>
            <w:hideMark/>
          </w:tcPr>
          <w:p w14:paraId="23CE8255"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127" w:type="pct"/>
            <w:tcBorders>
              <w:top w:val="outset" w:sz="6" w:space="0" w:color="auto"/>
              <w:left w:val="outset" w:sz="6" w:space="0" w:color="auto"/>
              <w:bottom w:val="outset" w:sz="6" w:space="0" w:color="auto"/>
              <w:right w:val="outset" w:sz="6" w:space="0" w:color="auto"/>
            </w:tcBorders>
            <w:hideMark/>
          </w:tcPr>
          <w:p w14:paraId="23CE8256" w14:textId="77777777" w:rsidR="00E5323B" w:rsidRPr="002C234B" w:rsidRDefault="004F3DFE"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258"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 xml:space="preserve">  </w:t>
      </w:r>
    </w:p>
    <w:tbl>
      <w:tblPr>
        <w:tblW w:w="524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7"/>
        <w:gridCol w:w="3049"/>
        <w:gridCol w:w="5864"/>
      </w:tblGrid>
      <w:tr w:rsidR="00E5323B" w:rsidRPr="002C234B" w14:paraId="23CE825A" w14:textId="77777777" w:rsidTr="002C234B">
        <w:trPr>
          <w:tblCellSpacing w:w="15" w:type="dxa"/>
        </w:trPr>
        <w:tc>
          <w:tcPr>
            <w:tcW w:w="4968" w:type="pct"/>
            <w:gridSpan w:val="3"/>
            <w:tcBorders>
              <w:top w:val="outset" w:sz="6" w:space="0" w:color="auto"/>
              <w:left w:val="outset" w:sz="6" w:space="0" w:color="auto"/>
              <w:bottom w:val="outset" w:sz="6" w:space="0" w:color="auto"/>
              <w:right w:val="outset" w:sz="6" w:space="0" w:color="auto"/>
            </w:tcBorders>
            <w:vAlign w:val="center"/>
            <w:hideMark/>
          </w:tcPr>
          <w:p w14:paraId="23CE8259" w14:textId="77777777" w:rsidR="00655F2C" w:rsidRPr="002C234B" w:rsidRDefault="00E5323B" w:rsidP="00E5323B">
            <w:pPr>
              <w:spacing w:after="0" w:line="240" w:lineRule="auto"/>
              <w:rPr>
                <w:rFonts w:ascii="Times New Roman" w:eastAsia="Times New Roman" w:hAnsi="Times New Roman" w:cs="Times New Roman"/>
                <w:b/>
                <w:bCs/>
                <w:iCs/>
                <w:sz w:val="28"/>
                <w:szCs w:val="28"/>
                <w:lang w:eastAsia="lv-LV"/>
              </w:rPr>
            </w:pPr>
            <w:r w:rsidRPr="002C234B">
              <w:rPr>
                <w:rFonts w:ascii="Times New Roman" w:eastAsia="Times New Roman" w:hAnsi="Times New Roman" w:cs="Times New Roman"/>
                <w:b/>
                <w:bCs/>
                <w:iCs/>
                <w:sz w:val="28"/>
                <w:szCs w:val="28"/>
                <w:lang w:eastAsia="lv-LV"/>
              </w:rPr>
              <w:t>VII. Tiesību akta projekta izpildes nodrošināšana un tās ietekme uz institūcijām</w:t>
            </w:r>
          </w:p>
        </w:tc>
      </w:tr>
      <w:tr w:rsidR="00E5323B" w:rsidRPr="002C234B" w14:paraId="23CE825E"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25B"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1.</w:t>
            </w:r>
          </w:p>
        </w:tc>
        <w:tc>
          <w:tcPr>
            <w:tcW w:w="1601" w:type="pct"/>
            <w:tcBorders>
              <w:top w:val="outset" w:sz="6" w:space="0" w:color="auto"/>
              <w:left w:val="outset" w:sz="6" w:space="0" w:color="auto"/>
              <w:bottom w:val="outset" w:sz="6" w:space="0" w:color="auto"/>
              <w:right w:val="outset" w:sz="6" w:space="0" w:color="auto"/>
            </w:tcBorders>
            <w:hideMark/>
          </w:tcPr>
          <w:p w14:paraId="23CE825C"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Projekta izpildē iesaistītās institūcijas</w:t>
            </w:r>
          </w:p>
        </w:tc>
        <w:tc>
          <w:tcPr>
            <w:tcW w:w="3054" w:type="pct"/>
            <w:tcBorders>
              <w:top w:val="outset" w:sz="6" w:space="0" w:color="auto"/>
              <w:left w:val="outset" w:sz="6" w:space="0" w:color="auto"/>
              <w:bottom w:val="outset" w:sz="6" w:space="0" w:color="auto"/>
              <w:right w:val="outset" w:sz="6" w:space="0" w:color="auto"/>
            </w:tcBorders>
            <w:hideMark/>
          </w:tcPr>
          <w:p w14:paraId="23CE825D" w14:textId="77777777" w:rsidR="00E5323B" w:rsidRPr="002C234B" w:rsidRDefault="006D3FB8" w:rsidP="00C32D14">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Izglītības</w:t>
            </w:r>
            <w:r w:rsidR="004F3DFE" w:rsidRPr="002C234B">
              <w:rPr>
                <w:rFonts w:ascii="Times New Roman" w:eastAsia="Times New Roman" w:hAnsi="Times New Roman" w:cs="Times New Roman"/>
                <w:iCs/>
                <w:sz w:val="28"/>
                <w:szCs w:val="28"/>
                <w:lang w:eastAsia="lv-LV"/>
              </w:rPr>
              <w:t xml:space="preserve"> un zinātnes </w:t>
            </w:r>
            <w:r w:rsidRPr="002C234B">
              <w:rPr>
                <w:rFonts w:ascii="Times New Roman" w:eastAsia="Times New Roman" w:hAnsi="Times New Roman" w:cs="Times New Roman"/>
                <w:iCs/>
                <w:sz w:val="28"/>
                <w:szCs w:val="28"/>
                <w:lang w:eastAsia="lv-LV"/>
              </w:rPr>
              <w:t>ministrija</w:t>
            </w:r>
            <w:r w:rsidR="004F3DFE" w:rsidRPr="002C234B">
              <w:rPr>
                <w:rFonts w:ascii="Times New Roman" w:eastAsia="Times New Roman" w:hAnsi="Times New Roman" w:cs="Times New Roman"/>
                <w:iCs/>
                <w:sz w:val="28"/>
                <w:szCs w:val="28"/>
                <w:lang w:eastAsia="lv-LV"/>
              </w:rPr>
              <w:t xml:space="preserve"> un citas nozaru </w:t>
            </w:r>
            <w:r w:rsidRPr="002C234B">
              <w:rPr>
                <w:rFonts w:ascii="Times New Roman" w:eastAsia="Times New Roman" w:hAnsi="Times New Roman" w:cs="Times New Roman"/>
                <w:iCs/>
                <w:sz w:val="28"/>
                <w:szCs w:val="28"/>
                <w:lang w:eastAsia="lv-LV"/>
              </w:rPr>
              <w:t>ministrijas</w:t>
            </w:r>
            <w:r w:rsidR="004F3DFE" w:rsidRPr="002C234B">
              <w:rPr>
                <w:rFonts w:ascii="Times New Roman" w:eastAsia="Times New Roman" w:hAnsi="Times New Roman" w:cs="Times New Roman"/>
                <w:iCs/>
                <w:sz w:val="28"/>
                <w:szCs w:val="28"/>
                <w:lang w:eastAsia="lv-LV"/>
              </w:rPr>
              <w:t xml:space="preserve">, Latvijas Zinātnes padome, Studiju un zinātnes </w:t>
            </w:r>
            <w:r w:rsidRPr="002C234B">
              <w:rPr>
                <w:rFonts w:ascii="Times New Roman" w:eastAsia="Times New Roman" w:hAnsi="Times New Roman" w:cs="Times New Roman"/>
                <w:iCs/>
                <w:sz w:val="28"/>
                <w:szCs w:val="28"/>
                <w:lang w:eastAsia="lv-LV"/>
              </w:rPr>
              <w:t>administrācija</w:t>
            </w:r>
            <w:r w:rsidR="004F3DFE" w:rsidRPr="002C234B">
              <w:rPr>
                <w:rFonts w:ascii="Times New Roman" w:eastAsia="Times New Roman" w:hAnsi="Times New Roman" w:cs="Times New Roman"/>
                <w:iCs/>
                <w:sz w:val="28"/>
                <w:szCs w:val="28"/>
                <w:lang w:eastAsia="lv-LV"/>
              </w:rPr>
              <w:t xml:space="preserve">, </w:t>
            </w:r>
            <w:r w:rsidRPr="002C234B">
              <w:rPr>
                <w:rFonts w:ascii="Times New Roman" w:eastAsia="Times New Roman" w:hAnsi="Times New Roman" w:cs="Times New Roman"/>
                <w:iCs/>
                <w:sz w:val="28"/>
                <w:szCs w:val="28"/>
                <w:lang w:eastAsia="lv-LV"/>
              </w:rPr>
              <w:t>zinātniskās</w:t>
            </w:r>
            <w:r w:rsidR="004F3DFE" w:rsidRPr="002C234B">
              <w:rPr>
                <w:rFonts w:ascii="Times New Roman" w:eastAsia="Times New Roman" w:hAnsi="Times New Roman" w:cs="Times New Roman"/>
                <w:iCs/>
                <w:sz w:val="28"/>
                <w:szCs w:val="28"/>
                <w:lang w:eastAsia="lv-LV"/>
              </w:rPr>
              <w:t xml:space="preserve"> </w:t>
            </w:r>
            <w:r w:rsidRPr="002C234B">
              <w:rPr>
                <w:rFonts w:ascii="Times New Roman" w:eastAsia="Times New Roman" w:hAnsi="Times New Roman" w:cs="Times New Roman"/>
                <w:iCs/>
                <w:sz w:val="28"/>
                <w:szCs w:val="28"/>
                <w:lang w:eastAsia="lv-LV"/>
              </w:rPr>
              <w:t>institūcijas</w:t>
            </w:r>
            <w:r w:rsidR="004F3DFE" w:rsidRPr="002C234B">
              <w:rPr>
                <w:rFonts w:ascii="Times New Roman" w:eastAsia="Times New Roman" w:hAnsi="Times New Roman" w:cs="Times New Roman"/>
                <w:iCs/>
                <w:sz w:val="28"/>
                <w:szCs w:val="28"/>
                <w:lang w:eastAsia="lv-LV"/>
              </w:rPr>
              <w:t xml:space="preserve"> un </w:t>
            </w:r>
            <w:r w:rsidRPr="002C234B">
              <w:rPr>
                <w:rFonts w:ascii="Times New Roman" w:eastAsia="Times New Roman" w:hAnsi="Times New Roman" w:cs="Times New Roman"/>
                <w:iCs/>
                <w:sz w:val="28"/>
                <w:szCs w:val="28"/>
                <w:lang w:eastAsia="lv-LV"/>
              </w:rPr>
              <w:lastRenderedPageBreak/>
              <w:t>augstskolas, nozaru profesionālās organizācijas, zinātni pārstāvošās organizācijas.</w:t>
            </w:r>
          </w:p>
        </w:tc>
      </w:tr>
      <w:tr w:rsidR="00E5323B" w:rsidRPr="002C234B" w14:paraId="23CE8262"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25F"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lastRenderedPageBreak/>
              <w:t>2.</w:t>
            </w:r>
          </w:p>
        </w:tc>
        <w:tc>
          <w:tcPr>
            <w:tcW w:w="1601" w:type="pct"/>
            <w:tcBorders>
              <w:top w:val="outset" w:sz="6" w:space="0" w:color="auto"/>
              <w:left w:val="outset" w:sz="6" w:space="0" w:color="auto"/>
              <w:bottom w:val="outset" w:sz="6" w:space="0" w:color="auto"/>
              <w:right w:val="outset" w:sz="6" w:space="0" w:color="auto"/>
            </w:tcBorders>
            <w:hideMark/>
          </w:tcPr>
          <w:p w14:paraId="23CE8260"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Projekta izpildes ietekme uz pārvaldes funkcijām un institucionālo struktūru.</w:t>
            </w:r>
            <w:r w:rsidRPr="002C234B">
              <w:rPr>
                <w:rFonts w:ascii="Times New Roman" w:eastAsia="Times New Roman" w:hAnsi="Times New Roman" w:cs="Times New Roman"/>
                <w:iCs/>
                <w:sz w:val="28"/>
                <w:szCs w:val="28"/>
                <w:lang w:eastAsia="lv-LV"/>
              </w:rPr>
              <w:br/>
              <w:t>Jaunu institūciju izveide, esošu institūciju likvidācija vai reorganizācija, to ietekme uz institūcijas cilvēkresursiem</w:t>
            </w:r>
          </w:p>
        </w:tc>
        <w:tc>
          <w:tcPr>
            <w:tcW w:w="3054" w:type="pct"/>
            <w:tcBorders>
              <w:top w:val="outset" w:sz="6" w:space="0" w:color="auto"/>
              <w:left w:val="outset" w:sz="6" w:space="0" w:color="auto"/>
              <w:bottom w:val="outset" w:sz="6" w:space="0" w:color="auto"/>
              <w:right w:val="outset" w:sz="6" w:space="0" w:color="auto"/>
            </w:tcBorders>
            <w:hideMark/>
          </w:tcPr>
          <w:p w14:paraId="23CE8261" w14:textId="77777777" w:rsidR="00E5323B" w:rsidRPr="002C234B" w:rsidRDefault="00C32D14" w:rsidP="00C32D14">
            <w:pPr>
              <w:spacing w:after="0" w:line="240" w:lineRule="auto"/>
              <w:jc w:val="both"/>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Noteikumu projektam</w:t>
            </w:r>
            <w:r w:rsidRPr="002C234B">
              <w:rPr>
                <w:rFonts w:ascii="Times New Roman" w:eastAsia="Times New Roman" w:hAnsi="Times New Roman" w:cs="Times New Roman"/>
                <w:sz w:val="28"/>
                <w:szCs w:val="28"/>
              </w:rPr>
              <w:t xml:space="preserve"> nav ietekmes uz pārvaldes funkcijām un institucionālo struktūru. Saistībā ar projekta izpildi jaunu institūciju izveide, institūciju likvidācija vai reorganizācija nav nepieciešama.</w:t>
            </w:r>
          </w:p>
        </w:tc>
      </w:tr>
      <w:tr w:rsidR="00E5323B" w:rsidRPr="002C234B" w14:paraId="23CE8266" w14:textId="77777777" w:rsidTr="002C234B">
        <w:trPr>
          <w:tblCellSpacing w:w="15" w:type="dxa"/>
        </w:trPr>
        <w:tc>
          <w:tcPr>
            <w:tcW w:w="282" w:type="pct"/>
            <w:tcBorders>
              <w:top w:val="outset" w:sz="6" w:space="0" w:color="auto"/>
              <w:left w:val="outset" w:sz="6" w:space="0" w:color="auto"/>
              <w:bottom w:val="outset" w:sz="6" w:space="0" w:color="auto"/>
              <w:right w:val="outset" w:sz="6" w:space="0" w:color="auto"/>
            </w:tcBorders>
            <w:hideMark/>
          </w:tcPr>
          <w:p w14:paraId="23CE8263" w14:textId="77777777" w:rsidR="00655F2C"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3.</w:t>
            </w:r>
          </w:p>
        </w:tc>
        <w:tc>
          <w:tcPr>
            <w:tcW w:w="1601" w:type="pct"/>
            <w:tcBorders>
              <w:top w:val="outset" w:sz="6" w:space="0" w:color="auto"/>
              <w:left w:val="outset" w:sz="6" w:space="0" w:color="auto"/>
              <w:bottom w:val="outset" w:sz="6" w:space="0" w:color="auto"/>
              <w:right w:val="outset" w:sz="6" w:space="0" w:color="auto"/>
            </w:tcBorders>
            <w:hideMark/>
          </w:tcPr>
          <w:p w14:paraId="23CE8264" w14:textId="77777777" w:rsidR="00E5323B" w:rsidRPr="002C234B" w:rsidRDefault="00E5323B"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Cita informācija</w:t>
            </w:r>
          </w:p>
        </w:tc>
        <w:tc>
          <w:tcPr>
            <w:tcW w:w="3054" w:type="pct"/>
            <w:tcBorders>
              <w:top w:val="outset" w:sz="6" w:space="0" w:color="auto"/>
              <w:left w:val="outset" w:sz="6" w:space="0" w:color="auto"/>
              <w:bottom w:val="outset" w:sz="6" w:space="0" w:color="auto"/>
              <w:right w:val="outset" w:sz="6" w:space="0" w:color="auto"/>
            </w:tcBorders>
            <w:hideMark/>
          </w:tcPr>
          <w:p w14:paraId="23CE8265" w14:textId="77777777" w:rsidR="00E5323B" w:rsidRPr="002C234B" w:rsidRDefault="006D3FB8" w:rsidP="00E5323B">
            <w:pPr>
              <w:spacing w:after="0" w:line="240" w:lineRule="auto"/>
              <w:rPr>
                <w:rFonts w:ascii="Times New Roman" w:eastAsia="Times New Roman" w:hAnsi="Times New Roman" w:cs="Times New Roman"/>
                <w:iCs/>
                <w:sz w:val="28"/>
                <w:szCs w:val="28"/>
                <w:lang w:eastAsia="lv-LV"/>
              </w:rPr>
            </w:pPr>
            <w:r w:rsidRPr="002C234B">
              <w:rPr>
                <w:rFonts w:ascii="Times New Roman" w:eastAsia="Times New Roman" w:hAnsi="Times New Roman" w:cs="Times New Roman"/>
                <w:iCs/>
                <w:sz w:val="28"/>
                <w:szCs w:val="28"/>
                <w:lang w:eastAsia="lv-LV"/>
              </w:rPr>
              <w:t>Nav</w:t>
            </w:r>
          </w:p>
        </w:tc>
      </w:tr>
    </w:tbl>
    <w:p w14:paraId="23CE8267" w14:textId="77777777" w:rsidR="00C25B49" w:rsidRPr="002C234B" w:rsidRDefault="00C25B49" w:rsidP="00894C55">
      <w:pPr>
        <w:spacing w:after="0" w:line="240" w:lineRule="auto"/>
        <w:rPr>
          <w:rFonts w:ascii="Times New Roman" w:hAnsi="Times New Roman" w:cs="Times New Roman"/>
          <w:sz w:val="28"/>
          <w:szCs w:val="28"/>
        </w:rPr>
      </w:pPr>
    </w:p>
    <w:p w14:paraId="2670DB05" w14:textId="77777777" w:rsidR="0099231A" w:rsidRDefault="0099231A" w:rsidP="00C32D14">
      <w:pPr>
        <w:jc w:val="both"/>
        <w:rPr>
          <w:rFonts w:ascii="Times New Roman" w:eastAsia="Times New Roman" w:hAnsi="Times New Roman" w:cs="Times New Roman"/>
          <w:sz w:val="28"/>
          <w:szCs w:val="28"/>
        </w:rPr>
      </w:pPr>
    </w:p>
    <w:p w14:paraId="23CE8268" w14:textId="77777777" w:rsidR="00C32D14" w:rsidRPr="002C234B" w:rsidRDefault="00C32D14" w:rsidP="00C32D14">
      <w:pPr>
        <w:jc w:val="both"/>
        <w:rPr>
          <w:rFonts w:ascii="Times New Roman" w:eastAsia="Times New Roman" w:hAnsi="Times New Roman" w:cs="Times New Roman"/>
          <w:sz w:val="28"/>
          <w:szCs w:val="28"/>
          <w:lang w:eastAsia="lv-LV"/>
        </w:rPr>
      </w:pPr>
      <w:r w:rsidRPr="002C234B">
        <w:rPr>
          <w:rFonts w:ascii="Times New Roman" w:eastAsia="Times New Roman" w:hAnsi="Times New Roman" w:cs="Times New Roman"/>
          <w:sz w:val="28"/>
          <w:szCs w:val="28"/>
        </w:rPr>
        <w:t>Izglītības un zinātnes ministrs</w:t>
      </w:r>
      <w:r w:rsidRPr="002C234B">
        <w:rPr>
          <w:rFonts w:ascii="Times New Roman" w:eastAsia="Times New Roman" w:hAnsi="Times New Roman" w:cs="Times New Roman"/>
          <w:sz w:val="28"/>
          <w:szCs w:val="28"/>
        </w:rPr>
        <w:tab/>
      </w:r>
      <w:r w:rsidRPr="002C234B">
        <w:rPr>
          <w:rFonts w:ascii="Times New Roman" w:eastAsia="Times New Roman" w:hAnsi="Times New Roman" w:cs="Times New Roman"/>
          <w:sz w:val="28"/>
          <w:szCs w:val="28"/>
        </w:rPr>
        <w:tab/>
      </w:r>
      <w:r w:rsidRPr="002C234B">
        <w:rPr>
          <w:rFonts w:ascii="Times New Roman" w:eastAsia="Times New Roman" w:hAnsi="Times New Roman" w:cs="Times New Roman"/>
          <w:sz w:val="28"/>
          <w:szCs w:val="28"/>
        </w:rPr>
        <w:tab/>
      </w:r>
      <w:r w:rsidRPr="002C234B">
        <w:rPr>
          <w:rFonts w:ascii="Times New Roman" w:eastAsia="Times New Roman" w:hAnsi="Times New Roman" w:cs="Times New Roman"/>
          <w:sz w:val="28"/>
          <w:szCs w:val="28"/>
        </w:rPr>
        <w:tab/>
      </w:r>
      <w:r w:rsidRPr="002C234B">
        <w:rPr>
          <w:rFonts w:ascii="Times New Roman" w:eastAsia="Times New Roman" w:hAnsi="Times New Roman" w:cs="Times New Roman"/>
          <w:sz w:val="28"/>
          <w:szCs w:val="28"/>
        </w:rPr>
        <w:tab/>
        <w:t xml:space="preserve">                K</w:t>
      </w:r>
      <w:r w:rsidRPr="002C234B">
        <w:rPr>
          <w:rFonts w:ascii="Times New Roman" w:eastAsia="Times New Roman" w:hAnsi="Times New Roman" w:cs="Times New Roman"/>
          <w:sz w:val="28"/>
          <w:szCs w:val="28"/>
          <w:lang w:eastAsia="lv-LV"/>
        </w:rPr>
        <w:t>. </w:t>
      </w:r>
      <w:r w:rsidRPr="002C234B">
        <w:rPr>
          <w:rFonts w:ascii="Times New Roman" w:eastAsia="Times New Roman" w:hAnsi="Times New Roman" w:cs="Times New Roman"/>
          <w:sz w:val="28"/>
          <w:szCs w:val="28"/>
        </w:rPr>
        <w:t>Šadurskis</w:t>
      </w:r>
    </w:p>
    <w:p w14:paraId="23CE8269" w14:textId="77777777" w:rsidR="00C32D14" w:rsidRPr="002C234B" w:rsidRDefault="00C32D14" w:rsidP="00C32D14">
      <w:pPr>
        <w:jc w:val="both"/>
        <w:rPr>
          <w:rFonts w:ascii="Times New Roman" w:eastAsia="Times New Roman" w:hAnsi="Times New Roman" w:cs="Times New Roman"/>
          <w:sz w:val="28"/>
          <w:szCs w:val="28"/>
          <w:lang w:eastAsia="lv-LV"/>
        </w:rPr>
      </w:pPr>
    </w:p>
    <w:p w14:paraId="23CE826A" w14:textId="77777777" w:rsidR="00C32D14" w:rsidRPr="002C234B" w:rsidRDefault="00C32D14" w:rsidP="00C32D14">
      <w:pPr>
        <w:jc w:val="both"/>
        <w:rPr>
          <w:rFonts w:ascii="Times New Roman" w:eastAsia="Times New Roman" w:hAnsi="Times New Roman" w:cs="Times New Roman"/>
          <w:sz w:val="28"/>
          <w:szCs w:val="28"/>
          <w:lang w:eastAsia="lv-LV"/>
        </w:rPr>
      </w:pPr>
      <w:r w:rsidRPr="002C234B">
        <w:rPr>
          <w:rFonts w:ascii="Times New Roman" w:eastAsia="Times New Roman" w:hAnsi="Times New Roman" w:cs="Times New Roman"/>
          <w:sz w:val="28"/>
          <w:szCs w:val="28"/>
        </w:rPr>
        <w:t>Vīza: valsts sekretāre</w:t>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lang w:eastAsia="lv-LV"/>
        </w:rPr>
        <w:tab/>
      </w:r>
      <w:r w:rsidRPr="002C234B">
        <w:rPr>
          <w:rFonts w:ascii="Times New Roman" w:eastAsia="Times New Roman" w:hAnsi="Times New Roman" w:cs="Times New Roman"/>
          <w:sz w:val="28"/>
          <w:szCs w:val="28"/>
        </w:rPr>
        <w:tab/>
        <w:t xml:space="preserve">    L</w:t>
      </w:r>
      <w:r w:rsidRPr="002C234B">
        <w:rPr>
          <w:rFonts w:ascii="Times New Roman" w:eastAsia="Times New Roman" w:hAnsi="Times New Roman" w:cs="Times New Roman"/>
          <w:sz w:val="28"/>
          <w:szCs w:val="28"/>
          <w:lang w:eastAsia="lv-LV"/>
        </w:rPr>
        <w:t>. </w:t>
      </w:r>
      <w:r w:rsidRPr="002C234B">
        <w:rPr>
          <w:rFonts w:ascii="Times New Roman" w:eastAsia="Times New Roman" w:hAnsi="Times New Roman" w:cs="Times New Roman"/>
          <w:sz w:val="28"/>
          <w:szCs w:val="28"/>
        </w:rPr>
        <w:t>Lejiņa</w:t>
      </w:r>
    </w:p>
    <w:p w14:paraId="23CE826B" w14:textId="77777777" w:rsidR="00E5323B" w:rsidRPr="002C234B" w:rsidRDefault="00E5323B" w:rsidP="00894C55">
      <w:pPr>
        <w:spacing w:after="0" w:line="240" w:lineRule="auto"/>
        <w:rPr>
          <w:rFonts w:ascii="Times New Roman" w:hAnsi="Times New Roman" w:cs="Times New Roman"/>
          <w:sz w:val="28"/>
          <w:szCs w:val="28"/>
        </w:rPr>
      </w:pPr>
    </w:p>
    <w:p w14:paraId="23CE826C" w14:textId="77777777" w:rsidR="00DC7801" w:rsidRPr="002C234B" w:rsidRDefault="00DC7801" w:rsidP="00894C55">
      <w:pPr>
        <w:spacing w:after="0" w:line="240" w:lineRule="auto"/>
        <w:rPr>
          <w:rFonts w:ascii="Times New Roman" w:hAnsi="Times New Roman" w:cs="Times New Roman"/>
          <w:sz w:val="28"/>
          <w:szCs w:val="28"/>
        </w:rPr>
      </w:pPr>
    </w:p>
    <w:p w14:paraId="23CE826D" w14:textId="77777777" w:rsidR="00DC7801" w:rsidRPr="002C234B" w:rsidRDefault="00DC7801" w:rsidP="00894C55">
      <w:pPr>
        <w:spacing w:after="0" w:line="240" w:lineRule="auto"/>
        <w:rPr>
          <w:rFonts w:ascii="Times New Roman" w:hAnsi="Times New Roman" w:cs="Times New Roman"/>
          <w:sz w:val="28"/>
          <w:szCs w:val="28"/>
        </w:rPr>
      </w:pPr>
    </w:p>
    <w:p w14:paraId="23CE826E" w14:textId="77777777" w:rsidR="00DC7801" w:rsidRPr="002C234B" w:rsidRDefault="00DC7801" w:rsidP="00894C55">
      <w:pPr>
        <w:spacing w:after="0" w:line="240" w:lineRule="auto"/>
        <w:rPr>
          <w:rFonts w:ascii="Times New Roman" w:hAnsi="Times New Roman" w:cs="Times New Roman"/>
          <w:sz w:val="28"/>
          <w:szCs w:val="28"/>
        </w:rPr>
      </w:pPr>
    </w:p>
    <w:p w14:paraId="23CE826F" w14:textId="77777777" w:rsidR="00DC7801" w:rsidRPr="002C234B" w:rsidRDefault="00DC7801" w:rsidP="00894C55">
      <w:pPr>
        <w:spacing w:after="0" w:line="240" w:lineRule="auto"/>
        <w:rPr>
          <w:rFonts w:ascii="Times New Roman" w:hAnsi="Times New Roman" w:cs="Times New Roman"/>
          <w:sz w:val="28"/>
          <w:szCs w:val="28"/>
        </w:rPr>
      </w:pPr>
    </w:p>
    <w:p w14:paraId="23CE8270" w14:textId="77777777" w:rsidR="00DC7801" w:rsidRDefault="00DC7801" w:rsidP="00894C55">
      <w:pPr>
        <w:spacing w:after="0" w:line="240" w:lineRule="auto"/>
        <w:rPr>
          <w:rFonts w:ascii="Times New Roman" w:hAnsi="Times New Roman" w:cs="Times New Roman"/>
          <w:sz w:val="28"/>
          <w:szCs w:val="28"/>
        </w:rPr>
      </w:pPr>
    </w:p>
    <w:p w14:paraId="618454E2" w14:textId="77777777" w:rsidR="002C234B" w:rsidRDefault="002C234B" w:rsidP="00894C55">
      <w:pPr>
        <w:spacing w:after="0" w:line="240" w:lineRule="auto"/>
        <w:rPr>
          <w:rFonts w:ascii="Times New Roman" w:hAnsi="Times New Roman" w:cs="Times New Roman"/>
          <w:sz w:val="28"/>
          <w:szCs w:val="28"/>
        </w:rPr>
      </w:pPr>
    </w:p>
    <w:p w14:paraId="2CB95E09" w14:textId="77777777" w:rsidR="002C234B" w:rsidRDefault="002C234B" w:rsidP="00894C55">
      <w:pPr>
        <w:spacing w:after="0" w:line="240" w:lineRule="auto"/>
        <w:rPr>
          <w:rFonts w:ascii="Times New Roman" w:hAnsi="Times New Roman" w:cs="Times New Roman"/>
          <w:sz w:val="28"/>
          <w:szCs w:val="28"/>
        </w:rPr>
      </w:pPr>
    </w:p>
    <w:p w14:paraId="5E594361" w14:textId="77777777" w:rsidR="002C234B" w:rsidRDefault="002C234B" w:rsidP="00894C55">
      <w:pPr>
        <w:spacing w:after="0" w:line="240" w:lineRule="auto"/>
        <w:rPr>
          <w:rFonts w:ascii="Times New Roman" w:hAnsi="Times New Roman" w:cs="Times New Roman"/>
          <w:sz w:val="28"/>
          <w:szCs w:val="28"/>
        </w:rPr>
      </w:pPr>
    </w:p>
    <w:p w14:paraId="217ABE5A" w14:textId="77777777" w:rsidR="002C234B" w:rsidRDefault="002C234B" w:rsidP="00894C55">
      <w:pPr>
        <w:spacing w:after="0" w:line="240" w:lineRule="auto"/>
        <w:rPr>
          <w:rFonts w:ascii="Times New Roman" w:hAnsi="Times New Roman" w:cs="Times New Roman"/>
          <w:sz w:val="28"/>
          <w:szCs w:val="28"/>
        </w:rPr>
      </w:pPr>
    </w:p>
    <w:p w14:paraId="7CE53B90" w14:textId="77777777" w:rsidR="002C234B" w:rsidRDefault="002C234B" w:rsidP="00894C55">
      <w:pPr>
        <w:spacing w:after="0" w:line="240" w:lineRule="auto"/>
        <w:rPr>
          <w:rFonts w:ascii="Times New Roman" w:hAnsi="Times New Roman" w:cs="Times New Roman"/>
          <w:sz w:val="28"/>
          <w:szCs w:val="28"/>
        </w:rPr>
      </w:pPr>
    </w:p>
    <w:p w14:paraId="012AFE59" w14:textId="77777777" w:rsidR="002C234B" w:rsidRDefault="002C234B" w:rsidP="00894C55">
      <w:pPr>
        <w:spacing w:after="0" w:line="240" w:lineRule="auto"/>
        <w:rPr>
          <w:rFonts w:ascii="Times New Roman" w:hAnsi="Times New Roman" w:cs="Times New Roman"/>
          <w:sz w:val="28"/>
          <w:szCs w:val="28"/>
        </w:rPr>
      </w:pPr>
    </w:p>
    <w:p w14:paraId="696C59B2" w14:textId="77777777" w:rsidR="002C234B" w:rsidRPr="002C234B" w:rsidRDefault="002C234B" w:rsidP="00894C55">
      <w:pPr>
        <w:spacing w:after="0" w:line="240" w:lineRule="auto"/>
        <w:rPr>
          <w:rFonts w:ascii="Times New Roman" w:hAnsi="Times New Roman" w:cs="Times New Roman"/>
          <w:sz w:val="28"/>
          <w:szCs w:val="28"/>
        </w:rPr>
      </w:pPr>
    </w:p>
    <w:p w14:paraId="23CE8271" w14:textId="77777777" w:rsidR="00DC7801" w:rsidRPr="002C234B" w:rsidRDefault="00DC7801" w:rsidP="00894C55">
      <w:pPr>
        <w:spacing w:after="0" w:line="240" w:lineRule="auto"/>
        <w:rPr>
          <w:rFonts w:ascii="Times New Roman" w:hAnsi="Times New Roman" w:cs="Times New Roman"/>
          <w:sz w:val="28"/>
          <w:szCs w:val="28"/>
        </w:rPr>
      </w:pPr>
    </w:p>
    <w:p w14:paraId="23CE8272" w14:textId="77777777" w:rsidR="00DC7801" w:rsidRPr="002C234B" w:rsidRDefault="00DC7801" w:rsidP="00894C55">
      <w:pPr>
        <w:spacing w:after="0" w:line="240" w:lineRule="auto"/>
        <w:rPr>
          <w:rFonts w:ascii="Times New Roman" w:hAnsi="Times New Roman" w:cs="Times New Roman"/>
          <w:sz w:val="28"/>
          <w:szCs w:val="28"/>
        </w:rPr>
      </w:pPr>
    </w:p>
    <w:p w14:paraId="23CE8273" w14:textId="77777777" w:rsidR="00DC7801" w:rsidRPr="002C234B" w:rsidRDefault="00DC7801" w:rsidP="00894C55">
      <w:pPr>
        <w:spacing w:after="0" w:line="240" w:lineRule="auto"/>
        <w:rPr>
          <w:rFonts w:ascii="Times New Roman" w:hAnsi="Times New Roman" w:cs="Times New Roman"/>
        </w:rPr>
      </w:pPr>
      <w:r w:rsidRPr="002C234B">
        <w:rPr>
          <w:rFonts w:ascii="Times New Roman" w:hAnsi="Times New Roman" w:cs="Times New Roman"/>
        </w:rPr>
        <w:t>Depkovska, 67047772</w:t>
      </w:r>
    </w:p>
    <w:p w14:paraId="23CE8274" w14:textId="77777777" w:rsidR="00DC7801" w:rsidRPr="002C234B" w:rsidRDefault="00141D97" w:rsidP="00894C55">
      <w:pPr>
        <w:spacing w:after="0" w:line="240" w:lineRule="auto"/>
        <w:rPr>
          <w:rFonts w:ascii="Times New Roman" w:hAnsi="Times New Roman" w:cs="Times New Roman"/>
        </w:rPr>
      </w:pPr>
      <w:hyperlink r:id="rId12" w:history="1">
        <w:r w:rsidR="00DC7801" w:rsidRPr="002C234B">
          <w:rPr>
            <w:rStyle w:val="Hyperlink"/>
            <w:rFonts w:ascii="Times New Roman" w:hAnsi="Times New Roman" w:cs="Times New Roman"/>
          </w:rPr>
          <w:t>Anita.depkovska@izm.gov.lv</w:t>
        </w:r>
      </w:hyperlink>
      <w:r w:rsidR="00DC7801" w:rsidRPr="002C234B">
        <w:rPr>
          <w:rFonts w:ascii="Times New Roman" w:hAnsi="Times New Roman" w:cs="Times New Roman"/>
        </w:rPr>
        <w:t xml:space="preserve"> </w:t>
      </w:r>
    </w:p>
    <w:sectPr w:rsidR="00DC7801" w:rsidRPr="002C234B" w:rsidSect="007329BE">
      <w:headerReference w:type="default" r:id="rId13"/>
      <w:footerReference w:type="default" r:id="rId14"/>
      <w:footerReference w:type="first" r:id="rId15"/>
      <w:pgSz w:w="11906" w:h="16838"/>
      <w:pgMar w:top="851"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13C09" w14:textId="77777777" w:rsidR="00072A92" w:rsidRDefault="00072A92" w:rsidP="00894C55">
      <w:pPr>
        <w:spacing w:after="0" w:line="240" w:lineRule="auto"/>
      </w:pPr>
      <w:r>
        <w:separator/>
      </w:r>
    </w:p>
  </w:endnote>
  <w:endnote w:type="continuationSeparator" w:id="0">
    <w:p w14:paraId="44AF0B42" w14:textId="77777777" w:rsidR="00072A92" w:rsidRDefault="00072A92"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E827A" w14:textId="7584FB6D" w:rsidR="00141D97" w:rsidRPr="007329BE" w:rsidRDefault="00141D97" w:rsidP="007329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IZMnot_1706</w:t>
    </w:r>
    <w:r w:rsidRPr="007329BE">
      <w:rPr>
        <w:rFonts w:ascii="Times New Roman" w:hAnsi="Times New Roman" w:cs="Times New Roman"/>
        <w:sz w:val="20"/>
        <w:szCs w:val="20"/>
      </w:rPr>
      <w:t xml:space="preserve">18_VPP; </w:t>
    </w:r>
    <w:sdt>
      <w:sdtPr>
        <w:rPr>
          <w:rFonts w:ascii="Times New Roman" w:eastAsia="Times New Roman" w:hAnsi="Times New Roman" w:cs="Times New Roman"/>
          <w:bCs/>
          <w:sz w:val="20"/>
          <w:szCs w:val="20"/>
          <w:lang w:eastAsia="lv-LV"/>
        </w:rPr>
        <w:id w:val="1888140579"/>
        <w:placeholder>
          <w:docPart w:val="A811FD673AAF459B90F85168F08A456F"/>
        </w:placeholder>
      </w:sdtPr>
      <w:sdtContent>
        <w:r w:rsidRPr="007329BE">
          <w:rPr>
            <w:rFonts w:ascii="Times New Roman" w:eastAsia="Times New Roman" w:hAnsi="Times New Roman" w:cs="Times New Roman"/>
            <w:bCs/>
            <w:sz w:val="20"/>
            <w:szCs w:val="20"/>
            <w:lang w:eastAsia="lv-LV"/>
          </w:rPr>
          <w:t xml:space="preserve">Ministru kabineta noteikumu </w:t>
        </w:r>
      </w:sdtContent>
    </w:sdt>
    <w:r w:rsidRPr="007329BE">
      <w:rPr>
        <w:rFonts w:ascii="Times New Roman" w:hAnsi="Times New Roman" w:cs="Times New Roman"/>
        <w:sz w:val="20"/>
        <w:szCs w:val="20"/>
      </w:rPr>
      <w:t xml:space="preserve">“Valsts pētījumu programmu projektu pieteikšanas, ekspertīzes, īstenošanas, finansēšanas un valsts pētījumu programmu projektu īstenošanai piešķirto finanšu līdzekļu izlietojuma kontroles kārtība” </w:t>
    </w:r>
    <w:r w:rsidRPr="007329BE">
      <w:rPr>
        <w:rFonts w:ascii="Times New Roman" w:eastAsia="Times New Roman" w:hAnsi="Times New Roman" w:cs="Times New Roman"/>
        <w:bCs/>
        <w:sz w:val="20"/>
        <w:szCs w:val="20"/>
        <w:lang w:eastAsia="lv-LV"/>
      </w:rPr>
      <w:t>projekta sākotnējās ietekmes novērtējuma ziņojums (anotācija)</w:t>
    </w:r>
  </w:p>
  <w:p w14:paraId="23CE827B" w14:textId="77777777" w:rsidR="00141D97" w:rsidRPr="007329BE" w:rsidRDefault="00141D97" w:rsidP="007329BE">
    <w:pPr>
      <w:pStyle w:val="Footer"/>
      <w:jc w:val="both"/>
      <w:rPr>
        <w:rFonts w:ascii="Times New Roman" w:hAnsi="Times New Roman" w:cs="Times New Roman"/>
        <w:sz w:val="20"/>
        <w:szCs w:val="20"/>
      </w:rPr>
    </w:pPr>
  </w:p>
  <w:p w14:paraId="23CE827C" w14:textId="77777777" w:rsidR="00141D97" w:rsidRPr="007329BE" w:rsidRDefault="00141D97" w:rsidP="007329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E827D" w14:textId="076541CC" w:rsidR="00141D97" w:rsidRPr="007329BE" w:rsidRDefault="00141D97" w:rsidP="007329B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IZMnot_1706</w:t>
    </w:r>
    <w:r w:rsidRPr="007329BE">
      <w:rPr>
        <w:rFonts w:ascii="Times New Roman" w:hAnsi="Times New Roman" w:cs="Times New Roman"/>
        <w:sz w:val="20"/>
        <w:szCs w:val="20"/>
      </w:rPr>
      <w:t xml:space="preserve">18_VPP; </w:t>
    </w:r>
    <w:sdt>
      <w:sdtPr>
        <w:rPr>
          <w:rFonts w:ascii="Times New Roman" w:eastAsia="Times New Roman" w:hAnsi="Times New Roman" w:cs="Times New Roman"/>
          <w:bCs/>
          <w:sz w:val="20"/>
          <w:szCs w:val="20"/>
          <w:lang w:eastAsia="lv-LV"/>
        </w:rPr>
        <w:id w:val="977736730"/>
      </w:sdtPr>
      <w:sdtContent>
        <w:r w:rsidRPr="007329BE">
          <w:rPr>
            <w:rFonts w:ascii="Times New Roman" w:eastAsia="Times New Roman" w:hAnsi="Times New Roman" w:cs="Times New Roman"/>
            <w:bCs/>
            <w:sz w:val="20"/>
            <w:szCs w:val="20"/>
            <w:lang w:eastAsia="lv-LV"/>
          </w:rPr>
          <w:t xml:space="preserve">Ministru kabineta noteikumu </w:t>
        </w:r>
      </w:sdtContent>
    </w:sdt>
    <w:r w:rsidRPr="007329BE">
      <w:rPr>
        <w:rFonts w:ascii="Times New Roman" w:hAnsi="Times New Roman" w:cs="Times New Roman"/>
        <w:sz w:val="20"/>
        <w:szCs w:val="20"/>
      </w:rPr>
      <w:t xml:space="preserve">“Valsts pētījumu programmu projektu pieteikšanas, ekspertīzes, īstenošanas, finansēšanas un valsts pētījumu programmu projektu īstenošanai piešķirto finanšu līdzekļu izlietojuma kontroles kārtība” </w:t>
    </w:r>
    <w:r w:rsidRPr="007329BE">
      <w:rPr>
        <w:rFonts w:ascii="Times New Roman" w:eastAsia="Times New Roman" w:hAnsi="Times New Roman" w:cs="Times New Roman"/>
        <w:bCs/>
        <w:sz w:val="20"/>
        <w:szCs w:val="20"/>
        <w:lang w:eastAsia="lv-LV"/>
      </w:rPr>
      <w:t>projekta sākotnējās ietekmes novērtējuma ziņojums (anotācija)</w:t>
    </w:r>
  </w:p>
  <w:p w14:paraId="23CE827E" w14:textId="77777777" w:rsidR="00141D97" w:rsidRPr="007329BE" w:rsidRDefault="00141D97" w:rsidP="007329BE">
    <w:pPr>
      <w:pStyle w:val="Footer"/>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568E8" w14:textId="77777777" w:rsidR="00072A92" w:rsidRDefault="00072A92" w:rsidP="00894C55">
      <w:pPr>
        <w:spacing w:after="0" w:line="240" w:lineRule="auto"/>
      </w:pPr>
      <w:r>
        <w:separator/>
      </w:r>
    </w:p>
  </w:footnote>
  <w:footnote w:type="continuationSeparator" w:id="0">
    <w:p w14:paraId="14E1EBA5" w14:textId="77777777" w:rsidR="00072A92" w:rsidRDefault="00072A92" w:rsidP="00894C55">
      <w:pPr>
        <w:spacing w:after="0" w:line="240" w:lineRule="auto"/>
      </w:pPr>
      <w:r>
        <w:continuationSeparator/>
      </w:r>
    </w:p>
  </w:footnote>
  <w:footnote w:id="1">
    <w:p w14:paraId="23CE827F" w14:textId="77777777" w:rsidR="00141D97" w:rsidRDefault="00141D97">
      <w:pPr>
        <w:pStyle w:val="FootnoteText"/>
      </w:pPr>
      <w:r>
        <w:rPr>
          <w:rStyle w:val="FootnoteReference"/>
        </w:rPr>
        <w:footnoteRef/>
      </w:r>
      <w:hyperlink r:id="rId1" w:history="1">
        <w:r w:rsidRPr="008C58D6">
          <w:rPr>
            <w:rStyle w:val="Hyperlink"/>
          </w:rPr>
          <w:t>http://titania.saeima.lv/LIVS12/SaeimaLIVS12.nsf/0/0E5C3241BA56D3A7C225829C004892FB?OpenDocument</w:t>
        </w:r>
      </w:hyperlink>
      <w:r>
        <w:t xml:space="preserve"> </w:t>
      </w:r>
    </w:p>
  </w:footnote>
  <w:footnote w:id="2">
    <w:p w14:paraId="5D7931E7" w14:textId="7FB806CF" w:rsidR="001F799D" w:rsidRDefault="001F799D">
      <w:pPr>
        <w:pStyle w:val="FootnoteText"/>
      </w:pPr>
      <w:r>
        <w:rPr>
          <w:rStyle w:val="FootnoteReference"/>
        </w:rPr>
        <w:footnoteRef/>
      </w:r>
      <w:r>
        <w:t xml:space="preserve"> </w:t>
      </w:r>
      <w:hyperlink r:id="rId2" w:history="1">
        <w:r w:rsidRPr="00E41FBB">
          <w:rPr>
            <w:rStyle w:val="Hyperlink"/>
          </w:rPr>
          <w:t>https://ec.europa.eu/info/designing-next-research-and-innovation-framework-programme/what-shapes-next-framework-programme_en</w:t>
        </w:r>
      </w:hyperlink>
      <w:r>
        <w:t xml:space="preserve"> </w:t>
      </w:r>
    </w:p>
  </w:footnote>
  <w:footnote w:id="3">
    <w:p w14:paraId="23CE8280" w14:textId="77777777" w:rsidR="00141D97" w:rsidRPr="009C3EB4" w:rsidRDefault="00141D97" w:rsidP="00D25532">
      <w:pPr>
        <w:pStyle w:val="CommentText"/>
        <w:spacing w:after="0"/>
        <w:jc w:val="both"/>
        <w:rPr>
          <w:rFonts w:ascii="Times New Roman" w:hAnsi="Times New Roman"/>
        </w:rPr>
      </w:pPr>
      <w:r w:rsidRPr="009C3EB4">
        <w:rPr>
          <w:rStyle w:val="FootnoteReference"/>
          <w:rFonts w:ascii="Times New Roman" w:hAnsi="Times New Roman"/>
        </w:rPr>
        <w:footnoteRef/>
      </w:r>
      <w:r w:rsidRPr="009C3EB4">
        <w:rPr>
          <w:rFonts w:ascii="Times New Roman" w:hAnsi="Times New Roman"/>
        </w:rPr>
        <w:t xml:space="preserve"> </w:t>
      </w:r>
      <w:r w:rsidRPr="009C3EB4">
        <w:rPr>
          <w:rFonts w:ascii="Times New Roman" w:hAnsi="Times New Roman"/>
        </w:rPr>
        <w:t>apstiprināts Saeimā 2012.gada 20.decembrī (</w:t>
      </w:r>
      <w:hyperlink r:id="rId3" w:history="1">
        <w:r w:rsidRPr="009C3EB4">
          <w:rPr>
            <w:rStyle w:val="Hyperlink"/>
            <w:rFonts w:ascii="Times New Roman" w:hAnsi="Times New Roman"/>
          </w:rPr>
          <w:t>http://polsis.mk.gov.lv/documents/4247</w:t>
        </w:r>
      </w:hyperlink>
      <w:r w:rsidRPr="009C3EB4">
        <w:rPr>
          <w:rFonts w:ascii="Times New Roman" w:hAnsi="Times New Roman"/>
        </w:rPr>
        <w:t>)</w:t>
      </w:r>
    </w:p>
  </w:footnote>
  <w:footnote w:id="4">
    <w:p w14:paraId="23CE8281" w14:textId="77777777" w:rsidR="00141D97" w:rsidRPr="00961132" w:rsidRDefault="00141D97" w:rsidP="001F53F0">
      <w:pPr>
        <w:pStyle w:val="FootnoteText"/>
        <w:rPr>
          <w:rFonts w:ascii="Times New Roman" w:hAnsi="Times New Roman" w:cs="Times New Roman"/>
        </w:rPr>
      </w:pPr>
      <w:r w:rsidRPr="00961132">
        <w:rPr>
          <w:rStyle w:val="FootnoteReference"/>
          <w:rFonts w:ascii="Times New Roman" w:hAnsi="Times New Roman" w:cs="Times New Roman"/>
        </w:rPr>
        <w:footnoteRef/>
      </w:r>
      <w:r w:rsidRPr="00961132">
        <w:rPr>
          <w:rFonts w:ascii="Times New Roman" w:hAnsi="Times New Roman" w:cs="Times New Roman"/>
        </w:rPr>
        <w:t xml:space="preserve"> </w:t>
      </w:r>
      <w:hyperlink r:id="rId4" w:history="1">
        <w:r w:rsidRPr="00E674E4">
          <w:rPr>
            <w:rStyle w:val="Hyperlink"/>
            <w:rFonts w:ascii="Times New Roman" w:hAnsi="Times New Roman" w:cs="Times New Roman"/>
          </w:rPr>
          <w:t>http://tap.mk.gov.lv/mk/tap/?pid=40291636</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529981"/>
      <w:docPartObj>
        <w:docPartGallery w:val="Page Numbers (Top of Page)"/>
        <w:docPartUnique/>
      </w:docPartObj>
    </w:sdtPr>
    <w:sdtEndPr>
      <w:rPr>
        <w:rFonts w:ascii="Times New Roman" w:hAnsi="Times New Roman" w:cs="Times New Roman"/>
        <w:noProof/>
        <w:sz w:val="24"/>
        <w:szCs w:val="20"/>
      </w:rPr>
    </w:sdtEndPr>
    <w:sdtContent>
      <w:p w14:paraId="23CE8279" w14:textId="77777777" w:rsidR="00141D97" w:rsidRPr="00C25B49" w:rsidRDefault="00141D97">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322C56">
          <w:rPr>
            <w:rFonts w:ascii="Times New Roman" w:hAnsi="Times New Roman" w:cs="Times New Roman"/>
            <w:noProof/>
            <w:sz w:val="24"/>
            <w:szCs w:val="20"/>
          </w:rPr>
          <w:t>21</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30A99"/>
    <w:multiLevelType w:val="hybridMultilevel"/>
    <w:tmpl w:val="6C904A9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765D06"/>
    <w:multiLevelType w:val="hybridMultilevel"/>
    <w:tmpl w:val="E93A01D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535CEC"/>
    <w:multiLevelType w:val="multilevel"/>
    <w:tmpl w:val="62025CC0"/>
    <w:lvl w:ilvl="0">
      <w:start w:val="1"/>
      <w:numFmt w:val="decimal"/>
      <w:lvlText w:val="%1."/>
      <w:lvlJc w:val="left"/>
      <w:pPr>
        <w:ind w:left="1069"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 w15:restartNumberingAfterBreak="0">
    <w:nsid w:val="4819245A"/>
    <w:multiLevelType w:val="hybridMultilevel"/>
    <w:tmpl w:val="0E367D8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A9A39F9"/>
    <w:multiLevelType w:val="hybridMultilevel"/>
    <w:tmpl w:val="83FA85F8"/>
    <w:lvl w:ilvl="0" w:tplc="9282213C">
      <w:start w:val="1"/>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156192B"/>
    <w:multiLevelType w:val="hybridMultilevel"/>
    <w:tmpl w:val="245A03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5726F"/>
    <w:rsid w:val="00072A92"/>
    <w:rsid w:val="0009160C"/>
    <w:rsid w:val="000C40F0"/>
    <w:rsid w:val="000E0746"/>
    <w:rsid w:val="0010404F"/>
    <w:rsid w:val="00123200"/>
    <w:rsid w:val="00127162"/>
    <w:rsid w:val="00141D97"/>
    <w:rsid w:val="0016494D"/>
    <w:rsid w:val="001A3098"/>
    <w:rsid w:val="001E1411"/>
    <w:rsid w:val="001E2527"/>
    <w:rsid w:val="001F5209"/>
    <w:rsid w:val="001F53F0"/>
    <w:rsid w:val="001F799D"/>
    <w:rsid w:val="002030CD"/>
    <w:rsid w:val="00204490"/>
    <w:rsid w:val="002221D1"/>
    <w:rsid w:val="00243426"/>
    <w:rsid w:val="002B7F11"/>
    <w:rsid w:val="002C234B"/>
    <w:rsid w:val="002E1C05"/>
    <w:rsid w:val="002F0AAA"/>
    <w:rsid w:val="00311A29"/>
    <w:rsid w:val="0032210B"/>
    <w:rsid w:val="00322C56"/>
    <w:rsid w:val="003340EB"/>
    <w:rsid w:val="00337645"/>
    <w:rsid w:val="00351946"/>
    <w:rsid w:val="003B0BF9"/>
    <w:rsid w:val="003D4D36"/>
    <w:rsid w:val="003E0791"/>
    <w:rsid w:val="003F28AC"/>
    <w:rsid w:val="00414A3D"/>
    <w:rsid w:val="00420921"/>
    <w:rsid w:val="004454FE"/>
    <w:rsid w:val="004460C0"/>
    <w:rsid w:val="00455FAA"/>
    <w:rsid w:val="00456E40"/>
    <w:rsid w:val="00471F27"/>
    <w:rsid w:val="00474628"/>
    <w:rsid w:val="004948AF"/>
    <w:rsid w:val="004D238D"/>
    <w:rsid w:val="004D7E41"/>
    <w:rsid w:val="004F3DFE"/>
    <w:rsid w:val="0050178F"/>
    <w:rsid w:val="005128CF"/>
    <w:rsid w:val="0053481E"/>
    <w:rsid w:val="00540D77"/>
    <w:rsid w:val="00582BB6"/>
    <w:rsid w:val="005905FD"/>
    <w:rsid w:val="00617D37"/>
    <w:rsid w:val="00644DF1"/>
    <w:rsid w:val="00645124"/>
    <w:rsid w:val="00655F2C"/>
    <w:rsid w:val="0066742A"/>
    <w:rsid w:val="00667D3B"/>
    <w:rsid w:val="0067375D"/>
    <w:rsid w:val="00686840"/>
    <w:rsid w:val="006A2840"/>
    <w:rsid w:val="006A69B0"/>
    <w:rsid w:val="006B0FA1"/>
    <w:rsid w:val="006D3FB8"/>
    <w:rsid w:val="006E1081"/>
    <w:rsid w:val="0070388F"/>
    <w:rsid w:val="00711260"/>
    <w:rsid w:val="0071203E"/>
    <w:rsid w:val="00720585"/>
    <w:rsid w:val="00721C4E"/>
    <w:rsid w:val="007329BE"/>
    <w:rsid w:val="0074411B"/>
    <w:rsid w:val="007634F6"/>
    <w:rsid w:val="00773AF6"/>
    <w:rsid w:val="0079158F"/>
    <w:rsid w:val="00795F71"/>
    <w:rsid w:val="007A563D"/>
    <w:rsid w:val="007C7CFE"/>
    <w:rsid w:val="007E5F7A"/>
    <w:rsid w:val="007E73AB"/>
    <w:rsid w:val="007F4721"/>
    <w:rsid w:val="00801CEA"/>
    <w:rsid w:val="00803BA2"/>
    <w:rsid w:val="00816C11"/>
    <w:rsid w:val="00820DAE"/>
    <w:rsid w:val="008914B1"/>
    <w:rsid w:val="0089308D"/>
    <w:rsid w:val="00894C55"/>
    <w:rsid w:val="008C0BCE"/>
    <w:rsid w:val="008D7909"/>
    <w:rsid w:val="00945336"/>
    <w:rsid w:val="00957937"/>
    <w:rsid w:val="00962456"/>
    <w:rsid w:val="009673D1"/>
    <w:rsid w:val="00967EFF"/>
    <w:rsid w:val="00972316"/>
    <w:rsid w:val="0099231A"/>
    <w:rsid w:val="009A20C9"/>
    <w:rsid w:val="009A2654"/>
    <w:rsid w:val="009D7BC2"/>
    <w:rsid w:val="00A10FC3"/>
    <w:rsid w:val="00A11468"/>
    <w:rsid w:val="00A328B7"/>
    <w:rsid w:val="00A6073E"/>
    <w:rsid w:val="00A72866"/>
    <w:rsid w:val="00AE4EED"/>
    <w:rsid w:val="00AE5567"/>
    <w:rsid w:val="00AF1239"/>
    <w:rsid w:val="00B121F3"/>
    <w:rsid w:val="00B16480"/>
    <w:rsid w:val="00B17494"/>
    <w:rsid w:val="00B17693"/>
    <w:rsid w:val="00B2165C"/>
    <w:rsid w:val="00B23FD5"/>
    <w:rsid w:val="00B263B2"/>
    <w:rsid w:val="00B57259"/>
    <w:rsid w:val="00B761A2"/>
    <w:rsid w:val="00BA20AA"/>
    <w:rsid w:val="00BA689B"/>
    <w:rsid w:val="00BA6D03"/>
    <w:rsid w:val="00BC3E48"/>
    <w:rsid w:val="00BD4425"/>
    <w:rsid w:val="00BE4B05"/>
    <w:rsid w:val="00C25B49"/>
    <w:rsid w:val="00C32D14"/>
    <w:rsid w:val="00C36386"/>
    <w:rsid w:val="00C46737"/>
    <w:rsid w:val="00C65988"/>
    <w:rsid w:val="00C7104F"/>
    <w:rsid w:val="00C757DB"/>
    <w:rsid w:val="00C75962"/>
    <w:rsid w:val="00C90656"/>
    <w:rsid w:val="00CA5949"/>
    <w:rsid w:val="00CC0D2D"/>
    <w:rsid w:val="00CE5657"/>
    <w:rsid w:val="00D133F8"/>
    <w:rsid w:val="00D14A3E"/>
    <w:rsid w:val="00D2316C"/>
    <w:rsid w:val="00D25532"/>
    <w:rsid w:val="00D35740"/>
    <w:rsid w:val="00D43DDA"/>
    <w:rsid w:val="00D944DA"/>
    <w:rsid w:val="00DA2188"/>
    <w:rsid w:val="00DA2D33"/>
    <w:rsid w:val="00DC7801"/>
    <w:rsid w:val="00DF098A"/>
    <w:rsid w:val="00E15DD0"/>
    <w:rsid w:val="00E26D72"/>
    <w:rsid w:val="00E3716B"/>
    <w:rsid w:val="00E521B2"/>
    <w:rsid w:val="00E5323B"/>
    <w:rsid w:val="00E83D0A"/>
    <w:rsid w:val="00E8749E"/>
    <w:rsid w:val="00E90C01"/>
    <w:rsid w:val="00E910FD"/>
    <w:rsid w:val="00EA486E"/>
    <w:rsid w:val="00EA7140"/>
    <w:rsid w:val="00EB1329"/>
    <w:rsid w:val="00EB2F3A"/>
    <w:rsid w:val="00EC3F9F"/>
    <w:rsid w:val="00F35C05"/>
    <w:rsid w:val="00F44119"/>
    <w:rsid w:val="00F47F92"/>
    <w:rsid w:val="00F57B0C"/>
    <w:rsid w:val="00F71D2A"/>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E8099"/>
  <w15:docId w15:val="{A5F44E30-433F-4F18-9180-E85190E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customStyle="1" w:styleId="naisc">
    <w:name w:val="naisc"/>
    <w:basedOn w:val="Normal"/>
    <w:rsid w:val="0067375D"/>
    <w:pPr>
      <w:spacing w:before="450" w:after="300" w:line="240" w:lineRule="auto"/>
      <w:jc w:val="center"/>
    </w:pPr>
    <w:rPr>
      <w:rFonts w:ascii="Times New Roman" w:eastAsia="Times New Roman" w:hAnsi="Times New Roman" w:cs="Times New Roman"/>
      <w:sz w:val="26"/>
      <w:szCs w:val="26"/>
      <w:lang w:eastAsia="lv-LV"/>
    </w:rPr>
  </w:style>
  <w:style w:type="paragraph" w:styleId="ListParagraph">
    <w:name w:val="List Paragraph"/>
    <w:basedOn w:val="Normal"/>
    <w:uiPriority w:val="34"/>
    <w:qFormat/>
    <w:rsid w:val="00EB2F3A"/>
    <w:pPr>
      <w:spacing w:after="0" w:line="240" w:lineRule="auto"/>
      <w:ind w:left="720"/>
      <w:contextualSpacing/>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1F5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3F0"/>
    <w:rPr>
      <w:sz w:val="20"/>
      <w:szCs w:val="20"/>
    </w:rPr>
  </w:style>
  <w:style w:type="character" w:styleId="FootnoteReference">
    <w:name w:val="footnote reference"/>
    <w:basedOn w:val="DefaultParagraphFont"/>
    <w:semiHidden/>
    <w:unhideWhenUsed/>
    <w:rsid w:val="001F53F0"/>
    <w:rPr>
      <w:vertAlign w:val="superscript"/>
    </w:rPr>
  </w:style>
  <w:style w:type="paragraph" w:styleId="CommentText">
    <w:name w:val="annotation text"/>
    <w:basedOn w:val="Normal"/>
    <w:link w:val="CommentTextChar"/>
    <w:uiPriority w:val="99"/>
    <w:unhideWhenUsed/>
    <w:rsid w:val="001F53F0"/>
    <w:pPr>
      <w:spacing w:after="200" w:line="240" w:lineRule="auto"/>
    </w:pPr>
    <w:rPr>
      <w:rFonts w:ascii="Calibri" w:eastAsia="Times New Roman" w:hAnsi="Calibri" w:cs="Times New Roman"/>
      <w:sz w:val="20"/>
      <w:szCs w:val="20"/>
      <w:lang w:eastAsia="lv-LV"/>
    </w:rPr>
  </w:style>
  <w:style w:type="character" w:customStyle="1" w:styleId="CommentTextChar">
    <w:name w:val="Comment Text Char"/>
    <w:basedOn w:val="DefaultParagraphFont"/>
    <w:link w:val="CommentText"/>
    <w:uiPriority w:val="99"/>
    <w:rsid w:val="001F53F0"/>
    <w:rPr>
      <w:rFonts w:ascii="Calibri" w:eastAsia="Times New Roman" w:hAnsi="Calibri" w:cs="Times New Roman"/>
      <w:sz w:val="20"/>
      <w:szCs w:val="20"/>
      <w:lang w:eastAsia="lv-LV"/>
    </w:rPr>
  </w:style>
  <w:style w:type="paragraph" w:styleId="EndnoteText">
    <w:name w:val="endnote text"/>
    <w:basedOn w:val="Normal"/>
    <w:link w:val="EndnoteTextChar"/>
    <w:uiPriority w:val="99"/>
    <w:semiHidden/>
    <w:unhideWhenUsed/>
    <w:rsid w:val="007915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9158F"/>
    <w:rPr>
      <w:sz w:val="20"/>
      <w:szCs w:val="20"/>
    </w:rPr>
  </w:style>
  <w:style w:type="character" w:styleId="EndnoteReference">
    <w:name w:val="endnote reference"/>
    <w:basedOn w:val="DefaultParagraphFont"/>
    <w:uiPriority w:val="99"/>
    <w:semiHidden/>
    <w:unhideWhenUsed/>
    <w:rsid w:val="0079158F"/>
    <w:rPr>
      <w:vertAlign w:val="superscript"/>
    </w:rPr>
  </w:style>
  <w:style w:type="paragraph" w:customStyle="1" w:styleId="tv2131">
    <w:name w:val="tv2131"/>
    <w:basedOn w:val="Normal"/>
    <w:rsid w:val="008914B1"/>
    <w:pPr>
      <w:spacing w:after="0" w:line="360" w:lineRule="auto"/>
      <w:ind w:firstLine="300"/>
    </w:pPr>
    <w:rPr>
      <w:rFonts w:ascii="Times New Roman" w:eastAsia="Times New Roman" w:hAnsi="Times New Roman" w:cs="Times New Roman"/>
      <w:color w:val="414142"/>
      <w:sz w:val="20"/>
      <w:szCs w:val="20"/>
      <w:lang w:eastAsia="lv-LV"/>
    </w:rPr>
  </w:style>
  <w:style w:type="paragraph" w:styleId="Title">
    <w:name w:val="Title"/>
    <w:basedOn w:val="Normal"/>
    <w:link w:val="TitleChar"/>
    <w:qFormat/>
    <w:rsid w:val="00F71D2A"/>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F71D2A"/>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5450379">
      <w:bodyDiv w:val="1"/>
      <w:marLeft w:val="0"/>
      <w:marRight w:val="0"/>
      <w:marTop w:val="0"/>
      <w:marBottom w:val="0"/>
      <w:divBdr>
        <w:top w:val="none" w:sz="0" w:space="0" w:color="auto"/>
        <w:left w:val="none" w:sz="0" w:space="0" w:color="auto"/>
        <w:bottom w:val="none" w:sz="0" w:space="0" w:color="auto"/>
        <w:right w:val="none" w:sz="0" w:space="0" w:color="auto"/>
      </w:divBdr>
      <w:divsChild>
        <w:div w:id="572855738">
          <w:marLeft w:val="0"/>
          <w:marRight w:val="0"/>
          <w:marTop w:val="0"/>
          <w:marBottom w:val="0"/>
          <w:divBdr>
            <w:top w:val="none" w:sz="0" w:space="0" w:color="auto"/>
            <w:left w:val="none" w:sz="0" w:space="0" w:color="auto"/>
            <w:bottom w:val="none" w:sz="0" w:space="0" w:color="auto"/>
            <w:right w:val="none" w:sz="0" w:space="0" w:color="auto"/>
          </w:divBdr>
          <w:divsChild>
            <w:div w:id="1396703773">
              <w:marLeft w:val="0"/>
              <w:marRight w:val="0"/>
              <w:marTop w:val="0"/>
              <w:marBottom w:val="0"/>
              <w:divBdr>
                <w:top w:val="none" w:sz="0" w:space="0" w:color="auto"/>
                <w:left w:val="none" w:sz="0" w:space="0" w:color="auto"/>
                <w:bottom w:val="none" w:sz="0" w:space="0" w:color="auto"/>
                <w:right w:val="none" w:sz="0" w:space="0" w:color="auto"/>
              </w:divBdr>
              <w:divsChild>
                <w:div w:id="1940792798">
                  <w:marLeft w:val="0"/>
                  <w:marRight w:val="0"/>
                  <w:marTop w:val="0"/>
                  <w:marBottom w:val="0"/>
                  <w:divBdr>
                    <w:top w:val="none" w:sz="0" w:space="0" w:color="auto"/>
                    <w:left w:val="none" w:sz="0" w:space="0" w:color="auto"/>
                    <w:bottom w:val="none" w:sz="0" w:space="0" w:color="auto"/>
                    <w:right w:val="none" w:sz="0" w:space="0" w:color="auto"/>
                  </w:divBdr>
                  <w:divsChild>
                    <w:div w:id="1141115811">
                      <w:marLeft w:val="0"/>
                      <w:marRight w:val="0"/>
                      <w:marTop w:val="0"/>
                      <w:marBottom w:val="0"/>
                      <w:divBdr>
                        <w:top w:val="none" w:sz="0" w:space="0" w:color="auto"/>
                        <w:left w:val="none" w:sz="0" w:space="0" w:color="auto"/>
                        <w:bottom w:val="none" w:sz="0" w:space="0" w:color="auto"/>
                        <w:right w:val="none" w:sz="0" w:space="0" w:color="auto"/>
                      </w:divBdr>
                      <w:divsChild>
                        <w:div w:id="424348834">
                          <w:marLeft w:val="0"/>
                          <w:marRight w:val="0"/>
                          <w:marTop w:val="0"/>
                          <w:marBottom w:val="0"/>
                          <w:divBdr>
                            <w:top w:val="none" w:sz="0" w:space="0" w:color="auto"/>
                            <w:left w:val="none" w:sz="0" w:space="0" w:color="auto"/>
                            <w:bottom w:val="none" w:sz="0" w:space="0" w:color="auto"/>
                            <w:right w:val="none" w:sz="0" w:space="0" w:color="auto"/>
                          </w:divBdr>
                          <w:divsChild>
                            <w:div w:id="911935134">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15512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75">
          <w:marLeft w:val="0"/>
          <w:marRight w:val="0"/>
          <w:marTop w:val="0"/>
          <w:marBottom w:val="0"/>
          <w:divBdr>
            <w:top w:val="none" w:sz="0" w:space="0" w:color="auto"/>
            <w:left w:val="none" w:sz="0" w:space="0" w:color="auto"/>
            <w:bottom w:val="none" w:sz="0" w:space="0" w:color="auto"/>
            <w:right w:val="none" w:sz="0" w:space="0" w:color="auto"/>
          </w:divBdr>
          <w:divsChild>
            <w:div w:id="1546481220">
              <w:marLeft w:val="0"/>
              <w:marRight w:val="0"/>
              <w:marTop w:val="0"/>
              <w:marBottom w:val="0"/>
              <w:divBdr>
                <w:top w:val="none" w:sz="0" w:space="0" w:color="auto"/>
                <w:left w:val="none" w:sz="0" w:space="0" w:color="auto"/>
                <w:bottom w:val="none" w:sz="0" w:space="0" w:color="auto"/>
                <w:right w:val="none" w:sz="0" w:space="0" w:color="auto"/>
              </w:divBdr>
              <w:divsChild>
                <w:div w:id="740907921">
                  <w:marLeft w:val="0"/>
                  <w:marRight w:val="0"/>
                  <w:marTop w:val="0"/>
                  <w:marBottom w:val="0"/>
                  <w:divBdr>
                    <w:top w:val="none" w:sz="0" w:space="0" w:color="auto"/>
                    <w:left w:val="none" w:sz="0" w:space="0" w:color="auto"/>
                    <w:bottom w:val="none" w:sz="0" w:space="0" w:color="auto"/>
                    <w:right w:val="none" w:sz="0" w:space="0" w:color="auto"/>
                  </w:divBdr>
                  <w:divsChild>
                    <w:div w:id="1517696528">
                      <w:marLeft w:val="0"/>
                      <w:marRight w:val="0"/>
                      <w:marTop w:val="0"/>
                      <w:marBottom w:val="0"/>
                      <w:divBdr>
                        <w:top w:val="none" w:sz="0" w:space="0" w:color="auto"/>
                        <w:left w:val="none" w:sz="0" w:space="0" w:color="auto"/>
                        <w:bottom w:val="none" w:sz="0" w:space="0" w:color="auto"/>
                        <w:right w:val="none" w:sz="0" w:space="0" w:color="auto"/>
                      </w:divBdr>
                      <w:divsChild>
                        <w:div w:id="1447119705">
                          <w:marLeft w:val="0"/>
                          <w:marRight w:val="0"/>
                          <w:marTop w:val="0"/>
                          <w:marBottom w:val="0"/>
                          <w:divBdr>
                            <w:top w:val="none" w:sz="0" w:space="0" w:color="auto"/>
                            <w:left w:val="none" w:sz="0" w:space="0" w:color="auto"/>
                            <w:bottom w:val="none" w:sz="0" w:space="0" w:color="auto"/>
                            <w:right w:val="none" w:sz="0" w:space="0" w:color="auto"/>
                          </w:divBdr>
                          <w:divsChild>
                            <w:div w:id="2099134929">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1211">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11270371">
      <w:bodyDiv w:val="1"/>
      <w:marLeft w:val="0"/>
      <w:marRight w:val="0"/>
      <w:marTop w:val="0"/>
      <w:marBottom w:val="0"/>
      <w:divBdr>
        <w:top w:val="none" w:sz="0" w:space="0" w:color="auto"/>
        <w:left w:val="none" w:sz="0" w:space="0" w:color="auto"/>
        <w:bottom w:val="none" w:sz="0" w:space="0" w:color="auto"/>
        <w:right w:val="none" w:sz="0" w:space="0" w:color="auto"/>
      </w:divBdr>
      <w:divsChild>
        <w:div w:id="2097048105">
          <w:marLeft w:val="0"/>
          <w:marRight w:val="0"/>
          <w:marTop w:val="0"/>
          <w:marBottom w:val="0"/>
          <w:divBdr>
            <w:top w:val="none" w:sz="0" w:space="0" w:color="auto"/>
            <w:left w:val="none" w:sz="0" w:space="0" w:color="auto"/>
            <w:bottom w:val="none" w:sz="0" w:space="0" w:color="auto"/>
            <w:right w:val="none" w:sz="0" w:space="0" w:color="auto"/>
          </w:divBdr>
          <w:divsChild>
            <w:div w:id="1414157484">
              <w:marLeft w:val="0"/>
              <w:marRight w:val="0"/>
              <w:marTop w:val="0"/>
              <w:marBottom w:val="0"/>
              <w:divBdr>
                <w:top w:val="none" w:sz="0" w:space="0" w:color="auto"/>
                <w:left w:val="none" w:sz="0" w:space="0" w:color="auto"/>
                <w:bottom w:val="none" w:sz="0" w:space="0" w:color="auto"/>
                <w:right w:val="none" w:sz="0" w:space="0" w:color="auto"/>
              </w:divBdr>
              <w:divsChild>
                <w:div w:id="710960911">
                  <w:marLeft w:val="0"/>
                  <w:marRight w:val="0"/>
                  <w:marTop w:val="0"/>
                  <w:marBottom w:val="0"/>
                  <w:divBdr>
                    <w:top w:val="none" w:sz="0" w:space="0" w:color="auto"/>
                    <w:left w:val="none" w:sz="0" w:space="0" w:color="auto"/>
                    <w:bottom w:val="none" w:sz="0" w:space="0" w:color="auto"/>
                    <w:right w:val="none" w:sz="0" w:space="0" w:color="auto"/>
                  </w:divBdr>
                  <w:divsChild>
                    <w:div w:id="304552833">
                      <w:marLeft w:val="0"/>
                      <w:marRight w:val="0"/>
                      <w:marTop w:val="0"/>
                      <w:marBottom w:val="0"/>
                      <w:divBdr>
                        <w:top w:val="none" w:sz="0" w:space="0" w:color="auto"/>
                        <w:left w:val="none" w:sz="0" w:space="0" w:color="auto"/>
                        <w:bottom w:val="none" w:sz="0" w:space="0" w:color="auto"/>
                        <w:right w:val="none" w:sz="0" w:space="0" w:color="auto"/>
                      </w:divBdr>
                      <w:divsChild>
                        <w:div w:id="906264501">
                          <w:marLeft w:val="0"/>
                          <w:marRight w:val="0"/>
                          <w:marTop w:val="0"/>
                          <w:marBottom w:val="0"/>
                          <w:divBdr>
                            <w:top w:val="none" w:sz="0" w:space="0" w:color="auto"/>
                            <w:left w:val="none" w:sz="0" w:space="0" w:color="auto"/>
                            <w:bottom w:val="none" w:sz="0" w:space="0" w:color="auto"/>
                            <w:right w:val="none" w:sz="0" w:space="0" w:color="auto"/>
                          </w:divBdr>
                          <w:divsChild>
                            <w:div w:id="379405131">
                              <w:marLeft w:val="0"/>
                              <w:marRight w:val="0"/>
                              <w:marTop w:val="48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887916">
      <w:bodyDiv w:val="1"/>
      <w:marLeft w:val="0"/>
      <w:marRight w:val="0"/>
      <w:marTop w:val="0"/>
      <w:marBottom w:val="0"/>
      <w:divBdr>
        <w:top w:val="none" w:sz="0" w:space="0" w:color="auto"/>
        <w:left w:val="none" w:sz="0" w:space="0" w:color="auto"/>
        <w:bottom w:val="none" w:sz="0" w:space="0" w:color="auto"/>
        <w:right w:val="none" w:sz="0" w:space="0" w:color="auto"/>
      </w:divBdr>
      <w:divsChild>
        <w:div w:id="293297064">
          <w:marLeft w:val="0"/>
          <w:marRight w:val="0"/>
          <w:marTop w:val="0"/>
          <w:marBottom w:val="0"/>
          <w:divBdr>
            <w:top w:val="none" w:sz="0" w:space="0" w:color="auto"/>
            <w:left w:val="none" w:sz="0" w:space="0" w:color="auto"/>
            <w:bottom w:val="none" w:sz="0" w:space="0" w:color="auto"/>
            <w:right w:val="none" w:sz="0" w:space="0" w:color="auto"/>
          </w:divBdr>
          <w:divsChild>
            <w:div w:id="1964459957">
              <w:marLeft w:val="0"/>
              <w:marRight w:val="0"/>
              <w:marTop w:val="0"/>
              <w:marBottom w:val="0"/>
              <w:divBdr>
                <w:top w:val="none" w:sz="0" w:space="0" w:color="auto"/>
                <w:left w:val="none" w:sz="0" w:space="0" w:color="auto"/>
                <w:bottom w:val="none" w:sz="0" w:space="0" w:color="auto"/>
                <w:right w:val="none" w:sz="0" w:space="0" w:color="auto"/>
              </w:divBdr>
              <w:divsChild>
                <w:div w:id="2092728262">
                  <w:marLeft w:val="0"/>
                  <w:marRight w:val="0"/>
                  <w:marTop w:val="0"/>
                  <w:marBottom w:val="0"/>
                  <w:divBdr>
                    <w:top w:val="none" w:sz="0" w:space="0" w:color="auto"/>
                    <w:left w:val="none" w:sz="0" w:space="0" w:color="auto"/>
                    <w:bottom w:val="none" w:sz="0" w:space="0" w:color="auto"/>
                    <w:right w:val="none" w:sz="0" w:space="0" w:color="auto"/>
                  </w:divBdr>
                  <w:divsChild>
                    <w:div w:id="1845242846">
                      <w:marLeft w:val="0"/>
                      <w:marRight w:val="0"/>
                      <w:marTop w:val="0"/>
                      <w:marBottom w:val="0"/>
                      <w:divBdr>
                        <w:top w:val="none" w:sz="0" w:space="0" w:color="auto"/>
                        <w:left w:val="none" w:sz="0" w:space="0" w:color="auto"/>
                        <w:bottom w:val="none" w:sz="0" w:space="0" w:color="auto"/>
                        <w:right w:val="none" w:sz="0" w:space="0" w:color="auto"/>
                      </w:divBdr>
                      <w:divsChild>
                        <w:div w:id="1652829494">
                          <w:marLeft w:val="0"/>
                          <w:marRight w:val="0"/>
                          <w:marTop w:val="0"/>
                          <w:marBottom w:val="0"/>
                          <w:divBdr>
                            <w:top w:val="none" w:sz="0" w:space="0" w:color="auto"/>
                            <w:left w:val="none" w:sz="0" w:space="0" w:color="auto"/>
                            <w:bottom w:val="none" w:sz="0" w:space="0" w:color="auto"/>
                            <w:right w:val="none" w:sz="0" w:space="0" w:color="auto"/>
                          </w:divBdr>
                          <w:divsChild>
                            <w:div w:id="8446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438288">
      <w:bodyDiv w:val="1"/>
      <w:marLeft w:val="0"/>
      <w:marRight w:val="0"/>
      <w:marTop w:val="0"/>
      <w:marBottom w:val="0"/>
      <w:divBdr>
        <w:top w:val="none" w:sz="0" w:space="0" w:color="auto"/>
        <w:left w:val="none" w:sz="0" w:space="0" w:color="auto"/>
        <w:bottom w:val="none" w:sz="0" w:space="0" w:color="auto"/>
        <w:right w:val="none" w:sz="0" w:space="0" w:color="auto"/>
      </w:divBdr>
      <w:divsChild>
        <w:div w:id="1682973955">
          <w:marLeft w:val="0"/>
          <w:marRight w:val="0"/>
          <w:marTop w:val="0"/>
          <w:marBottom w:val="0"/>
          <w:divBdr>
            <w:top w:val="none" w:sz="0" w:space="0" w:color="auto"/>
            <w:left w:val="none" w:sz="0" w:space="0" w:color="auto"/>
            <w:bottom w:val="none" w:sz="0" w:space="0" w:color="auto"/>
            <w:right w:val="none" w:sz="0" w:space="0" w:color="auto"/>
          </w:divBdr>
          <w:divsChild>
            <w:div w:id="1726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5081">
      <w:bodyDiv w:val="1"/>
      <w:marLeft w:val="0"/>
      <w:marRight w:val="0"/>
      <w:marTop w:val="0"/>
      <w:marBottom w:val="0"/>
      <w:divBdr>
        <w:top w:val="none" w:sz="0" w:space="0" w:color="auto"/>
        <w:left w:val="none" w:sz="0" w:space="0" w:color="auto"/>
        <w:bottom w:val="none" w:sz="0" w:space="0" w:color="auto"/>
        <w:right w:val="none" w:sz="0" w:space="0" w:color="auto"/>
      </w:divBdr>
    </w:div>
    <w:div w:id="2103141901">
      <w:bodyDiv w:val="1"/>
      <w:marLeft w:val="0"/>
      <w:marRight w:val="0"/>
      <w:marTop w:val="0"/>
      <w:marBottom w:val="0"/>
      <w:divBdr>
        <w:top w:val="none" w:sz="0" w:space="0" w:color="auto"/>
        <w:left w:val="none" w:sz="0" w:space="0" w:color="auto"/>
        <w:bottom w:val="none" w:sz="0" w:space="0" w:color="auto"/>
        <w:right w:val="none" w:sz="0" w:space="0" w:color="auto"/>
      </w:divBdr>
      <w:divsChild>
        <w:div w:id="1486044301">
          <w:marLeft w:val="0"/>
          <w:marRight w:val="0"/>
          <w:marTop w:val="0"/>
          <w:marBottom w:val="0"/>
          <w:divBdr>
            <w:top w:val="none" w:sz="0" w:space="0" w:color="auto"/>
            <w:left w:val="none" w:sz="0" w:space="0" w:color="auto"/>
            <w:bottom w:val="none" w:sz="0" w:space="0" w:color="auto"/>
            <w:right w:val="none" w:sz="0" w:space="0" w:color="auto"/>
          </w:divBdr>
          <w:divsChild>
            <w:div w:id="59266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4/651/oj/?locale=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ita.depkovska@izm.gov.lv"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zp.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zm.gov.lv/lv/sabiedribas-lidzdaliba/sabiedriskajai-apspriesanai-nodotie-normativo-aktu-projekti/2968-mk-noteikumu-projekta-tiesibu-akts-valsts-petijumu-programmu-projektu-pieteiksanas-ekspertizes-istenosanas-finansesanas-un-valsts-petijumu-programmu-projektu-istenosanai-pieskirto-finansu-lidzeklu-izlietojuma-kontroles-kartiba" TargetMode="External"/><Relationship Id="rId4" Type="http://schemas.openxmlformats.org/officeDocument/2006/relationships/settings" Target="settings.xml"/><Relationship Id="rId9" Type="http://schemas.openxmlformats.org/officeDocument/2006/relationships/hyperlink" Target="http://eur-lex.europa.eu/eli/reg/2014/316/oj/?locale=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4247" TargetMode="External"/><Relationship Id="rId2" Type="http://schemas.openxmlformats.org/officeDocument/2006/relationships/hyperlink" Target="https://ec.europa.eu/info/designing-next-research-and-innovation-framework-programme/what-shapes-next-framework-programme_en" TargetMode="External"/><Relationship Id="rId1" Type="http://schemas.openxmlformats.org/officeDocument/2006/relationships/hyperlink" Target="http://titania.saeima.lv/LIVS12/SaeimaLIVS12.nsf/0/0E5C3241BA56D3A7C225829C004892FB?OpenDocument" TargetMode="External"/><Relationship Id="rId4" Type="http://schemas.openxmlformats.org/officeDocument/2006/relationships/hyperlink" Target="http://tap.mk.gov.lv/mk/tap/?pid=4029163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13C7936974E769D1103048039203D"/>
        <w:category>
          <w:name w:val="General"/>
          <w:gallery w:val="placeholder"/>
        </w:category>
        <w:types>
          <w:type w:val="bbPlcHdr"/>
        </w:types>
        <w:behaviors>
          <w:behavior w:val="content"/>
        </w:behaviors>
        <w:guid w:val="{EA57784D-338A-42CC-8DEB-1C5216D9B5B8}"/>
      </w:docPartPr>
      <w:docPartBody>
        <w:p w:rsidR="00FF5D4F" w:rsidRDefault="00FF5D4F" w:rsidP="00FF5D4F">
          <w:pPr>
            <w:pStyle w:val="B2513C7936974E769D1103048039203D8"/>
          </w:pPr>
          <w:r w:rsidRPr="00E90C01">
            <w:rPr>
              <w:rStyle w:val="PlaceholderText"/>
              <w:rFonts w:ascii="Times New Roman" w:hAnsi="Times New Roman" w:cs="Times New Roman"/>
              <w:sz w:val="28"/>
              <w:szCs w:val="28"/>
            </w:rPr>
            <w:t>Tiesību akta</w:t>
          </w:r>
        </w:p>
      </w:docPartBody>
    </w:docPart>
    <w:docPart>
      <w:docPartPr>
        <w:name w:val="A811FD673AAF459B90F85168F08A456F"/>
        <w:category>
          <w:name w:val="General"/>
          <w:gallery w:val="placeholder"/>
        </w:category>
        <w:types>
          <w:type w:val="bbPlcHdr"/>
        </w:types>
        <w:behaviors>
          <w:behavior w:val="content"/>
        </w:behaviors>
        <w:guid w:val="{717AAAF0-2B4A-47F0-AB82-E8F3DF6670BC}"/>
      </w:docPartPr>
      <w:docPartBody>
        <w:p w:rsidR="00F42E68" w:rsidRDefault="00F42E68" w:rsidP="00F42E68">
          <w:pPr>
            <w:pStyle w:val="A811FD673AAF459B90F85168F08A456F"/>
          </w:pPr>
          <w:r w:rsidRPr="00E90C01">
            <w:rPr>
              <w:rStyle w:val="PlaceholderText"/>
              <w:rFonts w:ascii="Times New Roman" w:hAnsi="Times New Roman" w:cs="Times New Roman"/>
              <w:sz w:val="28"/>
              <w:szCs w:val="28"/>
            </w:rPr>
            <w:t>Tiesību akta</w:t>
          </w:r>
        </w:p>
      </w:docPartBody>
    </w:docPart>
    <w:docPart>
      <w:docPartPr>
        <w:name w:val="5888B24331F04FC5B4C4F1DA16449615"/>
        <w:category>
          <w:name w:val="General"/>
          <w:gallery w:val="placeholder"/>
        </w:category>
        <w:types>
          <w:type w:val="bbPlcHdr"/>
        </w:types>
        <w:behaviors>
          <w:behavior w:val="content"/>
        </w:behaviors>
        <w:guid w:val="{12BF632D-88B0-4C5F-B10B-CD9102669EEC}"/>
      </w:docPartPr>
      <w:docPartBody>
        <w:p w:rsidR="00F42E68" w:rsidRDefault="00F42E68" w:rsidP="00F42E68">
          <w:pPr>
            <w:pStyle w:val="5888B24331F04FC5B4C4F1DA16449615"/>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C00671"/>
    <w:rsid w:val="00057C8B"/>
    <w:rsid w:val="00084514"/>
    <w:rsid w:val="000F3A48"/>
    <w:rsid w:val="0016113E"/>
    <w:rsid w:val="002D2AD1"/>
    <w:rsid w:val="003136DF"/>
    <w:rsid w:val="00344186"/>
    <w:rsid w:val="00472F39"/>
    <w:rsid w:val="0051195D"/>
    <w:rsid w:val="00523A63"/>
    <w:rsid w:val="00834246"/>
    <w:rsid w:val="008B623B"/>
    <w:rsid w:val="008D39C9"/>
    <w:rsid w:val="008F2E67"/>
    <w:rsid w:val="00923844"/>
    <w:rsid w:val="00934819"/>
    <w:rsid w:val="009C1B4C"/>
    <w:rsid w:val="00A9730A"/>
    <w:rsid w:val="00AD4A2F"/>
    <w:rsid w:val="00B3767C"/>
    <w:rsid w:val="00B41D0D"/>
    <w:rsid w:val="00C00671"/>
    <w:rsid w:val="00EF18F3"/>
    <w:rsid w:val="00F42E68"/>
    <w:rsid w:val="00F95F73"/>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2E68"/>
    <w:rPr>
      <w:color w:val="808080"/>
    </w:rPr>
  </w:style>
  <w:style w:type="paragraph" w:customStyle="1" w:styleId="B2513C7936974E769D1103048039203D">
    <w:name w:val="B2513C7936974E769D1103048039203D"/>
    <w:rsid w:val="00C00671"/>
    <w:rPr>
      <w:rFonts w:eastAsiaTheme="minorHAnsi"/>
      <w:lang w:eastAsia="en-US"/>
    </w:rPr>
  </w:style>
  <w:style w:type="paragraph" w:customStyle="1" w:styleId="B2513C7936974E769D1103048039203D1">
    <w:name w:val="B2513C7936974E769D1103048039203D1"/>
    <w:rsid w:val="00C00671"/>
    <w:rPr>
      <w:rFonts w:eastAsiaTheme="minorHAnsi"/>
      <w:lang w:eastAsia="en-US"/>
    </w:rPr>
  </w:style>
  <w:style w:type="paragraph" w:customStyle="1" w:styleId="B2513C7936974E769D1103048039203D2">
    <w:name w:val="B2513C7936974E769D1103048039203D2"/>
    <w:rsid w:val="00C00671"/>
    <w:rPr>
      <w:rFonts w:eastAsiaTheme="minorHAnsi"/>
      <w:lang w:eastAsia="en-US"/>
    </w:rPr>
  </w:style>
  <w:style w:type="paragraph" w:customStyle="1" w:styleId="B2513C7936974E769D1103048039203D3">
    <w:name w:val="B2513C7936974E769D1103048039203D3"/>
    <w:rsid w:val="00C00671"/>
    <w:rPr>
      <w:rFonts w:eastAsiaTheme="minorHAnsi"/>
      <w:lang w:eastAsia="en-US"/>
    </w:rPr>
  </w:style>
  <w:style w:type="paragraph" w:customStyle="1" w:styleId="883803275B904BACB6B45144980015BE">
    <w:name w:val="883803275B904BACB6B45144980015BE"/>
    <w:rsid w:val="00C00671"/>
    <w:pPr>
      <w:tabs>
        <w:tab w:val="center" w:pos="4153"/>
        <w:tab w:val="right" w:pos="8306"/>
      </w:tabs>
      <w:spacing w:after="0" w:line="240" w:lineRule="auto"/>
    </w:pPr>
    <w:rPr>
      <w:rFonts w:eastAsiaTheme="minorHAnsi"/>
      <w:lang w:eastAsia="en-US"/>
    </w:rPr>
  </w:style>
  <w:style w:type="paragraph" w:customStyle="1" w:styleId="B2513C7936974E769D1103048039203D4">
    <w:name w:val="B2513C7936974E769D1103048039203D4"/>
    <w:rsid w:val="00FF5D4F"/>
    <w:rPr>
      <w:rFonts w:eastAsiaTheme="minorHAnsi"/>
      <w:lang w:eastAsia="en-US"/>
    </w:rPr>
  </w:style>
  <w:style w:type="paragraph" w:customStyle="1" w:styleId="883803275B904BACB6B45144980015BE1">
    <w:name w:val="883803275B904BACB6B45144980015BE1"/>
    <w:rsid w:val="00FF5D4F"/>
    <w:pPr>
      <w:tabs>
        <w:tab w:val="center" w:pos="4153"/>
        <w:tab w:val="right" w:pos="8306"/>
      </w:tabs>
      <w:spacing w:after="0" w:line="240" w:lineRule="auto"/>
    </w:pPr>
    <w:rPr>
      <w:rFonts w:eastAsiaTheme="minorHAnsi"/>
      <w:lang w:eastAsia="en-US"/>
    </w:rPr>
  </w:style>
  <w:style w:type="paragraph" w:customStyle="1" w:styleId="56650D99FA7E429C9736A0828FCC0A9F">
    <w:name w:val="56650D99FA7E429C9736A0828FCC0A9F"/>
    <w:rsid w:val="00FF5D4F"/>
    <w:pPr>
      <w:spacing w:after="200" w:line="276" w:lineRule="auto"/>
    </w:pPr>
  </w:style>
  <w:style w:type="paragraph" w:customStyle="1" w:styleId="B2513C7936974E769D1103048039203D5">
    <w:name w:val="B2513C7936974E769D1103048039203D5"/>
    <w:rsid w:val="00FF5D4F"/>
    <w:rPr>
      <w:rFonts w:eastAsiaTheme="minorHAnsi"/>
      <w:lang w:eastAsia="en-US"/>
    </w:rPr>
  </w:style>
  <w:style w:type="paragraph" w:customStyle="1" w:styleId="B2513C7936974E769D1103048039203D6">
    <w:name w:val="B2513C7936974E769D1103048039203D6"/>
    <w:rsid w:val="00FF5D4F"/>
    <w:rPr>
      <w:rFonts w:eastAsiaTheme="minorHAnsi"/>
      <w:lang w:eastAsia="en-US"/>
    </w:rPr>
  </w:style>
  <w:style w:type="paragraph" w:customStyle="1" w:styleId="62FCE0315F9A49B88D7551D29C9154E7">
    <w:name w:val="62FCE0315F9A49B88D7551D29C9154E7"/>
    <w:rsid w:val="00FF5D4F"/>
    <w:rPr>
      <w:rFonts w:eastAsiaTheme="minorHAnsi"/>
      <w:lang w:eastAsia="en-US"/>
    </w:rPr>
  </w:style>
  <w:style w:type="paragraph" w:customStyle="1" w:styleId="883803275B904BACB6B45144980015BE2">
    <w:name w:val="883803275B904BACB6B45144980015BE2"/>
    <w:rsid w:val="00FF5D4F"/>
    <w:pPr>
      <w:tabs>
        <w:tab w:val="center" w:pos="4153"/>
        <w:tab w:val="right" w:pos="8306"/>
      </w:tabs>
      <w:spacing w:after="0" w:line="240" w:lineRule="auto"/>
    </w:pPr>
    <w:rPr>
      <w:rFonts w:eastAsiaTheme="minorHAnsi"/>
      <w:lang w:eastAsia="en-US"/>
    </w:rPr>
  </w:style>
  <w:style w:type="paragraph" w:customStyle="1" w:styleId="B2513C7936974E769D1103048039203D7">
    <w:name w:val="B2513C7936974E769D1103048039203D7"/>
    <w:rsid w:val="00FF5D4F"/>
    <w:rPr>
      <w:rFonts w:eastAsiaTheme="minorHAnsi"/>
      <w:lang w:eastAsia="en-US"/>
    </w:rPr>
  </w:style>
  <w:style w:type="paragraph" w:customStyle="1" w:styleId="62FCE0315F9A49B88D7551D29C9154E71">
    <w:name w:val="62FCE0315F9A49B88D7551D29C9154E71"/>
    <w:rsid w:val="00FF5D4F"/>
    <w:rPr>
      <w:rFonts w:eastAsiaTheme="minorHAnsi"/>
      <w:lang w:eastAsia="en-US"/>
    </w:rPr>
  </w:style>
  <w:style w:type="paragraph" w:customStyle="1" w:styleId="C2EC51BD30FC49B48874927AFE5E926E">
    <w:name w:val="C2EC51BD30FC49B48874927AFE5E926E"/>
    <w:rsid w:val="00FF5D4F"/>
    <w:rPr>
      <w:rFonts w:eastAsiaTheme="minorHAnsi"/>
      <w:lang w:eastAsia="en-US"/>
    </w:rPr>
  </w:style>
  <w:style w:type="paragraph" w:customStyle="1" w:styleId="883803275B904BACB6B45144980015BE3">
    <w:name w:val="883803275B904BACB6B45144980015BE3"/>
    <w:rsid w:val="00FF5D4F"/>
    <w:pPr>
      <w:tabs>
        <w:tab w:val="center" w:pos="4153"/>
        <w:tab w:val="right" w:pos="8306"/>
      </w:tabs>
      <w:spacing w:after="0" w:line="240" w:lineRule="auto"/>
    </w:pPr>
    <w:rPr>
      <w:rFonts w:eastAsiaTheme="minorHAnsi"/>
      <w:lang w:eastAsia="en-US"/>
    </w:rPr>
  </w:style>
  <w:style w:type="paragraph" w:customStyle="1" w:styleId="B2513C7936974E769D1103048039203D8">
    <w:name w:val="B2513C7936974E769D1103048039203D8"/>
    <w:rsid w:val="00FF5D4F"/>
    <w:rPr>
      <w:rFonts w:eastAsiaTheme="minorHAnsi"/>
      <w:lang w:eastAsia="en-US"/>
    </w:rPr>
  </w:style>
  <w:style w:type="paragraph" w:customStyle="1" w:styleId="62FCE0315F9A49B88D7551D29C9154E72">
    <w:name w:val="62FCE0315F9A49B88D7551D29C9154E72"/>
    <w:rsid w:val="00FF5D4F"/>
    <w:rPr>
      <w:rFonts w:eastAsiaTheme="minorHAnsi"/>
      <w:lang w:eastAsia="en-US"/>
    </w:rPr>
  </w:style>
  <w:style w:type="paragraph" w:customStyle="1" w:styleId="C2EC51BD30FC49B48874927AFE5E926E1">
    <w:name w:val="C2EC51BD30FC49B48874927AFE5E926E1"/>
    <w:rsid w:val="00FF5D4F"/>
    <w:rPr>
      <w:rFonts w:eastAsiaTheme="minorHAnsi"/>
      <w:lang w:eastAsia="en-US"/>
    </w:rPr>
  </w:style>
  <w:style w:type="paragraph" w:customStyle="1" w:styleId="37ADDDF53DEB4F699DF97E9C2EC547DB">
    <w:name w:val="37ADDDF53DEB4F699DF97E9C2EC547DB"/>
    <w:rsid w:val="00FF5D4F"/>
    <w:rPr>
      <w:rFonts w:eastAsiaTheme="minorHAnsi"/>
      <w:lang w:eastAsia="en-US"/>
    </w:rPr>
  </w:style>
  <w:style w:type="paragraph" w:customStyle="1" w:styleId="B882A66A9A7E49BE846FCEA215C187D9">
    <w:name w:val="B882A66A9A7E49BE846FCEA215C187D9"/>
    <w:rsid w:val="00FF5D4F"/>
    <w:rPr>
      <w:rFonts w:eastAsiaTheme="minorHAnsi"/>
      <w:lang w:eastAsia="en-US"/>
    </w:rPr>
  </w:style>
  <w:style w:type="paragraph" w:customStyle="1" w:styleId="C77BE940338849AB90331A56F15E01FD">
    <w:name w:val="C77BE940338849AB90331A56F15E01FD"/>
    <w:rsid w:val="00FF5D4F"/>
    <w:rPr>
      <w:rFonts w:eastAsiaTheme="minorHAnsi"/>
      <w:lang w:eastAsia="en-US"/>
    </w:rPr>
  </w:style>
  <w:style w:type="paragraph" w:customStyle="1" w:styleId="F50B7E6C5AD6489E8C714D8EC783E3AC">
    <w:name w:val="F50B7E6C5AD6489E8C714D8EC783E3AC"/>
    <w:rsid w:val="00FF5D4F"/>
    <w:rPr>
      <w:rFonts w:eastAsiaTheme="minorHAnsi"/>
      <w:lang w:eastAsia="en-US"/>
    </w:rPr>
  </w:style>
  <w:style w:type="paragraph" w:customStyle="1" w:styleId="A56C3CC8D3A94A1B88E371E00A30BEC8">
    <w:name w:val="A56C3CC8D3A94A1B88E371E00A30BEC8"/>
    <w:rsid w:val="00FF5D4F"/>
    <w:rPr>
      <w:rFonts w:eastAsiaTheme="minorHAnsi"/>
      <w:lang w:eastAsia="en-US"/>
    </w:rPr>
  </w:style>
  <w:style w:type="paragraph" w:customStyle="1" w:styleId="DCD890FA1480480A84CCD1734B4CE6A2">
    <w:name w:val="DCD890FA1480480A84CCD1734B4CE6A2"/>
    <w:rsid w:val="00FF5D4F"/>
    <w:rPr>
      <w:rFonts w:eastAsiaTheme="minorHAnsi"/>
      <w:lang w:eastAsia="en-US"/>
    </w:rPr>
  </w:style>
  <w:style w:type="paragraph" w:customStyle="1" w:styleId="FD93EA44F1D0485D82ACD8E2B4A9B9D8">
    <w:name w:val="FD93EA44F1D0485D82ACD8E2B4A9B9D8"/>
    <w:rsid w:val="00FF5D4F"/>
    <w:rPr>
      <w:rFonts w:eastAsiaTheme="minorHAnsi"/>
      <w:lang w:eastAsia="en-US"/>
    </w:rPr>
  </w:style>
  <w:style w:type="paragraph" w:customStyle="1" w:styleId="0C4D5345DEEB475885E517E1AFA92084">
    <w:name w:val="0C4D5345DEEB475885E517E1AFA92084"/>
    <w:rsid w:val="00FF5D4F"/>
    <w:rPr>
      <w:rFonts w:eastAsiaTheme="minorHAnsi"/>
      <w:lang w:eastAsia="en-US"/>
    </w:rPr>
  </w:style>
  <w:style w:type="paragraph" w:customStyle="1" w:styleId="AE7F8690D7F544BEAD1F6F2489583A57">
    <w:name w:val="AE7F8690D7F544BEAD1F6F2489583A57"/>
    <w:rsid w:val="00FF5D4F"/>
    <w:rPr>
      <w:rFonts w:eastAsiaTheme="minorHAnsi"/>
      <w:lang w:eastAsia="en-US"/>
    </w:rPr>
  </w:style>
  <w:style w:type="paragraph" w:customStyle="1" w:styleId="7D994A3434154A1C8CFE169FE8FE6B1A">
    <w:name w:val="7D994A3434154A1C8CFE169FE8FE6B1A"/>
    <w:rsid w:val="00FF5D4F"/>
    <w:rPr>
      <w:rFonts w:eastAsiaTheme="minorHAnsi"/>
      <w:lang w:eastAsia="en-US"/>
    </w:rPr>
  </w:style>
  <w:style w:type="paragraph" w:customStyle="1" w:styleId="E9F03AB0F83F4AFC92313E2A195DF3C8">
    <w:name w:val="E9F03AB0F83F4AFC92313E2A195DF3C8"/>
    <w:rsid w:val="00FF5D4F"/>
    <w:rPr>
      <w:rFonts w:eastAsiaTheme="minorHAnsi"/>
      <w:lang w:eastAsia="en-US"/>
    </w:rPr>
  </w:style>
  <w:style w:type="paragraph" w:customStyle="1" w:styleId="A8843F41EB2548D7B8A34FB3D43A4CEC">
    <w:name w:val="A8843F41EB2548D7B8A34FB3D43A4CEC"/>
    <w:rsid w:val="00FF5D4F"/>
    <w:rPr>
      <w:rFonts w:eastAsiaTheme="minorHAnsi"/>
      <w:lang w:eastAsia="en-US"/>
    </w:rPr>
  </w:style>
  <w:style w:type="paragraph" w:customStyle="1" w:styleId="E50E0D89D7D740E39A72FD51262F3F52">
    <w:name w:val="E50E0D89D7D740E39A72FD51262F3F52"/>
    <w:rsid w:val="00FF5D4F"/>
    <w:rPr>
      <w:rFonts w:eastAsiaTheme="minorHAnsi"/>
      <w:lang w:eastAsia="en-US"/>
    </w:rPr>
  </w:style>
  <w:style w:type="paragraph" w:customStyle="1" w:styleId="8BAAB5749A0B4C46979E3CF195A3E134">
    <w:name w:val="8BAAB5749A0B4C46979E3CF195A3E134"/>
    <w:rsid w:val="00FF5D4F"/>
    <w:rPr>
      <w:rFonts w:eastAsiaTheme="minorHAnsi"/>
      <w:lang w:eastAsia="en-US"/>
    </w:rPr>
  </w:style>
  <w:style w:type="paragraph" w:customStyle="1" w:styleId="2671BD77F5FD414D82E008C54ECA0496">
    <w:name w:val="2671BD77F5FD414D82E008C54ECA0496"/>
    <w:rsid w:val="00FF5D4F"/>
    <w:rPr>
      <w:rFonts w:eastAsiaTheme="minorHAnsi"/>
      <w:lang w:eastAsia="en-US"/>
    </w:rPr>
  </w:style>
  <w:style w:type="paragraph" w:customStyle="1" w:styleId="6B37051406224FEBB83B2F6F9BB208E1">
    <w:name w:val="6B37051406224FEBB83B2F6F9BB208E1"/>
    <w:rsid w:val="00FF5D4F"/>
    <w:rPr>
      <w:rFonts w:eastAsiaTheme="minorHAnsi"/>
      <w:lang w:eastAsia="en-US"/>
    </w:rPr>
  </w:style>
  <w:style w:type="paragraph" w:customStyle="1" w:styleId="764BFDC0193B4E8B946F90FA96F17F3F">
    <w:name w:val="764BFDC0193B4E8B946F90FA96F17F3F"/>
    <w:rsid w:val="00FF5D4F"/>
    <w:rPr>
      <w:rFonts w:eastAsiaTheme="minorHAnsi"/>
      <w:lang w:eastAsia="en-US"/>
    </w:rPr>
  </w:style>
  <w:style w:type="paragraph" w:customStyle="1" w:styleId="2841105969B14DE49F05D9296F7C652E">
    <w:name w:val="2841105969B14DE49F05D9296F7C652E"/>
    <w:rsid w:val="00FF5D4F"/>
    <w:rPr>
      <w:rFonts w:eastAsiaTheme="minorHAnsi"/>
      <w:lang w:eastAsia="en-US"/>
    </w:rPr>
  </w:style>
  <w:style w:type="paragraph" w:customStyle="1" w:styleId="E5EB6D4A958A4331A96091AD983955EE">
    <w:name w:val="E5EB6D4A958A4331A96091AD983955EE"/>
    <w:rsid w:val="00FF5D4F"/>
    <w:rPr>
      <w:rFonts w:eastAsiaTheme="minorHAnsi"/>
      <w:lang w:eastAsia="en-US"/>
    </w:rPr>
  </w:style>
  <w:style w:type="paragraph" w:customStyle="1" w:styleId="FD5C206170F8425BA6EE971CD4237B78">
    <w:name w:val="FD5C206170F8425BA6EE971CD4237B78"/>
    <w:rsid w:val="00FF5D4F"/>
    <w:rPr>
      <w:rFonts w:eastAsiaTheme="minorHAnsi"/>
      <w:lang w:eastAsia="en-US"/>
    </w:rPr>
  </w:style>
  <w:style w:type="paragraph" w:customStyle="1" w:styleId="910B44650FB04E46BA92AE92B1A964F6">
    <w:name w:val="910B44650FB04E46BA92AE92B1A964F6"/>
    <w:rsid w:val="00FF5D4F"/>
    <w:rPr>
      <w:rFonts w:eastAsiaTheme="minorHAnsi"/>
      <w:lang w:eastAsia="en-US"/>
    </w:rPr>
  </w:style>
  <w:style w:type="paragraph" w:customStyle="1" w:styleId="13D82EA56B4A45D28413144B2F7F5968">
    <w:name w:val="13D82EA56B4A45D28413144B2F7F5968"/>
    <w:rsid w:val="00FF5D4F"/>
    <w:rPr>
      <w:rFonts w:eastAsiaTheme="minorHAnsi"/>
      <w:lang w:eastAsia="en-US"/>
    </w:rPr>
  </w:style>
  <w:style w:type="paragraph" w:customStyle="1" w:styleId="FE95B9A01F8340438A8C23164C47A7EB">
    <w:name w:val="FE95B9A01F8340438A8C23164C47A7EB"/>
    <w:rsid w:val="00FF5D4F"/>
    <w:rPr>
      <w:rFonts w:eastAsiaTheme="minorHAnsi"/>
      <w:lang w:eastAsia="en-US"/>
    </w:rPr>
  </w:style>
  <w:style w:type="paragraph" w:customStyle="1" w:styleId="DB232B1C7DC94AA0937BF44A74D7501B">
    <w:name w:val="DB232B1C7DC94AA0937BF44A74D7501B"/>
    <w:rsid w:val="00FF5D4F"/>
    <w:rPr>
      <w:rFonts w:eastAsiaTheme="minorHAnsi"/>
      <w:lang w:eastAsia="en-US"/>
    </w:rPr>
  </w:style>
  <w:style w:type="paragraph" w:customStyle="1" w:styleId="E7E4A7E527044C2690FE643CD510DBB5">
    <w:name w:val="E7E4A7E527044C2690FE643CD510DBB5"/>
    <w:rsid w:val="00FF5D4F"/>
    <w:rPr>
      <w:rFonts w:eastAsiaTheme="minorHAnsi"/>
      <w:lang w:eastAsia="en-US"/>
    </w:rPr>
  </w:style>
  <w:style w:type="paragraph" w:customStyle="1" w:styleId="4AE388897F6C4CAA85289D11247F4B60">
    <w:name w:val="4AE388897F6C4CAA85289D11247F4B60"/>
    <w:rsid w:val="00FF5D4F"/>
    <w:rPr>
      <w:rFonts w:eastAsiaTheme="minorHAnsi"/>
      <w:lang w:eastAsia="en-US"/>
    </w:rPr>
  </w:style>
  <w:style w:type="paragraph" w:customStyle="1" w:styleId="035449F15B804DFCBB464B8F8CF23968">
    <w:name w:val="035449F15B804DFCBB464B8F8CF23968"/>
    <w:rsid w:val="00FF5D4F"/>
    <w:rPr>
      <w:rFonts w:eastAsiaTheme="minorHAnsi"/>
      <w:lang w:eastAsia="en-US"/>
    </w:rPr>
  </w:style>
  <w:style w:type="paragraph" w:customStyle="1" w:styleId="51BFF4D6FA5E427E8B2BB4394305981E">
    <w:name w:val="51BFF4D6FA5E427E8B2BB4394305981E"/>
    <w:rsid w:val="00FF5D4F"/>
    <w:rPr>
      <w:rFonts w:eastAsiaTheme="minorHAnsi"/>
      <w:lang w:eastAsia="en-US"/>
    </w:rPr>
  </w:style>
  <w:style w:type="paragraph" w:customStyle="1" w:styleId="5610D5460FE7443BBFE4C402F8F872EC">
    <w:name w:val="5610D5460FE7443BBFE4C402F8F872EC"/>
    <w:rsid w:val="00FF5D4F"/>
    <w:rPr>
      <w:rFonts w:eastAsiaTheme="minorHAnsi"/>
      <w:lang w:eastAsia="en-US"/>
    </w:rPr>
  </w:style>
  <w:style w:type="paragraph" w:customStyle="1" w:styleId="FDD970DF03814E08AAAE176B3A069D53">
    <w:name w:val="FDD970DF03814E08AAAE176B3A069D53"/>
    <w:rsid w:val="00FF5D4F"/>
    <w:rPr>
      <w:rFonts w:eastAsiaTheme="minorHAnsi"/>
      <w:lang w:eastAsia="en-US"/>
    </w:rPr>
  </w:style>
  <w:style w:type="paragraph" w:customStyle="1" w:styleId="1ACA54E693CD4D0BAD637E54C82C88FF">
    <w:name w:val="1ACA54E693CD4D0BAD637E54C82C88FF"/>
    <w:rsid w:val="00FF5D4F"/>
    <w:rPr>
      <w:rFonts w:eastAsiaTheme="minorHAnsi"/>
      <w:lang w:eastAsia="en-US"/>
    </w:rPr>
  </w:style>
  <w:style w:type="paragraph" w:customStyle="1" w:styleId="16E4DF0885D242E391774F1A0758BD2D">
    <w:name w:val="16E4DF0885D242E391774F1A0758BD2D"/>
    <w:rsid w:val="00FF5D4F"/>
    <w:rPr>
      <w:rFonts w:eastAsiaTheme="minorHAnsi"/>
      <w:lang w:eastAsia="en-US"/>
    </w:rPr>
  </w:style>
  <w:style w:type="paragraph" w:customStyle="1" w:styleId="883803275B904BACB6B45144980015BE4">
    <w:name w:val="883803275B904BACB6B45144980015BE4"/>
    <w:rsid w:val="00FF5D4F"/>
    <w:pPr>
      <w:tabs>
        <w:tab w:val="center" w:pos="4153"/>
        <w:tab w:val="right" w:pos="8306"/>
      </w:tabs>
      <w:spacing w:after="0" w:line="240" w:lineRule="auto"/>
    </w:pPr>
    <w:rPr>
      <w:rFonts w:eastAsiaTheme="minorHAnsi"/>
      <w:lang w:eastAsia="en-US"/>
    </w:rPr>
  </w:style>
  <w:style w:type="paragraph" w:customStyle="1" w:styleId="AFE5C0FDF884499089966B8364262005">
    <w:name w:val="AFE5C0FDF884499089966B8364262005"/>
    <w:rsid w:val="00F42E68"/>
  </w:style>
  <w:style w:type="paragraph" w:customStyle="1" w:styleId="8BC6C2C57C8942DDA8ED4097E8CA6992">
    <w:name w:val="8BC6C2C57C8942DDA8ED4097E8CA6992"/>
    <w:rsid w:val="00F42E68"/>
  </w:style>
  <w:style w:type="paragraph" w:customStyle="1" w:styleId="A811FD673AAF459B90F85168F08A456F">
    <w:name w:val="A811FD673AAF459B90F85168F08A456F"/>
    <w:rsid w:val="00F42E68"/>
  </w:style>
  <w:style w:type="paragraph" w:customStyle="1" w:styleId="A5CA541723F64F1286D7EA371349627F">
    <w:name w:val="A5CA541723F64F1286D7EA371349627F"/>
    <w:rsid w:val="00F42E68"/>
  </w:style>
  <w:style w:type="paragraph" w:customStyle="1" w:styleId="5888B24331F04FC5B4C4F1DA16449615">
    <w:name w:val="5888B24331F04FC5B4C4F1DA16449615"/>
    <w:rsid w:val="00F42E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6C18-BF84-40F3-941F-043E944A0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21</Pages>
  <Words>23980</Words>
  <Characters>13670</Characters>
  <Application>Microsoft Office Word</Application>
  <DocSecurity>0</DocSecurity>
  <Lines>113</Lines>
  <Paragraphs>75</Paragraphs>
  <ScaleCrop>false</ScaleCrop>
  <HeadingPairs>
    <vt:vector size="2" baseType="variant">
      <vt:variant>
        <vt:lpstr>Title</vt:lpstr>
      </vt:variant>
      <vt:variant>
        <vt:i4>1</vt:i4>
      </vt:variant>
    </vt:vector>
  </HeadingPairs>
  <TitlesOfParts>
    <vt:vector size="1" baseType="lpstr">
      <vt:lpstr>Tiesību akta nosaukums</vt:lpstr>
    </vt:vector>
  </TitlesOfParts>
  <Company>Iestādes nosaukums</Company>
  <LinksUpToDate>false</LinksUpToDate>
  <CharactersWithSpaces>37575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Anita Depkovska</cp:lastModifiedBy>
  <cp:revision>6</cp:revision>
  <dcterms:created xsi:type="dcterms:W3CDTF">2018-06-14T06:18:00Z</dcterms:created>
  <dcterms:modified xsi:type="dcterms:W3CDTF">2018-06-17T14:04:00Z</dcterms:modified>
</cp:coreProperties>
</file>