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EEBAC" w14:textId="77777777" w:rsidR="00D32E3B" w:rsidRPr="00171C37" w:rsidRDefault="00D32E3B" w:rsidP="00D465E4">
      <w:pPr>
        <w:spacing w:after="0" w:line="240" w:lineRule="auto"/>
        <w:outlineLvl w:val="3"/>
        <w:rPr>
          <w:rFonts w:ascii="Times New Roman" w:eastAsia="Times New Roman" w:hAnsi="Times New Roman"/>
          <w:b/>
          <w:bCs/>
          <w:sz w:val="24"/>
          <w:szCs w:val="24"/>
          <w:lang w:eastAsia="lv-LV"/>
        </w:rPr>
      </w:pPr>
      <w:bookmarkStart w:id="0" w:name="OLE_LINK1"/>
      <w:bookmarkStart w:id="1" w:name="OLE_LINK2"/>
      <w:bookmarkStart w:id="2" w:name="OLE_LINK4"/>
      <w:bookmarkStart w:id="3" w:name="OLE_LINK5"/>
    </w:p>
    <w:p w14:paraId="3943F7E8" w14:textId="0828AAF5" w:rsidR="007C5781" w:rsidRPr="00171C37" w:rsidRDefault="00C05444" w:rsidP="00D465E4">
      <w:pPr>
        <w:spacing w:after="0" w:line="240" w:lineRule="auto"/>
        <w:jc w:val="center"/>
        <w:outlineLvl w:val="3"/>
        <w:rPr>
          <w:rFonts w:ascii="Times New Roman" w:eastAsia="Times New Roman" w:hAnsi="Times New Roman"/>
          <w:b/>
          <w:bCs/>
          <w:sz w:val="24"/>
          <w:szCs w:val="24"/>
          <w:lang w:eastAsia="lv-LV"/>
        </w:rPr>
      </w:pPr>
      <w:r w:rsidRPr="00171C37">
        <w:rPr>
          <w:rFonts w:ascii="Times New Roman" w:eastAsia="Times New Roman" w:hAnsi="Times New Roman"/>
          <w:b/>
          <w:bCs/>
          <w:sz w:val="24"/>
          <w:szCs w:val="24"/>
          <w:lang w:eastAsia="lv-LV"/>
        </w:rPr>
        <w:t>Ministru kabineta noteikumu projekta „</w:t>
      </w:r>
      <w:bookmarkEnd w:id="0"/>
      <w:bookmarkEnd w:id="1"/>
      <w:r w:rsidR="00742B82">
        <w:rPr>
          <w:rFonts w:ascii="Times New Roman" w:eastAsia="Times New Roman" w:hAnsi="Times New Roman"/>
          <w:b/>
          <w:bCs/>
          <w:sz w:val="24"/>
          <w:szCs w:val="24"/>
          <w:lang w:eastAsia="lv-LV"/>
        </w:rPr>
        <w:t>Nodibinājuma “</w:t>
      </w:r>
      <w:r w:rsidR="00F558B6" w:rsidRPr="00171C37">
        <w:rPr>
          <w:rFonts w:ascii="Times New Roman" w:hAnsi="Times New Roman"/>
          <w:b/>
          <w:bCs/>
          <w:sz w:val="24"/>
          <w:szCs w:val="24"/>
        </w:rPr>
        <w:t>Akadēmiskās informācijas centr</w:t>
      </w:r>
      <w:r w:rsidR="00742B82">
        <w:rPr>
          <w:rFonts w:ascii="Times New Roman" w:hAnsi="Times New Roman"/>
          <w:b/>
          <w:bCs/>
          <w:sz w:val="24"/>
          <w:szCs w:val="24"/>
        </w:rPr>
        <w:t>s”</w:t>
      </w:r>
      <w:r w:rsidR="00F558B6" w:rsidRPr="00171C37">
        <w:rPr>
          <w:rFonts w:ascii="Times New Roman" w:hAnsi="Times New Roman"/>
          <w:b/>
          <w:bCs/>
          <w:sz w:val="24"/>
          <w:szCs w:val="24"/>
        </w:rPr>
        <w:t xml:space="preserve"> maksas pakalpojumu cenrādis</w:t>
      </w:r>
      <w:r w:rsidRPr="00171C37">
        <w:rPr>
          <w:rFonts w:ascii="Times New Roman" w:hAnsi="Times New Roman"/>
          <w:b/>
          <w:sz w:val="24"/>
          <w:szCs w:val="24"/>
        </w:rPr>
        <w:t>” sākotnējās ietekmes novērtējuma ziņojums (anotācija)</w:t>
      </w:r>
      <w:bookmarkEnd w:id="2"/>
      <w:bookmarkEnd w:id="3"/>
    </w:p>
    <w:p w14:paraId="7F8A51A0" w14:textId="77777777" w:rsidR="007C5781" w:rsidRPr="00171C37" w:rsidRDefault="007C5781" w:rsidP="00D465E4">
      <w:pPr>
        <w:spacing w:after="0" w:line="240" w:lineRule="auto"/>
        <w:jc w:val="center"/>
        <w:outlineLvl w:val="3"/>
        <w:rPr>
          <w:rFonts w:ascii="Times New Roman" w:eastAsia="Times New Roman" w:hAnsi="Times New Roman"/>
          <w:b/>
          <w:bCs/>
          <w:sz w:val="24"/>
          <w:szCs w:val="24"/>
          <w:lang w:eastAsia="lv-LV"/>
        </w:rPr>
      </w:pPr>
    </w:p>
    <w:p w14:paraId="786A58DD" w14:textId="77777777" w:rsidR="005C42B1" w:rsidRPr="00171C37" w:rsidRDefault="005C42B1" w:rsidP="00D465E4">
      <w:pPr>
        <w:spacing w:after="0" w:line="240" w:lineRule="auto"/>
        <w:jc w:val="center"/>
        <w:outlineLvl w:val="3"/>
        <w:rPr>
          <w:rFonts w:ascii="Times New Roman" w:eastAsia="Times New Roman" w:hAnsi="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2301"/>
        <w:gridCol w:w="6724"/>
      </w:tblGrid>
      <w:tr w:rsidR="00812271" w:rsidRPr="00171C37" w14:paraId="08449CC0" w14:textId="77777777" w:rsidTr="00812271">
        <w:trPr>
          <w:tblCellSpacing w:w="15" w:type="dxa"/>
        </w:trPr>
        <w:tc>
          <w:tcPr>
            <w:tcW w:w="4968" w:type="pct"/>
            <w:gridSpan w:val="3"/>
            <w:tcBorders>
              <w:top w:val="single" w:sz="6" w:space="0" w:color="auto"/>
              <w:left w:val="single" w:sz="6" w:space="0" w:color="auto"/>
              <w:bottom w:val="outset" w:sz="6" w:space="0" w:color="auto"/>
              <w:right w:val="single" w:sz="6" w:space="0" w:color="auto"/>
            </w:tcBorders>
            <w:vAlign w:val="center"/>
            <w:hideMark/>
          </w:tcPr>
          <w:p w14:paraId="22E00C4D" w14:textId="77777777" w:rsidR="00392D00" w:rsidRPr="00171C37" w:rsidRDefault="00392D00" w:rsidP="00D465E4">
            <w:pPr>
              <w:spacing w:after="0" w:line="240" w:lineRule="auto"/>
              <w:jc w:val="center"/>
              <w:rPr>
                <w:rFonts w:ascii="Times New Roman" w:eastAsia="Times New Roman" w:hAnsi="Times New Roman"/>
                <w:b/>
                <w:bCs/>
                <w:sz w:val="24"/>
                <w:szCs w:val="24"/>
                <w:lang w:eastAsia="lv-LV"/>
              </w:rPr>
            </w:pPr>
            <w:r w:rsidRPr="00171C37">
              <w:rPr>
                <w:rFonts w:ascii="Times New Roman" w:eastAsia="Times New Roman" w:hAnsi="Times New Roman"/>
                <w:b/>
                <w:bCs/>
                <w:sz w:val="24"/>
                <w:szCs w:val="24"/>
                <w:lang w:eastAsia="lv-LV"/>
              </w:rPr>
              <w:t>I. Tiesību akta projekta izstrādes nepieciešamība</w:t>
            </w:r>
          </w:p>
        </w:tc>
      </w:tr>
      <w:tr w:rsidR="00812271" w:rsidRPr="00171C37" w14:paraId="3E1CF975" w14:textId="77777777" w:rsidTr="00812271">
        <w:trPr>
          <w:tblCellSpacing w:w="15" w:type="dxa"/>
        </w:trPr>
        <w:tc>
          <w:tcPr>
            <w:tcW w:w="153" w:type="pct"/>
            <w:tcBorders>
              <w:top w:val="outset" w:sz="6" w:space="0" w:color="auto"/>
              <w:left w:val="outset" w:sz="6" w:space="0" w:color="auto"/>
              <w:bottom w:val="outset" w:sz="6" w:space="0" w:color="auto"/>
              <w:right w:val="outset" w:sz="6" w:space="0" w:color="auto"/>
            </w:tcBorders>
            <w:hideMark/>
          </w:tcPr>
          <w:p w14:paraId="4B3E1CC2" w14:textId="77777777" w:rsidR="00392D00" w:rsidRPr="00171C37" w:rsidRDefault="00392D00"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1.</w:t>
            </w:r>
          </w:p>
        </w:tc>
        <w:tc>
          <w:tcPr>
            <w:tcW w:w="1480" w:type="pct"/>
            <w:tcBorders>
              <w:top w:val="outset" w:sz="6" w:space="0" w:color="auto"/>
              <w:left w:val="outset" w:sz="6" w:space="0" w:color="auto"/>
              <w:bottom w:val="outset" w:sz="6" w:space="0" w:color="auto"/>
              <w:right w:val="outset" w:sz="6" w:space="0" w:color="auto"/>
            </w:tcBorders>
            <w:hideMark/>
          </w:tcPr>
          <w:p w14:paraId="28E2225C" w14:textId="77777777" w:rsidR="00392D00" w:rsidRPr="00171C37" w:rsidRDefault="00392D00"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Pamatojums</w:t>
            </w:r>
          </w:p>
        </w:tc>
        <w:tc>
          <w:tcPr>
            <w:tcW w:w="3304" w:type="pct"/>
            <w:tcBorders>
              <w:top w:val="outset" w:sz="6" w:space="0" w:color="auto"/>
              <w:left w:val="outset" w:sz="6" w:space="0" w:color="auto"/>
              <w:bottom w:val="outset" w:sz="6" w:space="0" w:color="auto"/>
              <w:right w:val="outset" w:sz="6" w:space="0" w:color="auto"/>
            </w:tcBorders>
            <w:hideMark/>
          </w:tcPr>
          <w:p w14:paraId="064CDBC6" w14:textId="7AE975D9" w:rsidR="00B57810" w:rsidRPr="00171C37" w:rsidRDefault="007147BE" w:rsidP="00D465E4">
            <w:pPr>
              <w:spacing w:after="0" w:line="240" w:lineRule="auto"/>
              <w:jc w:val="both"/>
              <w:rPr>
                <w:rFonts w:ascii="Times New Roman" w:hAnsi="Times New Roman"/>
                <w:sz w:val="24"/>
                <w:szCs w:val="24"/>
              </w:rPr>
            </w:pPr>
            <w:r w:rsidRPr="00171C37">
              <w:rPr>
                <w:rFonts w:ascii="Times New Roman" w:eastAsia="Times New Roman" w:hAnsi="Times New Roman"/>
                <w:bCs/>
                <w:sz w:val="24"/>
                <w:szCs w:val="24"/>
                <w:lang w:eastAsia="lv-LV"/>
              </w:rPr>
              <w:t>Izglītības un zinātnes ministrija</w:t>
            </w:r>
            <w:r w:rsidR="00FC68B2" w:rsidRPr="00171C37">
              <w:rPr>
                <w:rFonts w:ascii="Times New Roman" w:eastAsia="Times New Roman" w:hAnsi="Times New Roman"/>
                <w:bCs/>
                <w:sz w:val="24"/>
                <w:szCs w:val="24"/>
                <w:lang w:eastAsia="lv-LV"/>
              </w:rPr>
              <w:t xml:space="preserve"> (turpmāk – ministrija)</w:t>
            </w:r>
            <w:r w:rsidRPr="00171C37">
              <w:rPr>
                <w:rFonts w:ascii="Times New Roman" w:eastAsia="Times New Roman" w:hAnsi="Times New Roman"/>
                <w:bCs/>
                <w:sz w:val="24"/>
                <w:szCs w:val="24"/>
                <w:lang w:eastAsia="lv-LV"/>
              </w:rPr>
              <w:t xml:space="preserve"> sagatavojusi </w:t>
            </w:r>
            <w:r w:rsidR="002D0EB1" w:rsidRPr="00171C37">
              <w:rPr>
                <w:rFonts w:ascii="Times New Roman" w:eastAsia="Times New Roman" w:hAnsi="Times New Roman"/>
                <w:bCs/>
                <w:sz w:val="24"/>
                <w:szCs w:val="24"/>
                <w:lang w:eastAsia="lv-LV"/>
              </w:rPr>
              <w:t>Mini</w:t>
            </w:r>
            <w:r w:rsidRPr="00171C37">
              <w:rPr>
                <w:rFonts w:ascii="Times New Roman" w:eastAsia="Times New Roman" w:hAnsi="Times New Roman"/>
                <w:bCs/>
                <w:sz w:val="24"/>
                <w:szCs w:val="24"/>
                <w:lang w:eastAsia="lv-LV"/>
              </w:rPr>
              <w:t>stru kabineta noteikumu projektu</w:t>
            </w:r>
            <w:r w:rsidR="002D0EB1" w:rsidRPr="00171C37">
              <w:rPr>
                <w:rFonts w:ascii="Times New Roman" w:eastAsia="Times New Roman" w:hAnsi="Times New Roman"/>
                <w:bCs/>
                <w:sz w:val="24"/>
                <w:szCs w:val="24"/>
                <w:lang w:eastAsia="lv-LV"/>
              </w:rPr>
              <w:t xml:space="preserve"> „</w:t>
            </w:r>
            <w:r w:rsidR="00742B82">
              <w:rPr>
                <w:rFonts w:ascii="Times New Roman" w:eastAsia="Times New Roman" w:hAnsi="Times New Roman"/>
                <w:bCs/>
                <w:sz w:val="24"/>
                <w:szCs w:val="24"/>
                <w:lang w:eastAsia="lv-LV"/>
              </w:rPr>
              <w:t>Nodibinājuma “</w:t>
            </w:r>
            <w:r w:rsidR="00BB5043" w:rsidRPr="00171C37">
              <w:rPr>
                <w:rFonts w:ascii="Times New Roman" w:hAnsi="Times New Roman"/>
                <w:bCs/>
                <w:sz w:val="24"/>
                <w:szCs w:val="24"/>
              </w:rPr>
              <w:t>Akadēmiskās informācijas centr</w:t>
            </w:r>
            <w:r w:rsidR="00742B82">
              <w:rPr>
                <w:rFonts w:ascii="Times New Roman" w:hAnsi="Times New Roman"/>
                <w:bCs/>
                <w:sz w:val="24"/>
                <w:szCs w:val="24"/>
              </w:rPr>
              <w:t>s”</w:t>
            </w:r>
            <w:r w:rsidR="00BB5043" w:rsidRPr="00171C37">
              <w:rPr>
                <w:rFonts w:ascii="Times New Roman" w:hAnsi="Times New Roman"/>
                <w:bCs/>
                <w:sz w:val="24"/>
                <w:szCs w:val="24"/>
              </w:rPr>
              <w:t xml:space="preserve"> maksas pakalpojumu cenrādis</w:t>
            </w:r>
            <w:r w:rsidR="002D0EB1" w:rsidRPr="00171C37">
              <w:rPr>
                <w:rFonts w:ascii="Times New Roman" w:hAnsi="Times New Roman"/>
                <w:sz w:val="24"/>
                <w:szCs w:val="24"/>
              </w:rPr>
              <w:t>” (turpmāk –</w:t>
            </w:r>
            <w:r w:rsidR="00B57810" w:rsidRPr="00171C37">
              <w:rPr>
                <w:rFonts w:ascii="Times New Roman" w:hAnsi="Times New Roman"/>
                <w:sz w:val="24"/>
                <w:szCs w:val="24"/>
              </w:rPr>
              <w:t xml:space="preserve"> </w:t>
            </w:r>
            <w:r w:rsidR="002D0EB1" w:rsidRPr="00171C37">
              <w:rPr>
                <w:rFonts w:ascii="Times New Roman" w:hAnsi="Times New Roman"/>
                <w:sz w:val="24"/>
                <w:szCs w:val="24"/>
              </w:rPr>
              <w:t>pr</w:t>
            </w:r>
            <w:r w:rsidR="00B57810" w:rsidRPr="00171C37">
              <w:rPr>
                <w:rFonts w:ascii="Times New Roman" w:hAnsi="Times New Roman"/>
                <w:sz w:val="24"/>
                <w:szCs w:val="24"/>
              </w:rPr>
              <w:t>ojekts) saskaņā ar:</w:t>
            </w:r>
          </w:p>
          <w:p w14:paraId="4D97DED2" w14:textId="400472FD" w:rsidR="00B57810" w:rsidRPr="00171C37" w:rsidRDefault="00B57810" w:rsidP="00D465E4">
            <w:pPr>
              <w:pStyle w:val="ListParagraph"/>
              <w:numPr>
                <w:ilvl w:val="0"/>
                <w:numId w:val="1"/>
              </w:numPr>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Ministru kabineta 2014.gada 3.novembra r</w:t>
            </w:r>
            <w:r w:rsidR="001D6B05" w:rsidRPr="00171C37">
              <w:rPr>
                <w:rFonts w:ascii="Times New Roman" w:hAnsi="Times New Roman"/>
                <w:sz w:val="24"/>
                <w:szCs w:val="24"/>
              </w:rPr>
              <w:t>īkojuma</w:t>
            </w:r>
            <w:r w:rsidRPr="00171C37">
              <w:rPr>
                <w:rFonts w:ascii="Times New Roman" w:hAnsi="Times New Roman"/>
                <w:sz w:val="24"/>
                <w:szCs w:val="24"/>
              </w:rPr>
              <w:t xml:space="preserve"> Nr.640 “Par koncepciju “Latvijas augstākās izglītības ārējās kvalitātes nodrošināšanas sistēmas pilnveide””</w:t>
            </w:r>
            <w:r w:rsidR="001D6B05" w:rsidRPr="00171C37">
              <w:rPr>
                <w:rFonts w:ascii="Times New Roman" w:hAnsi="Times New Roman"/>
                <w:sz w:val="24"/>
                <w:szCs w:val="24"/>
              </w:rPr>
              <w:t xml:space="preserve"> 1.punktu</w:t>
            </w:r>
            <w:r w:rsidRPr="00171C37">
              <w:rPr>
                <w:rFonts w:ascii="Times New Roman" w:hAnsi="Times New Roman"/>
                <w:sz w:val="24"/>
                <w:szCs w:val="24"/>
              </w:rPr>
              <w:t>;</w:t>
            </w:r>
          </w:p>
          <w:p w14:paraId="564BF85A" w14:textId="0CE3C5A0" w:rsidR="00392D00" w:rsidRPr="006F7FD7" w:rsidRDefault="00B57810" w:rsidP="00D465E4">
            <w:pPr>
              <w:pStyle w:val="ListParagraph"/>
              <w:numPr>
                <w:ilvl w:val="0"/>
                <w:numId w:val="1"/>
              </w:numPr>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Augstskolu likuma (2014.gada 17.decembra likuma “Grozījumi Augstskolu likumā” redakcijā)</w:t>
            </w:r>
            <w:r w:rsidR="00D429B5" w:rsidRPr="00171C37">
              <w:rPr>
                <w:rFonts w:ascii="Times New Roman" w:hAnsi="Times New Roman"/>
                <w:sz w:val="24"/>
                <w:szCs w:val="24"/>
              </w:rPr>
              <w:t xml:space="preserve"> 9.panta </w:t>
            </w:r>
            <w:r w:rsidR="00BE61F3">
              <w:rPr>
                <w:rFonts w:ascii="Times New Roman" w:hAnsi="Times New Roman"/>
                <w:sz w:val="24"/>
                <w:szCs w:val="24"/>
              </w:rPr>
              <w:t>1.</w:t>
            </w:r>
            <w:r w:rsidR="00BE61F3" w:rsidRPr="003F4305">
              <w:rPr>
                <w:rFonts w:ascii="Times New Roman" w:hAnsi="Times New Roman"/>
                <w:sz w:val="24"/>
                <w:szCs w:val="24"/>
                <w:vertAlign w:val="superscript"/>
              </w:rPr>
              <w:t>1</w:t>
            </w:r>
            <w:r w:rsidR="00D429B5" w:rsidRPr="00171C37">
              <w:rPr>
                <w:rFonts w:ascii="Times New Roman" w:hAnsi="Times New Roman"/>
                <w:sz w:val="24"/>
                <w:szCs w:val="24"/>
              </w:rPr>
              <w:t xml:space="preserve"> daļu</w:t>
            </w:r>
            <w:r w:rsidR="001D6B05" w:rsidRPr="00171C37">
              <w:rPr>
                <w:rFonts w:ascii="Times New Roman" w:hAnsi="Times New Roman"/>
                <w:sz w:val="24"/>
                <w:szCs w:val="24"/>
              </w:rPr>
              <w:t xml:space="preserve">, </w:t>
            </w:r>
            <w:r w:rsidR="00BB5043" w:rsidRPr="00171C37">
              <w:rPr>
                <w:rFonts w:ascii="Times New Roman" w:hAnsi="Times New Roman"/>
                <w:sz w:val="24"/>
                <w:szCs w:val="24"/>
              </w:rPr>
              <w:t>55.</w:t>
            </w:r>
            <w:r w:rsidR="00BB5043" w:rsidRPr="00171C37">
              <w:rPr>
                <w:rFonts w:ascii="Times New Roman" w:hAnsi="Times New Roman"/>
                <w:sz w:val="24"/>
                <w:szCs w:val="24"/>
                <w:vertAlign w:val="superscript"/>
              </w:rPr>
              <w:t>2</w:t>
            </w:r>
            <w:r w:rsidR="00BB5043" w:rsidRPr="00171C37">
              <w:rPr>
                <w:rFonts w:ascii="Times New Roman" w:hAnsi="Times New Roman"/>
                <w:sz w:val="24"/>
                <w:szCs w:val="24"/>
              </w:rPr>
              <w:t xml:space="preserve">panta </w:t>
            </w:r>
            <w:r w:rsidR="00BE61F3">
              <w:rPr>
                <w:rFonts w:ascii="Times New Roman" w:hAnsi="Times New Roman"/>
                <w:sz w:val="24"/>
                <w:szCs w:val="24"/>
              </w:rPr>
              <w:t>1.</w:t>
            </w:r>
            <w:r w:rsidR="00BE61F3" w:rsidRPr="003F4305">
              <w:rPr>
                <w:rFonts w:ascii="Times New Roman" w:hAnsi="Times New Roman"/>
                <w:sz w:val="24"/>
                <w:szCs w:val="24"/>
                <w:vertAlign w:val="superscript"/>
              </w:rPr>
              <w:t>1</w:t>
            </w:r>
            <w:r w:rsidR="00BB5043" w:rsidRPr="00171C37">
              <w:rPr>
                <w:rFonts w:ascii="Times New Roman" w:hAnsi="Times New Roman"/>
                <w:sz w:val="24"/>
                <w:szCs w:val="24"/>
              </w:rPr>
              <w:t xml:space="preserve"> daļu, </w:t>
            </w:r>
            <w:r w:rsidR="001D6B05" w:rsidRPr="00171C37">
              <w:rPr>
                <w:rFonts w:ascii="Times New Roman" w:hAnsi="Times New Roman"/>
                <w:sz w:val="24"/>
                <w:szCs w:val="24"/>
              </w:rPr>
              <w:t>55.</w:t>
            </w:r>
            <w:r w:rsidR="001D6B05" w:rsidRPr="00171C37">
              <w:rPr>
                <w:rFonts w:ascii="Times New Roman" w:hAnsi="Times New Roman"/>
                <w:sz w:val="24"/>
                <w:szCs w:val="24"/>
                <w:vertAlign w:val="superscript"/>
              </w:rPr>
              <w:t>3</w:t>
            </w:r>
            <w:r w:rsidR="003C228F" w:rsidRPr="00171C37">
              <w:rPr>
                <w:rFonts w:ascii="Times New Roman" w:hAnsi="Times New Roman"/>
                <w:sz w:val="24"/>
                <w:szCs w:val="24"/>
              </w:rPr>
              <w:t xml:space="preserve">panta </w:t>
            </w:r>
            <w:r w:rsidR="00BE61F3">
              <w:rPr>
                <w:rFonts w:ascii="Times New Roman" w:hAnsi="Times New Roman"/>
                <w:sz w:val="24"/>
                <w:szCs w:val="24"/>
              </w:rPr>
              <w:t>1.</w:t>
            </w:r>
            <w:r w:rsidR="00BE61F3" w:rsidRPr="003F4305">
              <w:rPr>
                <w:rFonts w:ascii="Times New Roman" w:hAnsi="Times New Roman"/>
                <w:sz w:val="24"/>
                <w:szCs w:val="24"/>
                <w:vertAlign w:val="superscript"/>
              </w:rPr>
              <w:t>1</w:t>
            </w:r>
            <w:r w:rsidR="00BB5043" w:rsidRPr="00171C37">
              <w:rPr>
                <w:rFonts w:ascii="Times New Roman" w:hAnsi="Times New Roman"/>
                <w:sz w:val="24"/>
                <w:szCs w:val="24"/>
              </w:rPr>
              <w:t xml:space="preserve"> daļu, 59.panta ceturto daļu un Augstskolu likuma 85.panta ceturto</w:t>
            </w:r>
            <w:r w:rsidR="001D6B05" w:rsidRPr="00171C37">
              <w:rPr>
                <w:rFonts w:ascii="Times New Roman" w:hAnsi="Times New Roman"/>
                <w:sz w:val="24"/>
                <w:szCs w:val="24"/>
              </w:rPr>
              <w:t xml:space="preserve"> d</w:t>
            </w:r>
            <w:r w:rsidR="00D429B5" w:rsidRPr="00171C37">
              <w:rPr>
                <w:rFonts w:ascii="Times New Roman" w:hAnsi="Times New Roman"/>
                <w:sz w:val="24"/>
                <w:szCs w:val="24"/>
              </w:rPr>
              <w:t>aļu</w:t>
            </w:r>
            <w:r w:rsidRPr="00171C37">
              <w:rPr>
                <w:rFonts w:ascii="Times New Roman" w:hAnsi="Times New Roman"/>
                <w:sz w:val="24"/>
                <w:szCs w:val="24"/>
              </w:rPr>
              <w:t>;</w:t>
            </w:r>
          </w:p>
          <w:p w14:paraId="05BC2F7A" w14:textId="6477AAB9" w:rsidR="006F7FD7" w:rsidRPr="006F7FD7" w:rsidRDefault="006F7FD7" w:rsidP="00D465E4">
            <w:pPr>
              <w:pStyle w:val="ListParagraph"/>
              <w:numPr>
                <w:ilvl w:val="0"/>
                <w:numId w:val="1"/>
              </w:num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Izglītības likuma (2014.gada 17.decembra likuma “Grozījumi Izglītības likumā” redakcijā) 11.</w:t>
            </w:r>
            <w:r>
              <w:rPr>
                <w:rFonts w:ascii="Times New Roman" w:hAnsi="Times New Roman"/>
                <w:sz w:val="24"/>
                <w:szCs w:val="24"/>
                <w:vertAlign w:val="superscript"/>
              </w:rPr>
              <w:t>1</w:t>
            </w:r>
            <w:r>
              <w:rPr>
                <w:rFonts w:ascii="Times New Roman" w:hAnsi="Times New Roman"/>
                <w:sz w:val="24"/>
                <w:szCs w:val="24"/>
              </w:rPr>
              <w:t>panta pirmo daļu;</w:t>
            </w:r>
          </w:p>
          <w:p w14:paraId="7294D873" w14:textId="36EE3730" w:rsidR="006F7FD7" w:rsidRPr="00171C37" w:rsidRDefault="006F7FD7" w:rsidP="00D465E4">
            <w:pPr>
              <w:pStyle w:val="ListParagraph"/>
              <w:numPr>
                <w:ilvl w:val="0"/>
                <w:numId w:val="1"/>
              </w:num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Ministru prezidentes 2015.gada 13.janvāra rezolūciju Nr.12/2014-JUR-282, kas paredz, ka Izglītības un zinātnes ministrija līdz 2015.gada 1.jūnijam sagatavo un noteiktā kārtībā iesniedz Ministru kabinetā Izglītības likuma (2014.gada 17.decembra likuma “Grozījumi Izglītības likumā” redakcijā) 11.</w:t>
            </w:r>
            <w:r>
              <w:rPr>
                <w:rFonts w:ascii="Times New Roman" w:hAnsi="Times New Roman"/>
                <w:sz w:val="24"/>
                <w:szCs w:val="24"/>
                <w:vertAlign w:val="superscript"/>
              </w:rPr>
              <w:t>1</w:t>
            </w:r>
            <w:r>
              <w:rPr>
                <w:rFonts w:ascii="Times New Roman" w:hAnsi="Times New Roman"/>
                <w:sz w:val="24"/>
                <w:szCs w:val="24"/>
              </w:rPr>
              <w:t>panta pirmajā daļā minētā tiesību akta projektu, attiecīgi nodrošinot pārejas noteikumu 38.punktā Ministru kabinetam dotā uzdevuma izpildi;</w:t>
            </w:r>
          </w:p>
          <w:p w14:paraId="3B837B46" w14:textId="295A836A" w:rsidR="006F7FD7" w:rsidRPr="006F7FD7" w:rsidRDefault="00B57810" w:rsidP="00D465E4">
            <w:pPr>
              <w:pStyle w:val="ListParagraph"/>
              <w:numPr>
                <w:ilvl w:val="0"/>
                <w:numId w:val="1"/>
              </w:numPr>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Ministru prezidentes 2015.gada 20.janvāra rezolūciju Nr.12/2014-JUR-278, kas paredz, ka Izglītības un zinātnes ministrija līdz 2015.gada 1.jūnijam sagatavo un noteiktā kārtībā iesniedz Ministru kabinetā</w:t>
            </w:r>
            <w:r w:rsidR="00813A88" w:rsidRPr="00171C37">
              <w:rPr>
                <w:rFonts w:ascii="Times New Roman" w:hAnsi="Times New Roman"/>
                <w:sz w:val="24"/>
                <w:szCs w:val="24"/>
              </w:rPr>
              <w:t xml:space="preserve"> Augstskolu likuma (2014.gada 17.decembra likuma “Grozījumi Augstskolu likumā” redakcijā) 9.panta pirmajā un </w:t>
            </w:r>
            <w:r w:rsidR="00BE61F3">
              <w:rPr>
                <w:rFonts w:ascii="Times New Roman" w:hAnsi="Times New Roman"/>
                <w:sz w:val="24"/>
                <w:szCs w:val="24"/>
              </w:rPr>
              <w:t>1.</w:t>
            </w:r>
            <w:r w:rsidR="00BE61F3" w:rsidRPr="003F4305">
              <w:rPr>
                <w:rFonts w:ascii="Times New Roman" w:hAnsi="Times New Roman"/>
                <w:sz w:val="24"/>
                <w:szCs w:val="24"/>
                <w:vertAlign w:val="superscript"/>
              </w:rPr>
              <w:t>1</w:t>
            </w:r>
            <w:r w:rsidR="00813A88" w:rsidRPr="00171C37">
              <w:rPr>
                <w:rFonts w:ascii="Times New Roman" w:hAnsi="Times New Roman"/>
                <w:sz w:val="24"/>
                <w:szCs w:val="24"/>
              </w:rPr>
              <w:t xml:space="preserve"> daļā, 55.</w:t>
            </w:r>
            <w:r w:rsidR="00813A88" w:rsidRPr="00171C37">
              <w:rPr>
                <w:rFonts w:ascii="Times New Roman" w:hAnsi="Times New Roman"/>
                <w:sz w:val="24"/>
                <w:szCs w:val="24"/>
                <w:vertAlign w:val="superscript"/>
              </w:rPr>
              <w:t>1</w:t>
            </w:r>
            <w:r w:rsidR="00813A88" w:rsidRPr="00171C37">
              <w:rPr>
                <w:rFonts w:ascii="Times New Roman" w:hAnsi="Times New Roman"/>
                <w:sz w:val="24"/>
                <w:szCs w:val="24"/>
              </w:rPr>
              <w:t>panta trešajā daļā, 55.</w:t>
            </w:r>
            <w:r w:rsidR="00813A88" w:rsidRPr="00171C37">
              <w:rPr>
                <w:rFonts w:ascii="Times New Roman" w:hAnsi="Times New Roman"/>
                <w:sz w:val="24"/>
                <w:szCs w:val="24"/>
                <w:vertAlign w:val="superscript"/>
              </w:rPr>
              <w:t>2</w:t>
            </w:r>
            <w:r w:rsidR="00813A88" w:rsidRPr="00171C37">
              <w:rPr>
                <w:rFonts w:ascii="Times New Roman" w:hAnsi="Times New Roman"/>
                <w:sz w:val="24"/>
                <w:szCs w:val="24"/>
              </w:rPr>
              <w:t xml:space="preserve">panta </w:t>
            </w:r>
            <w:r w:rsidR="00BE61F3">
              <w:rPr>
                <w:rFonts w:ascii="Times New Roman" w:hAnsi="Times New Roman"/>
                <w:sz w:val="24"/>
                <w:szCs w:val="24"/>
              </w:rPr>
              <w:t>1.</w:t>
            </w:r>
            <w:r w:rsidR="00BE61F3" w:rsidRPr="003F4305">
              <w:rPr>
                <w:rFonts w:ascii="Times New Roman" w:hAnsi="Times New Roman"/>
                <w:sz w:val="24"/>
                <w:szCs w:val="24"/>
                <w:vertAlign w:val="superscript"/>
              </w:rPr>
              <w:t>1</w:t>
            </w:r>
            <w:r w:rsidR="00813A88" w:rsidRPr="00171C37">
              <w:rPr>
                <w:rFonts w:ascii="Times New Roman" w:hAnsi="Times New Roman"/>
                <w:sz w:val="24"/>
                <w:szCs w:val="24"/>
              </w:rPr>
              <w:t xml:space="preserve"> daļā, 55.</w:t>
            </w:r>
            <w:r w:rsidR="00813A88" w:rsidRPr="00171C37">
              <w:rPr>
                <w:rFonts w:ascii="Times New Roman" w:hAnsi="Times New Roman"/>
                <w:sz w:val="24"/>
                <w:szCs w:val="24"/>
                <w:vertAlign w:val="superscript"/>
              </w:rPr>
              <w:t>3</w:t>
            </w:r>
            <w:r w:rsidR="00813A88" w:rsidRPr="00171C37">
              <w:rPr>
                <w:rFonts w:ascii="Times New Roman" w:hAnsi="Times New Roman"/>
                <w:sz w:val="24"/>
                <w:szCs w:val="24"/>
              </w:rPr>
              <w:t xml:space="preserve">panta pirmajā daļā minēto tiesību aktu projektus, attiecīgi nodrošinot Ministru </w:t>
            </w:r>
            <w:r w:rsidR="006F7FD7">
              <w:rPr>
                <w:rFonts w:ascii="Times New Roman" w:hAnsi="Times New Roman"/>
                <w:sz w:val="24"/>
                <w:szCs w:val="24"/>
              </w:rPr>
              <w:t>kabinetam dotā uzdevuma izpildi.</w:t>
            </w:r>
          </w:p>
        </w:tc>
      </w:tr>
      <w:tr w:rsidR="00812271" w:rsidRPr="00171C37" w14:paraId="70025BEB" w14:textId="77777777" w:rsidTr="00812271">
        <w:trPr>
          <w:tblCellSpacing w:w="15" w:type="dxa"/>
        </w:trPr>
        <w:tc>
          <w:tcPr>
            <w:tcW w:w="153" w:type="pct"/>
            <w:tcBorders>
              <w:top w:val="outset" w:sz="6" w:space="0" w:color="auto"/>
              <w:left w:val="outset" w:sz="6" w:space="0" w:color="auto"/>
              <w:bottom w:val="outset" w:sz="6" w:space="0" w:color="auto"/>
              <w:right w:val="outset" w:sz="6" w:space="0" w:color="auto"/>
            </w:tcBorders>
            <w:hideMark/>
          </w:tcPr>
          <w:p w14:paraId="789ACCDA" w14:textId="5D0364C5" w:rsidR="00392D00" w:rsidRPr="00171C37" w:rsidRDefault="00392D00"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2.</w:t>
            </w:r>
          </w:p>
        </w:tc>
        <w:tc>
          <w:tcPr>
            <w:tcW w:w="1480" w:type="pct"/>
            <w:tcBorders>
              <w:top w:val="outset" w:sz="6" w:space="0" w:color="auto"/>
              <w:left w:val="outset" w:sz="6" w:space="0" w:color="auto"/>
              <w:bottom w:val="outset" w:sz="6" w:space="0" w:color="auto"/>
              <w:right w:val="outset" w:sz="6" w:space="0" w:color="auto"/>
            </w:tcBorders>
            <w:hideMark/>
          </w:tcPr>
          <w:p w14:paraId="65B1AEBF" w14:textId="77777777" w:rsidR="00B72734" w:rsidRPr="00171C37" w:rsidRDefault="00812271" w:rsidP="00D465E4">
            <w:pPr>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Pašreizējā situācija un problēmas, kuru risināšanai tiesību akta projekts izstrādāts, tiesiskā regulējuma mērķis un būtība</w:t>
            </w:r>
          </w:p>
          <w:p w14:paraId="6C89B06C" w14:textId="77777777" w:rsidR="00B72734" w:rsidRPr="00171C37" w:rsidRDefault="00B72734" w:rsidP="00D465E4">
            <w:pPr>
              <w:spacing w:after="0" w:line="240" w:lineRule="auto"/>
              <w:rPr>
                <w:rFonts w:ascii="Times New Roman" w:eastAsia="Times New Roman" w:hAnsi="Times New Roman"/>
                <w:sz w:val="24"/>
                <w:szCs w:val="24"/>
                <w:lang w:eastAsia="lv-LV"/>
              </w:rPr>
            </w:pPr>
          </w:p>
          <w:p w14:paraId="794213AB" w14:textId="77777777" w:rsidR="00B72734" w:rsidRPr="00171C37" w:rsidRDefault="00B72734" w:rsidP="00D465E4">
            <w:pPr>
              <w:spacing w:after="0" w:line="240" w:lineRule="auto"/>
              <w:rPr>
                <w:rFonts w:ascii="Times New Roman" w:eastAsia="Times New Roman" w:hAnsi="Times New Roman"/>
                <w:sz w:val="24"/>
                <w:szCs w:val="24"/>
                <w:lang w:eastAsia="lv-LV"/>
              </w:rPr>
            </w:pPr>
          </w:p>
          <w:p w14:paraId="76F991CF" w14:textId="77777777" w:rsidR="00B72734" w:rsidRPr="00171C37" w:rsidRDefault="00B72734" w:rsidP="00D465E4">
            <w:pPr>
              <w:spacing w:after="0" w:line="240" w:lineRule="auto"/>
              <w:rPr>
                <w:rFonts w:ascii="Times New Roman" w:eastAsia="Times New Roman" w:hAnsi="Times New Roman"/>
                <w:sz w:val="24"/>
                <w:szCs w:val="24"/>
                <w:lang w:eastAsia="lv-LV"/>
              </w:rPr>
            </w:pPr>
          </w:p>
          <w:p w14:paraId="5F5BBACB" w14:textId="77777777" w:rsidR="00B72734" w:rsidRPr="00171C37" w:rsidRDefault="00B72734" w:rsidP="00D465E4">
            <w:pPr>
              <w:spacing w:after="0" w:line="240" w:lineRule="auto"/>
              <w:rPr>
                <w:rFonts w:ascii="Times New Roman" w:eastAsia="Times New Roman" w:hAnsi="Times New Roman"/>
                <w:sz w:val="24"/>
                <w:szCs w:val="24"/>
                <w:lang w:eastAsia="lv-LV"/>
              </w:rPr>
            </w:pPr>
          </w:p>
          <w:p w14:paraId="5D19DCAE" w14:textId="77777777" w:rsidR="00B72734" w:rsidRPr="00171C37" w:rsidRDefault="00B72734" w:rsidP="00D465E4">
            <w:pPr>
              <w:spacing w:after="0" w:line="240" w:lineRule="auto"/>
              <w:rPr>
                <w:rFonts w:ascii="Times New Roman" w:eastAsia="Times New Roman" w:hAnsi="Times New Roman"/>
                <w:sz w:val="24"/>
                <w:szCs w:val="24"/>
                <w:lang w:eastAsia="lv-LV"/>
              </w:rPr>
            </w:pPr>
          </w:p>
          <w:p w14:paraId="4433DE5F" w14:textId="77777777" w:rsidR="00B72734" w:rsidRPr="00171C37" w:rsidRDefault="00B72734" w:rsidP="00D465E4">
            <w:pPr>
              <w:spacing w:after="0" w:line="240" w:lineRule="auto"/>
              <w:rPr>
                <w:rFonts w:ascii="Times New Roman" w:eastAsia="Times New Roman" w:hAnsi="Times New Roman"/>
                <w:sz w:val="24"/>
                <w:szCs w:val="24"/>
                <w:lang w:eastAsia="lv-LV"/>
              </w:rPr>
            </w:pPr>
          </w:p>
          <w:p w14:paraId="14E6B037" w14:textId="77777777" w:rsidR="00392D00" w:rsidRPr="00171C37" w:rsidRDefault="00392D00" w:rsidP="00D465E4">
            <w:pPr>
              <w:spacing w:after="0" w:line="240" w:lineRule="auto"/>
              <w:jc w:val="center"/>
              <w:rPr>
                <w:rFonts w:ascii="Times New Roman" w:eastAsia="Times New Roman" w:hAnsi="Times New Roman"/>
                <w:sz w:val="24"/>
                <w:szCs w:val="24"/>
                <w:lang w:eastAsia="lv-LV"/>
              </w:rPr>
            </w:pPr>
          </w:p>
        </w:tc>
        <w:tc>
          <w:tcPr>
            <w:tcW w:w="3304" w:type="pct"/>
            <w:tcBorders>
              <w:top w:val="outset" w:sz="6" w:space="0" w:color="auto"/>
              <w:left w:val="outset" w:sz="6" w:space="0" w:color="auto"/>
              <w:bottom w:val="outset" w:sz="6" w:space="0" w:color="auto"/>
              <w:right w:val="outset" w:sz="6" w:space="0" w:color="auto"/>
            </w:tcBorders>
            <w:hideMark/>
          </w:tcPr>
          <w:p w14:paraId="7102EF51" w14:textId="2F89E87A" w:rsidR="008C7F90" w:rsidRPr="00171C37" w:rsidRDefault="00CF0A15" w:rsidP="00D465E4">
            <w:pPr>
              <w:spacing w:after="0" w:line="240" w:lineRule="auto"/>
              <w:jc w:val="both"/>
              <w:rPr>
                <w:rFonts w:ascii="Times New Roman" w:hAnsi="Times New Roman"/>
                <w:sz w:val="24"/>
                <w:szCs w:val="24"/>
              </w:rPr>
            </w:pPr>
            <w:r w:rsidRPr="00171C37">
              <w:rPr>
                <w:rFonts w:ascii="Times New Roman" w:hAnsi="Times New Roman"/>
                <w:sz w:val="24"/>
                <w:szCs w:val="24"/>
              </w:rPr>
              <w:t>Pašlaik</w:t>
            </w:r>
            <w:r w:rsidR="00BB5043" w:rsidRPr="00171C37">
              <w:rPr>
                <w:rFonts w:ascii="Times New Roman" w:hAnsi="Times New Roman"/>
                <w:sz w:val="24"/>
                <w:szCs w:val="24"/>
              </w:rPr>
              <w:t xml:space="preserve"> augstskolu, koledžu,</w:t>
            </w:r>
            <w:r w:rsidR="008C7F90" w:rsidRPr="00171C37">
              <w:rPr>
                <w:rFonts w:ascii="Times New Roman" w:hAnsi="Times New Roman"/>
                <w:sz w:val="24"/>
                <w:szCs w:val="24"/>
              </w:rPr>
              <w:t xml:space="preserve"> studiju </w:t>
            </w:r>
            <w:r w:rsidR="00BB5043" w:rsidRPr="00171C37">
              <w:rPr>
                <w:rFonts w:ascii="Times New Roman" w:hAnsi="Times New Roman"/>
                <w:sz w:val="24"/>
                <w:szCs w:val="24"/>
              </w:rPr>
              <w:t>virzienu akreditācijas un studiju programmu licencēšanas izmaksas nosaka</w:t>
            </w:r>
            <w:r w:rsidR="008C7F90" w:rsidRPr="00171C37">
              <w:rPr>
                <w:rFonts w:ascii="Times New Roman" w:hAnsi="Times New Roman"/>
                <w:sz w:val="24"/>
                <w:szCs w:val="24"/>
              </w:rPr>
              <w:t xml:space="preserve"> </w:t>
            </w:r>
            <w:r w:rsidR="00BB5043" w:rsidRPr="00171C37">
              <w:rPr>
                <w:rFonts w:ascii="Times New Roman" w:hAnsi="Times New Roman"/>
                <w:sz w:val="24"/>
                <w:szCs w:val="24"/>
              </w:rPr>
              <w:t>Ministru kabineta 2013.gada 3.septembra noteikumi Nr.721</w:t>
            </w:r>
            <w:r w:rsidR="008C7F90" w:rsidRPr="00171C37">
              <w:rPr>
                <w:rFonts w:ascii="Times New Roman" w:hAnsi="Times New Roman"/>
                <w:sz w:val="24"/>
                <w:szCs w:val="24"/>
              </w:rPr>
              <w:t xml:space="preserve"> </w:t>
            </w:r>
            <w:r w:rsidR="00BB5043" w:rsidRPr="00171C37">
              <w:rPr>
                <w:rFonts w:ascii="Times New Roman" w:hAnsi="Times New Roman"/>
                <w:sz w:val="24"/>
                <w:szCs w:val="24"/>
              </w:rPr>
              <w:t>“Izglītības un zinātnes ministrijas maksas pakalpojumu cenrādis</w:t>
            </w:r>
            <w:r w:rsidR="004A5DE5">
              <w:rPr>
                <w:rFonts w:ascii="Times New Roman" w:hAnsi="Times New Roman"/>
                <w:sz w:val="24"/>
                <w:szCs w:val="24"/>
              </w:rPr>
              <w:t>.</w:t>
            </w:r>
            <w:r w:rsidR="00876451">
              <w:rPr>
                <w:rFonts w:ascii="Times New Roman" w:hAnsi="Times New Roman"/>
                <w:sz w:val="24"/>
                <w:szCs w:val="24"/>
              </w:rPr>
              <w:t xml:space="preserve"> Līdz ar </w:t>
            </w:r>
            <w:r w:rsidR="00F95042">
              <w:rPr>
                <w:rFonts w:ascii="Times New Roman" w:hAnsi="Times New Roman"/>
                <w:sz w:val="24"/>
                <w:szCs w:val="24"/>
              </w:rPr>
              <w:t xml:space="preserve">projekta stāšanos spēkā </w:t>
            </w:r>
            <w:r w:rsidR="00F95042" w:rsidRPr="00171C37">
              <w:rPr>
                <w:rFonts w:ascii="Times New Roman" w:hAnsi="Times New Roman"/>
                <w:sz w:val="24"/>
                <w:szCs w:val="24"/>
              </w:rPr>
              <w:t>Ministru kabineta 2013.gada 3.septembra noteikumi Nr.721 “Izglītības un zinātnes ministrijas maksas pakalpojumu cenrādis</w:t>
            </w:r>
            <w:r w:rsidR="00F95042">
              <w:rPr>
                <w:rFonts w:ascii="Times New Roman" w:hAnsi="Times New Roman"/>
                <w:sz w:val="24"/>
                <w:szCs w:val="24"/>
              </w:rPr>
              <w:t>” zaudēs spēku.</w:t>
            </w:r>
            <w:r w:rsidR="004A5DE5" w:rsidRPr="00171C37">
              <w:rPr>
                <w:rFonts w:ascii="Times New Roman" w:hAnsi="Times New Roman"/>
                <w:sz w:val="24"/>
                <w:szCs w:val="24"/>
              </w:rPr>
              <w:t xml:space="preserve"> </w:t>
            </w:r>
          </w:p>
          <w:p w14:paraId="18A3DF41" w14:textId="1ECCFD03" w:rsidR="00BB5043" w:rsidRPr="00171C37" w:rsidRDefault="00BB5043" w:rsidP="00D465E4">
            <w:pPr>
              <w:spacing w:after="0" w:line="240" w:lineRule="auto"/>
              <w:jc w:val="both"/>
              <w:rPr>
                <w:rFonts w:ascii="Times New Roman" w:hAnsi="Times New Roman"/>
                <w:sz w:val="24"/>
                <w:szCs w:val="24"/>
              </w:rPr>
            </w:pPr>
            <w:r w:rsidRPr="00171C37">
              <w:rPr>
                <w:rFonts w:ascii="Times New Roman" w:hAnsi="Times New Roman"/>
                <w:sz w:val="24"/>
                <w:szCs w:val="24"/>
              </w:rPr>
              <w:t>Grādu un profesionālo kvalifikāciju, kas Latvijā iegūtas pirms grādu un profesionālo kvalifikāciju piešķiršanas regulējuma spēkā stāšanās, pielīdzināšana līdz šim nebija maksas pakalpojums</w:t>
            </w:r>
            <w:r w:rsidR="00BD6649" w:rsidRPr="00171C37">
              <w:rPr>
                <w:rFonts w:ascii="Times New Roman" w:hAnsi="Times New Roman"/>
                <w:sz w:val="24"/>
                <w:szCs w:val="24"/>
              </w:rPr>
              <w:t>, taču Augstskolu likuma (2014.gada 17.decembra likuma “Grozījumi Augstskolu likumā” redakcijā) 59.panta ceturtā daļa paredz, ka minēto grādu un profesionālo kvalifikāciju pielīdzināšana ir maksas pakalpojums, savukārt Augstskolu likuma 85.panta ceturtā daļa paredz, ka ārvalstīs iegūt</w:t>
            </w:r>
            <w:r w:rsidR="00402CEA">
              <w:rPr>
                <w:rFonts w:ascii="Times New Roman" w:hAnsi="Times New Roman"/>
                <w:sz w:val="24"/>
                <w:szCs w:val="24"/>
              </w:rPr>
              <w:t xml:space="preserve">ā akadēmiskā grāda vai izglītības dokumenta ekspertīze </w:t>
            </w:r>
            <w:r w:rsidR="00BD6649" w:rsidRPr="00171C37">
              <w:rPr>
                <w:rFonts w:ascii="Times New Roman" w:hAnsi="Times New Roman"/>
                <w:sz w:val="24"/>
                <w:szCs w:val="24"/>
              </w:rPr>
              <w:t xml:space="preserve"> ir maksas pakalpojums.</w:t>
            </w:r>
          </w:p>
          <w:p w14:paraId="61B87895" w14:textId="0219DE01" w:rsidR="008C7F90" w:rsidRPr="00171C37" w:rsidRDefault="008C7F90" w:rsidP="00D465E4">
            <w:pPr>
              <w:spacing w:after="0" w:line="240" w:lineRule="auto"/>
              <w:jc w:val="both"/>
              <w:rPr>
                <w:rFonts w:ascii="Times New Roman" w:hAnsi="Times New Roman"/>
                <w:sz w:val="24"/>
                <w:szCs w:val="24"/>
              </w:rPr>
            </w:pPr>
            <w:r w:rsidRPr="00171C37">
              <w:rPr>
                <w:rFonts w:ascii="Times New Roman" w:hAnsi="Times New Roman"/>
                <w:sz w:val="24"/>
                <w:szCs w:val="24"/>
              </w:rPr>
              <w:lastRenderedPageBreak/>
              <w:t xml:space="preserve">2014.gada 17.decembrī pieņemts likums “Grozījumi Augstskolu likumā”, kas stāsies spēkā 2015.gada 1.jūlijā un paredzēs, </w:t>
            </w:r>
            <w:r w:rsidR="00BD6649" w:rsidRPr="00171C37">
              <w:rPr>
                <w:rFonts w:ascii="Times New Roman" w:hAnsi="Times New Roman"/>
                <w:sz w:val="24"/>
                <w:szCs w:val="24"/>
              </w:rPr>
              <w:t xml:space="preserve">ka </w:t>
            </w:r>
            <w:r w:rsidR="009D028B">
              <w:rPr>
                <w:rFonts w:ascii="Times New Roman" w:hAnsi="Times New Roman"/>
                <w:sz w:val="24"/>
                <w:szCs w:val="24"/>
              </w:rPr>
              <w:t xml:space="preserve">augstskolu un koledžu, kā arī </w:t>
            </w:r>
            <w:r w:rsidR="00BD6649" w:rsidRPr="00171C37">
              <w:rPr>
                <w:rFonts w:ascii="Times New Roman" w:hAnsi="Times New Roman"/>
                <w:sz w:val="24"/>
                <w:szCs w:val="24"/>
              </w:rPr>
              <w:t xml:space="preserve">studiju virzienu akreditāciju, studiju programmu licencēšanu un izglītības dokumentu pielīdzināšanu veic saskaņā ar </w:t>
            </w:r>
            <w:r w:rsidR="00742B82">
              <w:rPr>
                <w:rFonts w:ascii="Times New Roman" w:hAnsi="Times New Roman"/>
                <w:sz w:val="24"/>
                <w:szCs w:val="24"/>
              </w:rPr>
              <w:t>nodibinājuma “</w:t>
            </w:r>
            <w:r w:rsidR="00BD6649" w:rsidRPr="00171C37">
              <w:rPr>
                <w:rFonts w:ascii="Times New Roman" w:hAnsi="Times New Roman"/>
                <w:sz w:val="24"/>
                <w:szCs w:val="24"/>
              </w:rPr>
              <w:t>Akadēmiskās informācijas centr</w:t>
            </w:r>
            <w:r w:rsidR="00742B82">
              <w:rPr>
                <w:rFonts w:ascii="Times New Roman" w:hAnsi="Times New Roman"/>
                <w:sz w:val="24"/>
                <w:szCs w:val="24"/>
              </w:rPr>
              <w:t>s”</w:t>
            </w:r>
            <w:r w:rsidR="0090029B">
              <w:rPr>
                <w:rFonts w:ascii="Times New Roman" w:hAnsi="Times New Roman"/>
                <w:sz w:val="24"/>
                <w:szCs w:val="24"/>
              </w:rPr>
              <w:t xml:space="preserve"> (turpmāk – AIC)</w:t>
            </w:r>
            <w:r w:rsidR="00BD6649" w:rsidRPr="00171C37">
              <w:rPr>
                <w:rFonts w:ascii="Times New Roman" w:hAnsi="Times New Roman"/>
                <w:sz w:val="24"/>
                <w:szCs w:val="24"/>
              </w:rPr>
              <w:t xml:space="preserve"> maksas pakalpojumu cenrādi</w:t>
            </w:r>
            <w:r w:rsidRPr="00171C37">
              <w:rPr>
                <w:rFonts w:ascii="Times New Roman" w:hAnsi="Times New Roman"/>
                <w:sz w:val="24"/>
                <w:szCs w:val="24"/>
              </w:rPr>
              <w:t>.</w:t>
            </w:r>
          </w:p>
          <w:p w14:paraId="7CF6E044" w14:textId="4919330F" w:rsidR="00D933B0" w:rsidRPr="00171C37" w:rsidRDefault="008C7F90"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Lai 2015.gada 1.jūlijā </w:t>
            </w:r>
            <w:r w:rsidR="0090029B">
              <w:rPr>
                <w:rFonts w:ascii="Times New Roman" w:hAnsi="Times New Roman"/>
                <w:sz w:val="24"/>
                <w:szCs w:val="24"/>
              </w:rPr>
              <w:t>AIC</w:t>
            </w:r>
            <w:r w:rsidRPr="00171C37">
              <w:rPr>
                <w:rFonts w:ascii="Times New Roman" w:hAnsi="Times New Roman"/>
                <w:sz w:val="24"/>
                <w:szCs w:val="24"/>
              </w:rPr>
              <w:t xml:space="preserve"> varētu organizēt </w:t>
            </w:r>
            <w:r w:rsidR="009D028B">
              <w:rPr>
                <w:rFonts w:ascii="Times New Roman" w:hAnsi="Times New Roman"/>
                <w:sz w:val="24"/>
                <w:szCs w:val="24"/>
              </w:rPr>
              <w:t>augstskolu un koledžu, kā arī</w:t>
            </w:r>
            <w:r w:rsidRPr="00171C37">
              <w:rPr>
                <w:rFonts w:ascii="Times New Roman" w:hAnsi="Times New Roman"/>
                <w:sz w:val="24"/>
                <w:szCs w:val="24"/>
              </w:rPr>
              <w:t xml:space="preserve"> studiju virzienu akreditāciju</w:t>
            </w:r>
            <w:r w:rsidR="00BD6649" w:rsidRPr="00171C37">
              <w:rPr>
                <w:rFonts w:ascii="Times New Roman" w:hAnsi="Times New Roman"/>
                <w:sz w:val="24"/>
                <w:szCs w:val="24"/>
              </w:rPr>
              <w:t>, studiju programmu licencēšanu un izglītības dokumentu pielīdzināšanu par maksu</w:t>
            </w:r>
            <w:r w:rsidRPr="00171C37">
              <w:rPr>
                <w:rFonts w:ascii="Times New Roman" w:hAnsi="Times New Roman"/>
                <w:sz w:val="24"/>
                <w:szCs w:val="24"/>
              </w:rPr>
              <w:t>, nepieciešams izstrādāt jaunus Ministr</w:t>
            </w:r>
            <w:r w:rsidR="00BD6649" w:rsidRPr="00171C37">
              <w:rPr>
                <w:rFonts w:ascii="Times New Roman" w:hAnsi="Times New Roman"/>
                <w:sz w:val="24"/>
                <w:szCs w:val="24"/>
              </w:rPr>
              <w:t xml:space="preserve">u kabineta noteikumus, kuri regulēs </w:t>
            </w:r>
            <w:r w:rsidR="00023814">
              <w:rPr>
                <w:rFonts w:ascii="Times New Roman" w:hAnsi="Times New Roman"/>
                <w:sz w:val="24"/>
                <w:szCs w:val="24"/>
              </w:rPr>
              <w:t>AIC</w:t>
            </w:r>
            <w:r w:rsidR="00BD6649" w:rsidRPr="00171C37">
              <w:rPr>
                <w:rFonts w:ascii="Times New Roman" w:hAnsi="Times New Roman"/>
                <w:sz w:val="24"/>
                <w:szCs w:val="24"/>
              </w:rPr>
              <w:t xml:space="preserve"> </w:t>
            </w:r>
            <w:r w:rsidR="00B05007" w:rsidRPr="00171C37">
              <w:rPr>
                <w:rFonts w:ascii="Times New Roman" w:hAnsi="Times New Roman"/>
                <w:sz w:val="24"/>
                <w:szCs w:val="24"/>
              </w:rPr>
              <w:t xml:space="preserve">sniegto </w:t>
            </w:r>
            <w:r w:rsidR="00BD6649" w:rsidRPr="00171C37">
              <w:rPr>
                <w:rFonts w:ascii="Times New Roman" w:hAnsi="Times New Roman"/>
                <w:sz w:val="24"/>
                <w:szCs w:val="24"/>
              </w:rPr>
              <w:t>maksas pakalpojumu apmēru</w:t>
            </w:r>
            <w:r w:rsidRPr="00171C37">
              <w:rPr>
                <w:rFonts w:ascii="Times New Roman" w:hAnsi="Times New Roman"/>
                <w:sz w:val="24"/>
                <w:szCs w:val="24"/>
              </w:rPr>
              <w:t>.</w:t>
            </w:r>
          </w:p>
          <w:p w14:paraId="26067F60" w14:textId="7188E932" w:rsidR="00BD6649" w:rsidRPr="00171C37" w:rsidRDefault="00BD6649"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Saskaņā ar Ministru kabineta noteikumu projektu par </w:t>
            </w:r>
            <w:r w:rsidR="009D028B">
              <w:rPr>
                <w:rFonts w:ascii="Times New Roman" w:hAnsi="Times New Roman"/>
                <w:sz w:val="24"/>
                <w:szCs w:val="24"/>
              </w:rPr>
              <w:t>augstskolu, koledžu</w:t>
            </w:r>
            <w:r w:rsidR="009D028B" w:rsidRPr="00171C37">
              <w:rPr>
                <w:rFonts w:ascii="Times New Roman" w:hAnsi="Times New Roman"/>
                <w:sz w:val="24"/>
                <w:szCs w:val="24"/>
              </w:rPr>
              <w:t xml:space="preserve"> </w:t>
            </w:r>
            <w:r w:rsidRPr="00171C37">
              <w:rPr>
                <w:rFonts w:ascii="Times New Roman" w:hAnsi="Times New Roman"/>
                <w:sz w:val="24"/>
                <w:szCs w:val="24"/>
              </w:rPr>
              <w:t xml:space="preserve">un studiju virzienu akreditāciju, lai novērtētu </w:t>
            </w:r>
            <w:r w:rsidR="009D028B">
              <w:rPr>
                <w:rFonts w:ascii="Times New Roman" w:hAnsi="Times New Roman"/>
                <w:sz w:val="24"/>
                <w:szCs w:val="24"/>
              </w:rPr>
              <w:t>augstskolu vai koledžu</w:t>
            </w:r>
            <w:r w:rsidR="008479BB">
              <w:rPr>
                <w:rFonts w:ascii="Times New Roman" w:hAnsi="Times New Roman"/>
                <w:sz w:val="24"/>
                <w:szCs w:val="24"/>
              </w:rPr>
              <w:t>,</w:t>
            </w:r>
            <w:r w:rsidR="009D028B" w:rsidRPr="00171C37">
              <w:rPr>
                <w:rFonts w:ascii="Times New Roman" w:hAnsi="Times New Roman"/>
                <w:sz w:val="24"/>
                <w:szCs w:val="24"/>
              </w:rPr>
              <w:t xml:space="preserve"> </w:t>
            </w:r>
            <w:r w:rsidRPr="00171C37">
              <w:rPr>
                <w:rFonts w:ascii="Times New Roman" w:hAnsi="Times New Roman"/>
                <w:sz w:val="24"/>
                <w:szCs w:val="24"/>
              </w:rPr>
              <w:t>tiek izveidota un apstiprināta augstskolas vai koledžas novērtēšanas komisija, kuras sastāvā iekļauj septiņus ekspertus, no kuriem vismaz divi eksperti ir no ārvalst</w:t>
            </w:r>
            <w:r w:rsidR="003152AF" w:rsidRPr="00171C37">
              <w:rPr>
                <w:rFonts w:ascii="Times New Roman" w:hAnsi="Times New Roman"/>
                <w:sz w:val="24"/>
                <w:szCs w:val="24"/>
              </w:rPr>
              <w:t>īm, un</w:t>
            </w:r>
            <w:r w:rsidR="00497987">
              <w:rPr>
                <w:rFonts w:ascii="Times New Roman" w:hAnsi="Times New Roman"/>
                <w:sz w:val="24"/>
                <w:szCs w:val="24"/>
              </w:rPr>
              <w:t>,</w:t>
            </w:r>
            <w:r w:rsidR="003152AF" w:rsidRPr="00171C37">
              <w:rPr>
                <w:rFonts w:ascii="Times New Roman" w:hAnsi="Times New Roman"/>
                <w:sz w:val="24"/>
                <w:szCs w:val="24"/>
              </w:rPr>
              <w:t xml:space="preserve"> lai novērtētu studiju virzienu tiek izveidota un apstiprināta studiju virziena novērtēšanas komisija, kuras sastāvā iekļauj piecus ekspertus, savukārt, lai novērtētu izmaiņas studiju virziena akreditācijas lapā un studiju virzienā, tiek apstiprināts viens eksperts.</w:t>
            </w:r>
          </w:p>
          <w:p w14:paraId="6251444A" w14:textId="6AEF25DC" w:rsidR="002D5095" w:rsidRPr="00171C37" w:rsidRDefault="002D5095"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Augstākās izglītības padome un Studiju akreditācijas komisija pieņem lēmumu, </w:t>
            </w:r>
            <w:r w:rsidR="00497987">
              <w:rPr>
                <w:rFonts w:ascii="Times New Roman" w:hAnsi="Times New Roman"/>
                <w:sz w:val="24"/>
                <w:szCs w:val="24"/>
              </w:rPr>
              <w:t xml:space="preserve">izmantojot </w:t>
            </w:r>
            <w:r w:rsidRPr="00171C37">
              <w:rPr>
                <w:rFonts w:ascii="Times New Roman" w:hAnsi="Times New Roman"/>
                <w:sz w:val="24"/>
                <w:szCs w:val="24"/>
              </w:rPr>
              <w:t xml:space="preserve">kā ar vienu no </w:t>
            </w:r>
            <w:r w:rsidR="00497987">
              <w:rPr>
                <w:rFonts w:ascii="Times New Roman" w:hAnsi="Times New Roman"/>
                <w:sz w:val="24"/>
                <w:szCs w:val="24"/>
              </w:rPr>
              <w:t xml:space="preserve">galvenajiem </w:t>
            </w:r>
            <w:r w:rsidRPr="00171C37">
              <w:rPr>
                <w:rFonts w:ascii="Times New Roman" w:hAnsi="Times New Roman"/>
                <w:sz w:val="24"/>
                <w:szCs w:val="24"/>
              </w:rPr>
              <w:t>informācijas</w:t>
            </w:r>
            <w:r w:rsidR="00FB4C35">
              <w:rPr>
                <w:rFonts w:ascii="Times New Roman" w:hAnsi="Times New Roman"/>
                <w:sz w:val="24"/>
                <w:szCs w:val="24"/>
              </w:rPr>
              <w:t xml:space="preserve"> </w:t>
            </w:r>
            <w:r w:rsidRPr="00171C37">
              <w:rPr>
                <w:rFonts w:ascii="Times New Roman" w:hAnsi="Times New Roman"/>
                <w:sz w:val="24"/>
                <w:szCs w:val="24"/>
              </w:rPr>
              <w:t xml:space="preserve"> avotiem</w:t>
            </w:r>
            <w:r w:rsidR="00FB4C35">
              <w:rPr>
                <w:rFonts w:ascii="Times New Roman" w:hAnsi="Times New Roman"/>
                <w:sz w:val="24"/>
                <w:szCs w:val="24"/>
              </w:rPr>
              <w:t xml:space="preserve"> augstskolu, koledžu</w:t>
            </w:r>
            <w:r w:rsidR="00FB4C35" w:rsidRPr="00171C37">
              <w:rPr>
                <w:rFonts w:ascii="Times New Roman" w:hAnsi="Times New Roman"/>
                <w:sz w:val="24"/>
                <w:szCs w:val="24"/>
              </w:rPr>
              <w:t xml:space="preserve"> un studiju</w:t>
            </w:r>
            <w:r w:rsidR="00FB4C35">
              <w:rPr>
                <w:rFonts w:ascii="Times New Roman" w:hAnsi="Times New Roman"/>
                <w:sz w:val="24"/>
                <w:szCs w:val="24"/>
              </w:rPr>
              <w:t xml:space="preserve"> virzienu novērtēšanas komisiju kopīgos atzinumus</w:t>
            </w:r>
            <w:r w:rsidR="00356919">
              <w:rPr>
                <w:rFonts w:ascii="Times New Roman" w:hAnsi="Times New Roman"/>
                <w:sz w:val="24"/>
                <w:szCs w:val="24"/>
              </w:rPr>
              <w:t>.</w:t>
            </w:r>
            <w:r w:rsidRPr="00171C37">
              <w:rPr>
                <w:rFonts w:ascii="Times New Roman" w:hAnsi="Times New Roman"/>
                <w:sz w:val="24"/>
                <w:szCs w:val="24"/>
              </w:rPr>
              <w:t xml:space="preserve">. Ņemot vērā, ka </w:t>
            </w:r>
            <w:r w:rsidR="009D028B">
              <w:rPr>
                <w:rFonts w:ascii="Times New Roman" w:hAnsi="Times New Roman"/>
                <w:sz w:val="24"/>
                <w:szCs w:val="24"/>
              </w:rPr>
              <w:t>augstskolu un koledžu</w:t>
            </w:r>
            <w:r w:rsidR="009D028B" w:rsidRPr="00171C37">
              <w:rPr>
                <w:rFonts w:ascii="Times New Roman" w:hAnsi="Times New Roman"/>
                <w:sz w:val="24"/>
                <w:szCs w:val="24"/>
              </w:rPr>
              <w:t xml:space="preserve"> </w:t>
            </w:r>
            <w:r w:rsidRPr="00171C37">
              <w:rPr>
                <w:rFonts w:ascii="Times New Roman" w:hAnsi="Times New Roman"/>
                <w:sz w:val="24"/>
                <w:szCs w:val="24"/>
              </w:rPr>
              <w:t xml:space="preserve">un to īstenoto studiju virzienu novērtēšanai ir nepieciešama informācija par </w:t>
            </w:r>
            <w:r w:rsidR="009D028B">
              <w:rPr>
                <w:rFonts w:ascii="Times New Roman" w:hAnsi="Times New Roman"/>
                <w:sz w:val="24"/>
                <w:szCs w:val="24"/>
              </w:rPr>
              <w:t>augstskolu un koledžu, kā arī</w:t>
            </w:r>
            <w:r w:rsidRPr="00171C37">
              <w:rPr>
                <w:rFonts w:ascii="Times New Roman" w:hAnsi="Times New Roman"/>
                <w:sz w:val="24"/>
                <w:szCs w:val="24"/>
              </w:rPr>
              <w:t xml:space="preserve"> to īstenotajiem studiju virzieniem, ir nepieciešams šo informāciju apkopot, apstrādāt, uzturēt un aktualizēt atbilstošās datu bāzēs.</w:t>
            </w:r>
          </w:p>
          <w:p w14:paraId="62B5B07C" w14:textId="2DF8987A" w:rsidR="00B05007" w:rsidRPr="00171C37" w:rsidRDefault="00B05007" w:rsidP="00D465E4">
            <w:pPr>
              <w:spacing w:after="0" w:line="240" w:lineRule="auto"/>
              <w:jc w:val="both"/>
              <w:rPr>
                <w:rFonts w:ascii="Times New Roman" w:hAnsi="Times New Roman"/>
                <w:sz w:val="24"/>
                <w:szCs w:val="24"/>
              </w:rPr>
            </w:pPr>
            <w:r w:rsidRPr="00171C37">
              <w:rPr>
                <w:rFonts w:ascii="Times New Roman" w:hAnsi="Times New Roman"/>
                <w:sz w:val="24"/>
                <w:szCs w:val="24"/>
              </w:rPr>
              <w:t>Saskaņā ar Ministru kabineta noteikumu projektu par studiju programmu licencēšanu, lai novērtētu studiju programmu</w:t>
            </w:r>
            <w:r w:rsidR="001F0710">
              <w:rPr>
                <w:rFonts w:ascii="Times New Roman" w:hAnsi="Times New Roman"/>
                <w:sz w:val="24"/>
                <w:szCs w:val="24"/>
              </w:rPr>
              <w:t>,</w:t>
            </w:r>
            <w:r w:rsidRPr="00171C37">
              <w:rPr>
                <w:rFonts w:ascii="Times New Roman" w:hAnsi="Times New Roman"/>
                <w:sz w:val="24"/>
                <w:szCs w:val="24"/>
              </w:rPr>
              <w:t xml:space="preserve"> tiek apstiprināti divi eksperti.</w:t>
            </w:r>
          </w:p>
          <w:p w14:paraId="6F406A92" w14:textId="015BF39A" w:rsidR="002D5095" w:rsidRPr="00171C37" w:rsidRDefault="002D5095"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Studiju programmu licencēšanas komisija pieņem lēmumu, </w:t>
            </w:r>
            <w:r w:rsidR="005730EA">
              <w:rPr>
                <w:rFonts w:ascii="Times New Roman" w:hAnsi="Times New Roman"/>
                <w:sz w:val="24"/>
                <w:szCs w:val="24"/>
              </w:rPr>
              <w:t>par</w:t>
            </w:r>
            <w:r w:rsidRPr="00171C37">
              <w:rPr>
                <w:rFonts w:ascii="Times New Roman" w:hAnsi="Times New Roman"/>
                <w:sz w:val="24"/>
                <w:szCs w:val="24"/>
              </w:rPr>
              <w:t xml:space="preserve"> vienu no</w:t>
            </w:r>
            <w:r w:rsidR="00F00509">
              <w:rPr>
                <w:rFonts w:ascii="Times New Roman" w:hAnsi="Times New Roman"/>
                <w:sz w:val="24"/>
                <w:szCs w:val="24"/>
              </w:rPr>
              <w:t xml:space="preserve"> galvenajiem</w:t>
            </w:r>
            <w:r w:rsidRPr="00171C37">
              <w:rPr>
                <w:rFonts w:ascii="Times New Roman" w:hAnsi="Times New Roman"/>
                <w:sz w:val="24"/>
                <w:szCs w:val="24"/>
              </w:rPr>
              <w:t xml:space="preserve"> informācijas avotiem </w:t>
            </w:r>
            <w:r w:rsidR="00F00509">
              <w:rPr>
                <w:rFonts w:ascii="Times New Roman" w:hAnsi="Times New Roman"/>
                <w:sz w:val="24"/>
                <w:szCs w:val="24"/>
              </w:rPr>
              <w:t>izmantojot</w:t>
            </w:r>
            <w:r w:rsidRPr="00171C37">
              <w:rPr>
                <w:rFonts w:ascii="Times New Roman" w:hAnsi="Times New Roman"/>
                <w:sz w:val="24"/>
                <w:szCs w:val="24"/>
              </w:rPr>
              <w:t xml:space="preserve"> ekspertu kopīgo atzinumu. Ņemot vērā to, ka studiju programmu novērtēšanai ir nepieciešama informācija par studiju programmām, ir nepieciešams šo informāciju apkopot, apstrādāt, uzturēt un aktualizēt atbilstošās datu bāzēs.</w:t>
            </w:r>
          </w:p>
          <w:p w14:paraId="154567F7" w14:textId="32FD0B36" w:rsidR="003152AF" w:rsidRPr="00171C37" w:rsidRDefault="003152AF"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Projekta mērķis ir ieviest </w:t>
            </w:r>
            <w:r w:rsidR="00023814">
              <w:rPr>
                <w:rFonts w:ascii="Times New Roman" w:hAnsi="Times New Roman"/>
                <w:sz w:val="24"/>
                <w:szCs w:val="24"/>
              </w:rPr>
              <w:t>AIC</w:t>
            </w:r>
            <w:r w:rsidRPr="00171C37">
              <w:rPr>
                <w:rFonts w:ascii="Times New Roman" w:hAnsi="Times New Roman"/>
                <w:sz w:val="24"/>
                <w:szCs w:val="24"/>
              </w:rPr>
              <w:t xml:space="preserve"> maksas pakalpojumu cenrādi par </w:t>
            </w:r>
            <w:r w:rsidR="009D028B">
              <w:rPr>
                <w:rFonts w:ascii="Times New Roman" w:hAnsi="Times New Roman"/>
                <w:sz w:val="24"/>
                <w:szCs w:val="24"/>
              </w:rPr>
              <w:t>augstskolu un koledžu, to</w:t>
            </w:r>
            <w:r w:rsidRPr="00171C37">
              <w:rPr>
                <w:rFonts w:ascii="Times New Roman" w:hAnsi="Times New Roman"/>
                <w:sz w:val="24"/>
                <w:szCs w:val="24"/>
              </w:rPr>
              <w:t xml:space="preserve"> studiju virzienu un studiju programmu novērtēšanai nepieciešamo darbību nodrošināšanu, tai skaitā informācijas apkopošanu, iesniegto dokumentu datu apstrādi, atbilstošu datu bāzu uzturēšanu, to aktualizāciju un akreditācijai un licencēšanai nepieciešamo ekspertu darba samaksu, kā arī samaksu par izglītības dokumentu pielīdzināšanu, tai skaitā samaksu ekspertiem, darba organizāciju un </w:t>
            </w:r>
            <w:r w:rsidR="00B05007" w:rsidRPr="00171C37">
              <w:rPr>
                <w:rFonts w:ascii="Times New Roman" w:hAnsi="Times New Roman"/>
                <w:sz w:val="24"/>
                <w:szCs w:val="24"/>
              </w:rPr>
              <w:t>dokumentu sagatavošanu.</w:t>
            </w:r>
          </w:p>
          <w:p w14:paraId="22B22B33" w14:textId="3F9D1B75" w:rsidR="00B05007" w:rsidRDefault="0018443B"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Akreditācijas vai licencēšanas gadījumā tiek organizēta ekspertu vizīte </w:t>
            </w:r>
            <w:r w:rsidR="00DA5586">
              <w:rPr>
                <w:rFonts w:ascii="Times New Roman" w:hAnsi="Times New Roman"/>
                <w:sz w:val="24"/>
                <w:szCs w:val="24"/>
              </w:rPr>
              <w:t>augstskolā vai koledžā</w:t>
            </w:r>
            <w:r w:rsidR="00A66576">
              <w:rPr>
                <w:rFonts w:ascii="Times New Roman" w:hAnsi="Times New Roman"/>
                <w:sz w:val="24"/>
                <w:szCs w:val="24"/>
              </w:rPr>
              <w:t>.</w:t>
            </w:r>
            <w:r w:rsidRPr="00171C37">
              <w:rPr>
                <w:rFonts w:ascii="Times New Roman" w:hAnsi="Times New Roman"/>
                <w:sz w:val="24"/>
                <w:szCs w:val="24"/>
              </w:rPr>
              <w:t xml:space="preserve"> </w:t>
            </w:r>
            <w:r w:rsidR="00A66576">
              <w:rPr>
                <w:rFonts w:ascii="Times New Roman" w:hAnsi="Times New Roman"/>
                <w:sz w:val="24"/>
                <w:szCs w:val="24"/>
              </w:rPr>
              <w:t>A</w:t>
            </w:r>
            <w:r w:rsidRPr="00171C37">
              <w:rPr>
                <w:rFonts w:ascii="Times New Roman" w:hAnsi="Times New Roman"/>
                <w:sz w:val="24"/>
                <w:szCs w:val="24"/>
              </w:rPr>
              <w:t xml:space="preserve">tkarībā no </w:t>
            </w:r>
            <w:r w:rsidR="00DA5586">
              <w:rPr>
                <w:rFonts w:ascii="Times New Roman" w:hAnsi="Times New Roman"/>
                <w:sz w:val="24"/>
                <w:szCs w:val="24"/>
              </w:rPr>
              <w:t>augstskolas vai koledžas</w:t>
            </w:r>
            <w:r w:rsidR="00DA5586" w:rsidRPr="00171C37">
              <w:rPr>
                <w:rFonts w:ascii="Times New Roman" w:hAnsi="Times New Roman"/>
                <w:sz w:val="24"/>
                <w:szCs w:val="24"/>
              </w:rPr>
              <w:t xml:space="preserve"> </w:t>
            </w:r>
            <w:r w:rsidRPr="00171C37">
              <w:rPr>
                <w:rFonts w:ascii="Times New Roman" w:hAnsi="Times New Roman"/>
                <w:sz w:val="24"/>
                <w:szCs w:val="24"/>
              </w:rPr>
              <w:t>atrašanās vietas, kā arī</w:t>
            </w:r>
            <w:r w:rsidR="00A66576">
              <w:rPr>
                <w:rFonts w:ascii="Times New Roman" w:hAnsi="Times New Roman"/>
                <w:sz w:val="24"/>
                <w:szCs w:val="24"/>
              </w:rPr>
              <w:t>,</w:t>
            </w:r>
            <w:r w:rsidRPr="00171C37">
              <w:rPr>
                <w:rFonts w:ascii="Times New Roman" w:hAnsi="Times New Roman"/>
                <w:sz w:val="24"/>
                <w:szCs w:val="24"/>
              </w:rPr>
              <w:t xml:space="preserve"> ja eksperts ir ārvalstnieks, ekspertiem tiek nodrošināts transports un naktsmītne. Vizītes laikā eksperti iepazīstas ar faktiskajiem apstākļiem </w:t>
            </w:r>
            <w:r w:rsidR="00DA5586">
              <w:rPr>
                <w:rFonts w:ascii="Times New Roman" w:hAnsi="Times New Roman"/>
                <w:sz w:val="24"/>
                <w:szCs w:val="24"/>
              </w:rPr>
              <w:t>augstskolā vai koledža</w:t>
            </w:r>
            <w:r w:rsidRPr="00171C37">
              <w:rPr>
                <w:rFonts w:ascii="Times New Roman" w:hAnsi="Times New Roman"/>
                <w:sz w:val="24"/>
                <w:szCs w:val="24"/>
              </w:rPr>
              <w:t xml:space="preserve">, kā arī filiālēs, </w:t>
            </w:r>
            <w:r w:rsidRPr="00171C37">
              <w:rPr>
                <w:rFonts w:ascii="Times New Roman" w:hAnsi="Times New Roman"/>
                <w:sz w:val="24"/>
                <w:szCs w:val="24"/>
              </w:rPr>
              <w:lastRenderedPageBreak/>
              <w:t xml:space="preserve">tiekas ar </w:t>
            </w:r>
            <w:r w:rsidR="00DA5586">
              <w:rPr>
                <w:rFonts w:ascii="Times New Roman" w:hAnsi="Times New Roman"/>
                <w:sz w:val="24"/>
                <w:szCs w:val="24"/>
              </w:rPr>
              <w:t>augstskolas vai koledžas</w:t>
            </w:r>
            <w:r w:rsidR="00DA5586" w:rsidRPr="00171C37">
              <w:rPr>
                <w:rFonts w:ascii="Times New Roman" w:hAnsi="Times New Roman"/>
                <w:sz w:val="24"/>
                <w:szCs w:val="24"/>
              </w:rPr>
              <w:t xml:space="preserve"> </w:t>
            </w:r>
            <w:r w:rsidRPr="00171C37">
              <w:rPr>
                <w:rFonts w:ascii="Times New Roman" w:hAnsi="Times New Roman"/>
                <w:sz w:val="24"/>
                <w:szCs w:val="24"/>
              </w:rPr>
              <w:t xml:space="preserve">vadību, studentiem, darba devējiem un absolventiem. Pēc vienošanās ar </w:t>
            </w:r>
            <w:r w:rsidR="00DA5586">
              <w:rPr>
                <w:rFonts w:ascii="Times New Roman" w:hAnsi="Times New Roman"/>
                <w:sz w:val="24"/>
                <w:szCs w:val="24"/>
              </w:rPr>
              <w:t>augstskolu vai koledžu</w:t>
            </w:r>
            <w:r w:rsidR="00DA5586" w:rsidRPr="00171C37">
              <w:rPr>
                <w:rFonts w:ascii="Times New Roman" w:hAnsi="Times New Roman"/>
                <w:sz w:val="24"/>
                <w:szCs w:val="24"/>
              </w:rPr>
              <w:t xml:space="preserve"> </w:t>
            </w:r>
            <w:r w:rsidRPr="00171C37">
              <w:rPr>
                <w:rFonts w:ascii="Times New Roman" w:hAnsi="Times New Roman"/>
                <w:sz w:val="24"/>
                <w:szCs w:val="24"/>
              </w:rPr>
              <w:t xml:space="preserve">ekspertam tiek apmaksāti </w:t>
            </w:r>
            <w:r w:rsidR="005652E0" w:rsidRPr="00171C37">
              <w:rPr>
                <w:rFonts w:ascii="Times New Roman" w:hAnsi="Times New Roman"/>
                <w:sz w:val="24"/>
                <w:szCs w:val="24"/>
              </w:rPr>
              <w:t xml:space="preserve">vai nu </w:t>
            </w:r>
            <w:r w:rsidRPr="00171C37">
              <w:rPr>
                <w:rFonts w:ascii="Times New Roman" w:hAnsi="Times New Roman"/>
                <w:sz w:val="24"/>
                <w:szCs w:val="24"/>
              </w:rPr>
              <w:t>viņa faktiskie izdevumi par transportu un naktsmītni, vai arī eksperts tiek nodrošināts ar nepieciešamo transportu vai naktsmītni. Izdevumi ekspertiem tiek apmaksāti atbilstoši izdevīgākajai braukšanas un viesnīcu cenai.</w:t>
            </w:r>
          </w:p>
          <w:p w14:paraId="7958002D" w14:textId="61089F97" w:rsidR="00915876" w:rsidRPr="00171C37" w:rsidRDefault="00915876" w:rsidP="00D465E4">
            <w:pPr>
              <w:spacing w:after="0" w:line="240" w:lineRule="auto"/>
              <w:jc w:val="both"/>
              <w:rPr>
                <w:rFonts w:ascii="Times New Roman" w:hAnsi="Times New Roman"/>
                <w:sz w:val="24"/>
                <w:szCs w:val="24"/>
              </w:rPr>
            </w:pPr>
            <w:r>
              <w:rPr>
                <w:rFonts w:ascii="Times New Roman" w:hAnsi="Times New Roman"/>
                <w:sz w:val="24"/>
                <w:szCs w:val="24"/>
              </w:rPr>
              <w:t>Izdevumi ir aprēķināti</w:t>
            </w:r>
            <w:r w:rsidR="00AF54C3">
              <w:rPr>
                <w:rFonts w:ascii="Times New Roman" w:hAnsi="Times New Roman"/>
                <w:sz w:val="24"/>
                <w:szCs w:val="24"/>
              </w:rPr>
              <w:t xml:space="preserve"> atbilstoši pakalpojuma pašizmaksai un nodrošinot </w:t>
            </w:r>
            <w:r w:rsidR="00023814">
              <w:rPr>
                <w:rFonts w:ascii="Times New Roman" w:hAnsi="Times New Roman"/>
                <w:sz w:val="24"/>
                <w:szCs w:val="24"/>
              </w:rPr>
              <w:t>AIC</w:t>
            </w:r>
            <w:r w:rsidR="00AF54C3">
              <w:rPr>
                <w:rFonts w:ascii="Times New Roman" w:hAnsi="Times New Roman"/>
                <w:sz w:val="24"/>
                <w:szCs w:val="24"/>
              </w:rPr>
              <w:t xml:space="preserve"> pakalpojumu sniegšanas ilgtspēju.</w:t>
            </w:r>
            <w:r>
              <w:rPr>
                <w:rFonts w:ascii="Times New Roman" w:hAnsi="Times New Roman"/>
                <w:sz w:val="24"/>
                <w:szCs w:val="24"/>
              </w:rPr>
              <w:t xml:space="preserve"> </w:t>
            </w:r>
            <w:r w:rsidR="00AA050C">
              <w:rPr>
                <w:rFonts w:ascii="Times New Roman" w:hAnsi="Times New Roman"/>
                <w:sz w:val="24"/>
                <w:szCs w:val="24"/>
              </w:rPr>
              <w:t xml:space="preserve">Izmaksas ir aprēķinātas saskaņā ar </w:t>
            </w:r>
            <w:r w:rsidR="00DB4A4B">
              <w:rPr>
                <w:rFonts w:ascii="Times New Roman" w:hAnsi="Times New Roman"/>
                <w:sz w:val="24"/>
                <w:szCs w:val="24"/>
              </w:rPr>
              <w:t>šādiem aprēķiniem:</w:t>
            </w:r>
          </w:p>
          <w:p w14:paraId="28300D69" w14:textId="77777777" w:rsidR="008C37DB" w:rsidRPr="00171C37" w:rsidRDefault="008C37DB" w:rsidP="00D465E4">
            <w:pPr>
              <w:spacing w:after="0" w:line="240" w:lineRule="auto"/>
              <w:jc w:val="both"/>
              <w:rPr>
                <w:rFonts w:ascii="Times New Roman" w:hAnsi="Times New Roman"/>
                <w:sz w:val="24"/>
                <w:szCs w:val="24"/>
              </w:rPr>
            </w:pPr>
          </w:p>
          <w:p w14:paraId="567F2C5E" w14:textId="6AA25520" w:rsidR="008C37DB" w:rsidRPr="00171C37" w:rsidRDefault="008C37DB" w:rsidP="00D465E4">
            <w:pPr>
              <w:tabs>
                <w:tab w:val="left" w:pos="7371"/>
              </w:tabs>
              <w:spacing w:after="0" w:line="240" w:lineRule="auto"/>
              <w:jc w:val="both"/>
              <w:rPr>
                <w:rFonts w:ascii="Times New Roman" w:eastAsia="Times New Roman" w:hAnsi="Times New Roman"/>
                <w:b/>
                <w:i/>
                <w:sz w:val="24"/>
                <w:szCs w:val="24"/>
                <w:lang w:eastAsia="lv-LV"/>
              </w:rPr>
            </w:pPr>
            <w:r w:rsidRPr="00171C37">
              <w:rPr>
                <w:rFonts w:ascii="Times New Roman" w:eastAsia="Times New Roman" w:hAnsi="Times New Roman"/>
                <w:sz w:val="24"/>
                <w:szCs w:val="24"/>
                <w:lang w:eastAsia="lv-LV"/>
              </w:rPr>
              <w:t>1.  </w:t>
            </w:r>
            <w:r w:rsidRPr="00171C37">
              <w:rPr>
                <w:rFonts w:ascii="Times New Roman" w:eastAsia="Times New Roman" w:hAnsi="Times New Roman"/>
                <w:b/>
                <w:i/>
                <w:sz w:val="24"/>
                <w:szCs w:val="24"/>
                <w:lang w:eastAsia="lv-LV"/>
              </w:rPr>
              <w:t>Ārvalstīs iegūt</w:t>
            </w:r>
            <w:r w:rsidR="00BE61F3">
              <w:rPr>
                <w:rFonts w:ascii="Times New Roman" w:eastAsia="Times New Roman" w:hAnsi="Times New Roman"/>
                <w:b/>
                <w:i/>
                <w:sz w:val="24"/>
                <w:szCs w:val="24"/>
                <w:lang w:eastAsia="lv-LV"/>
              </w:rPr>
              <w:t>ā akadēmiskā grāda vai izglītības dokumenta ekspertīze</w:t>
            </w:r>
            <w:r w:rsidRPr="00171C37">
              <w:rPr>
                <w:rFonts w:ascii="Times New Roman" w:eastAsia="Times New Roman" w:hAnsi="Times New Roman"/>
                <w:b/>
                <w:i/>
                <w:sz w:val="24"/>
                <w:szCs w:val="24"/>
                <w:lang w:eastAsia="lv-LV"/>
              </w:rPr>
              <w:t>:</w:t>
            </w:r>
          </w:p>
          <w:p w14:paraId="67D5E6F7" w14:textId="77777777" w:rsidR="008C37DB" w:rsidRPr="00171C37" w:rsidRDefault="008C37DB" w:rsidP="00D465E4">
            <w:pPr>
              <w:tabs>
                <w:tab w:val="left" w:pos="7371"/>
              </w:tabs>
              <w:spacing w:after="0" w:line="240" w:lineRule="auto"/>
              <w:jc w:val="both"/>
              <w:rPr>
                <w:rFonts w:ascii="Times New Roman" w:eastAsia="Times New Roman" w:hAnsi="Times New Roman"/>
                <w:sz w:val="24"/>
                <w:szCs w:val="24"/>
                <w:lang w:eastAsia="lv-LV"/>
              </w:rPr>
            </w:pPr>
          </w:p>
          <w:p w14:paraId="140A8340" w14:textId="1DF798DE" w:rsidR="008C37DB" w:rsidRPr="00171C37" w:rsidRDefault="008C37DB" w:rsidP="00D465E4">
            <w:pPr>
              <w:tabs>
                <w:tab w:val="left" w:pos="7371"/>
              </w:tabs>
              <w:spacing w:after="0" w:line="240" w:lineRule="auto"/>
              <w:jc w:val="both"/>
              <w:rPr>
                <w:rFonts w:ascii="Times New Roman" w:hAnsi="Times New Roman"/>
                <w:bCs/>
                <w:sz w:val="24"/>
                <w:szCs w:val="24"/>
              </w:rPr>
            </w:pPr>
            <w:r w:rsidRPr="00171C37">
              <w:rPr>
                <w:rFonts w:ascii="Times New Roman" w:hAnsi="Times New Roman"/>
                <w:sz w:val="24"/>
                <w:szCs w:val="24"/>
              </w:rPr>
              <w:t xml:space="preserve"> Viena </w:t>
            </w:r>
            <w:r w:rsidRPr="00171C37">
              <w:rPr>
                <w:rFonts w:ascii="Times New Roman" w:eastAsia="Times New Roman" w:hAnsi="Times New Roman"/>
                <w:sz w:val="24"/>
                <w:szCs w:val="24"/>
                <w:lang w:eastAsia="lv-LV"/>
              </w:rPr>
              <w:t>ārvalstīs iegūt</w:t>
            </w:r>
            <w:r w:rsidR="00BE61F3">
              <w:rPr>
                <w:rFonts w:ascii="Times New Roman" w:eastAsia="Times New Roman" w:hAnsi="Times New Roman"/>
                <w:sz w:val="24"/>
                <w:szCs w:val="24"/>
                <w:lang w:eastAsia="lv-LV"/>
              </w:rPr>
              <w:t xml:space="preserve">ā akadēmiskā grāda vai </w:t>
            </w:r>
            <w:r w:rsidRPr="00171C37">
              <w:rPr>
                <w:rFonts w:ascii="Times New Roman" w:eastAsia="Times New Roman" w:hAnsi="Times New Roman"/>
                <w:b/>
                <w:i/>
                <w:sz w:val="24"/>
                <w:szCs w:val="24"/>
                <w:lang w:eastAsia="lv-LV"/>
              </w:rPr>
              <w:t xml:space="preserve"> </w:t>
            </w:r>
            <w:r w:rsidRPr="00171C37">
              <w:rPr>
                <w:rFonts w:ascii="Times New Roman" w:hAnsi="Times New Roman"/>
                <w:iCs/>
                <w:sz w:val="24"/>
                <w:szCs w:val="24"/>
              </w:rPr>
              <w:t xml:space="preserve">izglītības dokumenta </w:t>
            </w:r>
            <w:r w:rsidR="00BE61F3">
              <w:rPr>
                <w:rFonts w:ascii="Times New Roman" w:hAnsi="Times New Roman"/>
                <w:iCs/>
                <w:sz w:val="24"/>
                <w:szCs w:val="24"/>
              </w:rPr>
              <w:t>ekspertīze</w:t>
            </w:r>
            <w:r w:rsidRPr="00171C37">
              <w:rPr>
                <w:rFonts w:ascii="Times New Roman" w:hAnsi="Times New Roman"/>
                <w:iCs/>
                <w:sz w:val="24"/>
                <w:szCs w:val="24"/>
              </w:rPr>
              <w:t xml:space="preserve"> un</w:t>
            </w:r>
            <w:r w:rsidRPr="00171C37">
              <w:rPr>
                <w:rFonts w:ascii="Times New Roman" w:hAnsi="Times New Roman"/>
                <w:sz w:val="24"/>
                <w:szCs w:val="24"/>
              </w:rPr>
              <w:t xml:space="preserve"> izziņas sagatavošana:</w:t>
            </w:r>
            <w:r w:rsidRPr="00171C37">
              <w:rPr>
                <w:rFonts w:ascii="Times New Roman" w:hAnsi="Times New Roman"/>
                <w:b/>
                <w:sz w:val="24"/>
                <w:szCs w:val="24"/>
              </w:rPr>
              <w:t xml:space="preserve"> 49,61 </w:t>
            </w:r>
            <w:proofErr w:type="spellStart"/>
            <w:r w:rsidR="009C7ABE" w:rsidRPr="00644DAD">
              <w:rPr>
                <w:rFonts w:ascii="Times New Roman" w:hAnsi="Times New Roman"/>
                <w:i/>
                <w:sz w:val="24"/>
                <w:szCs w:val="24"/>
              </w:rPr>
              <w:t>euro</w:t>
            </w:r>
            <w:proofErr w:type="spellEnd"/>
            <w:r w:rsidR="00D465E4">
              <w:rPr>
                <w:rFonts w:ascii="Times New Roman" w:hAnsi="Times New Roman"/>
                <w:i/>
                <w:sz w:val="24"/>
                <w:szCs w:val="24"/>
              </w:rPr>
              <w:t>.</w:t>
            </w:r>
            <w:r w:rsidRPr="00171C37">
              <w:rPr>
                <w:rFonts w:ascii="Times New Roman" w:hAnsi="Times New Roman"/>
                <w:b/>
                <w:bCs/>
                <w:sz w:val="24"/>
                <w:szCs w:val="24"/>
              </w:rPr>
              <w:t xml:space="preserve"> </w:t>
            </w:r>
            <w:r w:rsidRPr="00171C37">
              <w:rPr>
                <w:rFonts w:ascii="Times New Roman" w:hAnsi="Times New Roman"/>
                <w:bCs/>
                <w:sz w:val="24"/>
                <w:szCs w:val="24"/>
              </w:rPr>
              <w:t>Izmaksas veido šādas pozīcijas:</w:t>
            </w:r>
          </w:p>
          <w:p w14:paraId="7259E8D7" w14:textId="2BE26E7D" w:rsidR="008C37DB" w:rsidRPr="00171C37" w:rsidRDefault="008C37DB" w:rsidP="00D465E4">
            <w:pPr>
              <w:tabs>
                <w:tab w:val="left" w:pos="7371"/>
              </w:tabs>
              <w:spacing w:after="0" w:line="240" w:lineRule="auto"/>
              <w:jc w:val="both"/>
              <w:rPr>
                <w:rFonts w:ascii="Times New Roman" w:hAnsi="Times New Roman"/>
                <w:b/>
                <w:sz w:val="24"/>
                <w:szCs w:val="24"/>
              </w:rPr>
            </w:pPr>
            <w:r w:rsidRPr="00171C37">
              <w:rPr>
                <w:rFonts w:ascii="Times New Roman" w:hAnsi="Times New Roman"/>
                <w:sz w:val="24"/>
                <w:szCs w:val="24"/>
              </w:rPr>
              <w:t xml:space="preserve">1.1. </w:t>
            </w:r>
            <w:proofErr w:type="spellStart"/>
            <w:r w:rsidRPr="00171C37">
              <w:rPr>
                <w:rFonts w:ascii="Times New Roman" w:hAnsi="Times New Roman"/>
                <w:sz w:val="24"/>
                <w:szCs w:val="24"/>
              </w:rPr>
              <w:t>diplomatzīšanas</w:t>
            </w:r>
            <w:proofErr w:type="spellEnd"/>
            <w:r w:rsidRPr="00171C37">
              <w:rPr>
                <w:rFonts w:ascii="Times New Roman" w:hAnsi="Times New Roman"/>
                <w:sz w:val="24"/>
                <w:szCs w:val="24"/>
              </w:rPr>
              <w:t xml:space="preserve"> ekspertu darba apmaksa </w:t>
            </w:r>
            <w:r w:rsidRPr="00171C37">
              <w:rPr>
                <w:rFonts w:ascii="Times New Roman" w:hAnsi="Times New Roman"/>
                <w:b/>
                <w:sz w:val="24"/>
                <w:szCs w:val="24"/>
              </w:rPr>
              <w:t xml:space="preserve">27,99 </w:t>
            </w:r>
            <w:proofErr w:type="spellStart"/>
            <w:r w:rsidR="009C7ABE" w:rsidRPr="00644DAD">
              <w:rPr>
                <w:rFonts w:ascii="Times New Roman" w:hAnsi="Times New Roman"/>
                <w:i/>
                <w:sz w:val="24"/>
                <w:szCs w:val="24"/>
              </w:rPr>
              <w:t>euro</w:t>
            </w:r>
            <w:proofErr w:type="spellEnd"/>
            <w:r w:rsidRPr="00171C37">
              <w:rPr>
                <w:rFonts w:ascii="Times New Roman" w:hAnsi="Times New Roman"/>
                <w:b/>
                <w:sz w:val="24"/>
                <w:szCs w:val="24"/>
              </w:rPr>
              <w:t xml:space="preserve"> </w:t>
            </w:r>
            <w:r w:rsidRPr="00171C37">
              <w:rPr>
                <w:rFonts w:ascii="Times New Roman" w:hAnsi="Times New Roman"/>
                <w:sz w:val="24"/>
                <w:szCs w:val="24"/>
              </w:rPr>
              <w:t xml:space="preserve">(8,43 </w:t>
            </w:r>
            <w:proofErr w:type="spellStart"/>
            <w:r w:rsidR="004C671E" w:rsidRPr="00644DAD">
              <w:rPr>
                <w:rFonts w:ascii="Times New Roman" w:hAnsi="Times New Roman"/>
                <w:i/>
                <w:sz w:val="24"/>
                <w:szCs w:val="24"/>
              </w:rPr>
              <w:t>euro</w:t>
            </w:r>
            <w:proofErr w:type="spellEnd"/>
            <w:r w:rsidR="004C671E" w:rsidRPr="00171C37">
              <w:rPr>
                <w:rFonts w:ascii="Times New Roman" w:hAnsi="Times New Roman"/>
                <w:sz w:val="24"/>
                <w:szCs w:val="24"/>
              </w:rPr>
              <w:t xml:space="preserve"> </w:t>
            </w:r>
            <w:bookmarkStart w:id="4" w:name="_GoBack"/>
            <w:bookmarkEnd w:id="4"/>
            <w:r w:rsidRPr="00171C37">
              <w:rPr>
                <w:rFonts w:ascii="Times New Roman" w:hAnsi="Times New Roman"/>
                <w:sz w:val="24"/>
                <w:szCs w:val="24"/>
              </w:rPr>
              <w:t>/stundā * 3,32 stundas (iepazīšanās ar dokumentiem, izvērtēšana, papildus informācijas meklēšana, izziņas sagatavošana)</w:t>
            </w:r>
            <w:r w:rsidRPr="00171C37">
              <w:rPr>
                <w:rFonts w:ascii="Times New Roman" w:hAnsi="Times New Roman"/>
                <w:b/>
                <w:sz w:val="24"/>
                <w:szCs w:val="24"/>
              </w:rPr>
              <w:t>;</w:t>
            </w:r>
          </w:p>
          <w:p w14:paraId="7E4681F4" w14:textId="7FDF07E1" w:rsidR="008C37DB" w:rsidRPr="00171C37" w:rsidRDefault="008C37DB" w:rsidP="00D465E4">
            <w:pPr>
              <w:tabs>
                <w:tab w:val="left" w:pos="7371"/>
              </w:tabs>
              <w:spacing w:after="0" w:line="240" w:lineRule="auto"/>
              <w:jc w:val="both"/>
              <w:rPr>
                <w:rFonts w:ascii="Times New Roman" w:hAnsi="Times New Roman"/>
                <w:b/>
                <w:sz w:val="24"/>
                <w:szCs w:val="24"/>
              </w:rPr>
            </w:pPr>
            <w:r w:rsidRPr="00171C37">
              <w:rPr>
                <w:rFonts w:ascii="Times New Roman" w:hAnsi="Times New Roman"/>
                <w:sz w:val="24"/>
                <w:szCs w:val="24"/>
              </w:rPr>
              <w:t xml:space="preserve">1.2. papīrs, druka </w:t>
            </w:r>
            <w:r w:rsidRPr="00171C37">
              <w:rPr>
                <w:rFonts w:ascii="Times New Roman" w:hAnsi="Times New Roman"/>
                <w:b/>
                <w:bCs/>
                <w:sz w:val="24"/>
                <w:szCs w:val="24"/>
              </w:rPr>
              <w:t xml:space="preserve">0,48 </w:t>
            </w:r>
            <w:proofErr w:type="spellStart"/>
            <w:r w:rsidR="009C7ABE" w:rsidRPr="00644DAD">
              <w:rPr>
                <w:rFonts w:ascii="Times New Roman" w:hAnsi="Times New Roman"/>
                <w:i/>
                <w:sz w:val="24"/>
                <w:szCs w:val="24"/>
              </w:rPr>
              <w:t>euro</w:t>
            </w:r>
            <w:proofErr w:type="spellEnd"/>
            <w:r w:rsidRPr="00171C37">
              <w:rPr>
                <w:rFonts w:ascii="Times New Roman" w:hAnsi="Times New Roman"/>
                <w:bCs/>
                <w:sz w:val="24"/>
                <w:szCs w:val="24"/>
              </w:rPr>
              <w:t>;</w:t>
            </w:r>
          </w:p>
          <w:p w14:paraId="71F46599" w14:textId="322F18BF" w:rsidR="008C37DB" w:rsidRPr="00171C37" w:rsidRDefault="008C37DB" w:rsidP="00D465E4">
            <w:pPr>
              <w:tabs>
                <w:tab w:val="left" w:pos="7371"/>
              </w:tabs>
              <w:spacing w:after="0" w:line="240" w:lineRule="auto"/>
              <w:jc w:val="both"/>
              <w:rPr>
                <w:rFonts w:ascii="Times New Roman" w:hAnsi="Times New Roman"/>
                <w:b/>
                <w:sz w:val="24"/>
                <w:szCs w:val="24"/>
              </w:rPr>
            </w:pPr>
            <w:r w:rsidRPr="00171C37">
              <w:rPr>
                <w:rFonts w:ascii="Times New Roman" w:hAnsi="Times New Roman"/>
                <w:sz w:val="24"/>
                <w:szCs w:val="24"/>
              </w:rPr>
              <w:t>1.3.  sekretāres – lietvedes darba apmaksa</w:t>
            </w:r>
            <w:r w:rsidR="005652E0">
              <w:rPr>
                <w:rFonts w:ascii="Times New Roman" w:hAnsi="Times New Roman"/>
                <w:sz w:val="24"/>
                <w:szCs w:val="24"/>
              </w:rPr>
              <w:t>:</w:t>
            </w:r>
            <w:r w:rsidRPr="00171C37">
              <w:rPr>
                <w:rFonts w:ascii="Times New Roman" w:hAnsi="Times New Roman"/>
                <w:sz w:val="24"/>
                <w:szCs w:val="24"/>
              </w:rPr>
              <w:t xml:space="preserve"> </w:t>
            </w:r>
            <w:r w:rsidRPr="00171C37">
              <w:rPr>
                <w:rFonts w:ascii="Times New Roman" w:hAnsi="Times New Roman"/>
                <w:b/>
                <w:bCs/>
                <w:sz w:val="24"/>
                <w:szCs w:val="24"/>
              </w:rPr>
              <w:t xml:space="preserve">0,95 </w:t>
            </w:r>
            <w:proofErr w:type="spellStart"/>
            <w:r w:rsidR="009C7ABE" w:rsidRPr="00644DAD">
              <w:rPr>
                <w:rFonts w:ascii="Times New Roman" w:hAnsi="Times New Roman"/>
                <w:i/>
                <w:sz w:val="24"/>
                <w:szCs w:val="24"/>
              </w:rPr>
              <w:t>euro</w:t>
            </w:r>
            <w:proofErr w:type="spellEnd"/>
            <w:r w:rsidRPr="00171C37">
              <w:rPr>
                <w:rFonts w:ascii="Times New Roman" w:hAnsi="Times New Roman"/>
                <w:b/>
                <w:sz w:val="24"/>
                <w:szCs w:val="24"/>
              </w:rPr>
              <w:t xml:space="preserve"> </w:t>
            </w:r>
            <w:r w:rsidRPr="00171C37">
              <w:rPr>
                <w:rFonts w:ascii="Times New Roman" w:hAnsi="Times New Roman"/>
                <w:sz w:val="24"/>
                <w:szCs w:val="24"/>
              </w:rPr>
              <w:t xml:space="preserve">(5,57 </w:t>
            </w:r>
            <w:proofErr w:type="spellStart"/>
            <w:r w:rsidR="009C7ABE" w:rsidRPr="00644DAD">
              <w:rPr>
                <w:rFonts w:ascii="Times New Roman" w:hAnsi="Times New Roman"/>
                <w:i/>
                <w:sz w:val="24"/>
                <w:szCs w:val="24"/>
              </w:rPr>
              <w:t>euro</w:t>
            </w:r>
            <w:proofErr w:type="spellEnd"/>
            <w:r w:rsidR="009C7ABE" w:rsidRPr="00171C37" w:rsidDel="009C7ABE">
              <w:rPr>
                <w:rFonts w:ascii="Times New Roman" w:hAnsi="Times New Roman"/>
                <w:sz w:val="24"/>
                <w:szCs w:val="24"/>
              </w:rPr>
              <w:t xml:space="preserve"> </w:t>
            </w:r>
            <w:r w:rsidRPr="00171C37">
              <w:rPr>
                <w:rFonts w:ascii="Times New Roman" w:hAnsi="Times New Roman"/>
                <w:sz w:val="24"/>
                <w:szCs w:val="24"/>
              </w:rPr>
              <w:t>/stundā * 0,17 stundas (komunikācijas ar klientu, korespondences sagatavošana, dokumentu plūsmas pārvaldīšana);</w:t>
            </w:r>
          </w:p>
          <w:p w14:paraId="47EA9771" w14:textId="18AFB57E" w:rsidR="008C37DB" w:rsidRPr="00171C37" w:rsidRDefault="008C37DB" w:rsidP="00D465E4">
            <w:pPr>
              <w:tabs>
                <w:tab w:val="left" w:pos="7371"/>
              </w:tabs>
              <w:spacing w:after="0" w:line="240" w:lineRule="auto"/>
              <w:jc w:val="both"/>
              <w:rPr>
                <w:rFonts w:ascii="Times New Roman" w:hAnsi="Times New Roman"/>
                <w:b/>
                <w:sz w:val="24"/>
                <w:szCs w:val="24"/>
              </w:rPr>
            </w:pPr>
            <w:r w:rsidRPr="00171C37">
              <w:rPr>
                <w:rFonts w:ascii="Times New Roman" w:hAnsi="Times New Roman"/>
                <w:sz w:val="24"/>
                <w:szCs w:val="24"/>
              </w:rPr>
              <w:t xml:space="preserve">1.4. darba organizācija: </w:t>
            </w:r>
            <w:r w:rsidRPr="00171C37">
              <w:rPr>
                <w:rFonts w:ascii="Times New Roman" w:hAnsi="Times New Roman"/>
                <w:b/>
                <w:bCs/>
                <w:sz w:val="24"/>
                <w:szCs w:val="24"/>
              </w:rPr>
              <w:t xml:space="preserve">11,58 </w:t>
            </w:r>
            <w:proofErr w:type="spellStart"/>
            <w:r w:rsidR="009C7ABE" w:rsidRPr="00644DAD">
              <w:rPr>
                <w:rFonts w:ascii="Times New Roman" w:hAnsi="Times New Roman"/>
                <w:i/>
                <w:sz w:val="24"/>
                <w:szCs w:val="24"/>
              </w:rPr>
              <w:t>euro</w:t>
            </w:r>
            <w:proofErr w:type="spellEnd"/>
            <w:r w:rsidRPr="00171C37">
              <w:rPr>
                <w:rFonts w:ascii="Times New Roman" w:hAnsi="Times New Roman"/>
                <w:sz w:val="24"/>
                <w:szCs w:val="24"/>
              </w:rPr>
              <w:t xml:space="preserve"> (40% no 27,99+0,95 jeb tiešajām ar </w:t>
            </w:r>
            <w:proofErr w:type="spellStart"/>
            <w:r w:rsidRPr="00171C37">
              <w:rPr>
                <w:rFonts w:ascii="Times New Roman" w:hAnsi="Times New Roman"/>
                <w:sz w:val="24"/>
                <w:szCs w:val="24"/>
              </w:rPr>
              <w:t>diplomatzīšanas</w:t>
            </w:r>
            <w:proofErr w:type="spellEnd"/>
            <w:r w:rsidRPr="00171C37">
              <w:rPr>
                <w:rFonts w:ascii="Times New Roman" w:hAnsi="Times New Roman"/>
                <w:sz w:val="24"/>
                <w:szCs w:val="24"/>
              </w:rPr>
              <w:t xml:space="preserve"> izziņas sagatavošanu saistītajām izmaksām)</w:t>
            </w:r>
            <w:r w:rsidR="00BA7B96">
              <w:rPr>
                <w:rFonts w:ascii="Times New Roman" w:hAnsi="Times New Roman"/>
                <w:sz w:val="24"/>
                <w:szCs w:val="24"/>
              </w:rPr>
              <w:t>.</w:t>
            </w:r>
            <w:r w:rsidRPr="00171C37">
              <w:rPr>
                <w:rFonts w:ascii="Times New Roman" w:hAnsi="Times New Roman"/>
                <w:sz w:val="24"/>
                <w:szCs w:val="24"/>
              </w:rPr>
              <w:t xml:space="preserve"> Darba organizācijas izdevumos ietilpst: ekspertu darba organizēšanai un ekspertu informēšanai nepieciešamo informatīvo materiālu sagatavošana, līdzdalība starptautiskajās organizācijās</w:t>
            </w:r>
            <w:r w:rsidR="00BA7B96">
              <w:rPr>
                <w:rFonts w:ascii="Times New Roman" w:hAnsi="Times New Roman"/>
                <w:sz w:val="24"/>
                <w:szCs w:val="24"/>
              </w:rPr>
              <w:t>,</w:t>
            </w:r>
            <w:r w:rsidRPr="00171C37">
              <w:rPr>
                <w:rFonts w:ascii="Times New Roman" w:hAnsi="Times New Roman"/>
                <w:sz w:val="24"/>
                <w:szCs w:val="24"/>
              </w:rPr>
              <w:t xml:space="preserve"> saimnieciskie izdevumi informatīvās izziņas sagatavošanas organizēšanai (sakaru izdevumi (t.sk. pasta sūtījumi, telefons, fakss, internets), biroja telpas (t.sk. īre, apsaimniekošana, apkure), datoru un biroja tehnika utt.);</w:t>
            </w:r>
          </w:p>
          <w:p w14:paraId="0DC0A372" w14:textId="7A39AA09" w:rsidR="008C37DB"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1.5. pievienotās vērtības nodoklis </w:t>
            </w:r>
            <w:r w:rsidRPr="00171C37">
              <w:rPr>
                <w:rFonts w:ascii="Times New Roman" w:hAnsi="Times New Roman"/>
                <w:b/>
                <w:sz w:val="24"/>
                <w:szCs w:val="24"/>
              </w:rPr>
              <w:t xml:space="preserve">8.61 </w:t>
            </w:r>
            <w:proofErr w:type="spellStart"/>
            <w:r w:rsidR="00867271" w:rsidRPr="00644DAD">
              <w:rPr>
                <w:rFonts w:ascii="Times New Roman" w:hAnsi="Times New Roman"/>
                <w:i/>
                <w:sz w:val="24"/>
                <w:szCs w:val="24"/>
              </w:rPr>
              <w:t>euro</w:t>
            </w:r>
            <w:proofErr w:type="spellEnd"/>
            <w:r w:rsidRPr="00171C37">
              <w:rPr>
                <w:rFonts w:ascii="Times New Roman" w:hAnsi="Times New Roman"/>
                <w:b/>
                <w:sz w:val="24"/>
                <w:szCs w:val="24"/>
              </w:rPr>
              <w:t xml:space="preserve"> </w:t>
            </w:r>
            <w:r w:rsidR="007B568A">
              <w:rPr>
                <w:rFonts w:ascii="Times New Roman" w:hAnsi="Times New Roman"/>
                <w:b/>
                <w:sz w:val="24"/>
                <w:szCs w:val="24"/>
              </w:rPr>
              <w:t>(</w:t>
            </w:r>
            <w:r w:rsidRPr="00171C37">
              <w:rPr>
                <w:rFonts w:ascii="Times New Roman" w:hAnsi="Times New Roman"/>
                <w:sz w:val="24"/>
                <w:szCs w:val="24"/>
              </w:rPr>
              <w:t>21% no 27,99 + 0,48 + 0,95+11,58 =</w:t>
            </w:r>
            <w:r w:rsidRPr="00171C37">
              <w:rPr>
                <w:rFonts w:ascii="Times New Roman" w:hAnsi="Times New Roman"/>
                <w:bCs/>
                <w:sz w:val="24"/>
                <w:szCs w:val="24"/>
              </w:rPr>
              <w:t xml:space="preserve">41,00 </w:t>
            </w:r>
            <w:proofErr w:type="spellStart"/>
            <w:r w:rsidR="00867271" w:rsidRPr="00644DAD">
              <w:rPr>
                <w:rFonts w:ascii="Times New Roman" w:hAnsi="Times New Roman"/>
                <w:i/>
                <w:sz w:val="24"/>
                <w:szCs w:val="24"/>
              </w:rPr>
              <w:t>euro</w:t>
            </w:r>
            <w:proofErr w:type="spellEnd"/>
            <w:r w:rsidRPr="00171C37">
              <w:rPr>
                <w:rFonts w:ascii="Times New Roman" w:hAnsi="Times New Roman"/>
                <w:sz w:val="24"/>
                <w:szCs w:val="24"/>
              </w:rPr>
              <w:t>)</w:t>
            </w:r>
            <w:r w:rsidR="00BA7B96">
              <w:rPr>
                <w:rFonts w:ascii="Times New Roman" w:hAnsi="Times New Roman"/>
                <w:sz w:val="24"/>
                <w:szCs w:val="24"/>
              </w:rPr>
              <w:t>.</w:t>
            </w:r>
            <w:r w:rsidRPr="00171C37">
              <w:rPr>
                <w:rFonts w:ascii="Times New Roman" w:hAnsi="Times New Roman"/>
                <w:sz w:val="24"/>
                <w:szCs w:val="24"/>
              </w:rPr>
              <w:t xml:space="preserve"> </w:t>
            </w:r>
          </w:p>
          <w:p w14:paraId="136828F2" w14:textId="77777777" w:rsidR="00D465E4" w:rsidRPr="00171C37" w:rsidRDefault="00D465E4" w:rsidP="00D465E4">
            <w:pPr>
              <w:tabs>
                <w:tab w:val="left" w:pos="7371"/>
              </w:tabs>
              <w:spacing w:after="0" w:line="240" w:lineRule="auto"/>
              <w:jc w:val="both"/>
              <w:rPr>
                <w:rFonts w:ascii="Times New Roman" w:hAnsi="Times New Roman"/>
                <w:sz w:val="24"/>
                <w:szCs w:val="24"/>
              </w:rPr>
            </w:pPr>
          </w:p>
          <w:p w14:paraId="324AF447" w14:textId="64F5A9D7" w:rsidR="008C37DB" w:rsidRPr="00171C37" w:rsidRDefault="008C37DB" w:rsidP="00D465E4">
            <w:pPr>
              <w:tabs>
                <w:tab w:val="left" w:pos="7371"/>
              </w:tabs>
              <w:spacing w:after="0" w:line="240" w:lineRule="auto"/>
              <w:jc w:val="both"/>
              <w:rPr>
                <w:rFonts w:ascii="Times New Roman" w:hAnsi="Times New Roman"/>
                <w:b/>
                <w:i/>
                <w:sz w:val="24"/>
                <w:szCs w:val="24"/>
              </w:rPr>
            </w:pPr>
            <w:r w:rsidRPr="00171C37">
              <w:rPr>
                <w:rFonts w:ascii="Times New Roman" w:hAnsi="Times New Roman"/>
                <w:b/>
                <w:i/>
                <w:sz w:val="24"/>
                <w:szCs w:val="24"/>
              </w:rPr>
              <w:t>2. Grādu un profesionālo kvalifikāciju, kas Latvijā iegūtas pirms grādu un profesionālo kvalifikāciju piešķiršanas regulējuma spēkā stāšanās, pielīdzināšana.</w:t>
            </w:r>
          </w:p>
          <w:p w14:paraId="008A138D" w14:textId="77777777" w:rsidR="008C37DB" w:rsidRPr="00171C37" w:rsidRDefault="008C37DB" w:rsidP="00D465E4">
            <w:pPr>
              <w:tabs>
                <w:tab w:val="left" w:pos="7371"/>
              </w:tabs>
              <w:spacing w:after="0" w:line="240" w:lineRule="auto"/>
              <w:jc w:val="both"/>
              <w:rPr>
                <w:rFonts w:ascii="Times New Roman" w:hAnsi="Times New Roman"/>
                <w:b/>
                <w:i/>
                <w:sz w:val="24"/>
                <w:szCs w:val="24"/>
              </w:rPr>
            </w:pPr>
          </w:p>
          <w:p w14:paraId="4C1CADD6" w14:textId="53D5229D" w:rsidR="008C37DB" w:rsidRPr="005C34FC" w:rsidRDefault="008C37DB" w:rsidP="00D465E4">
            <w:pPr>
              <w:tabs>
                <w:tab w:val="left" w:pos="7371"/>
              </w:tabs>
              <w:spacing w:after="0" w:line="240" w:lineRule="auto"/>
              <w:jc w:val="both"/>
              <w:rPr>
                <w:rFonts w:ascii="Times New Roman" w:hAnsi="Times New Roman"/>
                <w:bCs/>
                <w:sz w:val="24"/>
                <w:szCs w:val="24"/>
              </w:rPr>
            </w:pPr>
            <w:r w:rsidRPr="00171C37">
              <w:rPr>
                <w:rFonts w:ascii="Times New Roman" w:hAnsi="Times New Roman"/>
                <w:sz w:val="24"/>
                <w:szCs w:val="24"/>
              </w:rPr>
              <w:t xml:space="preserve">Viena </w:t>
            </w:r>
            <w:r w:rsidRPr="00171C37">
              <w:rPr>
                <w:rFonts w:ascii="Times New Roman" w:hAnsi="Times New Roman"/>
                <w:iCs/>
                <w:sz w:val="24"/>
                <w:szCs w:val="24"/>
              </w:rPr>
              <w:t>izglītības dokumenta pielīdzināšana un</w:t>
            </w:r>
            <w:r w:rsidRPr="00171C37">
              <w:rPr>
                <w:rFonts w:ascii="Times New Roman" w:hAnsi="Times New Roman"/>
                <w:sz w:val="24"/>
                <w:szCs w:val="24"/>
              </w:rPr>
              <w:t xml:space="preserve"> izziņas sagatavošana: </w:t>
            </w:r>
            <w:r w:rsidRPr="005C34FC">
              <w:rPr>
                <w:rFonts w:ascii="Times New Roman" w:hAnsi="Times New Roman"/>
                <w:b/>
                <w:sz w:val="24"/>
                <w:szCs w:val="24"/>
              </w:rPr>
              <w:t xml:space="preserve">13,42 </w:t>
            </w:r>
            <w:proofErr w:type="spellStart"/>
            <w:r w:rsidR="00867271" w:rsidRPr="00644DAD">
              <w:rPr>
                <w:rFonts w:ascii="Times New Roman" w:hAnsi="Times New Roman"/>
                <w:i/>
                <w:sz w:val="24"/>
                <w:szCs w:val="24"/>
              </w:rPr>
              <w:t>euro</w:t>
            </w:r>
            <w:proofErr w:type="spellEnd"/>
            <w:r w:rsidR="00D465E4">
              <w:rPr>
                <w:rFonts w:ascii="Times New Roman" w:hAnsi="Times New Roman"/>
                <w:i/>
                <w:sz w:val="24"/>
                <w:szCs w:val="24"/>
              </w:rPr>
              <w:t>.</w:t>
            </w:r>
            <w:r w:rsidRPr="005C34FC">
              <w:rPr>
                <w:rFonts w:ascii="Times New Roman" w:hAnsi="Times New Roman"/>
                <w:b/>
                <w:sz w:val="24"/>
                <w:szCs w:val="24"/>
              </w:rPr>
              <w:t xml:space="preserve"> </w:t>
            </w:r>
            <w:r w:rsidRPr="005C34FC">
              <w:rPr>
                <w:rFonts w:ascii="Times New Roman" w:hAnsi="Times New Roman"/>
                <w:bCs/>
                <w:sz w:val="24"/>
                <w:szCs w:val="24"/>
              </w:rPr>
              <w:t>Izmaksas veido šādas pozīcijas:</w:t>
            </w:r>
          </w:p>
          <w:p w14:paraId="27A1991C" w14:textId="586153BF" w:rsidR="008C37DB" w:rsidRPr="005C34FC" w:rsidRDefault="008C37DB" w:rsidP="00D465E4">
            <w:pPr>
              <w:tabs>
                <w:tab w:val="left" w:pos="7371"/>
              </w:tabs>
              <w:spacing w:after="0" w:line="240" w:lineRule="auto"/>
              <w:jc w:val="both"/>
              <w:rPr>
                <w:rFonts w:ascii="Times New Roman" w:hAnsi="Times New Roman"/>
                <w:b/>
                <w:sz w:val="24"/>
                <w:szCs w:val="24"/>
              </w:rPr>
            </w:pPr>
            <w:r w:rsidRPr="005C34FC">
              <w:rPr>
                <w:rFonts w:ascii="Times New Roman" w:hAnsi="Times New Roman"/>
                <w:bCs/>
                <w:sz w:val="24"/>
                <w:szCs w:val="24"/>
              </w:rPr>
              <w:t xml:space="preserve">2.1. </w:t>
            </w:r>
            <w:proofErr w:type="spellStart"/>
            <w:r w:rsidRPr="005C34FC">
              <w:rPr>
                <w:rFonts w:ascii="Times New Roman" w:hAnsi="Times New Roman"/>
                <w:sz w:val="24"/>
                <w:szCs w:val="24"/>
              </w:rPr>
              <w:t>diplomatzīšanas</w:t>
            </w:r>
            <w:proofErr w:type="spellEnd"/>
            <w:r w:rsidRPr="005C34FC">
              <w:rPr>
                <w:rFonts w:ascii="Times New Roman" w:hAnsi="Times New Roman"/>
                <w:sz w:val="24"/>
                <w:szCs w:val="24"/>
              </w:rPr>
              <w:t xml:space="preserve"> ekspertu darba apmaksa </w:t>
            </w:r>
            <w:r w:rsidRPr="005C34FC">
              <w:rPr>
                <w:rFonts w:ascii="Times New Roman" w:hAnsi="Times New Roman"/>
                <w:b/>
                <w:sz w:val="24"/>
                <w:szCs w:val="24"/>
              </w:rPr>
              <w:t xml:space="preserve">6,74 </w:t>
            </w:r>
            <w:proofErr w:type="spellStart"/>
            <w:r w:rsidR="00867271" w:rsidRPr="00644DAD">
              <w:rPr>
                <w:rFonts w:ascii="Times New Roman" w:hAnsi="Times New Roman"/>
                <w:i/>
                <w:sz w:val="24"/>
                <w:szCs w:val="24"/>
              </w:rPr>
              <w:t>euro</w:t>
            </w:r>
            <w:proofErr w:type="spellEnd"/>
            <w:r w:rsidRPr="005C34FC">
              <w:rPr>
                <w:rFonts w:ascii="Times New Roman" w:hAnsi="Times New Roman"/>
                <w:b/>
                <w:sz w:val="24"/>
                <w:szCs w:val="24"/>
              </w:rPr>
              <w:t xml:space="preserve"> </w:t>
            </w:r>
            <w:r w:rsidRPr="005C34FC">
              <w:rPr>
                <w:rFonts w:ascii="Times New Roman" w:hAnsi="Times New Roman"/>
                <w:sz w:val="24"/>
                <w:szCs w:val="24"/>
              </w:rPr>
              <w:t xml:space="preserve">(8,43 </w:t>
            </w:r>
            <w:proofErr w:type="spellStart"/>
            <w:r w:rsidR="00C24085" w:rsidRPr="00644DAD">
              <w:rPr>
                <w:rFonts w:ascii="Times New Roman" w:hAnsi="Times New Roman"/>
                <w:i/>
                <w:sz w:val="24"/>
                <w:szCs w:val="24"/>
              </w:rPr>
              <w:t>euro</w:t>
            </w:r>
            <w:proofErr w:type="spellEnd"/>
            <w:r w:rsidR="00C24085" w:rsidRPr="005C34FC" w:rsidDel="00C24085">
              <w:rPr>
                <w:rFonts w:ascii="Times New Roman" w:hAnsi="Times New Roman"/>
                <w:sz w:val="24"/>
                <w:szCs w:val="24"/>
              </w:rPr>
              <w:t xml:space="preserve"> </w:t>
            </w:r>
            <w:r w:rsidRPr="005C34FC">
              <w:rPr>
                <w:rFonts w:ascii="Times New Roman" w:hAnsi="Times New Roman"/>
                <w:sz w:val="24"/>
                <w:szCs w:val="24"/>
              </w:rPr>
              <w:t>/stundā * 0,80 stundas (iepazīšanās ar dokumentiem, izvērtēšana, papildus informācijas meklēšana, izziņas sagatavošana))</w:t>
            </w:r>
            <w:r w:rsidRPr="00D465E4">
              <w:rPr>
                <w:rFonts w:ascii="Times New Roman" w:hAnsi="Times New Roman"/>
                <w:sz w:val="24"/>
                <w:szCs w:val="24"/>
              </w:rPr>
              <w:t>;</w:t>
            </w:r>
          </w:p>
          <w:p w14:paraId="7D7B94CC" w14:textId="28D6B701" w:rsidR="008C37DB" w:rsidRPr="00171C37" w:rsidRDefault="008C37DB" w:rsidP="00D465E4">
            <w:pPr>
              <w:tabs>
                <w:tab w:val="left" w:pos="7371"/>
              </w:tabs>
              <w:spacing w:after="0" w:line="240" w:lineRule="auto"/>
              <w:jc w:val="both"/>
              <w:rPr>
                <w:rFonts w:ascii="Times New Roman" w:hAnsi="Times New Roman"/>
                <w:bCs/>
                <w:sz w:val="24"/>
                <w:szCs w:val="24"/>
              </w:rPr>
            </w:pPr>
            <w:r w:rsidRPr="005C34FC">
              <w:rPr>
                <w:rFonts w:ascii="Times New Roman" w:hAnsi="Times New Roman"/>
                <w:sz w:val="24"/>
                <w:szCs w:val="24"/>
              </w:rPr>
              <w:t xml:space="preserve">2.2. papīrs, druka </w:t>
            </w:r>
            <w:r w:rsidRPr="005C34FC">
              <w:rPr>
                <w:rFonts w:ascii="Times New Roman" w:hAnsi="Times New Roman"/>
                <w:b/>
                <w:bCs/>
                <w:sz w:val="24"/>
                <w:szCs w:val="24"/>
              </w:rPr>
              <w:t xml:space="preserve">0,48 </w:t>
            </w:r>
            <w:proofErr w:type="spellStart"/>
            <w:r w:rsidR="00867271" w:rsidRPr="00644DAD">
              <w:rPr>
                <w:rFonts w:ascii="Times New Roman" w:hAnsi="Times New Roman"/>
                <w:i/>
                <w:sz w:val="24"/>
                <w:szCs w:val="24"/>
              </w:rPr>
              <w:t>euro</w:t>
            </w:r>
            <w:proofErr w:type="spellEnd"/>
            <w:r w:rsidRPr="00171C37">
              <w:rPr>
                <w:rFonts w:ascii="Times New Roman" w:hAnsi="Times New Roman"/>
                <w:bCs/>
                <w:sz w:val="24"/>
                <w:szCs w:val="24"/>
              </w:rPr>
              <w:t>;</w:t>
            </w:r>
          </w:p>
          <w:p w14:paraId="09084DD9" w14:textId="7B86EB2C"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bCs/>
                <w:sz w:val="24"/>
                <w:szCs w:val="24"/>
              </w:rPr>
              <w:t xml:space="preserve">2.3. </w:t>
            </w:r>
            <w:r w:rsidRPr="00171C37">
              <w:rPr>
                <w:rFonts w:ascii="Times New Roman" w:hAnsi="Times New Roman"/>
                <w:sz w:val="24"/>
                <w:szCs w:val="24"/>
              </w:rPr>
              <w:t xml:space="preserve">sekretāres – lietvedes darba apmaksa. </w:t>
            </w:r>
            <w:r w:rsidRPr="00171C37">
              <w:rPr>
                <w:rFonts w:ascii="Times New Roman" w:hAnsi="Times New Roman"/>
                <w:b/>
                <w:bCs/>
                <w:sz w:val="24"/>
                <w:szCs w:val="24"/>
              </w:rPr>
              <w:t xml:space="preserve">0,84 </w:t>
            </w:r>
            <w:proofErr w:type="spellStart"/>
            <w:r w:rsidR="00867271" w:rsidRPr="00644DAD">
              <w:rPr>
                <w:rFonts w:ascii="Times New Roman" w:hAnsi="Times New Roman"/>
                <w:i/>
                <w:sz w:val="24"/>
                <w:szCs w:val="24"/>
              </w:rPr>
              <w:t>euro</w:t>
            </w:r>
            <w:proofErr w:type="spellEnd"/>
            <w:r w:rsidRPr="00171C37">
              <w:rPr>
                <w:rFonts w:ascii="Times New Roman" w:hAnsi="Times New Roman"/>
                <w:b/>
                <w:bCs/>
                <w:sz w:val="24"/>
                <w:szCs w:val="24"/>
              </w:rPr>
              <w:t>.</w:t>
            </w:r>
            <w:r w:rsidRPr="00171C37">
              <w:rPr>
                <w:rFonts w:ascii="Times New Roman" w:hAnsi="Times New Roman"/>
                <w:b/>
                <w:sz w:val="24"/>
                <w:szCs w:val="24"/>
              </w:rPr>
              <w:t xml:space="preserve"> </w:t>
            </w:r>
            <w:r w:rsidRPr="00171C37">
              <w:rPr>
                <w:rFonts w:ascii="Times New Roman" w:hAnsi="Times New Roman"/>
                <w:sz w:val="24"/>
                <w:szCs w:val="24"/>
              </w:rPr>
              <w:t xml:space="preserve">(5,57 </w:t>
            </w:r>
            <w:proofErr w:type="spellStart"/>
            <w:r w:rsidR="003D11C4" w:rsidRPr="00644DAD">
              <w:rPr>
                <w:rFonts w:ascii="Times New Roman" w:hAnsi="Times New Roman"/>
                <w:i/>
                <w:sz w:val="24"/>
                <w:szCs w:val="24"/>
              </w:rPr>
              <w:t>euro</w:t>
            </w:r>
            <w:proofErr w:type="spellEnd"/>
            <w:r w:rsidR="003D11C4" w:rsidRPr="00171C37" w:rsidDel="003D11C4">
              <w:rPr>
                <w:rFonts w:ascii="Times New Roman" w:hAnsi="Times New Roman"/>
                <w:sz w:val="24"/>
                <w:szCs w:val="24"/>
              </w:rPr>
              <w:t xml:space="preserve"> </w:t>
            </w:r>
            <w:r w:rsidRPr="00171C37">
              <w:rPr>
                <w:rFonts w:ascii="Times New Roman" w:hAnsi="Times New Roman"/>
                <w:sz w:val="24"/>
                <w:szCs w:val="24"/>
              </w:rPr>
              <w:t>/stundā * 0,15 stundas (komunikācijas ar klientu, korespondences sagatavošana, dokumentu plūsmas pārvaldīšana);</w:t>
            </w:r>
          </w:p>
          <w:p w14:paraId="1E9F3B80" w14:textId="01F8EA61"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2.4. darba organizācija: </w:t>
            </w:r>
            <w:r w:rsidRPr="00171C37">
              <w:rPr>
                <w:rFonts w:ascii="Times New Roman" w:hAnsi="Times New Roman"/>
                <w:b/>
                <w:bCs/>
                <w:sz w:val="24"/>
                <w:szCs w:val="24"/>
              </w:rPr>
              <w:t xml:space="preserve">3,03 </w:t>
            </w:r>
            <w:proofErr w:type="spellStart"/>
            <w:r w:rsidR="00867271" w:rsidRPr="00644DAD">
              <w:rPr>
                <w:rFonts w:ascii="Times New Roman" w:hAnsi="Times New Roman"/>
                <w:i/>
                <w:sz w:val="24"/>
                <w:szCs w:val="24"/>
              </w:rPr>
              <w:t>euro</w:t>
            </w:r>
            <w:proofErr w:type="spellEnd"/>
            <w:r w:rsidRPr="00171C37">
              <w:rPr>
                <w:rFonts w:ascii="Times New Roman" w:hAnsi="Times New Roman"/>
                <w:sz w:val="24"/>
                <w:szCs w:val="24"/>
              </w:rPr>
              <w:t xml:space="preserve"> (40% no 6,74+0,84 jeb tiešajām ar </w:t>
            </w:r>
            <w:proofErr w:type="spellStart"/>
            <w:r w:rsidRPr="00171C37">
              <w:rPr>
                <w:rFonts w:ascii="Times New Roman" w:hAnsi="Times New Roman"/>
                <w:sz w:val="24"/>
                <w:szCs w:val="24"/>
              </w:rPr>
              <w:t>diplomatzīšanas</w:t>
            </w:r>
            <w:proofErr w:type="spellEnd"/>
            <w:r w:rsidRPr="00171C37">
              <w:rPr>
                <w:rFonts w:ascii="Times New Roman" w:hAnsi="Times New Roman"/>
                <w:sz w:val="24"/>
                <w:szCs w:val="24"/>
              </w:rPr>
              <w:t xml:space="preserve"> izziņas sagatavošanu saistītajām izmaksām) Darba organizācijas izdevumos ietilpst: ekspertu darba organizēšanai un </w:t>
            </w:r>
            <w:r w:rsidRPr="00171C37">
              <w:rPr>
                <w:rFonts w:ascii="Times New Roman" w:hAnsi="Times New Roman"/>
                <w:sz w:val="24"/>
                <w:szCs w:val="24"/>
              </w:rPr>
              <w:lastRenderedPageBreak/>
              <w:t>ekspertu informēšanai nepieciešamo informatīvo materiālu sagatavošana, līdzdalība starptautiskajās organizācijās; saimnieciskie izdevumi informatīvās izziņas sagatavošanas organizēšanai (sakaru izdevumi (t.sk. pasta sūtījumi, telefons, fakss, internets), biroja telpas (t.sk. īre, apsaimniekošana, apkure), datoru un biroja tehnika utt.);</w:t>
            </w:r>
          </w:p>
          <w:p w14:paraId="5DBA63C8" w14:textId="64945642" w:rsidR="008C37DB"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2.5. pievienotās vērtības </w:t>
            </w:r>
            <w:r w:rsidRPr="005C34FC">
              <w:rPr>
                <w:rFonts w:ascii="Times New Roman" w:hAnsi="Times New Roman"/>
                <w:sz w:val="24"/>
                <w:szCs w:val="24"/>
              </w:rPr>
              <w:t xml:space="preserve">nodoklis </w:t>
            </w:r>
            <w:r w:rsidRPr="005C34FC">
              <w:rPr>
                <w:rFonts w:ascii="Times New Roman" w:hAnsi="Times New Roman"/>
                <w:b/>
                <w:sz w:val="24"/>
                <w:szCs w:val="24"/>
              </w:rPr>
              <w:t xml:space="preserve">2,33 </w:t>
            </w:r>
            <w:proofErr w:type="spellStart"/>
            <w:r w:rsidR="00867271" w:rsidRPr="00644DAD">
              <w:rPr>
                <w:rFonts w:ascii="Times New Roman" w:hAnsi="Times New Roman"/>
                <w:i/>
                <w:sz w:val="24"/>
                <w:szCs w:val="24"/>
              </w:rPr>
              <w:t>euro</w:t>
            </w:r>
            <w:proofErr w:type="spellEnd"/>
            <w:r w:rsidRPr="00171C37">
              <w:rPr>
                <w:rFonts w:ascii="Times New Roman" w:hAnsi="Times New Roman"/>
                <w:b/>
                <w:sz w:val="24"/>
                <w:szCs w:val="24"/>
              </w:rPr>
              <w:t xml:space="preserve">; </w:t>
            </w:r>
            <w:r w:rsidRPr="00171C37">
              <w:rPr>
                <w:rFonts w:ascii="Times New Roman" w:hAnsi="Times New Roman"/>
                <w:sz w:val="24"/>
                <w:szCs w:val="24"/>
              </w:rPr>
              <w:t>21% (no 6,74 + 0,48 + 0,84+3,03)  =</w:t>
            </w:r>
            <w:r w:rsidRPr="00171C37">
              <w:rPr>
                <w:rFonts w:ascii="Times New Roman" w:hAnsi="Times New Roman"/>
                <w:bCs/>
                <w:sz w:val="24"/>
                <w:szCs w:val="24"/>
              </w:rPr>
              <w:t xml:space="preserve">11,09 </w:t>
            </w:r>
            <w:proofErr w:type="spellStart"/>
            <w:r w:rsidR="00867271" w:rsidRPr="00644DAD">
              <w:rPr>
                <w:rFonts w:ascii="Times New Roman" w:hAnsi="Times New Roman"/>
                <w:i/>
                <w:sz w:val="24"/>
                <w:szCs w:val="24"/>
              </w:rPr>
              <w:t>euro</w:t>
            </w:r>
            <w:proofErr w:type="spellEnd"/>
            <w:r w:rsidRPr="00171C37">
              <w:rPr>
                <w:rFonts w:ascii="Times New Roman" w:hAnsi="Times New Roman"/>
                <w:sz w:val="24"/>
                <w:szCs w:val="24"/>
              </w:rPr>
              <w:t>)</w:t>
            </w:r>
            <w:r w:rsidR="00A01456">
              <w:rPr>
                <w:rFonts w:ascii="Times New Roman" w:hAnsi="Times New Roman"/>
                <w:sz w:val="24"/>
                <w:szCs w:val="24"/>
              </w:rPr>
              <w:t>.</w:t>
            </w:r>
          </w:p>
          <w:p w14:paraId="664E5773" w14:textId="77777777" w:rsidR="00A01456" w:rsidRPr="00171C37" w:rsidRDefault="00A01456" w:rsidP="00D465E4">
            <w:pPr>
              <w:tabs>
                <w:tab w:val="left" w:pos="7371"/>
              </w:tabs>
              <w:spacing w:after="0" w:line="240" w:lineRule="auto"/>
              <w:jc w:val="both"/>
              <w:rPr>
                <w:rFonts w:ascii="Times New Roman" w:hAnsi="Times New Roman"/>
                <w:b/>
                <w:sz w:val="24"/>
                <w:szCs w:val="24"/>
              </w:rPr>
            </w:pPr>
          </w:p>
          <w:p w14:paraId="76801E1D" w14:textId="5696A7E3" w:rsidR="008C37DB" w:rsidRPr="00171C37" w:rsidRDefault="008C37DB" w:rsidP="00D465E4">
            <w:pPr>
              <w:tabs>
                <w:tab w:val="left" w:pos="7371"/>
              </w:tabs>
              <w:spacing w:after="0" w:line="240" w:lineRule="auto"/>
              <w:jc w:val="both"/>
              <w:rPr>
                <w:rFonts w:ascii="Times New Roman" w:eastAsia="Times New Roman" w:hAnsi="Times New Roman"/>
                <w:b/>
                <w:i/>
                <w:sz w:val="24"/>
                <w:szCs w:val="24"/>
                <w:lang w:eastAsia="lv-LV"/>
              </w:rPr>
            </w:pPr>
            <w:r w:rsidRPr="00171C37">
              <w:rPr>
                <w:rFonts w:ascii="Times New Roman" w:eastAsia="Times New Roman" w:hAnsi="Times New Roman"/>
                <w:b/>
                <w:i/>
                <w:sz w:val="24"/>
                <w:szCs w:val="24"/>
                <w:lang w:eastAsia="lv-LV"/>
              </w:rPr>
              <w:t xml:space="preserve">3. </w:t>
            </w:r>
            <w:r w:rsidR="00D72F08">
              <w:rPr>
                <w:rFonts w:ascii="Times New Roman" w:eastAsia="Times New Roman" w:hAnsi="Times New Roman"/>
                <w:b/>
                <w:i/>
                <w:sz w:val="24"/>
                <w:szCs w:val="24"/>
                <w:lang w:eastAsia="lv-LV"/>
              </w:rPr>
              <w:t>Augstskolas vai koledžas</w:t>
            </w:r>
            <w:r w:rsidRPr="00171C37">
              <w:rPr>
                <w:rFonts w:ascii="Times New Roman" w:eastAsia="Times New Roman" w:hAnsi="Times New Roman"/>
                <w:b/>
                <w:i/>
                <w:sz w:val="24"/>
                <w:szCs w:val="24"/>
                <w:lang w:eastAsia="lv-LV"/>
              </w:rPr>
              <w:t>,</w:t>
            </w:r>
            <w:r w:rsidR="00C77BF2">
              <w:rPr>
                <w:rFonts w:ascii="Times New Roman" w:eastAsia="Times New Roman" w:hAnsi="Times New Roman"/>
                <w:b/>
                <w:i/>
                <w:sz w:val="24"/>
                <w:szCs w:val="24"/>
                <w:lang w:eastAsia="lv-LV"/>
              </w:rPr>
              <w:t xml:space="preserve"> vai</w:t>
            </w:r>
            <w:r w:rsidRPr="00171C37">
              <w:rPr>
                <w:rFonts w:ascii="Times New Roman" w:eastAsia="Times New Roman" w:hAnsi="Times New Roman"/>
                <w:b/>
                <w:i/>
                <w:sz w:val="24"/>
                <w:szCs w:val="24"/>
                <w:lang w:eastAsia="lv-LV"/>
              </w:rPr>
              <w:t xml:space="preserve"> studiju virziena akreditācija, izmaiņu studiju virzienā novērtēšana vai studiju programmas licencēšana. </w:t>
            </w:r>
          </w:p>
          <w:p w14:paraId="2C10372C" w14:textId="77777777" w:rsidR="008C37DB" w:rsidRPr="00171C37" w:rsidRDefault="008C37DB" w:rsidP="00D465E4">
            <w:pPr>
              <w:tabs>
                <w:tab w:val="left" w:pos="7371"/>
              </w:tabs>
              <w:spacing w:after="0" w:line="240" w:lineRule="auto"/>
              <w:jc w:val="both"/>
              <w:rPr>
                <w:rFonts w:ascii="Times New Roman" w:eastAsia="Times New Roman" w:hAnsi="Times New Roman"/>
                <w:b/>
                <w:i/>
                <w:sz w:val="24"/>
                <w:szCs w:val="24"/>
                <w:lang w:eastAsia="lv-LV"/>
              </w:rPr>
            </w:pPr>
          </w:p>
          <w:p w14:paraId="6B28510D" w14:textId="2097CDEA" w:rsidR="008C37DB" w:rsidRDefault="00DA5586" w:rsidP="00D465E4">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Augstskolu vai koledžu,</w:t>
            </w:r>
            <w:r w:rsidR="008C37DB" w:rsidRPr="00171C37">
              <w:rPr>
                <w:rFonts w:ascii="Times New Roman" w:eastAsia="Times New Roman" w:hAnsi="Times New Roman"/>
                <w:sz w:val="24"/>
                <w:szCs w:val="24"/>
                <w:lang w:eastAsia="lv-LV"/>
              </w:rPr>
              <w:t xml:space="preserve"> vai studiju virziena akreditācijas, izmaiņu studiju virzienā novērtēšanas, kā arī studiju programmu licencēšanas izmaksas nosaka izdevumi, kas nepieciešami </w:t>
            </w:r>
            <w:r>
              <w:rPr>
                <w:rFonts w:ascii="Times New Roman" w:eastAsia="Times New Roman" w:hAnsi="Times New Roman"/>
                <w:sz w:val="24"/>
                <w:szCs w:val="24"/>
                <w:lang w:eastAsia="lv-LV"/>
              </w:rPr>
              <w:t>augstskolas un koledžas</w:t>
            </w:r>
            <w:r w:rsidRPr="00171C37">
              <w:rPr>
                <w:rFonts w:ascii="Times New Roman" w:eastAsia="Times New Roman" w:hAnsi="Times New Roman"/>
                <w:sz w:val="24"/>
                <w:szCs w:val="24"/>
                <w:lang w:eastAsia="lv-LV"/>
              </w:rPr>
              <w:t xml:space="preserve"> </w:t>
            </w:r>
            <w:r w:rsidR="008C37DB" w:rsidRPr="00171C37">
              <w:rPr>
                <w:rFonts w:ascii="Times New Roman" w:eastAsia="Times New Roman" w:hAnsi="Times New Roman"/>
                <w:sz w:val="24"/>
                <w:szCs w:val="24"/>
                <w:lang w:eastAsia="lv-LV"/>
              </w:rPr>
              <w:t xml:space="preserve">novērtēšanas un lēmuma pieņemšanas procesa kvalitatīvai organizācijai, kurai ir jābūt atbilstošai Ministru kabineta </w:t>
            </w:r>
            <w:r w:rsidR="009D6AA0">
              <w:rPr>
                <w:rFonts w:ascii="Times New Roman" w:eastAsia="Times New Roman" w:hAnsi="Times New Roman"/>
                <w:sz w:val="24"/>
                <w:szCs w:val="24"/>
                <w:lang w:eastAsia="lv-LV"/>
              </w:rPr>
              <w:t>n</w:t>
            </w:r>
            <w:r w:rsidR="008C37DB" w:rsidRPr="00171C37">
              <w:rPr>
                <w:rFonts w:ascii="Times New Roman" w:eastAsia="Times New Roman" w:hAnsi="Times New Roman"/>
                <w:sz w:val="24"/>
                <w:szCs w:val="24"/>
                <w:lang w:eastAsia="lv-LV"/>
              </w:rPr>
              <w:t>oteikumiem “Augstskolu, koledžu un studiju virzienu akreditācijas noteikumi”</w:t>
            </w:r>
            <w:r w:rsidR="009D6AA0">
              <w:rPr>
                <w:rFonts w:ascii="Times New Roman" w:eastAsia="Times New Roman" w:hAnsi="Times New Roman"/>
                <w:sz w:val="24"/>
                <w:szCs w:val="24"/>
                <w:lang w:eastAsia="lv-LV"/>
              </w:rPr>
              <w:t xml:space="preserve"> un</w:t>
            </w:r>
            <w:r w:rsidR="008C37DB" w:rsidRPr="00171C37">
              <w:rPr>
                <w:rFonts w:ascii="Times New Roman" w:eastAsia="Times New Roman" w:hAnsi="Times New Roman"/>
                <w:sz w:val="24"/>
                <w:szCs w:val="24"/>
                <w:lang w:eastAsia="lv-LV"/>
              </w:rPr>
              <w:t xml:space="preserve"> Ministru kabineta </w:t>
            </w:r>
            <w:r w:rsidR="007D491B">
              <w:rPr>
                <w:rFonts w:ascii="Times New Roman" w:eastAsia="Times New Roman" w:hAnsi="Times New Roman"/>
                <w:sz w:val="24"/>
                <w:szCs w:val="24"/>
                <w:lang w:eastAsia="lv-LV"/>
              </w:rPr>
              <w:t>n</w:t>
            </w:r>
            <w:r w:rsidR="008C37DB" w:rsidRPr="00171C37">
              <w:rPr>
                <w:rFonts w:ascii="Times New Roman" w:eastAsia="Times New Roman" w:hAnsi="Times New Roman"/>
                <w:sz w:val="24"/>
                <w:szCs w:val="24"/>
                <w:lang w:eastAsia="lv-LV"/>
              </w:rPr>
              <w:t>oteikumiem “Studiju programmu li</w:t>
            </w:r>
            <w:r w:rsidR="002D5DF6">
              <w:rPr>
                <w:rFonts w:ascii="Times New Roman" w:eastAsia="Times New Roman" w:hAnsi="Times New Roman"/>
                <w:sz w:val="24"/>
                <w:szCs w:val="24"/>
                <w:lang w:eastAsia="lv-LV"/>
              </w:rPr>
              <w:t>c</w:t>
            </w:r>
            <w:r w:rsidR="008C37DB" w:rsidRPr="00171C37">
              <w:rPr>
                <w:rFonts w:ascii="Times New Roman" w:eastAsia="Times New Roman" w:hAnsi="Times New Roman"/>
                <w:sz w:val="24"/>
                <w:szCs w:val="24"/>
                <w:lang w:eastAsia="lv-LV"/>
              </w:rPr>
              <w:t xml:space="preserve">encēšanas noteikumi, </w:t>
            </w:r>
            <w:r w:rsidR="009D6AA0">
              <w:rPr>
                <w:rFonts w:ascii="Times New Roman" w:eastAsia="Times New Roman" w:hAnsi="Times New Roman"/>
                <w:sz w:val="24"/>
                <w:szCs w:val="24"/>
                <w:lang w:eastAsia="lv-LV"/>
              </w:rPr>
              <w:t>kuri tiek izstrādāti un kuru projekts 2015.gada 23.aprīlī izsludināts Valsts sekretāru sanāksmē</w:t>
            </w:r>
            <w:r w:rsidR="00AB2B26">
              <w:rPr>
                <w:rFonts w:ascii="Times New Roman" w:eastAsia="Times New Roman" w:hAnsi="Times New Roman"/>
                <w:sz w:val="24"/>
                <w:szCs w:val="24"/>
                <w:lang w:eastAsia="lv-LV"/>
              </w:rPr>
              <w:t>,</w:t>
            </w:r>
            <w:r w:rsidR="009D6AA0">
              <w:rPr>
                <w:rFonts w:ascii="Times New Roman" w:eastAsia="Times New Roman" w:hAnsi="Times New Roman"/>
                <w:sz w:val="24"/>
                <w:szCs w:val="24"/>
                <w:lang w:eastAsia="lv-LV"/>
              </w:rPr>
              <w:t xml:space="preserve"> </w:t>
            </w:r>
            <w:r w:rsidR="008C37DB" w:rsidRPr="00171C37">
              <w:rPr>
                <w:rFonts w:ascii="Times New Roman" w:eastAsia="Times New Roman" w:hAnsi="Times New Roman"/>
                <w:sz w:val="24"/>
                <w:szCs w:val="24"/>
                <w:lang w:eastAsia="lv-LV"/>
              </w:rPr>
              <w:t xml:space="preserve">ievērojot </w:t>
            </w:r>
            <w:r w:rsidR="004D37D0" w:rsidRPr="004D37D0">
              <w:rPr>
                <w:rFonts w:ascii="Times New Roman" w:eastAsia="Times New Roman" w:hAnsi="Times New Roman"/>
                <w:sz w:val="24"/>
                <w:szCs w:val="24"/>
                <w:lang w:eastAsia="lv-LV"/>
              </w:rPr>
              <w:t>Eiropas asociācija</w:t>
            </w:r>
            <w:r w:rsidR="004D37D0">
              <w:rPr>
                <w:rFonts w:ascii="Times New Roman" w:eastAsia="Times New Roman" w:hAnsi="Times New Roman"/>
                <w:sz w:val="24"/>
                <w:szCs w:val="24"/>
                <w:lang w:eastAsia="lv-LV"/>
              </w:rPr>
              <w:t>s</w:t>
            </w:r>
            <w:r w:rsidR="004D37D0" w:rsidRPr="004D37D0">
              <w:rPr>
                <w:rFonts w:ascii="Times New Roman" w:eastAsia="Times New Roman" w:hAnsi="Times New Roman"/>
                <w:sz w:val="24"/>
                <w:szCs w:val="24"/>
                <w:lang w:eastAsia="lv-LV"/>
              </w:rPr>
              <w:t xml:space="preserve"> kvalitātes nodrošināšanai augstākajā izglītībā</w:t>
            </w:r>
            <w:r w:rsidR="004D37D0">
              <w:rPr>
                <w:rFonts w:ascii="Times New Roman" w:eastAsia="Times New Roman" w:hAnsi="Times New Roman"/>
                <w:sz w:val="24"/>
                <w:szCs w:val="24"/>
                <w:lang w:eastAsia="lv-LV"/>
              </w:rPr>
              <w:t xml:space="preserve"> (turpmāk - </w:t>
            </w:r>
            <w:r w:rsidR="008C37DB" w:rsidRPr="00171C37">
              <w:rPr>
                <w:rFonts w:ascii="Times New Roman" w:hAnsi="Times New Roman"/>
                <w:sz w:val="24"/>
                <w:szCs w:val="24"/>
              </w:rPr>
              <w:t>ENQA</w:t>
            </w:r>
            <w:r w:rsidR="004D37D0">
              <w:rPr>
                <w:rFonts w:ascii="Times New Roman" w:hAnsi="Times New Roman"/>
                <w:sz w:val="24"/>
                <w:szCs w:val="24"/>
              </w:rPr>
              <w:t>)</w:t>
            </w:r>
            <w:r w:rsidR="008C37DB" w:rsidRPr="00171C37">
              <w:rPr>
                <w:rFonts w:ascii="Times New Roman" w:hAnsi="Times New Roman"/>
                <w:sz w:val="24"/>
                <w:szCs w:val="24"/>
              </w:rPr>
              <w:t xml:space="preserve"> izstrādātajos standartos un vadlīnijās kvalitātes nodrošināšanai Eiropas Augstākās izglītības telpā</w:t>
            </w:r>
            <w:r w:rsidR="008C37DB" w:rsidRPr="00171C37">
              <w:rPr>
                <w:rFonts w:ascii="Times New Roman" w:eastAsia="Times New Roman" w:hAnsi="Times New Roman"/>
                <w:sz w:val="24"/>
                <w:szCs w:val="24"/>
                <w:lang w:eastAsia="lv-LV"/>
              </w:rPr>
              <w:t xml:space="preserve"> izvirzītās prasības augstākās izglītības ārējās kvalitātes nodrošināšanas procesiem, kā arī akreditācijas aģentūru darbībai. Cenrādī ietverto izdevumu lielāko daļu veido ekspertu darba (sagatavošanās vizītei, vizīte un ziņojuma sagatavošana) apmaksa, to aprēķinot kā apmaksu par noteiktu darba stundu skaitu, un AIC administratīvie izdevumi. </w:t>
            </w:r>
          </w:p>
          <w:p w14:paraId="7FAB5871" w14:textId="77777777" w:rsidR="009121DE" w:rsidRPr="00171C37" w:rsidRDefault="009121DE" w:rsidP="00D465E4">
            <w:pPr>
              <w:spacing w:after="0" w:line="240" w:lineRule="auto"/>
              <w:jc w:val="both"/>
              <w:rPr>
                <w:rFonts w:ascii="Times New Roman" w:hAnsi="Times New Roman"/>
                <w:sz w:val="24"/>
                <w:szCs w:val="24"/>
              </w:rPr>
            </w:pPr>
          </w:p>
          <w:p w14:paraId="04BA4C99" w14:textId="53696197" w:rsidR="008C37DB" w:rsidRPr="00171C37" w:rsidRDefault="008C37DB" w:rsidP="00D465E4">
            <w:pPr>
              <w:tabs>
                <w:tab w:val="left" w:pos="7371"/>
              </w:tabs>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 xml:space="preserve">3.1. </w:t>
            </w:r>
            <w:r w:rsidR="0068644D">
              <w:rPr>
                <w:rFonts w:ascii="Times New Roman" w:hAnsi="Times New Roman"/>
                <w:sz w:val="24"/>
                <w:szCs w:val="24"/>
              </w:rPr>
              <w:t>Augstskolas vai koledžas</w:t>
            </w:r>
            <w:r w:rsidR="0068644D" w:rsidRPr="00171C37">
              <w:rPr>
                <w:rFonts w:ascii="Times New Roman" w:hAnsi="Times New Roman"/>
                <w:sz w:val="24"/>
                <w:szCs w:val="24"/>
              </w:rPr>
              <w:t xml:space="preserve"> </w:t>
            </w:r>
            <w:r w:rsidRPr="00171C37">
              <w:rPr>
                <w:rFonts w:ascii="Times New Roman" w:hAnsi="Times New Roman"/>
                <w:sz w:val="24"/>
                <w:szCs w:val="24"/>
              </w:rPr>
              <w:t>akreditācija</w:t>
            </w:r>
            <w:r w:rsidRPr="00171C37">
              <w:rPr>
                <w:rFonts w:ascii="Times New Roman" w:eastAsia="Times New Roman" w:hAnsi="Times New Roman"/>
                <w:sz w:val="24"/>
                <w:szCs w:val="24"/>
                <w:lang w:eastAsia="lv-LV"/>
              </w:rPr>
              <w:t>s izmaksas tiek aprēķinātas saskaņā ar šādu formulu:</w:t>
            </w:r>
          </w:p>
          <w:p w14:paraId="7A193A35"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34DAFF09" w14:textId="77777777"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A = K*C*(E*(Hg+8*</w:t>
            </w:r>
            <w:proofErr w:type="spellStart"/>
            <w:r w:rsidRPr="00171C37">
              <w:rPr>
                <w:rFonts w:ascii="Times New Roman" w:hAnsi="Times New Roman"/>
                <w:sz w:val="24"/>
                <w:szCs w:val="24"/>
              </w:rPr>
              <w:t>Ek</w:t>
            </w:r>
            <w:proofErr w:type="spellEnd"/>
            <w:r w:rsidRPr="00171C37">
              <w:rPr>
                <w:rFonts w:ascii="Times New Roman" w:hAnsi="Times New Roman"/>
                <w:sz w:val="24"/>
                <w:szCs w:val="24"/>
              </w:rPr>
              <w:t>)+</w:t>
            </w:r>
            <w:proofErr w:type="spellStart"/>
            <w:r w:rsidRPr="00171C37">
              <w:rPr>
                <w:rFonts w:ascii="Times New Roman" w:hAnsi="Times New Roman"/>
                <w:sz w:val="24"/>
                <w:szCs w:val="24"/>
              </w:rPr>
              <w:t>Hv+Hs+He</w:t>
            </w:r>
            <w:proofErr w:type="spellEnd"/>
            <w:r w:rsidRPr="00171C37">
              <w:rPr>
                <w:rFonts w:ascii="Times New Roman" w:hAnsi="Times New Roman"/>
                <w:sz w:val="24"/>
                <w:szCs w:val="24"/>
              </w:rPr>
              <w:t>*(E-2))+T</w:t>
            </w:r>
          </w:p>
          <w:p w14:paraId="5076D8CE" w14:textId="77777777" w:rsidR="008C37DB" w:rsidRPr="00171C37" w:rsidRDefault="008C37DB" w:rsidP="00D465E4">
            <w:pPr>
              <w:tabs>
                <w:tab w:val="left" w:pos="7371"/>
              </w:tabs>
              <w:spacing w:after="0" w:line="240" w:lineRule="auto"/>
              <w:jc w:val="both"/>
              <w:rPr>
                <w:rFonts w:ascii="Times New Roman" w:eastAsia="Times New Roman" w:hAnsi="Times New Roman"/>
                <w:sz w:val="24"/>
                <w:szCs w:val="24"/>
                <w:u w:val="single"/>
                <w:lang w:eastAsia="lv-LV"/>
              </w:rPr>
            </w:pPr>
          </w:p>
          <w:p w14:paraId="7A683D2F" w14:textId="77777777" w:rsidR="008C37DB" w:rsidRPr="00171C37" w:rsidRDefault="008C37DB" w:rsidP="00D465E4">
            <w:pPr>
              <w:tabs>
                <w:tab w:val="left" w:pos="7371"/>
              </w:tabs>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 xml:space="preserve">3.2. Studiju virziena akreditācijas izmaksas (S) tiek aprēķinātas saskaņā ar šādu formulu: </w:t>
            </w:r>
          </w:p>
          <w:p w14:paraId="0C0038ED"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7F949185" w14:textId="77777777"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shd w:val="clear" w:color="auto" w:fill="FFFFFF"/>
              </w:rPr>
              <w:t>S = K*C*(E*(Hg+8*</w:t>
            </w:r>
            <w:proofErr w:type="spellStart"/>
            <w:r w:rsidRPr="00171C37">
              <w:rPr>
                <w:rFonts w:ascii="Times New Roman" w:hAnsi="Times New Roman"/>
                <w:sz w:val="24"/>
                <w:szCs w:val="24"/>
                <w:shd w:val="clear" w:color="auto" w:fill="FFFFFF"/>
              </w:rPr>
              <w:t>Ek</w:t>
            </w:r>
            <w:proofErr w:type="spellEnd"/>
            <w:r w:rsidRPr="00171C37">
              <w:rPr>
                <w:rFonts w:ascii="Times New Roman" w:hAnsi="Times New Roman"/>
                <w:sz w:val="24"/>
                <w:szCs w:val="24"/>
                <w:shd w:val="clear" w:color="auto" w:fill="FFFFFF"/>
              </w:rPr>
              <w:t>)+</w:t>
            </w:r>
            <w:proofErr w:type="spellStart"/>
            <w:r w:rsidRPr="00171C37">
              <w:rPr>
                <w:rFonts w:ascii="Times New Roman" w:hAnsi="Times New Roman"/>
                <w:sz w:val="24"/>
                <w:szCs w:val="24"/>
                <w:shd w:val="clear" w:color="auto" w:fill="FFFFFF"/>
              </w:rPr>
              <w:t>Hv+Hs+He</w:t>
            </w:r>
            <w:proofErr w:type="spellEnd"/>
            <w:r w:rsidRPr="00171C37">
              <w:rPr>
                <w:rFonts w:ascii="Times New Roman" w:hAnsi="Times New Roman"/>
                <w:sz w:val="24"/>
                <w:szCs w:val="24"/>
                <w:shd w:val="clear" w:color="auto" w:fill="FFFFFF"/>
              </w:rPr>
              <w:t>*(E-2)+ E*8*</w:t>
            </w:r>
            <w:proofErr w:type="spellStart"/>
            <w:r w:rsidRPr="00171C37">
              <w:rPr>
                <w:rFonts w:ascii="Times New Roman" w:hAnsi="Times New Roman"/>
                <w:sz w:val="24"/>
                <w:szCs w:val="24"/>
                <w:shd w:val="clear" w:color="auto" w:fill="FFFFFF"/>
              </w:rPr>
              <w:t>Ek</w:t>
            </w:r>
            <w:proofErr w:type="spellEnd"/>
            <w:r w:rsidRPr="00171C37">
              <w:rPr>
                <w:rFonts w:ascii="Times New Roman" w:hAnsi="Times New Roman"/>
                <w:sz w:val="24"/>
                <w:szCs w:val="24"/>
                <w:shd w:val="clear" w:color="auto" w:fill="FFFFFF"/>
              </w:rPr>
              <w:t>)+T</w:t>
            </w:r>
          </w:p>
          <w:p w14:paraId="019F88B7"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604C8F73" w14:textId="77777777"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3.3. Izmaiņu studiju virzienā novērtēšanas izmaksas (I) tiek aprēķinātas saskaņā ar šādu formulu: </w:t>
            </w:r>
          </w:p>
          <w:p w14:paraId="742806BE"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3E9795C5" w14:textId="77777777" w:rsidR="008C37DB"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I = K*C*E*(</w:t>
            </w:r>
            <w:proofErr w:type="spellStart"/>
            <w:r w:rsidRPr="00171C37">
              <w:rPr>
                <w:rFonts w:ascii="Times New Roman" w:hAnsi="Times New Roman"/>
                <w:sz w:val="24"/>
                <w:szCs w:val="24"/>
              </w:rPr>
              <w:t>Hg</w:t>
            </w:r>
            <w:proofErr w:type="spellEnd"/>
            <w:r w:rsidRPr="00171C37">
              <w:rPr>
                <w:rFonts w:ascii="Times New Roman" w:hAnsi="Times New Roman"/>
                <w:sz w:val="24"/>
                <w:szCs w:val="24"/>
              </w:rPr>
              <w:t xml:space="preserve"> + </w:t>
            </w:r>
            <w:proofErr w:type="spellStart"/>
            <w:r w:rsidRPr="00171C37">
              <w:rPr>
                <w:rFonts w:ascii="Times New Roman" w:hAnsi="Times New Roman"/>
                <w:sz w:val="24"/>
                <w:szCs w:val="24"/>
              </w:rPr>
              <w:t>He</w:t>
            </w:r>
            <w:proofErr w:type="spellEnd"/>
            <w:r w:rsidRPr="00171C37">
              <w:rPr>
                <w:rFonts w:ascii="Times New Roman" w:hAnsi="Times New Roman"/>
                <w:sz w:val="24"/>
                <w:szCs w:val="24"/>
              </w:rPr>
              <w:t>)</w:t>
            </w:r>
          </w:p>
          <w:p w14:paraId="05F232CB" w14:textId="77777777" w:rsidR="00AC5845" w:rsidRPr="00171C37" w:rsidRDefault="00AC5845" w:rsidP="00D465E4">
            <w:pPr>
              <w:tabs>
                <w:tab w:val="left" w:pos="7371"/>
              </w:tabs>
              <w:spacing w:after="0" w:line="240" w:lineRule="auto"/>
              <w:jc w:val="both"/>
              <w:rPr>
                <w:rFonts w:ascii="Times New Roman" w:hAnsi="Times New Roman"/>
                <w:sz w:val="24"/>
                <w:szCs w:val="24"/>
              </w:rPr>
            </w:pPr>
          </w:p>
          <w:p w14:paraId="58596C06" w14:textId="77777777"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3.4. Studiju programmas licencēšanas izmaksas (L) tiek aprēķinātas saskaņā ar šādu formulu: </w:t>
            </w:r>
          </w:p>
          <w:p w14:paraId="79920AA0"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72AEA444" w14:textId="77777777"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L = K*C*E*(</w:t>
            </w:r>
            <w:proofErr w:type="spellStart"/>
            <w:r w:rsidRPr="00171C37">
              <w:rPr>
                <w:rFonts w:ascii="Times New Roman" w:hAnsi="Times New Roman"/>
                <w:sz w:val="24"/>
                <w:szCs w:val="24"/>
              </w:rPr>
              <w:t>Hg+He</w:t>
            </w:r>
            <w:proofErr w:type="spellEnd"/>
            <w:r w:rsidRPr="00171C37">
              <w:rPr>
                <w:rFonts w:ascii="Times New Roman" w:hAnsi="Times New Roman"/>
                <w:sz w:val="24"/>
                <w:szCs w:val="24"/>
              </w:rPr>
              <w:t>)+T</w:t>
            </w:r>
          </w:p>
          <w:p w14:paraId="30E0C68E" w14:textId="77777777" w:rsidR="008C37DB" w:rsidRPr="00171C37" w:rsidRDefault="008C37DB" w:rsidP="00D465E4">
            <w:pPr>
              <w:tabs>
                <w:tab w:val="left" w:pos="7371"/>
              </w:tabs>
              <w:spacing w:after="0" w:line="240" w:lineRule="auto"/>
              <w:rPr>
                <w:rFonts w:ascii="Times New Roman" w:eastAsia="Times New Roman" w:hAnsi="Times New Roman"/>
                <w:sz w:val="24"/>
                <w:szCs w:val="24"/>
                <w:u w:val="single"/>
                <w:lang w:eastAsia="lv-LV"/>
              </w:rPr>
            </w:pPr>
          </w:p>
          <w:p w14:paraId="3A2E072F" w14:textId="53975781" w:rsidR="008C37DB" w:rsidRPr="00171C37" w:rsidRDefault="008C37DB" w:rsidP="00D465E4">
            <w:pPr>
              <w:tabs>
                <w:tab w:val="left" w:pos="7371"/>
              </w:tabs>
              <w:spacing w:after="0" w:line="240" w:lineRule="auto"/>
              <w:jc w:val="center"/>
              <w:rPr>
                <w:rFonts w:ascii="Times New Roman" w:eastAsia="Times New Roman" w:hAnsi="Times New Roman"/>
                <w:sz w:val="24"/>
                <w:szCs w:val="24"/>
                <w:lang w:eastAsia="lv-LV"/>
              </w:rPr>
            </w:pPr>
            <w:r w:rsidRPr="00171C37">
              <w:rPr>
                <w:rFonts w:ascii="Times New Roman" w:eastAsia="Times New Roman" w:hAnsi="Times New Roman"/>
                <w:i/>
                <w:sz w:val="24"/>
                <w:szCs w:val="24"/>
                <w:lang w:eastAsia="lv-LV"/>
              </w:rPr>
              <w:lastRenderedPageBreak/>
              <w:t xml:space="preserve">1. tabula. </w:t>
            </w:r>
            <w:r w:rsidR="007D491B">
              <w:rPr>
                <w:rFonts w:ascii="Times New Roman" w:eastAsia="Times New Roman" w:hAnsi="Times New Roman"/>
                <w:sz w:val="24"/>
                <w:szCs w:val="24"/>
                <w:lang w:eastAsia="lv-LV"/>
              </w:rPr>
              <w:t>Augstskolas, koledžas</w:t>
            </w:r>
            <w:r w:rsidRPr="00171C37">
              <w:rPr>
                <w:rFonts w:ascii="Times New Roman" w:eastAsia="Times New Roman" w:hAnsi="Times New Roman"/>
                <w:sz w:val="24"/>
                <w:szCs w:val="24"/>
                <w:lang w:eastAsia="lv-LV"/>
              </w:rPr>
              <w:t xml:space="preserve"> un studiju virziena akreditācijas, izmaiņu studiju virzienā novērtēšanas un studiju programmu licencēšanas izmaksas veidojošās pozīcijas </w:t>
            </w:r>
          </w:p>
          <w:p w14:paraId="12D66880"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p>
          <w:tbl>
            <w:tblPr>
              <w:tblStyle w:val="TableGrid"/>
              <w:tblW w:w="0" w:type="auto"/>
              <w:tblLook w:val="04A0" w:firstRow="1" w:lastRow="0" w:firstColumn="1" w:lastColumn="0" w:noHBand="0" w:noVBand="1"/>
            </w:tblPr>
            <w:tblGrid>
              <w:gridCol w:w="876"/>
              <w:gridCol w:w="1376"/>
              <w:gridCol w:w="1442"/>
              <w:gridCol w:w="2885"/>
            </w:tblGrid>
            <w:tr w:rsidR="008C37DB" w:rsidRPr="00171C37" w14:paraId="439188E6" w14:textId="77777777" w:rsidTr="004D37D0">
              <w:tc>
                <w:tcPr>
                  <w:tcW w:w="834" w:type="dxa"/>
                </w:tcPr>
                <w:p w14:paraId="4673A27C" w14:textId="77777777" w:rsidR="008C37DB" w:rsidRPr="00171C37" w:rsidRDefault="008C37DB" w:rsidP="00D465E4">
                  <w:pPr>
                    <w:tabs>
                      <w:tab w:val="left" w:pos="7371"/>
                    </w:tabs>
                    <w:spacing w:after="0" w:line="240" w:lineRule="auto"/>
                    <w:rPr>
                      <w:rFonts w:ascii="Times New Roman" w:eastAsia="Times New Roman" w:hAnsi="Times New Roman"/>
                      <w:i/>
                      <w:sz w:val="24"/>
                      <w:szCs w:val="24"/>
                      <w:lang w:eastAsia="lv-LV"/>
                    </w:rPr>
                  </w:pPr>
                  <w:proofErr w:type="spellStart"/>
                  <w:r w:rsidRPr="00171C37">
                    <w:rPr>
                      <w:rFonts w:ascii="Times New Roman" w:eastAsia="Times New Roman" w:hAnsi="Times New Roman"/>
                      <w:i/>
                      <w:sz w:val="24"/>
                      <w:szCs w:val="24"/>
                      <w:lang w:eastAsia="lv-LV"/>
                    </w:rPr>
                    <w:t>Nr.p.k</w:t>
                  </w:r>
                  <w:proofErr w:type="spellEnd"/>
                  <w:r w:rsidRPr="00171C37">
                    <w:rPr>
                      <w:rFonts w:ascii="Times New Roman" w:eastAsia="Times New Roman" w:hAnsi="Times New Roman"/>
                      <w:i/>
                      <w:sz w:val="24"/>
                      <w:szCs w:val="24"/>
                      <w:lang w:eastAsia="lv-LV"/>
                    </w:rPr>
                    <w:t>.</w:t>
                  </w:r>
                </w:p>
              </w:tc>
              <w:tc>
                <w:tcPr>
                  <w:tcW w:w="1417" w:type="dxa"/>
                </w:tcPr>
                <w:p w14:paraId="5D2D3A6C" w14:textId="77777777" w:rsidR="008C37DB" w:rsidRPr="00171C37" w:rsidRDefault="008C37DB" w:rsidP="00D465E4">
                  <w:pPr>
                    <w:tabs>
                      <w:tab w:val="left" w:pos="7371"/>
                    </w:tabs>
                    <w:spacing w:after="0" w:line="240" w:lineRule="auto"/>
                    <w:rPr>
                      <w:rFonts w:ascii="Times New Roman" w:eastAsia="Times New Roman" w:hAnsi="Times New Roman"/>
                      <w:i/>
                      <w:sz w:val="24"/>
                      <w:szCs w:val="24"/>
                      <w:lang w:eastAsia="lv-LV"/>
                    </w:rPr>
                  </w:pPr>
                  <w:r w:rsidRPr="00171C37">
                    <w:rPr>
                      <w:rFonts w:ascii="Times New Roman" w:eastAsia="Times New Roman" w:hAnsi="Times New Roman"/>
                      <w:i/>
                      <w:sz w:val="24"/>
                      <w:szCs w:val="24"/>
                      <w:lang w:eastAsia="lv-LV"/>
                    </w:rPr>
                    <w:t>Apzīmējums formulā</w:t>
                  </w:r>
                </w:p>
              </w:tc>
              <w:tc>
                <w:tcPr>
                  <w:tcW w:w="1304" w:type="dxa"/>
                </w:tcPr>
                <w:p w14:paraId="2B273719" w14:textId="77777777" w:rsidR="008C37DB" w:rsidRPr="00171C37" w:rsidRDefault="008C37DB" w:rsidP="00D465E4">
                  <w:pPr>
                    <w:tabs>
                      <w:tab w:val="left" w:pos="7371"/>
                    </w:tabs>
                    <w:spacing w:after="0" w:line="240" w:lineRule="auto"/>
                    <w:rPr>
                      <w:rFonts w:ascii="Times New Roman" w:eastAsia="Times New Roman" w:hAnsi="Times New Roman"/>
                      <w:i/>
                      <w:sz w:val="24"/>
                      <w:szCs w:val="24"/>
                      <w:lang w:eastAsia="lv-LV"/>
                    </w:rPr>
                  </w:pPr>
                  <w:r w:rsidRPr="00171C37">
                    <w:rPr>
                      <w:rFonts w:ascii="Times New Roman" w:eastAsia="Times New Roman" w:hAnsi="Times New Roman"/>
                      <w:i/>
                      <w:sz w:val="24"/>
                      <w:szCs w:val="24"/>
                      <w:lang w:eastAsia="lv-LV"/>
                    </w:rPr>
                    <w:t>Vērtība</w:t>
                  </w:r>
                </w:p>
              </w:tc>
              <w:tc>
                <w:tcPr>
                  <w:tcW w:w="4399" w:type="dxa"/>
                </w:tcPr>
                <w:p w14:paraId="1A798935" w14:textId="77777777" w:rsidR="008C37DB" w:rsidRPr="00171C37" w:rsidRDefault="008C37DB" w:rsidP="00D465E4">
                  <w:pPr>
                    <w:tabs>
                      <w:tab w:val="left" w:pos="7371"/>
                    </w:tabs>
                    <w:spacing w:after="0" w:line="240" w:lineRule="auto"/>
                    <w:rPr>
                      <w:rFonts w:ascii="Times New Roman" w:eastAsia="Times New Roman" w:hAnsi="Times New Roman"/>
                      <w:i/>
                      <w:sz w:val="24"/>
                      <w:szCs w:val="24"/>
                      <w:lang w:eastAsia="lv-LV"/>
                    </w:rPr>
                  </w:pPr>
                  <w:r w:rsidRPr="00171C37">
                    <w:rPr>
                      <w:rFonts w:ascii="Times New Roman" w:eastAsia="Times New Roman" w:hAnsi="Times New Roman"/>
                      <w:i/>
                      <w:sz w:val="24"/>
                      <w:szCs w:val="24"/>
                      <w:lang w:eastAsia="lv-LV"/>
                    </w:rPr>
                    <w:t>Skaidrojums</w:t>
                  </w:r>
                </w:p>
              </w:tc>
            </w:tr>
            <w:tr w:rsidR="008C37DB" w:rsidRPr="00171C37" w14:paraId="3BB969BD" w14:textId="77777777" w:rsidTr="004D37D0">
              <w:trPr>
                <w:trHeight w:val="418"/>
              </w:trPr>
              <w:tc>
                <w:tcPr>
                  <w:tcW w:w="834" w:type="dxa"/>
                </w:tcPr>
                <w:p w14:paraId="413DC6CE"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1.</w:t>
                  </w:r>
                </w:p>
              </w:tc>
              <w:tc>
                <w:tcPr>
                  <w:tcW w:w="1417" w:type="dxa"/>
                </w:tcPr>
                <w:p w14:paraId="7A00B236"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Hg</w:t>
                  </w:r>
                  <w:proofErr w:type="spellEnd"/>
                </w:p>
              </w:tc>
              <w:tc>
                <w:tcPr>
                  <w:tcW w:w="1304" w:type="dxa"/>
                </w:tcPr>
                <w:p w14:paraId="07C1B89B" w14:textId="0CD1B453"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8 (</w:t>
                  </w:r>
                  <w:r w:rsidR="00DA5586">
                    <w:rPr>
                      <w:rFonts w:ascii="Times New Roman" w:hAnsi="Times New Roman"/>
                      <w:sz w:val="24"/>
                      <w:szCs w:val="24"/>
                    </w:rPr>
                    <w:t>augstskolu, koledžu</w:t>
                  </w:r>
                  <w:r w:rsidR="00DA5586" w:rsidRPr="00171C37">
                    <w:rPr>
                      <w:rFonts w:ascii="Times New Roman" w:hAnsi="Times New Roman"/>
                      <w:sz w:val="24"/>
                      <w:szCs w:val="24"/>
                    </w:rPr>
                    <w:t xml:space="preserve"> </w:t>
                  </w:r>
                  <w:r w:rsidRPr="00171C37">
                    <w:rPr>
                      <w:rFonts w:ascii="Times New Roman" w:hAnsi="Times New Roman"/>
                      <w:sz w:val="24"/>
                      <w:szCs w:val="24"/>
                    </w:rPr>
                    <w:t xml:space="preserve">un studiju virzienu akreditācijas gadījumā) </w:t>
                  </w:r>
                </w:p>
                <w:p w14:paraId="2DD3D6DF" w14:textId="77777777" w:rsidR="008C37DB" w:rsidRPr="00171C37" w:rsidRDefault="008C37DB" w:rsidP="00D465E4">
                  <w:pPr>
                    <w:tabs>
                      <w:tab w:val="left" w:pos="7371"/>
                    </w:tabs>
                    <w:spacing w:after="0" w:line="240" w:lineRule="auto"/>
                    <w:rPr>
                      <w:rFonts w:ascii="Times New Roman" w:hAnsi="Times New Roman"/>
                      <w:sz w:val="24"/>
                      <w:szCs w:val="24"/>
                    </w:rPr>
                  </w:pPr>
                </w:p>
                <w:p w14:paraId="32E6E435"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4 (izmaiņu studiju virzienā izvērtēšanai)</w:t>
                  </w:r>
                </w:p>
                <w:p w14:paraId="5ECD8BC3" w14:textId="77777777" w:rsidR="008C37DB" w:rsidRPr="00171C37" w:rsidRDefault="008C37DB" w:rsidP="00D465E4">
                  <w:pPr>
                    <w:tabs>
                      <w:tab w:val="left" w:pos="7371"/>
                    </w:tabs>
                    <w:spacing w:after="0" w:line="240" w:lineRule="auto"/>
                    <w:rPr>
                      <w:rFonts w:ascii="Times New Roman" w:hAnsi="Times New Roman"/>
                      <w:sz w:val="24"/>
                      <w:szCs w:val="24"/>
                    </w:rPr>
                  </w:pPr>
                </w:p>
                <w:p w14:paraId="0E778EC3"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8 (studiju programmas licencēšanas gadījumā)  </w:t>
                  </w:r>
                </w:p>
              </w:tc>
              <w:tc>
                <w:tcPr>
                  <w:tcW w:w="4399" w:type="dxa"/>
                </w:tcPr>
                <w:p w14:paraId="1BAC76EE" w14:textId="1914C8F4" w:rsidR="008C37DB" w:rsidRPr="00171C37" w:rsidRDefault="00DA5586" w:rsidP="00D465E4">
                  <w:p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 xml:space="preserve">iesniegto dokumentu </w:t>
                  </w:r>
                  <w:proofErr w:type="spellStart"/>
                  <w:r w:rsidR="008C37DB" w:rsidRPr="00171C37">
                    <w:rPr>
                      <w:rFonts w:ascii="Times New Roman" w:hAnsi="Times New Roman"/>
                      <w:sz w:val="24"/>
                      <w:szCs w:val="24"/>
                    </w:rPr>
                    <w:t>priekšizpēte</w:t>
                  </w:r>
                  <w:proofErr w:type="spellEnd"/>
                  <w:r w:rsidR="008C37DB" w:rsidRPr="00171C37">
                    <w:rPr>
                      <w:rFonts w:ascii="Times New Roman" w:hAnsi="Times New Roman"/>
                      <w:sz w:val="24"/>
                      <w:szCs w:val="24"/>
                    </w:rPr>
                    <w:t xml:space="preserve"> saskaņā ar Latvijā noteikto normatīvo regulējumu un izstrādāto metodiku, kas ir būtisks priekšnoteikums, lai </w:t>
                  </w:r>
                  <w:proofErr w:type="spellStart"/>
                  <w:r w:rsidR="008C37DB" w:rsidRPr="00171C37">
                    <w:rPr>
                      <w:rFonts w:ascii="Times New Roman" w:hAnsi="Times New Roman"/>
                      <w:sz w:val="24"/>
                      <w:szCs w:val="24"/>
                    </w:rPr>
                    <w:t>izvērtējums</w:t>
                  </w:r>
                  <w:proofErr w:type="spellEnd"/>
                  <w:r w:rsidR="008C37DB" w:rsidRPr="00171C37">
                    <w:rPr>
                      <w:rFonts w:ascii="Times New Roman" w:hAnsi="Times New Roman"/>
                      <w:sz w:val="24"/>
                      <w:szCs w:val="24"/>
                    </w:rPr>
                    <w:t xml:space="preserve"> tiktu veikts atbilstoši Latvijā noteiktajai tiesiskajai kārtībai un tradīcijām un vizīte </w:t>
                  </w:r>
                  <w:r>
                    <w:rPr>
                      <w:rFonts w:ascii="Times New Roman" w:hAnsi="Times New Roman"/>
                      <w:sz w:val="24"/>
                      <w:szCs w:val="24"/>
                    </w:rPr>
                    <w:t>augstskolā vai koledžā</w:t>
                  </w:r>
                  <w:r w:rsidRPr="00171C37">
                    <w:rPr>
                      <w:rFonts w:ascii="Times New Roman" w:hAnsi="Times New Roman"/>
                      <w:sz w:val="24"/>
                      <w:szCs w:val="24"/>
                    </w:rPr>
                    <w:t xml:space="preserve"> </w:t>
                  </w:r>
                  <w:r w:rsidR="008C37DB" w:rsidRPr="00171C37">
                    <w:rPr>
                      <w:rFonts w:ascii="Times New Roman" w:hAnsi="Times New Roman"/>
                      <w:sz w:val="24"/>
                      <w:szCs w:val="24"/>
                    </w:rPr>
                    <w:t xml:space="preserve">noritētu, efektīvi un racionāli izmantojot laiku - ekspertu darbs (izteikts stundu skaitā) pirms vizītes </w:t>
                  </w:r>
                  <w:r>
                    <w:rPr>
                      <w:rFonts w:ascii="Times New Roman" w:hAnsi="Times New Roman"/>
                      <w:sz w:val="24"/>
                      <w:szCs w:val="24"/>
                    </w:rPr>
                    <w:t>augstskolā vai koledžā</w:t>
                  </w:r>
                  <w:r w:rsidR="008C37DB" w:rsidRPr="00171C37">
                    <w:rPr>
                      <w:rFonts w:ascii="Times New Roman" w:hAnsi="Times New Roman"/>
                      <w:sz w:val="24"/>
                      <w:szCs w:val="24"/>
                    </w:rPr>
                    <w:t xml:space="preserve">:  </w:t>
                  </w:r>
                </w:p>
                <w:p w14:paraId="425B42C1" w14:textId="4D6E096A" w:rsidR="008C37DB" w:rsidRPr="00171C37" w:rsidRDefault="00DA5586" w:rsidP="00D465E4">
                  <w:pPr>
                    <w:pStyle w:val="ListParagraph"/>
                    <w:numPr>
                      <w:ilvl w:val="0"/>
                      <w:numId w:val="14"/>
                    </w:num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 xml:space="preserve">iesniegto dokumentu analīze atbilstoši </w:t>
                  </w:r>
                  <w:r w:rsidR="00CE239B">
                    <w:rPr>
                      <w:rFonts w:ascii="Times New Roman" w:hAnsi="Times New Roman"/>
                      <w:sz w:val="24"/>
                      <w:szCs w:val="24"/>
                    </w:rPr>
                    <w:t>AIC</w:t>
                  </w:r>
                  <w:r w:rsidR="008C37DB" w:rsidRPr="00171C37">
                    <w:rPr>
                      <w:rFonts w:ascii="Times New Roman" w:hAnsi="Times New Roman"/>
                      <w:sz w:val="24"/>
                      <w:szCs w:val="24"/>
                    </w:rPr>
                    <w:t xml:space="preserve"> izstrādātajai metodikai.</w:t>
                  </w:r>
                </w:p>
                <w:p w14:paraId="421CCC17" w14:textId="116BFA02" w:rsidR="008C37DB" w:rsidRPr="00171C37" w:rsidRDefault="00DA5586" w:rsidP="00D465E4">
                  <w:pPr>
                    <w:pStyle w:val="ListParagraph"/>
                    <w:numPr>
                      <w:ilvl w:val="0"/>
                      <w:numId w:val="14"/>
                    </w:num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008C37DB" w:rsidRPr="00171C37">
                    <w:rPr>
                      <w:rFonts w:ascii="Times New Roman" w:hAnsi="Times New Roman"/>
                      <w:sz w:val="24"/>
                      <w:szCs w:val="24"/>
                    </w:rPr>
                    <w:t xml:space="preserve"> iesniegto dokumentu analīze atbilstoši valsts augstākās izglītības normatīvajam regulējumam (Izglītības likums, Augstskolu likums, Ministru kabineta noteikumi).</w:t>
                  </w:r>
                </w:p>
                <w:p w14:paraId="65CE705C" w14:textId="7662D1AD" w:rsidR="008C37DB" w:rsidRPr="00171C37" w:rsidRDefault="00DA5586" w:rsidP="00D465E4">
                  <w:pPr>
                    <w:pStyle w:val="ListParagraph"/>
                    <w:numPr>
                      <w:ilvl w:val="0"/>
                      <w:numId w:val="14"/>
                    </w:num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008C37DB" w:rsidRPr="00171C37">
                    <w:rPr>
                      <w:rFonts w:ascii="Times New Roman" w:hAnsi="Times New Roman"/>
                      <w:sz w:val="24"/>
                      <w:szCs w:val="24"/>
                    </w:rPr>
                    <w:t xml:space="preserve"> novērtēšanas komisijas un AIC sadarbībā veikta vizītes norises plānojuma izstrāde un saskaņošana.</w:t>
                  </w:r>
                </w:p>
              </w:tc>
            </w:tr>
            <w:tr w:rsidR="008C37DB" w:rsidRPr="00171C37" w14:paraId="67F8F061" w14:textId="77777777" w:rsidTr="004D37D0">
              <w:trPr>
                <w:trHeight w:val="1622"/>
              </w:trPr>
              <w:tc>
                <w:tcPr>
                  <w:tcW w:w="834" w:type="dxa"/>
                </w:tcPr>
                <w:p w14:paraId="531A5C37"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lastRenderedPageBreak/>
                    <w:t>2.</w:t>
                  </w:r>
                </w:p>
              </w:tc>
              <w:tc>
                <w:tcPr>
                  <w:tcW w:w="1417" w:type="dxa"/>
                </w:tcPr>
                <w:p w14:paraId="35507AAE"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Ek</w:t>
                  </w:r>
                  <w:proofErr w:type="spellEnd"/>
                  <w:r w:rsidRPr="00171C37">
                    <w:rPr>
                      <w:rFonts w:ascii="Times New Roman" w:hAnsi="Times New Roman"/>
                      <w:sz w:val="24"/>
                      <w:szCs w:val="24"/>
                    </w:rPr>
                    <w:t xml:space="preserve"> </w:t>
                  </w:r>
                </w:p>
              </w:tc>
              <w:tc>
                <w:tcPr>
                  <w:tcW w:w="1304" w:type="dxa"/>
                </w:tcPr>
                <w:p w14:paraId="6B7F30BD" w14:textId="4812C778" w:rsidR="008C37DB" w:rsidRPr="00171C37" w:rsidRDefault="00DA5586" w:rsidP="00D465E4">
                  <w:pPr>
                    <w:tabs>
                      <w:tab w:val="left" w:pos="7371"/>
                    </w:tabs>
                    <w:spacing w:after="0" w:line="240" w:lineRule="auto"/>
                    <w:rPr>
                      <w:rFonts w:ascii="Times New Roman" w:hAnsi="Times New Roman"/>
                      <w:sz w:val="24"/>
                      <w:szCs w:val="24"/>
                    </w:rPr>
                  </w:pP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akreditācija: minimāli 1</w:t>
                  </w:r>
                </w:p>
                <w:p w14:paraId="097DA019" w14:textId="77777777" w:rsidR="008C37DB" w:rsidRPr="00171C37" w:rsidRDefault="008C37DB" w:rsidP="00D465E4">
                  <w:pPr>
                    <w:tabs>
                      <w:tab w:val="left" w:pos="7371"/>
                    </w:tabs>
                    <w:spacing w:after="0" w:line="240" w:lineRule="auto"/>
                    <w:rPr>
                      <w:rFonts w:ascii="Times New Roman" w:hAnsi="Times New Roman"/>
                      <w:sz w:val="24"/>
                      <w:szCs w:val="24"/>
                    </w:rPr>
                  </w:pPr>
                </w:p>
                <w:p w14:paraId="3373A60A" w14:textId="137B168C" w:rsidR="008C37DB" w:rsidRPr="00171C37" w:rsidRDefault="00DA5586" w:rsidP="00D465E4">
                  <w:pPr>
                    <w:tabs>
                      <w:tab w:val="left" w:pos="7371"/>
                    </w:tabs>
                    <w:spacing w:after="0" w:line="240" w:lineRule="auto"/>
                    <w:rPr>
                      <w:rFonts w:ascii="Times New Roman" w:hAnsi="Times New Roman"/>
                      <w:sz w:val="24"/>
                      <w:szCs w:val="24"/>
                    </w:rPr>
                  </w:pP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akreditācija: maksimāli 1,9</w:t>
                  </w:r>
                </w:p>
                <w:p w14:paraId="76B5A7FE" w14:textId="77777777" w:rsidR="008C37DB" w:rsidRPr="00171C37" w:rsidRDefault="008C37DB" w:rsidP="00D465E4">
                  <w:pPr>
                    <w:tabs>
                      <w:tab w:val="left" w:pos="7371"/>
                    </w:tabs>
                    <w:spacing w:after="0" w:line="240" w:lineRule="auto"/>
                    <w:rPr>
                      <w:rFonts w:ascii="Times New Roman" w:hAnsi="Times New Roman"/>
                      <w:sz w:val="24"/>
                      <w:szCs w:val="24"/>
                    </w:rPr>
                  </w:pPr>
                </w:p>
                <w:p w14:paraId="31FABDBA"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Studiju virzienu akreditācija: minimāli  1</w:t>
                  </w:r>
                </w:p>
                <w:p w14:paraId="7B4D452F" w14:textId="77777777" w:rsidR="008C37DB" w:rsidRPr="00171C37" w:rsidRDefault="008C37DB" w:rsidP="00D465E4">
                  <w:pPr>
                    <w:tabs>
                      <w:tab w:val="left" w:pos="7371"/>
                    </w:tabs>
                    <w:spacing w:after="0" w:line="240" w:lineRule="auto"/>
                    <w:rPr>
                      <w:rFonts w:ascii="Times New Roman" w:hAnsi="Times New Roman"/>
                      <w:sz w:val="24"/>
                      <w:szCs w:val="24"/>
                    </w:rPr>
                  </w:pPr>
                </w:p>
                <w:p w14:paraId="5E641A40"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Studiju virzienu akreditācija: maksimāli  3</w:t>
                  </w:r>
                </w:p>
                <w:p w14:paraId="415004F5" w14:textId="77777777" w:rsidR="008C37DB" w:rsidRPr="00171C37" w:rsidRDefault="008C37DB" w:rsidP="00D465E4">
                  <w:pPr>
                    <w:tabs>
                      <w:tab w:val="left" w:pos="7371"/>
                    </w:tabs>
                    <w:spacing w:after="0" w:line="240" w:lineRule="auto"/>
                    <w:rPr>
                      <w:rFonts w:ascii="Times New Roman" w:hAnsi="Times New Roman"/>
                      <w:sz w:val="24"/>
                      <w:szCs w:val="24"/>
                    </w:rPr>
                  </w:pPr>
                </w:p>
                <w:p w14:paraId="35DB0093" w14:textId="77777777" w:rsidR="008C37DB" w:rsidRPr="00171C37" w:rsidRDefault="008C37DB" w:rsidP="00D465E4">
                  <w:pPr>
                    <w:tabs>
                      <w:tab w:val="left" w:pos="7371"/>
                    </w:tabs>
                    <w:spacing w:after="0" w:line="240" w:lineRule="auto"/>
                    <w:rPr>
                      <w:rFonts w:ascii="Times New Roman" w:hAnsi="Times New Roman"/>
                      <w:sz w:val="24"/>
                      <w:szCs w:val="24"/>
                    </w:rPr>
                  </w:pPr>
                </w:p>
              </w:tc>
              <w:tc>
                <w:tcPr>
                  <w:tcW w:w="4399" w:type="dxa"/>
                </w:tcPr>
                <w:p w14:paraId="2DB1CB83" w14:textId="741CA510"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Koeficients, kas ierēķina ekspertu darba laiku, atkarībā no darba apjoma. </w:t>
                  </w:r>
                  <w:r w:rsidR="00DA5586">
                    <w:rPr>
                      <w:rFonts w:ascii="Times New Roman" w:hAnsi="Times New Roman"/>
                      <w:sz w:val="24"/>
                      <w:szCs w:val="24"/>
                    </w:rPr>
                    <w:t>Augstskolas vai koledžas</w:t>
                  </w:r>
                  <w:r w:rsidRPr="00171C37">
                    <w:rPr>
                      <w:rFonts w:ascii="Times New Roman" w:hAnsi="Times New Roman"/>
                      <w:sz w:val="24"/>
                      <w:szCs w:val="24"/>
                    </w:rPr>
                    <w:t xml:space="preserve"> akreditācijas gadījumā šis koeficients piemērots tikai ekspertu darba laikam pirms vizītes klātienē, bet studiju virzienu akreditācijas gadījumā koeficients piemērots gan ekspertu darba laikam pirms vizītes klātienē, gan arī vizītes norises laikam.</w:t>
                  </w:r>
                </w:p>
                <w:p w14:paraId="18D93EB4" w14:textId="09F55D76" w:rsidR="008C37DB" w:rsidRPr="00171C37" w:rsidRDefault="00DA5586" w:rsidP="00D465E4">
                  <w:p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008C37DB" w:rsidRPr="00171C37">
                    <w:rPr>
                      <w:rFonts w:ascii="Times New Roman" w:hAnsi="Times New Roman"/>
                      <w:sz w:val="24"/>
                      <w:szCs w:val="24"/>
                    </w:rPr>
                    <w:t xml:space="preserve"> iesniegto dokumentu, </w:t>
                  </w:r>
                  <w:r w:rsidR="00CE239B">
                    <w:rPr>
                      <w:rFonts w:ascii="Times New Roman" w:hAnsi="Times New Roman"/>
                      <w:sz w:val="24"/>
                      <w:szCs w:val="24"/>
                    </w:rPr>
                    <w:t>AIC</w:t>
                  </w:r>
                  <w:r w:rsidR="008C37DB" w:rsidRPr="00171C37">
                    <w:rPr>
                      <w:rFonts w:ascii="Times New Roman" w:hAnsi="Times New Roman"/>
                      <w:sz w:val="24"/>
                      <w:szCs w:val="24"/>
                    </w:rPr>
                    <w:t xml:space="preserve"> savākto materiālu un citas informācijas izpēte, analīze un </w:t>
                  </w:r>
                  <w:proofErr w:type="spellStart"/>
                  <w:r w:rsidR="008C37DB" w:rsidRPr="00171C37">
                    <w:rPr>
                      <w:rFonts w:ascii="Times New Roman" w:hAnsi="Times New Roman"/>
                      <w:sz w:val="24"/>
                      <w:szCs w:val="24"/>
                    </w:rPr>
                    <w:t>izvērtējums</w:t>
                  </w:r>
                  <w:proofErr w:type="spellEnd"/>
                  <w:r w:rsidR="008C37DB" w:rsidRPr="00171C37">
                    <w:rPr>
                      <w:rFonts w:ascii="Times New Roman" w:hAnsi="Times New Roman"/>
                      <w:sz w:val="24"/>
                      <w:szCs w:val="24"/>
                    </w:rPr>
                    <w:t xml:space="preserve"> saskaņā ar augstākās izglītības iestāžu kvalitātes izvērtēšanas standartiem, SVID (stipro, vājo pušu, iespēju un draudu) analīze, </w:t>
                  </w:r>
                  <w:proofErr w:type="spellStart"/>
                  <w:r w:rsidR="008C37DB" w:rsidRPr="00171C37">
                    <w:rPr>
                      <w:rFonts w:ascii="Times New Roman" w:hAnsi="Times New Roman"/>
                      <w:sz w:val="24"/>
                      <w:szCs w:val="24"/>
                    </w:rPr>
                    <w:t>priekšziņojuma</w:t>
                  </w:r>
                  <w:proofErr w:type="spellEnd"/>
                  <w:r w:rsidR="008C37DB" w:rsidRPr="00171C37">
                    <w:rPr>
                      <w:rFonts w:ascii="Times New Roman" w:hAnsi="Times New Roman"/>
                      <w:sz w:val="24"/>
                      <w:szCs w:val="24"/>
                    </w:rPr>
                    <w:t xml:space="preserve">, t.i., sākotnējā atzinuma  izstrāde pirms ekspertu vizītes klātienē.  </w:t>
                  </w:r>
                </w:p>
                <w:p w14:paraId="61473842" w14:textId="26286A02" w:rsidR="008C37DB" w:rsidRPr="00171C37" w:rsidRDefault="00DA5586" w:rsidP="00D465E4">
                  <w:p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 xml:space="preserve">akreditācijas gadījumā, izmaksas ietekmējošais apstāklis ir tas, ka </w:t>
                  </w:r>
                  <w:r>
                    <w:rPr>
                      <w:rFonts w:ascii="Times New Roman" w:hAnsi="Times New Roman"/>
                      <w:sz w:val="24"/>
                      <w:szCs w:val="24"/>
                    </w:rPr>
                    <w:t>augstskolas un koledžas</w:t>
                  </w:r>
                  <w:r w:rsidR="008C37DB" w:rsidRPr="00171C37">
                    <w:rPr>
                      <w:rFonts w:ascii="Times New Roman" w:hAnsi="Times New Roman"/>
                      <w:sz w:val="24"/>
                      <w:szCs w:val="24"/>
                    </w:rPr>
                    <w:t xml:space="preserve"> ir dažāda lieluma, to darbība, struktūra un citi rādītāji ir atšķirīgi un atbilstoši tam atšķiras darba apjoms, kas jāvelta </w:t>
                  </w:r>
                  <w:r>
                    <w:rPr>
                      <w:rFonts w:ascii="Times New Roman" w:hAnsi="Times New Roman"/>
                      <w:sz w:val="24"/>
                      <w:szCs w:val="24"/>
                    </w:rPr>
                    <w:t>augstskolas vai koledžas</w:t>
                  </w:r>
                  <w:r w:rsidR="008C37DB" w:rsidRPr="00171C37">
                    <w:rPr>
                      <w:rFonts w:ascii="Times New Roman" w:hAnsi="Times New Roman"/>
                      <w:sz w:val="24"/>
                      <w:szCs w:val="24"/>
                    </w:rPr>
                    <w:t xml:space="preserve"> datu analīzei, tādēļ ekspertu darba laikam ir jāpiemēro koeficients (</w:t>
                  </w:r>
                  <w:proofErr w:type="spellStart"/>
                  <w:r w:rsidR="008C37DB" w:rsidRPr="00171C37">
                    <w:rPr>
                      <w:rFonts w:ascii="Times New Roman" w:hAnsi="Times New Roman"/>
                      <w:sz w:val="24"/>
                      <w:szCs w:val="24"/>
                    </w:rPr>
                    <w:t>Ek</w:t>
                  </w:r>
                  <w:proofErr w:type="spellEnd"/>
                  <w:r w:rsidR="008C37DB" w:rsidRPr="00171C37">
                    <w:rPr>
                      <w:rFonts w:ascii="Times New Roman" w:hAnsi="Times New Roman"/>
                      <w:sz w:val="24"/>
                      <w:szCs w:val="24"/>
                    </w:rPr>
                    <w:t>); rezultātā minimālais stundu skaits būs 8, maksimālais – 15,2:</w:t>
                  </w:r>
                </w:p>
                <w:tbl>
                  <w:tblPr>
                    <w:tblStyle w:val="TableGrid"/>
                    <w:tblW w:w="0" w:type="auto"/>
                    <w:tblLook w:val="04A0" w:firstRow="1" w:lastRow="0" w:firstColumn="1" w:lastColumn="0" w:noHBand="0" w:noVBand="1"/>
                  </w:tblPr>
                  <w:tblGrid>
                    <w:gridCol w:w="1429"/>
                    <w:gridCol w:w="1230"/>
                  </w:tblGrid>
                  <w:tr w:rsidR="008C37DB" w:rsidRPr="00171C37" w14:paraId="1EBF388A" w14:textId="77777777" w:rsidTr="004D37D0">
                    <w:tc>
                      <w:tcPr>
                        <w:tcW w:w="1129" w:type="dxa"/>
                      </w:tcPr>
                      <w:p w14:paraId="04463703" w14:textId="77779EE6"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Ek</w:t>
                        </w:r>
                        <w:proofErr w:type="spellEnd"/>
                        <w:r w:rsidRPr="00171C37">
                          <w:rPr>
                            <w:rFonts w:ascii="Times New Roman" w:hAnsi="Times New Roman"/>
                            <w:sz w:val="24"/>
                            <w:szCs w:val="24"/>
                          </w:rPr>
                          <w:t xml:space="preserve"> </w:t>
                        </w:r>
                        <w:r w:rsidR="00DA5586">
                          <w:rPr>
                            <w:rFonts w:ascii="Times New Roman" w:hAnsi="Times New Roman"/>
                            <w:sz w:val="24"/>
                            <w:szCs w:val="24"/>
                          </w:rPr>
                          <w:t>augstskolas vai koledžas</w:t>
                        </w:r>
                        <w:r w:rsidR="00DA5586" w:rsidRPr="00171C37">
                          <w:rPr>
                            <w:rFonts w:ascii="Times New Roman" w:hAnsi="Times New Roman"/>
                            <w:sz w:val="24"/>
                            <w:szCs w:val="24"/>
                          </w:rPr>
                          <w:t xml:space="preserve"> </w:t>
                        </w:r>
                        <w:r w:rsidRPr="00171C37">
                          <w:rPr>
                            <w:rFonts w:ascii="Times New Roman" w:hAnsi="Times New Roman"/>
                            <w:sz w:val="24"/>
                            <w:szCs w:val="24"/>
                          </w:rPr>
                          <w:t>akreditācijas gadījumā</w:t>
                        </w:r>
                      </w:p>
                    </w:tc>
                    <w:tc>
                      <w:tcPr>
                        <w:tcW w:w="2694" w:type="dxa"/>
                      </w:tcPr>
                      <w:p w14:paraId="14B92B4F" w14:textId="4317C508"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Studējošo skaits </w:t>
                        </w:r>
                        <w:r w:rsidR="0068644D">
                          <w:rPr>
                            <w:rFonts w:ascii="Times New Roman" w:hAnsi="Times New Roman"/>
                            <w:sz w:val="24"/>
                            <w:szCs w:val="24"/>
                          </w:rPr>
                          <w:t>augstskolā vai koledžā</w:t>
                        </w:r>
                      </w:p>
                    </w:tc>
                  </w:tr>
                  <w:tr w:rsidR="008C37DB" w:rsidRPr="00171C37" w14:paraId="78476B0B" w14:textId="77777777" w:rsidTr="004D37D0">
                    <w:tc>
                      <w:tcPr>
                        <w:tcW w:w="1129" w:type="dxa"/>
                      </w:tcPr>
                      <w:p w14:paraId="28E8BA82"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1</w:t>
                        </w:r>
                      </w:p>
                    </w:tc>
                    <w:tc>
                      <w:tcPr>
                        <w:tcW w:w="2694" w:type="dxa"/>
                      </w:tcPr>
                      <w:p w14:paraId="0347E5CC"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1-2000</w:t>
                        </w:r>
                      </w:p>
                    </w:tc>
                  </w:tr>
                  <w:tr w:rsidR="008C37DB" w:rsidRPr="00171C37" w14:paraId="5166D578" w14:textId="77777777" w:rsidTr="004D37D0">
                    <w:tc>
                      <w:tcPr>
                        <w:tcW w:w="1129" w:type="dxa"/>
                      </w:tcPr>
                      <w:p w14:paraId="66E27E15"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lastRenderedPageBreak/>
                          <w:t>1,3</w:t>
                        </w:r>
                      </w:p>
                    </w:tc>
                    <w:tc>
                      <w:tcPr>
                        <w:tcW w:w="2694" w:type="dxa"/>
                      </w:tcPr>
                      <w:p w14:paraId="1A0BCA91"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2001-5000</w:t>
                        </w:r>
                      </w:p>
                    </w:tc>
                  </w:tr>
                  <w:tr w:rsidR="008C37DB" w:rsidRPr="00171C37" w14:paraId="0E1D02C3" w14:textId="77777777" w:rsidTr="004D37D0">
                    <w:tc>
                      <w:tcPr>
                        <w:tcW w:w="1129" w:type="dxa"/>
                      </w:tcPr>
                      <w:p w14:paraId="711850A8"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1,6</w:t>
                        </w:r>
                      </w:p>
                    </w:tc>
                    <w:tc>
                      <w:tcPr>
                        <w:tcW w:w="2694" w:type="dxa"/>
                      </w:tcPr>
                      <w:p w14:paraId="4CDB24BB"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5001-10000</w:t>
                        </w:r>
                      </w:p>
                    </w:tc>
                  </w:tr>
                  <w:tr w:rsidR="008C37DB" w:rsidRPr="00171C37" w14:paraId="03015706" w14:textId="77777777" w:rsidTr="004D37D0">
                    <w:tc>
                      <w:tcPr>
                        <w:tcW w:w="1129" w:type="dxa"/>
                      </w:tcPr>
                      <w:p w14:paraId="09FFAABD"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1,9</w:t>
                        </w:r>
                      </w:p>
                    </w:tc>
                    <w:tc>
                      <w:tcPr>
                        <w:tcW w:w="2694" w:type="dxa"/>
                      </w:tcPr>
                      <w:p w14:paraId="3045DB78"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&gt;10000</w:t>
                        </w:r>
                      </w:p>
                    </w:tc>
                  </w:tr>
                </w:tbl>
                <w:p w14:paraId="65743F25" w14:textId="77777777" w:rsidR="008C37DB" w:rsidRPr="00171C37" w:rsidRDefault="008C37DB" w:rsidP="00D465E4">
                  <w:pPr>
                    <w:tabs>
                      <w:tab w:val="left" w:pos="7371"/>
                    </w:tabs>
                    <w:spacing w:after="0" w:line="240" w:lineRule="auto"/>
                    <w:rPr>
                      <w:rFonts w:ascii="Times New Roman" w:hAnsi="Times New Roman"/>
                      <w:sz w:val="24"/>
                      <w:szCs w:val="24"/>
                    </w:rPr>
                  </w:pPr>
                </w:p>
                <w:p w14:paraId="37A7509A" w14:textId="77777777" w:rsidR="008C37DB"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Arī studiju virzienu akreditācijas gadījumā novērtēšanas komisijas ekspertu darba apjoms ir mainīgs un atkarīgs no studiju virzienam atbilstošo studiju programmu skaita. Tādēļ </w:t>
                  </w:r>
                  <w:proofErr w:type="spellStart"/>
                  <w:r w:rsidRPr="00171C37">
                    <w:rPr>
                      <w:rFonts w:ascii="Times New Roman" w:hAnsi="Times New Roman"/>
                      <w:sz w:val="24"/>
                      <w:szCs w:val="24"/>
                    </w:rPr>
                    <w:t>Ek</w:t>
                  </w:r>
                  <w:proofErr w:type="spellEnd"/>
                  <w:r w:rsidRPr="00171C37">
                    <w:rPr>
                      <w:rFonts w:ascii="Times New Roman" w:hAnsi="Times New Roman"/>
                      <w:sz w:val="24"/>
                      <w:szCs w:val="24"/>
                    </w:rPr>
                    <w:t xml:space="preserve"> koeficienta vērtība ir atšķirīga; rezultātā minimālais stundu skaits, ko eksperts pavadīs, gatavojoties vizītei klātienē, būs 8, maksimālais - 24:</w:t>
                  </w:r>
                </w:p>
                <w:tbl>
                  <w:tblPr>
                    <w:tblStyle w:val="TableGrid"/>
                    <w:tblW w:w="0" w:type="auto"/>
                    <w:tblLook w:val="04A0" w:firstRow="1" w:lastRow="0" w:firstColumn="1" w:lastColumn="0" w:noHBand="0" w:noVBand="1"/>
                  </w:tblPr>
                  <w:tblGrid>
                    <w:gridCol w:w="1328"/>
                    <w:gridCol w:w="1331"/>
                  </w:tblGrid>
                  <w:tr w:rsidR="00C35318" w:rsidRPr="00366EF8" w14:paraId="66799F9B" w14:textId="77777777" w:rsidTr="004D37D0">
                    <w:tc>
                      <w:tcPr>
                        <w:tcW w:w="1328" w:type="dxa"/>
                      </w:tcPr>
                      <w:p w14:paraId="7BD5C24E" w14:textId="77777777" w:rsidR="00C35318" w:rsidRPr="00366EF8" w:rsidRDefault="00C35318" w:rsidP="00D465E4">
                        <w:pPr>
                          <w:tabs>
                            <w:tab w:val="left" w:pos="7371"/>
                          </w:tabs>
                          <w:spacing w:after="0" w:line="240" w:lineRule="auto"/>
                          <w:rPr>
                            <w:rFonts w:ascii="Times New Roman" w:hAnsi="Times New Roman"/>
                          </w:rPr>
                        </w:pPr>
                        <w:proofErr w:type="spellStart"/>
                        <w:r w:rsidRPr="00366EF8">
                          <w:rPr>
                            <w:rFonts w:ascii="Times New Roman" w:hAnsi="Times New Roman"/>
                          </w:rPr>
                          <w:t>Ek</w:t>
                        </w:r>
                        <w:proofErr w:type="spellEnd"/>
                        <w:r w:rsidRPr="00366EF8">
                          <w:rPr>
                            <w:rFonts w:ascii="Times New Roman" w:hAnsi="Times New Roman"/>
                          </w:rPr>
                          <w:t xml:space="preserve"> studiju virziena akreditācijas gadījumā</w:t>
                        </w:r>
                      </w:p>
                    </w:tc>
                    <w:tc>
                      <w:tcPr>
                        <w:tcW w:w="2694" w:type="dxa"/>
                      </w:tcPr>
                      <w:p w14:paraId="528C2BD0"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Studiju programmu skaits studiju virzienā</w:t>
                        </w:r>
                      </w:p>
                    </w:tc>
                  </w:tr>
                  <w:tr w:rsidR="00C35318" w:rsidRPr="00366EF8" w14:paraId="60CEDCA2" w14:textId="77777777" w:rsidTr="004D37D0">
                    <w:tc>
                      <w:tcPr>
                        <w:tcW w:w="1328" w:type="dxa"/>
                        <w:vAlign w:val="center"/>
                      </w:tcPr>
                      <w:p w14:paraId="62ECDD5D"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1,0</w:t>
                        </w:r>
                      </w:p>
                    </w:tc>
                    <w:tc>
                      <w:tcPr>
                        <w:tcW w:w="2694" w:type="dxa"/>
                        <w:vAlign w:val="center"/>
                      </w:tcPr>
                      <w:p w14:paraId="33F533BE"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w:t>
                        </w:r>
                      </w:p>
                    </w:tc>
                  </w:tr>
                  <w:tr w:rsidR="00C35318" w:rsidRPr="00366EF8" w14:paraId="3B9ABC92" w14:textId="77777777" w:rsidTr="004D37D0">
                    <w:tc>
                      <w:tcPr>
                        <w:tcW w:w="1328" w:type="dxa"/>
                        <w:vAlign w:val="center"/>
                      </w:tcPr>
                      <w:p w14:paraId="7AF3202B"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1,2</w:t>
                        </w:r>
                      </w:p>
                    </w:tc>
                    <w:tc>
                      <w:tcPr>
                        <w:tcW w:w="2694" w:type="dxa"/>
                        <w:vAlign w:val="center"/>
                      </w:tcPr>
                      <w:p w14:paraId="5C261259"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w:t>
                        </w:r>
                      </w:p>
                    </w:tc>
                  </w:tr>
                  <w:tr w:rsidR="00C35318" w:rsidRPr="00366EF8" w14:paraId="4D7344F3" w14:textId="77777777" w:rsidTr="004D37D0">
                    <w:tc>
                      <w:tcPr>
                        <w:tcW w:w="1328" w:type="dxa"/>
                        <w:vAlign w:val="center"/>
                      </w:tcPr>
                      <w:p w14:paraId="3A40F785"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1,27</w:t>
                        </w:r>
                      </w:p>
                    </w:tc>
                    <w:tc>
                      <w:tcPr>
                        <w:tcW w:w="2694" w:type="dxa"/>
                        <w:vAlign w:val="center"/>
                      </w:tcPr>
                      <w:p w14:paraId="696471EB"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3</w:t>
                        </w:r>
                      </w:p>
                    </w:tc>
                  </w:tr>
                  <w:tr w:rsidR="00C35318" w:rsidRPr="00366EF8" w14:paraId="60A6FB7C" w14:textId="77777777" w:rsidTr="004D37D0">
                    <w:tc>
                      <w:tcPr>
                        <w:tcW w:w="1328" w:type="dxa"/>
                        <w:vAlign w:val="center"/>
                      </w:tcPr>
                      <w:p w14:paraId="5A28EC6D"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1,33</w:t>
                        </w:r>
                      </w:p>
                    </w:tc>
                    <w:tc>
                      <w:tcPr>
                        <w:tcW w:w="2694" w:type="dxa"/>
                        <w:vAlign w:val="center"/>
                      </w:tcPr>
                      <w:p w14:paraId="6F02FCBE"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4</w:t>
                        </w:r>
                      </w:p>
                    </w:tc>
                  </w:tr>
                  <w:tr w:rsidR="00C35318" w:rsidRPr="00366EF8" w14:paraId="7DD95543" w14:textId="77777777" w:rsidTr="004D37D0">
                    <w:tc>
                      <w:tcPr>
                        <w:tcW w:w="1328" w:type="dxa"/>
                        <w:vAlign w:val="center"/>
                      </w:tcPr>
                      <w:p w14:paraId="010AA4A2"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1,4</w:t>
                        </w:r>
                      </w:p>
                    </w:tc>
                    <w:tc>
                      <w:tcPr>
                        <w:tcW w:w="2694" w:type="dxa"/>
                        <w:vAlign w:val="center"/>
                      </w:tcPr>
                      <w:p w14:paraId="105A9380"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5</w:t>
                        </w:r>
                      </w:p>
                    </w:tc>
                  </w:tr>
                  <w:tr w:rsidR="00C35318" w:rsidRPr="00366EF8" w14:paraId="269A47E4" w14:textId="77777777" w:rsidTr="004D37D0">
                    <w:tc>
                      <w:tcPr>
                        <w:tcW w:w="1328" w:type="dxa"/>
                        <w:vAlign w:val="center"/>
                      </w:tcPr>
                      <w:p w14:paraId="15A8E6CA"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1,5</w:t>
                        </w:r>
                      </w:p>
                    </w:tc>
                    <w:tc>
                      <w:tcPr>
                        <w:tcW w:w="2694" w:type="dxa"/>
                        <w:vAlign w:val="center"/>
                      </w:tcPr>
                      <w:p w14:paraId="0BAA7D6C"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6</w:t>
                        </w:r>
                      </w:p>
                    </w:tc>
                  </w:tr>
                  <w:tr w:rsidR="00C35318" w:rsidRPr="00366EF8" w14:paraId="6924EBD0" w14:textId="77777777" w:rsidTr="004D37D0">
                    <w:tc>
                      <w:tcPr>
                        <w:tcW w:w="1328" w:type="dxa"/>
                        <w:vAlign w:val="center"/>
                      </w:tcPr>
                      <w:p w14:paraId="07C4BD63"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1,6</w:t>
                        </w:r>
                      </w:p>
                    </w:tc>
                    <w:tc>
                      <w:tcPr>
                        <w:tcW w:w="2694" w:type="dxa"/>
                        <w:vAlign w:val="center"/>
                      </w:tcPr>
                      <w:p w14:paraId="21A2445A"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7</w:t>
                        </w:r>
                      </w:p>
                    </w:tc>
                  </w:tr>
                  <w:tr w:rsidR="00C35318" w:rsidRPr="00366EF8" w14:paraId="26D40525" w14:textId="77777777" w:rsidTr="004D37D0">
                    <w:tc>
                      <w:tcPr>
                        <w:tcW w:w="1328" w:type="dxa"/>
                        <w:shd w:val="clear" w:color="auto" w:fill="auto"/>
                        <w:vAlign w:val="center"/>
                      </w:tcPr>
                      <w:p w14:paraId="48777077"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1,7</w:t>
                        </w:r>
                      </w:p>
                    </w:tc>
                    <w:tc>
                      <w:tcPr>
                        <w:tcW w:w="2694" w:type="dxa"/>
                        <w:shd w:val="clear" w:color="auto" w:fill="auto"/>
                        <w:vAlign w:val="center"/>
                      </w:tcPr>
                      <w:p w14:paraId="29226045"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8</w:t>
                        </w:r>
                      </w:p>
                    </w:tc>
                  </w:tr>
                  <w:tr w:rsidR="00C35318" w:rsidRPr="00366EF8" w14:paraId="0EF1A04D" w14:textId="77777777" w:rsidTr="004D37D0">
                    <w:tc>
                      <w:tcPr>
                        <w:tcW w:w="1328" w:type="dxa"/>
                        <w:shd w:val="clear" w:color="auto" w:fill="auto"/>
                        <w:vAlign w:val="center"/>
                      </w:tcPr>
                      <w:p w14:paraId="2ED61A42"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1,8</w:t>
                        </w:r>
                      </w:p>
                    </w:tc>
                    <w:tc>
                      <w:tcPr>
                        <w:tcW w:w="2694" w:type="dxa"/>
                        <w:shd w:val="clear" w:color="auto" w:fill="auto"/>
                        <w:vAlign w:val="center"/>
                      </w:tcPr>
                      <w:p w14:paraId="66BA2A32"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9</w:t>
                        </w:r>
                      </w:p>
                    </w:tc>
                  </w:tr>
                  <w:tr w:rsidR="00C35318" w:rsidRPr="00366EF8" w14:paraId="711356A6" w14:textId="77777777" w:rsidTr="004D37D0">
                    <w:tc>
                      <w:tcPr>
                        <w:tcW w:w="1328" w:type="dxa"/>
                        <w:shd w:val="clear" w:color="auto" w:fill="auto"/>
                        <w:vAlign w:val="center"/>
                      </w:tcPr>
                      <w:p w14:paraId="669F5F2B"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1,9</w:t>
                        </w:r>
                      </w:p>
                    </w:tc>
                    <w:tc>
                      <w:tcPr>
                        <w:tcW w:w="2694" w:type="dxa"/>
                        <w:shd w:val="clear" w:color="auto" w:fill="auto"/>
                        <w:vAlign w:val="center"/>
                      </w:tcPr>
                      <w:p w14:paraId="0B12F37A"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10</w:t>
                        </w:r>
                      </w:p>
                    </w:tc>
                  </w:tr>
                  <w:tr w:rsidR="00C35318" w:rsidRPr="00366EF8" w14:paraId="1FE2CF31" w14:textId="77777777" w:rsidTr="004D37D0">
                    <w:tc>
                      <w:tcPr>
                        <w:tcW w:w="1328" w:type="dxa"/>
                        <w:shd w:val="clear" w:color="auto" w:fill="auto"/>
                        <w:vAlign w:val="center"/>
                      </w:tcPr>
                      <w:p w14:paraId="0DF01B83"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1,98</w:t>
                        </w:r>
                      </w:p>
                    </w:tc>
                    <w:tc>
                      <w:tcPr>
                        <w:tcW w:w="2694" w:type="dxa"/>
                        <w:shd w:val="clear" w:color="auto" w:fill="auto"/>
                        <w:vAlign w:val="center"/>
                      </w:tcPr>
                      <w:p w14:paraId="4F5C3825"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11</w:t>
                        </w:r>
                      </w:p>
                    </w:tc>
                  </w:tr>
                  <w:tr w:rsidR="00C35318" w:rsidRPr="00366EF8" w14:paraId="10120E79" w14:textId="77777777" w:rsidTr="004D37D0">
                    <w:tc>
                      <w:tcPr>
                        <w:tcW w:w="1328" w:type="dxa"/>
                        <w:shd w:val="clear" w:color="auto" w:fill="auto"/>
                        <w:vAlign w:val="center"/>
                      </w:tcPr>
                      <w:p w14:paraId="5B3345EB"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2,06</w:t>
                        </w:r>
                      </w:p>
                    </w:tc>
                    <w:tc>
                      <w:tcPr>
                        <w:tcW w:w="2694" w:type="dxa"/>
                        <w:shd w:val="clear" w:color="auto" w:fill="auto"/>
                        <w:vAlign w:val="center"/>
                      </w:tcPr>
                      <w:p w14:paraId="590E2E46"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12</w:t>
                        </w:r>
                      </w:p>
                    </w:tc>
                  </w:tr>
                  <w:tr w:rsidR="00C35318" w:rsidRPr="00366EF8" w14:paraId="21896932" w14:textId="77777777" w:rsidTr="004D37D0">
                    <w:tc>
                      <w:tcPr>
                        <w:tcW w:w="1328" w:type="dxa"/>
                        <w:shd w:val="clear" w:color="auto" w:fill="auto"/>
                        <w:vAlign w:val="center"/>
                      </w:tcPr>
                      <w:p w14:paraId="1FC1DFAC"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2,14</w:t>
                        </w:r>
                      </w:p>
                    </w:tc>
                    <w:tc>
                      <w:tcPr>
                        <w:tcW w:w="2694" w:type="dxa"/>
                        <w:shd w:val="clear" w:color="auto" w:fill="auto"/>
                        <w:vAlign w:val="center"/>
                      </w:tcPr>
                      <w:p w14:paraId="6BAE874C"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13</w:t>
                        </w:r>
                      </w:p>
                    </w:tc>
                  </w:tr>
                  <w:tr w:rsidR="00C35318" w:rsidRPr="00366EF8" w14:paraId="7A836674" w14:textId="77777777" w:rsidTr="004D37D0">
                    <w:tc>
                      <w:tcPr>
                        <w:tcW w:w="1328" w:type="dxa"/>
                        <w:shd w:val="clear" w:color="auto" w:fill="auto"/>
                        <w:vAlign w:val="center"/>
                      </w:tcPr>
                      <w:p w14:paraId="2F955CEF"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2,22</w:t>
                        </w:r>
                      </w:p>
                    </w:tc>
                    <w:tc>
                      <w:tcPr>
                        <w:tcW w:w="2694" w:type="dxa"/>
                        <w:shd w:val="clear" w:color="auto" w:fill="auto"/>
                        <w:vAlign w:val="center"/>
                      </w:tcPr>
                      <w:p w14:paraId="101B1864"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14</w:t>
                        </w:r>
                      </w:p>
                    </w:tc>
                  </w:tr>
                  <w:tr w:rsidR="00C35318" w:rsidRPr="00366EF8" w14:paraId="5F438EF9" w14:textId="77777777" w:rsidTr="004D37D0">
                    <w:tc>
                      <w:tcPr>
                        <w:tcW w:w="1328" w:type="dxa"/>
                        <w:shd w:val="clear" w:color="auto" w:fill="auto"/>
                        <w:vAlign w:val="center"/>
                      </w:tcPr>
                      <w:p w14:paraId="1DFE5DD7"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2,30</w:t>
                        </w:r>
                      </w:p>
                    </w:tc>
                    <w:tc>
                      <w:tcPr>
                        <w:tcW w:w="2694" w:type="dxa"/>
                        <w:shd w:val="clear" w:color="auto" w:fill="auto"/>
                        <w:vAlign w:val="center"/>
                      </w:tcPr>
                      <w:p w14:paraId="4262B196"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15</w:t>
                        </w:r>
                      </w:p>
                    </w:tc>
                  </w:tr>
                  <w:tr w:rsidR="00C35318" w:rsidRPr="00366EF8" w14:paraId="55900895" w14:textId="77777777" w:rsidTr="004D37D0">
                    <w:tc>
                      <w:tcPr>
                        <w:tcW w:w="1328" w:type="dxa"/>
                        <w:shd w:val="clear" w:color="auto" w:fill="auto"/>
                        <w:vAlign w:val="center"/>
                      </w:tcPr>
                      <w:p w14:paraId="3DD0CB3C"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2,36</w:t>
                        </w:r>
                      </w:p>
                    </w:tc>
                    <w:tc>
                      <w:tcPr>
                        <w:tcW w:w="2694" w:type="dxa"/>
                        <w:shd w:val="clear" w:color="auto" w:fill="auto"/>
                        <w:vAlign w:val="center"/>
                      </w:tcPr>
                      <w:p w14:paraId="0E11A267"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16</w:t>
                        </w:r>
                      </w:p>
                    </w:tc>
                  </w:tr>
                  <w:tr w:rsidR="00C35318" w:rsidRPr="00366EF8" w14:paraId="2ECFF3B5" w14:textId="77777777" w:rsidTr="004D37D0">
                    <w:tc>
                      <w:tcPr>
                        <w:tcW w:w="1328" w:type="dxa"/>
                        <w:shd w:val="clear" w:color="auto" w:fill="auto"/>
                        <w:vAlign w:val="center"/>
                      </w:tcPr>
                      <w:p w14:paraId="11A61AB1"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2,41</w:t>
                        </w:r>
                      </w:p>
                    </w:tc>
                    <w:tc>
                      <w:tcPr>
                        <w:tcW w:w="2694" w:type="dxa"/>
                        <w:shd w:val="clear" w:color="auto" w:fill="auto"/>
                        <w:vAlign w:val="center"/>
                      </w:tcPr>
                      <w:p w14:paraId="2C5AB49F"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17</w:t>
                        </w:r>
                      </w:p>
                    </w:tc>
                  </w:tr>
                  <w:tr w:rsidR="00C35318" w:rsidRPr="00366EF8" w14:paraId="63FAE2DA" w14:textId="77777777" w:rsidTr="004D37D0">
                    <w:tc>
                      <w:tcPr>
                        <w:tcW w:w="1328" w:type="dxa"/>
                        <w:shd w:val="clear" w:color="auto" w:fill="auto"/>
                        <w:vAlign w:val="center"/>
                      </w:tcPr>
                      <w:p w14:paraId="7AC52637"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2,47</w:t>
                        </w:r>
                      </w:p>
                    </w:tc>
                    <w:tc>
                      <w:tcPr>
                        <w:tcW w:w="2694" w:type="dxa"/>
                        <w:shd w:val="clear" w:color="auto" w:fill="auto"/>
                        <w:vAlign w:val="center"/>
                      </w:tcPr>
                      <w:p w14:paraId="78580669"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18</w:t>
                        </w:r>
                      </w:p>
                    </w:tc>
                  </w:tr>
                  <w:tr w:rsidR="00C35318" w:rsidRPr="00366EF8" w14:paraId="48FB6CF4" w14:textId="77777777" w:rsidTr="004D37D0">
                    <w:tc>
                      <w:tcPr>
                        <w:tcW w:w="1328" w:type="dxa"/>
                        <w:shd w:val="clear" w:color="auto" w:fill="auto"/>
                        <w:vAlign w:val="center"/>
                      </w:tcPr>
                      <w:p w14:paraId="2ADDB703"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2,53</w:t>
                        </w:r>
                      </w:p>
                    </w:tc>
                    <w:tc>
                      <w:tcPr>
                        <w:tcW w:w="2694" w:type="dxa"/>
                        <w:shd w:val="clear" w:color="auto" w:fill="auto"/>
                        <w:vAlign w:val="center"/>
                      </w:tcPr>
                      <w:p w14:paraId="16C2C48F"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19</w:t>
                        </w:r>
                      </w:p>
                    </w:tc>
                  </w:tr>
                  <w:tr w:rsidR="00C35318" w:rsidRPr="00366EF8" w14:paraId="2E446E79" w14:textId="77777777" w:rsidTr="004D37D0">
                    <w:tc>
                      <w:tcPr>
                        <w:tcW w:w="1328" w:type="dxa"/>
                        <w:shd w:val="clear" w:color="auto" w:fill="auto"/>
                        <w:vAlign w:val="center"/>
                      </w:tcPr>
                      <w:p w14:paraId="708F9FA9"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2,59</w:t>
                        </w:r>
                      </w:p>
                    </w:tc>
                    <w:tc>
                      <w:tcPr>
                        <w:tcW w:w="2694" w:type="dxa"/>
                        <w:shd w:val="clear" w:color="auto" w:fill="auto"/>
                        <w:vAlign w:val="center"/>
                      </w:tcPr>
                      <w:p w14:paraId="50ECFA20"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20</w:t>
                        </w:r>
                      </w:p>
                    </w:tc>
                  </w:tr>
                  <w:tr w:rsidR="00C35318" w:rsidRPr="00366EF8" w14:paraId="3A27F098" w14:textId="77777777" w:rsidTr="004D37D0">
                    <w:tc>
                      <w:tcPr>
                        <w:tcW w:w="1328" w:type="dxa"/>
                        <w:shd w:val="clear" w:color="auto" w:fill="auto"/>
                        <w:vAlign w:val="center"/>
                      </w:tcPr>
                      <w:p w14:paraId="124EF16D"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2,64</w:t>
                        </w:r>
                      </w:p>
                    </w:tc>
                    <w:tc>
                      <w:tcPr>
                        <w:tcW w:w="2694" w:type="dxa"/>
                        <w:shd w:val="clear" w:color="auto" w:fill="auto"/>
                        <w:vAlign w:val="center"/>
                      </w:tcPr>
                      <w:p w14:paraId="7990916D"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21</w:t>
                        </w:r>
                      </w:p>
                    </w:tc>
                  </w:tr>
                  <w:tr w:rsidR="00C35318" w:rsidRPr="00366EF8" w14:paraId="04AC5056" w14:textId="77777777" w:rsidTr="004D37D0">
                    <w:tc>
                      <w:tcPr>
                        <w:tcW w:w="1328" w:type="dxa"/>
                        <w:shd w:val="clear" w:color="auto" w:fill="auto"/>
                        <w:vAlign w:val="center"/>
                      </w:tcPr>
                      <w:p w14:paraId="2945C393"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2,70</w:t>
                        </w:r>
                      </w:p>
                    </w:tc>
                    <w:tc>
                      <w:tcPr>
                        <w:tcW w:w="2694" w:type="dxa"/>
                        <w:shd w:val="clear" w:color="auto" w:fill="auto"/>
                        <w:vAlign w:val="center"/>
                      </w:tcPr>
                      <w:p w14:paraId="746C9566"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22</w:t>
                        </w:r>
                      </w:p>
                    </w:tc>
                  </w:tr>
                  <w:tr w:rsidR="00C35318" w:rsidRPr="00366EF8" w14:paraId="4616E29F" w14:textId="77777777" w:rsidTr="004D37D0">
                    <w:tc>
                      <w:tcPr>
                        <w:tcW w:w="1328" w:type="dxa"/>
                        <w:shd w:val="clear" w:color="auto" w:fill="auto"/>
                        <w:vAlign w:val="center"/>
                      </w:tcPr>
                      <w:p w14:paraId="6192A478"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2,74</w:t>
                        </w:r>
                      </w:p>
                    </w:tc>
                    <w:tc>
                      <w:tcPr>
                        <w:tcW w:w="2694" w:type="dxa"/>
                        <w:shd w:val="clear" w:color="auto" w:fill="auto"/>
                        <w:vAlign w:val="center"/>
                      </w:tcPr>
                      <w:p w14:paraId="51BC7665"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23</w:t>
                        </w:r>
                      </w:p>
                    </w:tc>
                  </w:tr>
                  <w:tr w:rsidR="00C35318" w:rsidRPr="00366EF8" w14:paraId="71A3963A" w14:textId="77777777" w:rsidTr="004D37D0">
                    <w:tc>
                      <w:tcPr>
                        <w:tcW w:w="1328" w:type="dxa"/>
                        <w:shd w:val="clear" w:color="auto" w:fill="auto"/>
                        <w:vAlign w:val="center"/>
                      </w:tcPr>
                      <w:p w14:paraId="7700D71C"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2,78</w:t>
                        </w:r>
                      </w:p>
                    </w:tc>
                    <w:tc>
                      <w:tcPr>
                        <w:tcW w:w="2694" w:type="dxa"/>
                        <w:shd w:val="clear" w:color="auto" w:fill="auto"/>
                        <w:vAlign w:val="center"/>
                      </w:tcPr>
                      <w:p w14:paraId="764935D8"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24</w:t>
                        </w:r>
                      </w:p>
                    </w:tc>
                  </w:tr>
                  <w:tr w:rsidR="00C35318" w:rsidRPr="00366EF8" w14:paraId="5C9B8A2C" w14:textId="77777777" w:rsidTr="004D37D0">
                    <w:tc>
                      <w:tcPr>
                        <w:tcW w:w="1328" w:type="dxa"/>
                        <w:shd w:val="clear" w:color="auto" w:fill="auto"/>
                        <w:vAlign w:val="center"/>
                      </w:tcPr>
                      <w:p w14:paraId="2BC72B87"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2,81</w:t>
                        </w:r>
                      </w:p>
                    </w:tc>
                    <w:tc>
                      <w:tcPr>
                        <w:tcW w:w="2694" w:type="dxa"/>
                        <w:shd w:val="clear" w:color="auto" w:fill="auto"/>
                        <w:vAlign w:val="center"/>
                      </w:tcPr>
                      <w:p w14:paraId="12DDA8A5"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25</w:t>
                        </w:r>
                      </w:p>
                    </w:tc>
                  </w:tr>
                  <w:tr w:rsidR="00C35318" w:rsidRPr="00366EF8" w14:paraId="75B5E6DA" w14:textId="77777777" w:rsidTr="004D37D0">
                    <w:tc>
                      <w:tcPr>
                        <w:tcW w:w="1328" w:type="dxa"/>
                        <w:shd w:val="clear" w:color="auto" w:fill="auto"/>
                        <w:vAlign w:val="center"/>
                      </w:tcPr>
                      <w:p w14:paraId="561097B8"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2,85</w:t>
                        </w:r>
                      </w:p>
                    </w:tc>
                    <w:tc>
                      <w:tcPr>
                        <w:tcW w:w="2694" w:type="dxa"/>
                        <w:shd w:val="clear" w:color="auto" w:fill="auto"/>
                        <w:vAlign w:val="center"/>
                      </w:tcPr>
                      <w:p w14:paraId="55995099"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26</w:t>
                        </w:r>
                      </w:p>
                    </w:tc>
                  </w:tr>
                  <w:tr w:rsidR="00C35318" w:rsidRPr="00366EF8" w14:paraId="78735A7A" w14:textId="77777777" w:rsidTr="004D37D0">
                    <w:tc>
                      <w:tcPr>
                        <w:tcW w:w="1328" w:type="dxa"/>
                        <w:shd w:val="clear" w:color="auto" w:fill="auto"/>
                        <w:vAlign w:val="center"/>
                      </w:tcPr>
                      <w:p w14:paraId="5E664143"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2,89</w:t>
                        </w:r>
                      </w:p>
                    </w:tc>
                    <w:tc>
                      <w:tcPr>
                        <w:tcW w:w="2694" w:type="dxa"/>
                        <w:shd w:val="clear" w:color="auto" w:fill="auto"/>
                        <w:vAlign w:val="center"/>
                      </w:tcPr>
                      <w:p w14:paraId="13E2A226"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27</w:t>
                        </w:r>
                      </w:p>
                    </w:tc>
                  </w:tr>
                  <w:tr w:rsidR="00C35318" w:rsidRPr="00366EF8" w14:paraId="6F6E518E" w14:textId="77777777" w:rsidTr="004D37D0">
                    <w:tc>
                      <w:tcPr>
                        <w:tcW w:w="1328" w:type="dxa"/>
                        <w:shd w:val="clear" w:color="auto" w:fill="auto"/>
                        <w:vAlign w:val="center"/>
                      </w:tcPr>
                      <w:p w14:paraId="7C62EFE1"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lastRenderedPageBreak/>
                          <w:t>2,93</w:t>
                        </w:r>
                      </w:p>
                    </w:tc>
                    <w:tc>
                      <w:tcPr>
                        <w:tcW w:w="2694" w:type="dxa"/>
                        <w:shd w:val="clear" w:color="auto" w:fill="auto"/>
                        <w:vAlign w:val="center"/>
                      </w:tcPr>
                      <w:p w14:paraId="7A998ACA"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28</w:t>
                        </w:r>
                      </w:p>
                    </w:tc>
                  </w:tr>
                  <w:tr w:rsidR="00C35318" w:rsidRPr="00366EF8" w14:paraId="51899FC1" w14:textId="77777777" w:rsidTr="004D37D0">
                    <w:tc>
                      <w:tcPr>
                        <w:tcW w:w="1328" w:type="dxa"/>
                        <w:shd w:val="clear" w:color="auto" w:fill="auto"/>
                        <w:vAlign w:val="center"/>
                      </w:tcPr>
                      <w:p w14:paraId="763B9D42"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2,96</w:t>
                        </w:r>
                      </w:p>
                    </w:tc>
                    <w:tc>
                      <w:tcPr>
                        <w:tcW w:w="2694" w:type="dxa"/>
                        <w:shd w:val="clear" w:color="auto" w:fill="auto"/>
                        <w:vAlign w:val="center"/>
                      </w:tcPr>
                      <w:p w14:paraId="680CE3BC"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29</w:t>
                        </w:r>
                      </w:p>
                    </w:tc>
                  </w:tr>
                  <w:tr w:rsidR="00C35318" w:rsidRPr="00366EF8" w14:paraId="1331C2F7" w14:textId="77777777" w:rsidTr="004D37D0">
                    <w:tc>
                      <w:tcPr>
                        <w:tcW w:w="1328" w:type="dxa"/>
                        <w:shd w:val="clear" w:color="auto" w:fill="auto"/>
                        <w:vAlign w:val="center"/>
                      </w:tcPr>
                      <w:p w14:paraId="27C27DA4"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3,0</w:t>
                        </w:r>
                      </w:p>
                    </w:tc>
                    <w:tc>
                      <w:tcPr>
                        <w:tcW w:w="2694" w:type="dxa"/>
                        <w:shd w:val="clear" w:color="auto" w:fill="auto"/>
                        <w:vAlign w:val="center"/>
                      </w:tcPr>
                      <w:p w14:paraId="6B5ABDD7" w14:textId="77777777" w:rsidR="00C35318" w:rsidRPr="00366EF8" w:rsidRDefault="00C35318" w:rsidP="00D465E4">
                        <w:pPr>
                          <w:tabs>
                            <w:tab w:val="left" w:pos="7371"/>
                          </w:tabs>
                          <w:spacing w:after="0" w:line="240" w:lineRule="auto"/>
                          <w:rPr>
                            <w:rFonts w:ascii="Times New Roman" w:hAnsi="Times New Roman"/>
                          </w:rPr>
                        </w:pPr>
                        <w:r w:rsidRPr="00366EF8">
                          <w:rPr>
                            <w:rFonts w:ascii="Times New Roman" w:hAnsi="Times New Roman"/>
                          </w:rPr>
                          <w:t>30</w:t>
                        </w:r>
                      </w:p>
                    </w:tc>
                  </w:tr>
                </w:tbl>
                <w:p w14:paraId="4DC633F4" w14:textId="77777777" w:rsidR="00C35318" w:rsidRPr="00171C37" w:rsidRDefault="00C35318" w:rsidP="00D465E4">
                  <w:pPr>
                    <w:tabs>
                      <w:tab w:val="left" w:pos="7371"/>
                    </w:tabs>
                    <w:spacing w:after="0" w:line="240" w:lineRule="auto"/>
                    <w:jc w:val="both"/>
                    <w:rPr>
                      <w:rFonts w:ascii="Times New Roman" w:hAnsi="Times New Roman"/>
                      <w:sz w:val="24"/>
                      <w:szCs w:val="24"/>
                    </w:rPr>
                  </w:pPr>
                </w:p>
                <w:p w14:paraId="39C8D0A4" w14:textId="7709836A" w:rsidR="008C37DB" w:rsidRPr="00171C37" w:rsidRDefault="006E351C" w:rsidP="00D465E4">
                  <w:pPr>
                    <w:tabs>
                      <w:tab w:val="left" w:pos="7371"/>
                    </w:tabs>
                    <w:spacing w:after="0" w:line="240" w:lineRule="auto"/>
                    <w:jc w:val="both"/>
                    <w:rPr>
                      <w:rFonts w:ascii="Times New Roman" w:hAnsi="Times New Roman"/>
                      <w:sz w:val="24"/>
                      <w:szCs w:val="24"/>
                    </w:rPr>
                  </w:pPr>
                  <w:r>
                    <w:rPr>
                      <w:rFonts w:ascii="Times New Roman" w:hAnsi="Times New Roman"/>
                      <w:sz w:val="24"/>
                      <w:szCs w:val="24"/>
                    </w:rPr>
                    <w:t>Līdz ar to</w:t>
                  </w:r>
                  <w:r w:rsidR="008C37DB" w:rsidRPr="00171C37">
                    <w:rPr>
                      <w:rFonts w:ascii="Times New Roman" w:hAnsi="Times New Roman"/>
                      <w:sz w:val="24"/>
                      <w:szCs w:val="24"/>
                    </w:rPr>
                    <w:t xml:space="preserve"> minimālais stundu skaits, ko eksperti veltīs studiju virzienu akreditācijas vizītes norisei, būs 8, bet maksimālais – 24.</w:t>
                  </w:r>
                </w:p>
              </w:tc>
            </w:tr>
            <w:tr w:rsidR="008C37DB" w:rsidRPr="00171C37" w14:paraId="0EEC82A4" w14:textId="77777777" w:rsidTr="004D37D0">
              <w:trPr>
                <w:trHeight w:val="487"/>
              </w:trPr>
              <w:tc>
                <w:tcPr>
                  <w:tcW w:w="834" w:type="dxa"/>
                </w:tcPr>
                <w:p w14:paraId="542A9A0B"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lastRenderedPageBreak/>
                    <w:t>3.</w:t>
                  </w:r>
                </w:p>
              </w:tc>
              <w:tc>
                <w:tcPr>
                  <w:tcW w:w="1417" w:type="dxa"/>
                </w:tcPr>
                <w:p w14:paraId="01648BEA"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He</w:t>
                  </w:r>
                  <w:proofErr w:type="spellEnd"/>
                  <w:r w:rsidRPr="00171C37">
                    <w:rPr>
                      <w:rFonts w:ascii="Times New Roman" w:hAnsi="Times New Roman"/>
                      <w:sz w:val="24"/>
                      <w:szCs w:val="24"/>
                    </w:rPr>
                    <w:t xml:space="preserve">, </w:t>
                  </w:r>
                  <w:proofErr w:type="spellStart"/>
                  <w:r w:rsidRPr="00171C37">
                    <w:rPr>
                      <w:rFonts w:ascii="Times New Roman" w:hAnsi="Times New Roman"/>
                      <w:sz w:val="24"/>
                      <w:szCs w:val="24"/>
                    </w:rPr>
                    <w:t>Hv</w:t>
                  </w:r>
                  <w:proofErr w:type="spellEnd"/>
                  <w:r w:rsidRPr="00171C37">
                    <w:rPr>
                      <w:rFonts w:ascii="Times New Roman" w:hAnsi="Times New Roman"/>
                      <w:sz w:val="24"/>
                      <w:szCs w:val="24"/>
                    </w:rPr>
                    <w:t xml:space="preserve">, </w:t>
                  </w:r>
                  <w:proofErr w:type="spellStart"/>
                  <w:r w:rsidRPr="00171C37">
                    <w:rPr>
                      <w:rFonts w:ascii="Times New Roman" w:hAnsi="Times New Roman"/>
                      <w:sz w:val="24"/>
                      <w:szCs w:val="24"/>
                    </w:rPr>
                    <w:t>Hs</w:t>
                  </w:r>
                  <w:proofErr w:type="spellEnd"/>
                </w:p>
              </w:tc>
              <w:tc>
                <w:tcPr>
                  <w:tcW w:w="1304" w:type="dxa"/>
                </w:tcPr>
                <w:p w14:paraId="0958436A" w14:textId="01EE97E8"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He</w:t>
                  </w:r>
                  <w:proofErr w:type="spellEnd"/>
                  <w:r w:rsidRPr="00171C37">
                    <w:rPr>
                      <w:rFonts w:ascii="Times New Roman" w:hAnsi="Times New Roman"/>
                      <w:sz w:val="24"/>
                      <w:szCs w:val="24"/>
                    </w:rPr>
                    <w:t xml:space="preserve"> = 24 (</w:t>
                  </w:r>
                  <w:r w:rsidR="0068644D">
                    <w:rPr>
                      <w:rFonts w:ascii="Times New Roman" w:hAnsi="Times New Roman"/>
                      <w:sz w:val="24"/>
                      <w:szCs w:val="24"/>
                    </w:rPr>
                    <w:t>augstskolas vai koledžas</w:t>
                  </w:r>
                  <w:r w:rsidR="0068644D" w:rsidRPr="00171C37">
                    <w:rPr>
                      <w:rFonts w:ascii="Times New Roman" w:hAnsi="Times New Roman"/>
                      <w:sz w:val="24"/>
                      <w:szCs w:val="24"/>
                    </w:rPr>
                    <w:t xml:space="preserve"> </w:t>
                  </w:r>
                  <w:r w:rsidRPr="00171C37">
                    <w:rPr>
                      <w:rFonts w:ascii="Times New Roman" w:hAnsi="Times New Roman"/>
                      <w:sz w:val="24"/>
                      <w:szCs w:val="24"/>
                    </w:rPr>
                    <w:t>akreditācijas gadījumā)</w:t>
                  </w:r>
                </w:p>
                <w:p w14:paraId="1A1EDDDA" w14:textId="39464426"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Hv</w:t>
                  </w:r>
                  <w:proofErr w:type="spellEnd"/>
                  <w:r w:rsidRPr="00171C37">
                    <w:rPr>
                      <w:rFonts w:ascii="Times New Roman" w:hAnsi="Times New Roman"/>
                      <w:sz w:val="24"/>
                      <w:szCs w:val="24"/>
                    </w:rPr>
                    <w:t xml:space="preserve"> = 32 (</w:t>
                  </w:r>
                  <w:r w:rsidR="0068644D">
                    <w:rPr>
                      <w:rFonts w:ascii="Times New Roman" w:hAnsi="Times New Roman"/>
                      <w:sz w:val="24"/>
                      <w:szCs w:val="24"/>
                    </w:rPr>
                    <w:t>augstskolas vai koledžas</w:t>
                  </w:r>
                  <w:r w:rsidRPr="00171C37">
                    <w:rPr>
                      <w:rFonts w:ascii="Times New Roman" w:hAnsi="Times New Roman"/>
                      <w:sz w:val="24"/>
                      <w:szCs w:val="24"/>
                    </w:rPr>
                    <w:t xml:space="preserve"> akreditācijas gadījumā)</w:t>
                  </w:r>
                </w:p>
                <w:p w14:paraId="2D31B6D8" w14:textId="57B1275E"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Hs</w:t>
                  </w:r>
                  <w:proofErr w:type="spellEnd"/>
                  <w:r w:rsidRPr="00171C37">
                    <w:rPr>
                      <w:rFonts w:ascii="Times New Roman" w:hAnsi="Times New Roman"/>
                      <w:sz w:val="24"/>
                      <w:szCs w:val="24"/>
                    </w:rPr>
                    <w:t xml:space="preserve"> = 32 (</w:t>
                  </w:r>
                  <w:r w:rsidR="0068644D">
                    <w:rPr>
                      <w:rFonts w:ascii="Times New Roman" w:hAnsi="Times New Roman"/>
                      <w:sz w:val="24"/>
                      <w:szCs w:val="24"/>
                    </w:rPr>
                    <w:t>augstskolas vai koledžas</w:t>
                  </w:r>
                  <w:r w:rsidR="0068644D" w:rsidRPr="00171C37">
                    <w:rPr>
                      <w:rFonts w:ascii="Times New Roman" w:hAnsi="Times New Roman"/>
                      <w:sz w:val="24"/>
                      <w:szCs w:val="24"/>
                    </w:rPr>
                    <w:t xml:space="preserve"> </w:t>
                  </w:r>
                  <w:r w:rsidRPr="00171C37">
                    <w:rPr>
                      <w:rFonts w:ascii="Times New Roman" w:hAnsi="Times New Roman"/>
                      <w:sz w:val="24"/>
                      <w:szCs w:val="24"/>
                    </w:rPr>
                    <w:t>akreditācijas gadījumā)</w:t>
                  </w:r>
                </w:p>
                <w:p w14:paraId="674058F7"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He</w:t>
                  </w:r>
                  <w:proofErr w:type="spellEnd"/>
                  <w:r w:rsidRPr="00171C37">
                    <w:rPr>
                      <w:rFonts w:ascii="Times New Roman" w:hAnsi="Times New Roman"/>
                      <w:sz w:val="24"/>
                      <w:szCs w:val="24"/>
                    </w:rPr>
                    <w:t xml:space="preserve"> = 8 (studiju virziena akreditācijas gadījumā)</w:t>
                  </w:r>
                </w:p>
                <w:p w14:paraId="2AA1F1C8"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Hv</w:t>
                  </w:r>
                  <w:proofErr w:type="spellEnd"/>
                  <w:r w:rsidRPr="00171C37">
                    <w:rPr>
                      <w:rFonts w:ascii="Times New Roman" w:hAnsi="Times New Roman"/>
                      <w:sz w:val="24"/>
                      <w:szCs w:val="24"/>
                    </w:rPr>
                    <w:t xml:space="preserve"> = 16 (studiju virziena akreditācijas gadījumā)</w:t>
                  </w:r>
                </w:p>
                <w:p w14:paraId="21C552FC"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Hs</w:t>
                  </w:r>
                  <w:proofErr w:type="spellEnd"/>
                  <w:r w:rsidRPr="00171C37">
                    <w:rPr>
                      <w:rFonts w:ascii="Times New Roman" w:hAnsi="Times New Roman"/>
                      <w:sz w:val="24"/>
                      <w:szCs w:val="24"/>
                    </w:rPr>
                    <w:t xml:space="preserve"> = 16 (studiju virziena akreditācijas gadījumā)</w:t>
                  </w:r>
                </w:p>
                <w:p w14:paraId="2A0D5268"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He</w:t>
                  </w:r>
                  <w:proofErr w:type="spellEnd"/>
                  <w:r w:rsidRPr="00171C37">
                    <w:rPr>
                      <w:rFonts w:ascii="Times New Roman" w:hAnsi="Times New Roman"/>
                      <w:sz w:val="24"/>
                      <w:szCs w:val="24"/>
                    </w:rPr>
                    <w:t xml:space="preserve"> = 8 (izmaiņu studiju virzienā izvērtēšanas gadījumā)</w:t>
                  </w:r>
                </w:p>
                <w:p w14:paraId="5C1F36D9" w14:textId="77777777" w:rsidR="008C37DB" w:rsidRPr="00171C37" w:rsidRDefault="008C37DB" w:rsidP="00D465E4">
                  <w:pPr>
                    <w:tabs>
                      <w:tab w:val="left" w:pos="7371"/>
                    </w:tabs>
                    <w:spacing w:after="0" w:line="240" w:lineRule="auto"/>
                    <w:rPr>
                      <w:rFonts w:ascii="Times New Roman" w:hAnsi="Times New Roman"/>
                      <w:sz w:val="24"/>
                      <w:szCs w:val="24"/>
                    </w:rPr>
                  </w:pPr>
                  <w:proofErr w:type="spellStart"/>
                  <w:r w:rsidRPr="00171C37">
                    <w:rPr>
                      <w:rFonts w:ascii="Times New Roman" w:hAnsi="Times New Roman"/>
                      <w:sz w:val="24"/>
                      <w:szCs w:val="24"/>
                    </w:rPr>
                    <w:t>He</w:t>
                  </w:r>
                  <w:proofErr w:type="spellEnd"/>
                  <w:r w:rsidRPr="00171C37">
                    <w:rPr>
                      <w:rFonts w:ascii="Times New Roman" w:hAnsi="Times New Roman"/>
                      <w:sz w:val="24"/>
                      <w:szCs w:val="24"/>
                    </w:rPr>
                    <w:t xml:space="preserve"> = 12 (studiju programmas licencēšanas gadījumā) </w:t>
                  </w:r>
                </w:p>
                <w:p w14:paraId="3487FF38" w14:textId="77777777" w:rsidR="008C37DB" w:rsidRPr="00171C37" w:rsidRDefault="008C37DB" w:rsidP="00D465E4">
                  <w:pPr>
                    <w:tabs>
                      <w:tab w:val="left" w:pos="7371"/>
                    </w:tabs>
                    <w:spacing w:after="0" w:line="240" w:lineRule="auto"/>
                    <w:rPr>
                      <w:rFonts w:ascii="Times New Roman" w:hAnsi="Times New Roman"/>
                      <w:sz w:val="24"/>
                      <w:szCs w:val="24"/>
                    </w:rPr>
                  </w:pPr>
                </w:p>
                <w:p w14:paraId="6056DFC2" w14:textId="77777777" w:rsidR="008C37DB" w:rsidRPr="00171C37" w:rsidRDefault="008C37DB" w:rsidP="00D465E4">
                  <w:pPr>
                    <w:tabs>
                      <w:tab w:val="left" w:pos="7371"/>
                    </w:tabs>
                    <w:spacing w:after="0" w:line="240" w:lineRule="auto"/>
                    <w:rPr>
                      <w:rFonts w:ascii="Times New Roman" w:hAnsi="Times New Roman"/>
                      <w:sz w:val="24"/>
                      <w:szCs w:val="24"/>
                    </w:rPr>
                  </w:pPr>
                </w:p>
              </w:tc>
              <w:tc>
                <w:tcPr>
                  <w:tcW w:w="4399" w:type="dxa"/>
                </w:tcPr>
                <w:p w14:paraId="7FD2FC33" w14:textId="2FCCA55B"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lastRenderedPageBreak/>
                    <w:t>Novērtēšanas komisijas ikviena eksperta darbs (</w:t>
                  </w:r>
                  <w:proofErr w:type="spellStart"/>
                  <w:r w:rsidRPr="00171C37">
                    <w:rPr>
                      <w:rFonts w:ascii="Times New Roman" w:hAnsi="Times New Roman"/>
                      <w:sz w:val="24"/>
                      <w:szCs w:val="24"/>
                    </w:rPr>
                    <w:t>He</w:t>
                  </w:r>
                  <w:proofErr w:type="spellEnd"/>
                  <w:r w:rsidRPr="00171C37">
                    <w:rPr>
                      <w:rFonts w:ascii="Times New Roman" w:hAnsi="Times New Roman"/>
                      <w:sz w:val="24"/>
                      <w:szCs w:val="24"/>
                    </w:rPr>
                    <w:t xml:space="preserve">), kas saistīts ar vizīti </w:t>
                  </w:r>
                  <w:r w:rsidR="0068644D">
                    <w:rPr>
                      <w:rFonts w:ascii="Times New Roman" w:hAnsi="Times New Roman"/>
                      <w:sz w:val="24"/>
                      <w:szCs w:val="24"/>
                    </w:rPr>
                    <w:t>augstskolā vai koledžā</w:t>
                  </w:r>
                  <w:r w:rsidRPr="00171C37">
                    <w:rPr>
                      <w:rFonts w:ascii="Times New Roman" w:hAnsi="Times New Roman"/>
                      <w:sz w:val="24"/>
                      <w:szCs w:val="24"/>
                    </w:rPr>
                    <w:t xml:space="preserve"> ilgst 3 dienas </w:t>
                  </w:r>
                  <w:r w:rsidR="00DA5586">
                    <w:rPr>
                      <w:rFonts w:ascii="Times New Roman" w:hAnsi="Times New Roman"/>
                      <w:sz w:val="24"/>
                      <w:szCs w:val="24"/>
                    </w:rPr>
                    <w:t>augstskolas vai koledžas</w:t>
                  </w:r>
                  <w:r w:rsidRPr="00171C37">
                    <w:rPr>
                      <w:rFonts w:ascii="Times New Roman" w:hAnsi="Times New Roman"/>
                      <w:sz w:val="24"/>
                      <w:szCs w:val="24"/>
                    </w:rPr>
                    <w:t xml:space="preserve"> akreditācijas gadījumā un 2-4 dienas studiju virziena novērtēšanas gadījumā</w:t>
                  </w:r>
                  <w:r w:rsidR="00780B08">
                    <w:rPr>
                      <w:rFonts w:ascii="Times New Roman" w:hAnsi="Times New Roman"/>
                      <w:sz w:val="24"/>
                      <w:szCs w:val="24"/>
                    </w:rPr>
                    <w:t>.</w:t>
                  </w:r>
                  <w:r w:rsidRPr="00171C37">
                    <w:rPr>
                      <w:rFonts w:ascii="Times New Roman" w:hAnsi="Times New Roman"/>
                      <w:sz w:val="24"/>
                      <w:szCs w:val="24"/>
                    </w:rPr>
                    <w:t xml:space="preserve"> </w:t>
                  </w:r>
                  <w:r w:rsidR="00780B08">
                    <w:rPr>
                      <w:rFonts w:ascii="Times New Roman" w:hAnsi="Times New Roman"/>
                      <w:sz w:val="24"/>
                      <w:szCs w:val="24"/>
                    </w:rPr>
                    <w:t>Vizītei</w:t>
                  </w:r>
                  <w:r w:rsidRPr="00171C37">
                    <w:rPr>
                      <w:rFonts w:ascii="Times New Roman" w:hAnsi="Times New Roman"/>
                      <w:sz w:val="24"/>
                      <w:szCs w:val="24"/>
                    </w:rPr>
                    <w:t xml:space="preserve"> ir trīs etapi: ievads (4 stundas - novērtēšanas komisijas ekspertu grupas un akreditācijas aģentūras iesaistīto amatpersonu sanāksme par veikto dokumentu analīzē balstīto </w:t>
                  </w:r>
                  <w:proofErr w:type="spellStart"/>
                  <w:r w:rsidRPr="00171C37">
                    <w:rPr>
                      <w:rFonts w:ascii="Times New Roman" w:hAnsi="Times New Roman"/>
                      <w:sz w:val="24"/>
                      <w:szCs w:val="24"/>
                    </w:rPr>
                    <w:t>priekšizpēti</w:t>
                  </w:r>
                  <w:proofErr w:type="spellEnd"/>
                  <w:r w:rsidRPr="00171C37">
                    <w:rPr>
                      <w:rFonts w:ascii="Times New Roman" w:hAnsi="Times New Roman"/>
                      <w:sz w:val="24"/>
                      <w:szCs w:val="24"/>
                    </w:rPr>
                    <w:t xml:space="preserve"> un sākotnējo novērtējumu), vizītes norise (16 stundas </w:t>
                  </w:r>
                  <w:r w:rsidR="00DA5586">
                    <w:rPr>
                      <w:rFonts w:ascii="Times New Roman" w:hAnsi="Times New Roman"/>
                      <w:sz w:val="24"/>
                      <w:szCs w:val="24"/>
                    </w:rPr>
                    <w:t>augstskolas vai koledžas</w:t>
                  </w:r>
                  <w:r w:rsidRPr="00171C37">
                    <w:rPr>
                      <w:rFonts w:ascii="Times New Roman" w:hAnsi="Times New Roman"/>
                      <w:sz w:val="24"/>
                      <w:szCs w:val="24"/>
                    </w:rPr>
                    <w:t xml:space="preserve"> akreditācijas gadījumā un 8-24 stundas studiju virziena novērtēšanas gadījumā) – tikšanās ar </w:t>
                  </w:r>
                  <w:r w:rsidR="0068644D">
                    <w:rPr>
                      <w:rFonts w:ascii="Times New Roman" w:hAnsi="Times New Roman"/>
                      <w:sz w:val="24"/>
                      <w:szCs w:val="24"/>
                    </w:rPr>
                    <w:t>augstskolas vai koledžas</w:t>
                  </w:r>
                  <w:r w:rsidRPr="00171C37">
                    <w:rPr>
                      <w:rFonts w:ascii="Times New Roman" w:hAnsi="Times New Roman"/>
                      <w:sz w:val="24"/>
                      <w:szCs w:val="24"/>
                    </w:rPr>
                    <w:t xml:space="preserve"> un tās galveno struktūrvienību vadību, kvalitātes vadības struktūrvienības vadītājiem, studējošo un akadēmiskā personāla pārstāvjiem, sadarbības partneriem, absolventiem, iepazīšanās ar materiāli tehnisko bāzi, studiju mācību un sadzīves apstākļiem, bibliotēku) un noslēgums (4 stundas), kuru laikā notiek noslēguma ziņojuma projekta izstrāde, tajā skaitā vērtējumu noteikšana un pamatošana, ieteikumu un </w:t>
                  </w:r>
                  <w:r w:rsidRPr="00171C37">
                    <w:rPr>
                      <w:rFonts w:ascii="Times New Roman" w:hAnsi="Times New Roman"/>
                      <w:sz w:val="24"/>
                      <w:szCs w:val="24"/>
                    </w:rPr>
                    <w:lastRenderedPageBreak/>
                    <w:t xml:space="preserve">rekomendāciju izstrāde. Līdzīgs vizītes </w:t>
                  </w:r>
                  <w:r w:rsidR="0068644D">
                    <w:rPr>
                      <w:rFonts w:ascii="Times New Roman" w:hAnsi="Times New Roman"/>
                      <w:sz w:val="24"/>
                      <w:szCs w:val="24"/>
                    </w:rPr>
                    <w:t>augstskolas vai koledžas</w:t>
                  </w:r>
                  <w:r w:rsidRPr="00171C37">
                    <w:rPr>
                      <w:rFonts w:ascii="Times New Roman" w:hAnsi="Times New Roman"/>
                      <w:sz w:val="24"/>
                      <w:szCs w:val="24"/>
                    </w:rPr>
                    <w:t xml:space="preserve"> plānojums ir arī, vērtējot izmaiņas studiju virzienā vai studiju programmas licencēšanas gadījumā. </w:t>
                  </w:r>
                </w:p>
                <w:p w14:paraId="5C2231DA"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26DF65D1" w14:textId="3451948D" w:rsidR="008C37DB" w:rsidRPr="00171C37" w:rsidRDefault="0068644D" w:rsidP="00D465E4">
                  <w:p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novērtēšanas komisijas vadītājam darbā (</w:t>
                  </w:r>
                  <w:proofErr w:type="spellStart"/>
                  <w:r w:rsidR="008C37DB" w:rsidRPr="00171C37">
                    <w:rPr>
                      <w:rFonts w:ascii="Times New Roman" w:hAnsi="Times New Roman"/>
                      <w:sz w:val="24"/>
                      <w:szCs w:val="24"/>
                    </w:rPr>
                    <w:t>Hv</w:t>
                  </w:r>
                  <w:proofErr w:type="spellEnd"/>
                  <w:r w:rsidR="008C37DB" w:rsidRPr="00171C37">
                    <w:rPr>
                      <w:rFonts w:ascii="Times New Roman" w:hAnsi="Times New Roman"/>
                      <w:sz w:val="24"/>
                      <w:szCs w:val="24"/>
                    </w:rPr>
                    <w:t>), kas saistīts ar vizīti augstskolā vai koledžā</w:t>
                  </w:r>
                  <w:r w:rsidR="00636413">
                    <w:rPr>
                      <w:rFonts w:ascii="Times New Roman" w:hAnsi="Times New Roman"/>
                      <w:sz w:val="24"/>
                      <w:szCs w:val="24"/>
                    </w:rPr>
                    <w:t xml:space="preserve"> vai studiju virziena</w:t>
                  </w:r>
                  <w:r w:rsidR="008C37DB" w:rsidRPr="00171C37">
                    <w:rPr>
                      <w:rFonts w:ascii="Times New Roman" w:hAnsi="Times New Roman"/>
                      <w:sz w:val="24"/>
                      <w:szCs w:val="24"/>
                    </w:rPr>
                    <w:t xml:space="preserve"> akreditācijas gadījumā ir papildus pienākumi un atbildība: novērtēšanas komisijas darba un tikšanās sarunu gaitas vadīšana, novērtējuma ziņojuma sagatavošanas vadība, ekspertu grupas viedokļu apmaiņas un diskusiju koordinēšana, komunikācijas ar </w:t>
                  </w:r>
                  <w:r>
                    <w:rPr>
                      <w:rFonts w:ascii="Times New Roman" w:hAnsi="Times New Roman"/>
                      <w:sz w:val="24"/>
                      <w:szCs w:val="24"/>
                    </w:rPr>
                    <w:t>augstskolu vai koledžu</w:t>
                  </w:r>
                  <w:r w:rsidR="008C37DB" w:rsidRPr="00171C37">
                    <w:rPr>
                      <w:rFonts w:ascii="Times New Roman" w:hAnsi="Times New Roman"/>
                      <w:sz w:val="24"/>
                      <w:szCs w:val="24"/>
                    </w:rPr>
                    <w:t xml:space="preserve"> par ekspertu atziņām vizītes norises laikā. Ir jāņem vērā, ka </w:t>
                  </w:r>
                  <w:r>
                    <w:rPr>
                      <w:rFonts w:ascii="Times New Roman" w:hAnsi="Times New Roman"/>
                      <w:sz w:val="24"/>
                      <w:szCs w:val="24"/>
                    </w:rPr>
                    <w:t>augstskolas vai koledžas</w:t>
                  </w:r>
                  <w:r w:rsidR="008C37DB" w:rsidRPr="00171C37">
                    <w:rPr>
                      <w:rFonts w:ascii="Times New Roman" w:hAnsi="Times New Roman"/>
                      <w:sz w:val="24"/>
                      <w:szCs w:val="24"/>
                    </w:rPr>
                    <w:t xml:space="preserve"> novērtēšanas komisijas vadītājam ir jābūt augsti kvalificētam un ar pieredzi </w:t>
                  </w:r>
                  <w:r>
                    <w:rPr>
                      <w:rFonts w:ascii="Times New Roman" w:hAnsi="Times New Roman"/>
                      <w:sz w:val="24"/>
                      <w:szCs w:val="24"/>
                    </w:rPr>
                    <w:t>augstskolas vai koledžas</w:t>
                  </w:r>
                  <w:r w:rsidR="008C37DB" w:rsidRPr="00171C37">
                    <w:rPr>
                      <w:rFonts w:ascii="Times New Roman" w:hAnsi="Times New Roman"/>
                      <w:sz w:val="24"/>
                      <w:szCs w:val="24"/>
                    </w:rPr>
                    <w:t xml:space="preserve"> akreditācijā, tādēļ apmaksas līmenim ir jābūt līdzvērtīgam un konkurētspējīgam salīdzinot ar citām </w:t>
                  </w:r>
                  <w:r w:rsidR="00246F08" w:rsidRPr="00246F08">
                    <w:rPr>
                      <w:rFonts w:ascii="Times New Roman" w:hAnsi="Times New Roman"/>
                      <w:sz w:val="24"/>
                      <w:szCs w:val="24"/>
                    </w:rPr>
                    <w:t>Eiropas augstākās izglītības kvalitātes nodrošināšanas reģistr</w:t>
                  </w:r>
                  <w:r w:rsidR="00246F08">
                    <w:rPr>
                      <w:rFonts w:ascii="Times New Roman" w:hAnsi="Times New Roman"/>
                      <w:sz w:val="24"/>
                      <w:szCs w:val="24"/>
                    </w:rPr>
                    <w:t xml:space="preserve">ā (turpmāk – </w:t>
                  </w:r>
                  <w:r w:rsidR="008C37DB" w:rsidRPr="00171C37">
                    <w:rPr>
                      <w:rFonts w:ascii="Times New Roman" w:hAnsi="Times New Roman"/>
                      <w:sz w:val="24"/>
                      <w:szCs w:val="24"/>
                    </w:rPr>
                    <w:t>EQAR</w:t>
                  </w:r>
                  <w:r w:rsidR="00246F08">
                    <w:rPr>
                      <w:rFonts w:ascii="Times New Roman" w:hAnsi="Times New Roman"/>
                      <w:sz w:val="24"/>
                      <w:szCs w:val="24"/>
                    </w:rPr>
                    <w:t>)</w:t>
                  </w:r>
                  <w:r w:rsidR="008C37DB" w:rsidRPr="00171C37">
                    <w:rPr>
                      <w:rFonts w:ascii="Times New Roman" w:hAnsi="Times New Roman"/>
                      <w:sz w:val="24"/>
                      <w:szCs w:val="24"/>
                    </w:rPr>
                    <w:t xml:space="preserve"> iekļautām akreditācijas aģentūrām.  </w:t>
                  </w:r>
                </w:p>
                <w:p w14:paraId="6351D2CC" w14:textId="77777777" w:rsidR="008C37DB" w:rsidRPr="00171C37" w:rsidRDefault="008C37DB" w:rsidP="00D465E4">
                  <w:pPr>
                    <w:tabs>
                      <w:tab w:val="left" w:pos="7371"/>
                    </w:tabs>
                    <w:spacing w:after="0" w:line="240" w:lineRule="auto"/>
                    <w:rPr>
                      <w:rFonts w:ascii="Times New Roman" w:hAnsi="Times New Roman"/>
                      <w:sz w:val="24"/>
                      <w:szCs w:val="24"/>
                    </w:rPr>
                  </w:pPr>
                </w:p>
                <w:p w14:paraId="5510CE13" w14:textId="2E476D51" w:rsidR="008C37DB" w:rsidRPr="00171C37" w:rsidRDefault="0068644D" w:rsidP="00D465E4">
                  <w:pPr>
                    <w:tabs>
                      <w:tab w:val="left" w:pos="7371"/>
                    </w:tabs>
                    <w:spacing w:after="0" w:line="240" w:lineRule="auto"/>
                    <w:jc w:val="both"/>
                    <w:rPr>
                      <w:rFonts w:ascii="Times New Roman" w:hAnsi="Times New Roman"/>
                      <w:sz w:val="24"/>
                      <w:szCs w:val="24"/>
                    </w:rPr>
                  </w:pPr>
                  <w:r>
                    <w:rPr>
                      <w:rFonts w:ascii="Times New Roman" w:hAnsi="Times New Roman"/>
                      <w:sz w:val="24"/>
                      <w:szCs w:val="24"/>
                    </w:rPr>
                    <w:t>Augstskolas vai koledžas,</w:t>
                  </w:r>
                  <w:r w:rsidR="008C37DB" w:rsidRPr="00171C37">
                    <w:rPr>
                      <w:rFonts w:ascii="Times New Roman" w:hAnsi="Times New Roman"/>
                      <w:sz w:val="24"/>
                      <w:szCs w:val="24"/>
                    </w:rPr>
                    <w:t xml:space="preserve"> vai studiju virziena novērtēšanas komisijas sekretāram darbā (</w:t>
                  </w:r>
                  <w:proofErr w:type="spellStart"/>
                  <w:r w:rsidR="008C37DB" w:rsidRPr="00171C37">
                    <w:rPr>
                      <w:rFonts w:ascii="Times New Roman" w:hAnsi="Times New Roman"/>
                      <w:sz w:val="24"/>
                      <w:szCs w:val="24"/>
                    </w:rPr>
                    <w:t>Hs</w:t>
                  </w:r>
                  <w:proofErr w:type="spellEnd"/>
                  <w:r w:rsidR="008C37DB" w:rsidRPr="00171C37">
                    <w:rPr>
                      <w:rFonts w:ascii="Times New Roman" w:hAnsi="Times New Roman"/>
                      <w:sz w:val="24"/>
                      <w:szCs w:val="24"/>
                    </w:rPr>
                    <w:t xml:space="preserve">), kas saistīts ar vizīti augstskolā vai koledžā </w:t>
                  </w:r>
                  <w:r w:rsidR="00AC6351">
                    <w:rPr>
                      <w:rFonts w:ascii="Times New Roman" w:hAnsi="Times New Roman"/>
                      <w:sz w:val="24"/>
                      <w:szCs w:val="24"/>
                    </w:rPr>
                    <w:t xml:space="preserve"> vai studiju </w:t>
                  </w:r>
                  <w:r w:rsidR="00AC6351">
                    <w:rPr>
                      <w:rFonts w:ascii="Times New Roman" w:hAnsi="Times New Roman"/>
                      <w:sz w:val="24"/>
                      <w:szCs w:val="24"/>
                    </w:rPr>
                    <w:lastRenderedPageBreak/>
                    <w:t>virziena</w:t>
                  </w:r>
                  <w:r w:rsidR="008C37DB" w:rsidRPr="00171C37">
                    <w:rPr>
                      <w:rFonts w:ascii="Times New Roman" w:hAnsi="Times New Roman"/>
                      <w:sz w:val="24"/>
                      <w:szCs w:val="24"/>
                    </w:rPr>
                    <w:t xml:space="preserve"> akreditācijas gadījumā ir papildus pienākumi un atbildība: protokolēt, dokumentēt un apkopot vizītes norises gaitā konstatētos faktus, viedokļus, formulēt </w:t>
                  </w:r>
                  <w:r>
                    <w:rPr>
                      <w:rFonts w:ascii="Times New Roman" w:hAnsi="Times New Roman"/>
                      <w:sz w:val="24"/>
                      <w:szCs w:val="24"/>
                    </w:rPr>
                    <w:t>augstskolas vai koledžas,</w:t>
                  </w:r>
                  <w:r w:rsidRPr="00171C37">
                    <w:rPr>
                      <w:rFonts w:ascii="Times New Roman" w:hAnsi="Times New Roman"/>
                      <w:sz w:val="24"/>
                      <w:szCs w:val="24"/>
                    </w:rPr>
                    <w:t xml:space="preserve"> </w:t>
                  </w:r>
                  <w:r w:rsidR="008C37DB" w:rsidRPr="00171C37">
                    <w:rPr>
                      <w:rFonts w:ascii="Times New Roman" w:hAnsi="Times New Roman"/>
                      <w:sz w:val="24"/>
                      <w:szCs w:val="24"/>
                    </w:rPr>
                    <w:t xml:space="preserve">vai studiju virziena novērtēšanas komisijas atziņas kopējā ziņojumā, veikt tehnisko darbu ziņojuma teksta saskaņošanā un virzīšanā, tādēļ komisijas sekretāram ir jāparedz lielāks darba stundu skaits. </w:t>
                  </w:r>
                </w:p>
                <w:p w14:paraId="00BE934F" w14:textId="35DB37AA" w:rsidR="008C37DB" w:rsidRPr="00171C37" w:rsidRDefault="008C37DB" w:rsidP="00D465E4">
                  <w:pPr>
                    <w:pStyle w:val="ListParagraph"/>
                    <w:tabs>
                      <w:tab w:val="left" w:pos="7371"/>
                    </w:tabs>
                    <w:spacing w:after="0" w:line="240" w:lineRule="auto"/>
                    <w:ind w:left="0"/>
                    <w:jc w:val="both"/>
                    <w:rPr>
                      <w:rFonts w:ascii="Times New Roman" w:hAnsi="Times New Roman"/>
                      <w:sz w:val="24"/>
                      <w:szCs w:val="24"/>
                    </w:rPr>
                  </w:pPr>
                  <w:r w:rsidRPr="00171C37">
                    <w:rPr>
                      <w:rFonts w:ascii="Times New Roman" w:hAnsi="Times New Roman"/>
                      <w:sz w:val="24"/>
                      <w:szCs w:val="24"/>
                    </w:rPr>
                    <w:t xml:space="preserve">Izmaiņu studiju virzienā novērtēšanai eksperts iepazīstas dodas vizītē uz </w:t>
                  </w:r>
                  <w:r w:rsidR="0068644D">
                    <w:rPr>
                      <w:rFonts w:ascii="Times New Roman" w:hAnsi="Times New Roman"/>
                      <w:sz w:val="24"/>
                      <w:szCs w:val="24"/>
                    </w:rPr>
                    <w:t>augstskolu vai koledžu</w:t>
                  </w:r>
                  <w:r w:rsidRPr="00171C37">
                    <w:rPr>
                      <w:rFonts w:ascii="Times New Roman" w:hAnsi="Times New Roman"/>
                      <w:sz w:val="24"/>
                      <w:szCs w:val="24"/>
                    </w:rPr>
                    <w:t xml:space="preserve"> (ja tāda ir nepieciešama), veic </w:t>
                  </w:r>
                  <w:r w:rsidR="0068644D">
                    <w:rPr>
                      <w:rFonts w:ascii="Times New Roman" w:hAnsi="Times New Roman"/>
                      <w:sz w:val="24"/>
                      <w:szCs w:val="24"/>
                    </w:rPr>
                    <w:t>augstskolas vai koledžas</w:t>
                  </w:r>
                  <w:r w:rsidRPr="00171C37">
                    <w:rPr>
                      <w:rFonts w:ascii="Times New Roman" w:hAnsi="Times New Roman"/>
                      <w:sz w:val="24"/>
                      <w:szCs w:val="24"/>
                    </w:rPr>
                    <w:t xml:space="preserve"> iesniegumā un iesniegtajos materiālos atspoguļoto ziņu </w:t>
                  </w:r>
                  <w:proofErr w:type="spellStart"/>
                  <w:r w:rsidRPr="00171C37">
                    <w:rPr>
                      <w:rFonts w:ascii="Times New Roman" w:hAnsi="Times New Roman"/>
                      <w:sz w:val="24"/>
                      <w:szCs w:val="24"/>
                    </w:rPr>
                    <w:t>izvērtējumu</w:t>
                  </w:r>
                  <w:proofErr w:type="spellEnd"/>
                  <w:r w:rsidRPr="00171C37">
                    <w:rPr>
                      <w:rFonts w:ascii="Times New Roman" w:hAnsi="Times New Roman"/>
                      <w:sz w:val="24"/>
                      <w:szCs w:val="24"/>
                    </w:rPr>
                    <w:t xml:space="preserve"> ar mērķi izdarīt secinājumu par izmaiņu pieļaujamību un to potenciālo ietekmi uz studiju programmas kvalitāti, studiju rezultātu sasniegšanas iespējamību, atbilstību normatīvajos aktos noteiktajām prasībām studiju programmu īstenošanai un sagatavo atzinumu Studiju akreditācijas komisijai, izsakot argumentētu viedokli par </w:t>
                  </w:r>
                  <w:r w:rsidR="0068644D">
                    <w:rPr>
                      <w:rFonts w:ascii="Times New Roman" w:hAnsi="Times New Roman"/>
                      <w:sz w:val="24"/>
                      <w:szCs w:val="24"/>
                    </w:rPr>
                    <w:t>augstskolas vai koledžas</w:t>
                  </w:r>
                  <w:r w:rsidRPr="00171C37">
                    <w:rPr>
                      <w:rFonts w:ascii="Times New Roman" w:hAnsi="Times New Roman"/>
                      <w:sz w:val="24"/>
                      <w:szCs w:val="24"/>
                    </w:rPr>
                    <w:t xml:space="preserve"> iesniegumā minēto izmaiņu pieļaujamību.</w:t>
                  </w:r>
                </w:p>
                <w:p w14:paraId="2A260076" w14:textId="77777777" w:rsidR="008C37DB" w:rsidRPr="00171C37" w:rsidRDefault="008C37DB" w:rsidP="00D465E4">
                  <w:pPr>
                    <w:tabs>
                      <w:tab w:val="left" w:pos="7371"/>
                    </w:tabs>
                    <w:spacing w:after="0" w:line="240" w:lineRule="auto"/>
                    <w:jc w:val="both"/>
                    <w:rPr>
                      <w:rFonts w:ascii="Times New Roman" w:hAnsi="Times New Roman"/>
                      <w:sz w:val="24"/>
                      <w:szCs w:val="24"/>
                    </w:rPr>
                  </w:pPr>
                </w:p>
              </w:tc>
            </w:tr>
            <w:tr w:rsidR="008C37DB" w:rsidRPr="00171C37" w14:paraId="53D8D83A" w14:textId="77777777" w:rsidTr="004D37D0">
              <w:tc>
                <w:tcPr>
                  <w:tcW w:w="834" w:type="dxa"/>
                </w:tcPr>
                <w:p w14:paraId="225C8F68" w14:textId="77777777" w:rsidR="008C37DB" w:rsidRPr="00171C37" w:rsidRDefault="008C37DB" w:rsidP="00D465E4">
                  <w:pPr>
                    <w:pStyle w:val="ListParagraph"/>
                    <w:numPr>
                      <w:ilvl w:val="0"/>
                      <w:numId w:val="14"/>
                    </w:numPr>
                    <w:tabs>
                      <w:tab w:val="left" w:pos="7371"/>
                    </w:tabs>
                    <w:spacing w:after="0" w:line="240" w:lineRule="auto"/>
                    <w:rPr>
                      <w:rFonts w:ascii="Times New Roman" w:eastAsia="Times New Roman" w:hAnsi="Times New Roman"/>
                      <w:sz w:val="24"/>
                      <w:szCs w:val="24"/>
                      <w:lang w:eastAsia="lv-LV"/>
                    </w:rPr>
                  </w:pPr>
                </w:p>
              </w:tc>
              <w:tc>
                <w:tcPr>
                  <w:tcW w:w="1417" w:type="dxa"/>
                </w:tcPr>
                <w:p w14:paraId="53F63EFE"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C</w:t>
                  </w:r>
                </w:p>
              </w:tc>
              <w:tc>
                <w:tcPr>
                  <w:tcW w:w="1304" w:type="dxa"/>
                </w:tcPr>
                <w:p w14:paraId="28DB6CEE" w14:textId="29BE13DF"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49,44 </w:t>
                  </w:r>
                  <w:proofErr w:type="spellStart"/>
                  <w:r w:rsidR="00867271" w:rsidRPr="00644DAD">
                    <w:rPr>
                      <w:rFonts w:ascii="Times New Roman" w:hAnsi="Times New Roman"/>
                      <w:i/>
                      <w:sz w:val="24"/>
                      <w:szCs w:val="24"/>
                    </w:rPr>
                    <w:t>euro</w:t>
                  </w:r>
                  <w:proofErr w:type="spellEnd"/>
                </w:p>
              </w:tc>
              <w:tc>
                <w:tcPr>
                  <w:tcW w:w="4399" w:type="dxa"/>
                </w:tcPr>
                <w:p w14:paraId="04EEAFBF" w14:textId="77777777"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Eksperta vienas stundas darba samaksa pirms nodokļu nomaksas.</w:t>
                  </w:r>
                </w:p>
              </w:tc>
            </w:tr>
            <w:tr w:rsidR="008C37DB" w:rsidRPr="00171C37" w14:paraId="34671CF4" w14:textId="77777777" w:rsidTr="004D37D0">
              <w:tc>
                <w:tcPr>
                  <w:tcW w:w="834" w:type="dxa"/>
                </w:tcPr>
                <w:p w14:paraId="40EBF87F"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5.</w:t>
                  </w:r>
                </w:p>
              </w:tc>
              <w:tc>
                <w:tcPr>
                  <w:tcW w:w="1417" w:type="dxa"/>
                </w:tcPr>
                <w:p w14:paraId="37A8E84B"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E</w:t>
                  </w:r>
                </w:p>
              </w:tc>
              <w:tc>
                <w:tcPr>
                  <w:tcW w:w="1304" w:type="dxa"/>
                </w:tcPr>
                <w:p w14:paraId="65E45C03" w14:textId="35F33F8A"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7 </w:t>
                  </w:r>
                  <w:r w:rsidR="0068644D">
                    <w:rPr>
                      <w:rFonts w:ascii="Times New Roman" w:hAnsi="Times New Roman"/>
                      <w:sz w:val="24"/>
                      <w:szCs w:val="24"/>
                    </w:rPr>
                    <w:t>augstskolas vai koledžas</w:t>
                  </w:r>
                  <w:r w:rsidR="0068644D" w:rsidRPr="00171C37">
                    <w:rPr>
                      <w:rFonts w:ascii="Times New Roman" w:hAnsi="Times New Roman"/>
                      <w:sz w:val="24"/>
                      <w:szCs w:val="24"/>
                    </w:rPr>
                    <w:t xml:space="preserve"> </w:t>
                  </w:r>
                  <w:r w:rsidRPr="00171C37">
                    <w:rPr>
                      <w:rFonts w:ascii="Times New Roman" w:hAnsi="Times New Roman"/>
                      <w:sz w:val="24"/>
                      <w:szCs w:val="24"/>
                    </w:rPr>
                    <w:lastRenderedPageBreak/>
                    <w:t>akreditācijas gadījumā</w:t>
                  </w:r>
                </w:p>
                <w:p w14:paraId="04AAC5F8" w14:textId="77777777" w:rsidR="008C37DB" w:rsidRPr="00171C37" w:rsidRDefault="008C37DB" w:rsidP="00D465E4">
                  <w:pPr>
                    <w:tabs>
                      <w:tab w:val="left" w:pos="7371"/>
                    </w:tabs>
                    <w:spacing w:after="0" w:line="240" w:lineRule="auto"/>
                    <w:rPr>
                      <w:rFonts w:ascii="Times New Roman" w:hAnsi="Times New Roman"/>
                      <w:sz w:val="24"/>
                      <w:szCs w:val="24"/>
                    </w:rPr>
                  </w:pPr>
                </w:p>
                <w:p w14:paraId="26797DA2"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5 studiju virziena akreditācijas gadījumā</w:t>
                  </w:r>
                </w:p>
                <w:p w14:paraId="1DD56EB8" w14:textId="77777777" w:rsidR="008C37DB" w:rsidRPr="00171C37" w:rsidRDefault="008C37DB" w:rsidP="00D465E4">
                  <w:pPr>
                    <w:tabs>
                      <w:tab w:val="left" w:pos="7371"/>
                    </w:tabs>
                    <w:spacing w:after="0" w:line="240" w:lineRule="auto"/>
                    <w:rPr>
                      <w:rFonts w:ascii="Times New Roman" w:hAnsi="Times New Roman"/>
                      <w:sz w:val="24"/>
                      <w:szCs w:val="24"/>
                    </w:rPr>
                  </w:pPr>
                </w:p>
                <w:p w14:paraId="20054B88"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1 izmaiņu studiju virzienā novērtēšanai </w:t>
                  </w:r>
                </w:p>
                <w:p w14:paraId="062F6D36" w14:textId="77777777" w:rsidR="008C37DB" w:rsidRPr="00171C37" w:rsidRDefault="008C37DB" w:rsidP="00D465E4">
                  <w:pPr>
                    <w:tabs>
                      <w:tab w:val="left" w:pos="7371"/>
                    </w:tabs>
                    <w:spacing w:after="0" w:line="240" w:lineRule="auto"/>
                    <w:rPr>
                      <w:rFonts w:ascii="Times New Roman" w:hAnsi="Times New Roman"/>
                      <w:sz w:val="24"/>
                      <w:szCs w:val="24"/>
                    </w:rPr>
                  </w:pPr>
                </w:p>
                <w:p w14:paraId="647D6B0F"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2 studiju programmas licencēšanas gadījumā</w:t>
                  </w:r>
                </w:p>
                <w:p w14:paraId="3A81125D" w14:textId="77777777" w:rsidR="008C37DB" w:rsidRPr="00171C37" w:rsidRDefault="008C37DB" w:rsidP="00D465E4">
                  <w:pPr>
                    <w:tabs>
                      <w:tab w:val="left" w:pos="7371"/>
                    </w:tabs>
                    <w:spacing w:after="0" w:line="240" w:lineRule="auto"/>
                    <w:rPr>
                      <w:rFonts w:ascii="Times New Roman" w:hAnsi="Times New Roman"/>
                      <w:sz w:val="24"/>
                      <w:szCs w:val="24"/>
                    </w:rPr>
                  </w:pPr>
                </w:p>
                <w:p w14:paraId="04AA538E" w14:textId="77777777" w:rsidR="008C37DB" w:rsidRPr="00171C37" w:rsidRDefault="008C37DB" w:rsidP="00D465E4">
                  <w:pPr>
                    <w:tabs>
                      <w:tab w:val="left" w:pos="7371"/>
                    </w:tabs>
                    <w:spacing w:after="0" w:line="240" w:lineRule="auto"/>
                    <w:rPr>
                      <w:rFonts w:ascii="Times New Roman" w:hAnsi="Times New Roman"/>
                      <w:sz w:val="24"/>
                      <w:szCs w:val="24"/>
                    </w:rPr>
                  </w:pPr>
                </w:p>
              </w:tc>
              <w:tc>
                <w:tcPr>
                  <w:tcW w:w="4399" w:type="dxa"/>
                </w:tcPr>
                <w:p w14:paraId="155412EE" w14:textId="4FD94F3F"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lastRenderedPageBreak/>
                    <w:t xml:space="preserve">Ekspertu skaits, kas piedalās studiju virziena novērtēšanā. Ministru </w:t>
                  </w:r>
                  <w:r w:rsidRPr="00171C37">
                    <w:rPr>
                      <w:rFonts w:ascii="Times New Roman" w:hAnsi="Times New Roman"/>
                      <w:sz w:val="24"/>
                      <w:szCs w:val="24"/>
                    </w:rPr>
                    <w:lastRenderedPageBreak/>
                    <w:t xml:space="preserve">kabineta noteikumu projektā “Augstskolu, koledžu un studiju virzienu akreditācijas noteikumi” noteikts, ka </w:t>
                  </w:r>
                  <w:r w:rsidR="0068644D">
                    <w:rPr>
                      <w:rFonts w:ascii="Times New Roman" w:hAnsi="Times New Roman"/>
                      <w:sz w:val="24"/>
                      <w:szCs w:val="24"/>
                    </w:rPr>
                    <w:t>augstskolas vai koledžas</w:t>
                  </w:r>
                  <w:r w:rsidRPr="00171C37">
                    <w:rPr>
                      <w:rFonts w:ascii="Times New Roman" w:hAnsi="Times New Roman"/>
                      <w:sz w:val="24"/>
                      <w:szCs w:val="24"/>
                    </w:rPr>
                    <w:t xml:space="preserve"> novērtēšanu veic komisija 7 ekspertu sastāvā, savukārt studiju virzienu novērtēšanu veic novērtēšanas komisija 5 ekspertu sastāvā, savukārt izmaiņas studiju virzienā izvērtē 1 eksperts. Studiju programmas novērtējumu licencēšanai veic 2 eksperti.</w:t>
                  </w:r>
                </w:p>
                <w:p w14:paraId="5566EB9B"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68698D85" w14:textId="77777777" w:rsidR="008C37DB" w:rsidRPr="00171C37" w:rsidRDefault="008C37DB" w:rsidP="00D465E4">
                  <w:pPr>
                    <w:pStyle w:val="ListParagraph"/>
                    <w:tabs>
                      <w:tab w:val="left" w:pos="7371"/>
                    </w:tabs>
                    <w:spacing w:after="0" w:line="240" w:lineRule="auto"/>
                    <w:ind w:left="0"/>
                    <w:jc w:val="both"/>
                    <w:rPr>
                      <w:rFonts w:ascii="Times New Roman" w:hAnsi="Times New Roman"/>
                      <w:sz w:val="24"/>
                      <w:szCs w:val="24"/>
                    </w:rPr>
                  </w:pPr>
                </w:p>
              </w:tc>
            </w:tr>
            <w:tr w:rsidR="008C37DB" w:rsidRPr="00171C37" w14:paraId="5188D709" w14:textId="77777777" w:rsidTr="004D37D0">
              <w:tc>
                <w:tcPr>
                  <w:tcW w:w="834" w:type="dxa"/>
                </w:tcPr>
                <w:p w14:paraId="72CE9D38"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lastRenderedPageBreak/>
                    <w:t>6.</w:t>
                  </w:r>
                </w:p>
              </w:tc>
              <w:tc>
                <w:tcPr>
                  <w:tcW w:w="1417" w:type="dxa"/>
                </w:tcPr>
                <w:p w14:paraId="7B7272B6"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K</w:t>
                  </w:r>
                </w:p>
              </w:tc>
              <w:tc>
                <w:tcPr>
                  <w:tcW w:w="1304" w:type="dxa"/>
                </w:tcPr>
                <w:p w14:paraId="70A7BC9B"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1,3</w:t>
                  </w:r>
                </w:p>
              </w:tc>
              <w:tc>
                <w:tcPr>
                  <w:tcW w:w="4399" w:type="dxa"/>
                </w:tcPr>
                <w:p w14:paraId="6DFB7653" w14:textId="5EC213FA"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 xml:space="preserve">Koeficients </w:t>
                  </w:r>
                  <w:r w:rsidR="0068644D">
                    <w:rPr>
                      <w:rFonts w:ascii="Times New Roman" w:hAnsi="Times New Roman"/>
                      <w:sz w:val="24"/>
                      <w:szCs w:val="24"/>
                    </w:rPr>
                    <w:t>augstskolas vai koledžas</w:t>
                  </w:r>
                  <w:r w:rsidRPr="00171C37">
                    <w:rPr>
                      <w:rFonts w:ascii="Times New Roman" w:hAnsi="Times New Roman"/>
                      <w:sz w:val="24"/>
                      <w:szCs w:val="24"/>
                    </w:rPr>
                    <w:t xml:space="preserve"> un studiju virziena akreditācijas procesa administratīvā darba nodrošināšanai.</w:t>
                  </w:r>
                </w:p>
                <w:p w14:paraId="62F73D45" w14:textId="77777777" w:rsidR="008C37DB" w:rsidRPr="00171C37" w:rsidRDefault="008C37DB" w:rsidP="00D465E4">
                  <w:pPr>
                    <w:tabs>
                      <w:tab w:val="left" w:pos="7371"/>
                    </w:tabs>
                    <w:spacing w:after="0" w:line="240" w:lineRule="auto"/>
                    <w:jc w:val="both"/>
                    <w:rPr>
                      <w:rFonts w:ascii="Times New Roman" w:hAnsi="Times New Roman"/>
                      <w:sz w:val="24"/>
                      <w:szCs w:val="24"/>
                    </w:rPr>
                  </w:pPr>
                </w:p>
                <w:p w14:paraId="41F6684B" w14:textId="3EA42624"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Informācijas apjoms, kas ir jāapstrādā un jāsagat</w:t>
                  </w:r>
                  <w:r w:rsidR="00473C87">
                    <w:rPr>
                      <w:rFonts w:ascii="Times New Roman" w:hAnsi="Times New Roman"/>
                      <w:sz w:val="24"/>
                      <w:szCs w:val="24"/>
                    </w:rPr>
                    <w:t>a</w:t>
                  </w:r>
                  <w:r w:rsidRPr="00171C37">
                    <w:rPr>
                      <w:rFonts w:ascii="Times New Roman" w:hAnsi="Times New Roman"/>
                      <w:sz w:val="24"/>
                      <w:szCs w:val="24"/>
                    </w:rPr>
                    <w:t xml:space="preserve">vo ikvienam akreditācijas vai licencēšanas gadījumam, ir mainīgs un atkarīgs no studiju programmu skaita studiju virzienā vai studējošo skaita </w:t>
                  </w:r>
                  <w:r w:rsidR="0068644D">
                    <w:rPr>
                      <w:rFonts w:ascii="Times New Roman" w:hAnsi="Times New Roman"/>
                      <w:sz w:val="24"/>
                      <w:szCs w:val="24"/>
                    </w:rPr>
                    <w:t>augstskolā vai koledžā</w:t>
                  </w:r>
                  <w:r w:rsidRPr="00171C37">
                    <w:rPr>
                      <w:rFonts w:ascii="Times New Roman" w:hAnsi="Times New Roman"/>
                      <w:sz w:val="24"/>
                      <w:szCs w:val="24"/>
                    </w:rPr>
                    <w:t xml:space="preserve">.   Ir jāņem vērā ienākumu no akreditācijas vai licencēšanas neregularitāte, savukārt akreditācijas aģentūras darba kvalitāte ir jāuztur nemainīgi augsta. </w:t>
                  </w:r>
                  <w:r w:rsidR="00473C87">
                    <w:rPr>
                      <w:rFonts w:ascii="Times New Roman" w:hAnsi="Times New Roman"/>
                      <w:sz w:val="24"/>
                      <w:szCs w:val="24"/>
                    </w:rPr>
                    <w:t>AIC kā a</w:t>
                  </w:r>
                  <w:r w:rsidRPr="00171C37">
                    <w:rPr>
                      <w:rFonts w:ascii="Times New Roman" w:hAnsi="Times New Roman"/>
                      <w:sz w:val="24"/>
                      <w:szCs w:val="24"/>
                    </w:rPr>
                    <w:t xml:space="preserve">kreditācijas aģentūrai ir jāstiprina sava darba kvalitāte un ilgtspēja, lai tās sniegtie pakalpojumi Latvijas augstākās izglītības sistēmai kopumā un ikvienai </w:t>
                  </w:r>
                  <w:r w:rsidR="0068644D">
                    <w:rPr>
                      <w:rFonts w:ascii="Times New Roman" w:hAnsi="Times New Roman"/>
                      <w:sz w:val="24"/>
                      <w:szCs w:val="24"/>
                    </w:rPr>
                    <w:t>augstskolai vai koledžai</w:t>
                  </w:r>
                  <w:r w:rsidRPr="00171C37">
                    <w:rPr>
                      <w:rFonts w:ascii="Times New Roman" w:hAnsi="Times New Roman"/>
                      <w:sz w:val="24"/>
                      <w:szCs w:val="24"/>
                    </w:rPr>
                    <w:t xml:space="preserve"> dotu maksimālu ieguvumu, sniedzot augstas raudzes ekspertīzi </w:t>
                  </w:r>
                  <w:r w:rsidR="0068644D">
                    <w:rPr>
                      <w:rFonts w:ascii="Times New Roman" w:hAnsi="Times New Roman"/>
                      <w:sz w:val="24"/>
                      <w:szCs w:val="24"/>
                    </w:rPr>
                    <w:lastRenderedPageBreak/>
                    <w:t>augstskolas vai koledžas,</w:t>
                  </w:r>
                  <w:r w:rsidRPr="00171C37">
                    <w:rPr>
                      <w:rFonts w:ascii="Times New Roman" w:hAnsi="Times New Roman"/>
                      <w:sz w:val="24"/>
                      <w:szCs w:val="24"/>
                    </w:rPr>
                    <w:t xml:space="preserve"> vai studiju virziena attīstībai, kā arī pastāvīgu analītisku, konsultatīvu darbu augstākās izglītības kvalitātes paaugstināšanai. Tieši </w:t>
                  </w:r>
                  <w:r w:rsidR="0068644D">
                    <w:rPr>
                      <w:rFonts w:ascii="Times New Roman" w:hAnsi="Times New Roman"/>
                      <w:sz w:val="24"/>
                      <w:szCs w:val="24"/>
                    </w:rPr>
                    <w:t>augstskolas vai koledžas</w:t>
                  </w:r>
                  <w:r w:rsidRPr="00171C37">
                    <w:rPr>
                      <w:rFonts w:ascii="Times New Roman" w:hAnsi="Times New Roman"/>
                      <w:sz w:val="24"/>
                      <w:szCs w:val="24"/>
                    </w:rPr>
                    <w:t xml:space="preserve"> ir galvenie ieguvēji no kvalitatīvas akreditācijas aģentūras darbības, līdz ar to tām jābūt visvairāk ieinteresētām kvalitatīvos akreditācija aģentūras pakalpojumos, jo saņem individuāli katram izvērtējamam gadījumam veiktu ekspertīzi, ko var īstenot tikai tāda institūcija, kura ir neatkarīga un profesionāla. </w:t>
                  </w:r>
                </w:p>
                <w:p w14:paraId="250BD220" w14:textId="28308419" w:rsidR="008C37DB" w:rsidRPr="00171C37" w:rsidRDefault="008C37DB" w:rsidP="00D465E4">
                  <w:pPr>
                    <w:tabs>
                      <w:tab w:val="left" w:pos="7371"/>
                    </w:tabs>
                    <w:spacing w:after="0" w:line="240" w:lineRule="auto"/>
                    <w:jc w:val="both"/>
                    <w:rPr>
                      <w:rFonts w:ascii="Times New Roman" w:hAnsi="Times New Roman"/>
                      <w:sz w:val="24"/>
                      <w:szCs w:val="24"/>
                    </w:rPr>
                  </w:pPr>
                  <w:r w:rsidRPr="00171C37">
                    <w:rPr>
                      <w:rFonts w:ascii="Times New Roman" w:hAnsi="Times New Roman"/>
                      <w:sz w:val="24"/>
                      <w:szCs w:val="24"/>
                    </w:rPr>
                    <w:t>Akreditācijas aģentūras kapacitātei ir jāsasniedz tāds līmenis, lai tā iekļau</w:t>
                  </w:r>
                  <w:r w:rsidR="00AC5845">
                    <w:rPr>
                      <w:rFonts w:ascii="Times New Roman" w:hAnsi="Times New Roman"/>
                      <w:sz w:val="24"/>
                      <w:szCs w:val="24"/>
                    </w:rPr>
                    <w:t>tos EQAR</w:t>
                  </w:r>
                  <w:r w:rsidRPr="00171C37">
                    <w:rPr>
                      <w:rFonts w:ascii="Times New Roman" w:hAnsi="Times New Roman"/>
                      <w:sz w:val="24"/>
                      <w:szCs w:val="24"/>
                    </w:rPr>
                    <w:t xml:space="preserve">, ENQA, </w:t>
                  </w:r>
                  <w:r w:rsidR="00DB3F54">
                    <w:rPr>
                      <w:rFonts w:ascii="Times New Roman" w:hAnsi="Times New Roman"/>
                      <w:sz w:val="24"/>
                      <w:szCs w:val="24"/>
                    </w:rPr>
                    <w:t>Starptautiskajā kvalitātes nodrošināšanas aģentūru tīklā (</w:t>
                  </w:r>
                  <w:r w:rsidRPr="00171C37">
                    <w:rPr>
                      <w:rFonts w:ascii="Times New Roman" w:hAnsi="Times New Roman"/>
                      <w:sz w:val="24"/>
                      <w:szCs w:val="24"/>
                    </w:rPr>
                    <w:t>INQAHEE</w:t>
                  </w:r>
                  <w:r w:rsidR="00DB3F54">
                    <w:rPr>
                      <w:rFonts w:ascii="Times New Roman" w:hAnsi="Times New Roman"/>
                      <w:sz w:val="24"/>
                      <w:szCs w:val="24"/>
                    </w:rPr>
                    <w:t>)</w:t>
                  </w:r>
                  <w:r w:rsidRPr="00171C37">
                    <w:rPr>
                      <w:rFonts w:ascii="Times New Roman" w:hAnsi="Times New Roman"/>
                      <w:sz w:val="24"/>
                      <w:szCs w:val="24"/>
                    </w:rPr>
                    <w:t xml:space="preserve"> u.c.  starptautiskajos augstākās izglītības tīklojumos.</w:t>
                  </w:r>
                </w:p>
              </w:tc>
            </w:tr>
            <w:tr w:rsidR="008C37DB" w:rsidRPr="00171C37" w14:paraId="689BE0CF" w14:textId="77777777" w:rsidTr="004D37D0">
              <w:tc>
                <w:tcPr>
                  <w:tcW w:w="834" w:type="dxa"/>
                </w:tcPr>
                <w:p w14:paraId="09AE6411"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lastRenderedPageBreak/>
                    <w:t>7.</w:t>
                  </w:r>
                </w:p>
              </w:tc>
              <w:tc>
                <w:tcPr>
                  <w:tcW w:w="1417" w:type="dxa"/>
                </w:tcPr>
                <w:p w14:paraId="024193F5"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T</w:t>
                  </w:r>
                </w:p>
              </w:tc>
              <w:tc>
                <w:tcPr>
                  <w:tcW w:w="1304" w:type="dxa"/>
                </w:tcPr>
                <w:p w14:paraId="28D5BED3" w14:textId="7C0D0915"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190 </w:t>
                  </w:r>
                  <w:proofErr w:type="spellStart"/>
                  <w:r w:rsidR="003D11C4" w:rsidRPr="00644DAD">
                    <w:rPr>
                      <w:rFonts w:ascii="Times New Roman" w:hAnsi="Times New Roman"/>
                      <w:i/>
                      <w:sz w:val="24"/>
                      <w:szCs w:val="24"/>
                    </w:rPr>
                    <w:t>euro</w:t>
                  </w:r>
                  <w:proofErr w:type="spellEnd"/>
                </w:p>
              </w:tc>
              <w:tc>
                <w:tcPr>
                  <w:tcW w:w="4399" w:type="dxa"/>
                </w:tcPr>
                <w:p w14:paraId="2B066D90" w14:textId="7777777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Ekspertu ziņojumu tulkošanas izmaksas no angļu uz latviešu valodu vai otrādi.</w:t>
                  </w:r>
                </w:p>
                <w:p w14:paraId="30A5EDAD" w14:textId="2AF3EEA7" w:rsidR="008C37DB" w:rsidRPr="00171C37" w:rsidRDefault="008C37DB" w:rsidP="00D465E4">
                  <w:pPr>
                    <w:tabs>
                      <w:tab w:val="left" w:pos="7371"/>
                    </w:tabs>
                    <w:spacing w:after="0" w:line="240" w:lineRule="auto"/>
                    <w:rPr>
                      <w:rFonts w:ascii="Times New Roman" w:hAnsi="Times New Roman"/>
                      <w:sz w:val="24"/>
                      <w:szCs w:val="24"/>
                    </w:rPr>
                  </w:pPr>
                  <w:r w:rsidRPr="00171C37">
                    <w:rPr>
                      <w:rFonts w:ascii="Times New Roman" w:hAnsi="Times New Roman"/>
                      <w:sz w:val="24"/>
                      <w:szCs w:val="24"/>
                    </w:rPr>
                    <w:t xml:space="preserve">Tulkošana nepieciešama, lai </w:t>
                  </w:r>
                  <w:r w:rsidR="009A7BAD">
                    <w:rPr>
                      <w:rFonts w:ascii="Times New Roman" w:hAnsi="Times New Roman"/>
                      <w:sz w:val="24"/>
                      <w:szCs w:val="24"/>
                    </w:rPr>
                    <w:t xml:space="preserve">ekspertu </w:t>
                  </w:r>
                  <w:r w:rsidR="009A7BAD" w:rsidRPr="00171C37">
                    <w:rPr>
                      <w:rFonts w:ascii="Times New Roman" w:hAnsi="Times New Roman"/>
                      <w:sz w:val="24"/>
                      <w:szCs w:val="24"/>
                    </w:rPr>
                    <w:t xml:space="preserve">ziņojumu saturu </w:t>
                  </w:r>
                  <w:r w:rsidRPr="00171C37">
                    <w:rPr>
                      <w:rFonts w:ascii="Times New Roman" w:hAnsi="Times New Roman"/>
                      <w:sz w:val="24"/>
                      <w:szCs w:val="24"/>
                    </w:rPr>
                    <w:t xml:space="preserve">veiksmīgāk un precīzāk </w:t>
                  </w:r>
                  <w:r w:rsidR="009A7BAD">
                    <w:rPr>
                      <w:rFonts w:ascii="Times New Roman" w:hAnsi="Times New Roman"/>
                      <w:sz w:val="24"/>
                      <w:szCs w:val="24"/>
                    </w:rPr>
                    <w:t>varētu nodot esošajiem un potenciālajiem</w:t>
                  </w:r>
                  <w:r w:rsidRPr="00171C37">
                    <w:rPr>
                      <w:rFonts w:ascii="Times New Roman" w:hAnsi="Times New Roman"/>
                      <w:sz w:val="24"/>
                      <w:szCs w:val="24"/>
                    </w:rPr>
                    <w:t xml:space="preserve"> studentiem gan Latvijā, ga</w:t>
                  </w:r>
                  <w:r w:rsidR="006A5B37">
                    <w:rPr>
                      <w:rFonts w:ascii="Times New Roman" w:hAnsi="Times New Roman"/>
                      <w:sz w:val="24"/>
                      <w:szCs w:val="24"/>
                    </w:rPr>
                    <w:t>n</w:t>
                  </w:r>
                  <w:r w:rsidRPr="00171C37">
                    <w:rPr>
                      <w:rFonts w:ascii="Times New Roman" w:hAnsi="Times New Roman"/>
                      <w:sz w:val="24"/>
                      <w:szCs w:val="24"/>
                    </w:rPr>
                    <w:t xml:space="preserve"> ārvalstīs, kā arī sabiedrībai kopumā. Ziņojuma teksta pieejamība abās valodās atvieglos arī licencēšanas, akreditācijas komisiju, kā arī Augstākās </w:t>
                  </w:r>
                  <w:r w:rsidR="00BC02DA">
                    <w:rPr>
                      <w:rFonts w:ascii="Times New Roman" w:hAnsi="Times New Roman"/>
                      <w:sz w:val="24"/>
                      <w:szCs w:val="24"/>
                    </w:rPr>
                    <w:t>i</w:t>
                  </w:r>
                  <w:r w:rsidRPr="00171C37">
                    <w:rPr>
                      <w:rFonts w:ascii="Times New Roman" w:hAnsi="Times New Roman"/>
                      <w:sz w:val="24"/>
                      <w:szCs w:val="24"/>
                    </w:rPr>
                    <w:t xml:space="preserve">zglītības </w:t>
                  </w:r>
                  <w:r w:rsidR="00BC02DA">
                    <w:rPr>
                      <w:rFonts w:ascii="Times New Roman" w:hAnsi="Times New Roman"/>
                      <w:sz w:val="24"/>
                      <w:szCs w:val="24"/>
                    </w:rPr>
                    <w:t>p</w:t>
                  </w:r>
                  <w:r w:rsidRPr="00171C37">
                    <w:rPr>
                      <w:rFonts w:ascii="Times New Roman" w:hAnsi="Times New Roman"/>
                      <w:sz w:val="24"/>
                      <w:szCs w:val="24"/>
                    </w:rPr>
                    <w:t xml:space="preserve">adomes darbu. </w:t>
                  </w:r>
                </w:p>
              </w:tc>
            </w:tr>
          </w:tbl>
          <w:p w14:paraId="3F0C52AB" w14:textId="77777777" w:rsidR="008C37DB" w:rsidRPr="00171C37" w:rsidRDefault="008C37DB" w:rsidP="00D465E4">
            <w:pPr>
              <w:tabs>
                <w:tab w:val="left" w:pos="7371"/>
              </w:tabs>
              <w:spacing w:after="0" w:line="240" w:lineRule="auto"/>
              <w:rPr>
                <w:rFonts w:ascii="Times New Roman" w:eastAsia="Times New Roman" w:hAnsi="Times New Roman"/>
                <w:sz w:val="24"/>
                <w:szCs w:val="24"/>
                <w:lang w:eastAsia="lv-LV"/>
              </w:rPr>
            </w:pPr>
          </w:p>
          <w:p w14:paraId="56CC526C" w14:textId="77777777" w:rsidR="008C37DB" w:rsidRPr="00171C37" w:rsidRDefault="008C37DB" w:rsidP="00D465E4">
            <w:pPr>
              <w:spacing w:after="0" w:line="240" w:lineRule="auto"/>
              <w:jc w:val="both"/>
              <w:rPr>
                <w:rFonts w:ascii="Times New Roman" w:hAnsi="Times New Roman"/>
                <w:sz w:val="24"/>
                <w:szCs w:val="24"/>
              </w:rPr>
            </w:pPr>
          </w:p>
          <w:p w14:paraId="7782CD13" w14:textId="77777777" w:rsidR="008C37DB" w:rsidRPr="00171C37" w:rsidRDefault="008C37DB" w:rsidP="00D465E4">
            <w:pPr>
              <w:spacing w:after="0" w:line="240" w:lineRule="auto"/>
              <w:jc w:val="both"/>
              <w:rPr>
                <w:rFonts w:ascii="Times New Roman" w:hAnsi="Times New Roman"/>
                <w:sz w:val="24"/>
                <w:szCs w:val="24"/>
              </w:rPr>
            </w:pPr>
          </w:p>
        </w:tc>
      </w:tr>
      <w:tr w:rsidR="00812271" w:rsidRPr="00171C37" w14:paraId="334F7360" w14:textId="77777777" w:rsidTr="00812271">
        <w:trPr>
          <w:tblCellSpacing w:w="15" w:type="dxa"/>
        </w:trPr>
        <w:tc>
          <w:tcPr>
            <w:tcW w:w="153" w:type="pct"/>
            <w:tcBorders>
              <w:top w:val="outset" w:sz="6" w:space="0" w:color="auto"/>
              <w:left w:val="outset" w:sz="6" w:space="0" w:color="auto"/>
              <w:bottom w:val="outset" w:sz="6" w:space="0" w:color="auto"/>
              <w:right w:val="outset" w:sz="6" w:space="0" w:color="auto"/>
            </w:tcBorders>
          </w:tcPr>
          <w:p w14:paraId="258D36B1" w14:textId="667DB290" w:rsidR="00392D00"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lastRenderedPageBreak/>
              <w:t>3.</w:t>
            </w:r>
          </w:p>
        </w:tc>
        <w:tc>
          <w:tcPr>
            <w:tcW w:w="1480" w:type="pct"/>
            <w:tcBorders>
              <w:top w:val="outset" w:sz="6" w:space="0" w:color="auto"/>
              <w:left w:val="outset" w:sz="6" w:space="0" w:color="auto"/>
              <w:bottom w:val="outset" w:sz="6" w:space="0" w:color="auto"/>
              <w:right w:val="outset" w:sz="6" w:space="0" w:color="auto"/>
            </w:tcBorders>
          </w:tcPr>
          <w:p w14:paraId="3577E291" w14:textId="77777777" w:rsidR="00392D00"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Projekta izstrādē iesaistītās institūcijas</w:t>
            </w:r>
          </w:p>
        </w:tc>
        <w:tc>
          <w:tcPr>
            <w:tcW w:w="3304" w:type="pct"/>
            <w:tcBorders>
              <w:top w:val="outset" w:sz="6" w:space="0" w:color="auto"/>
              <w:left w:val="outset" w:sz="6" w:space="0" w:color="auto"/>
              <w:bottom w:val="outset" w:sz="6" w:space="0" w:color="auto"/>
              <w:right w:val="outset" w:sz="6" w:space="0" w:color="auto"/>
            </w:tcBorders>
          </w:tcPr>
          <w:p w14:paraId="533BAC57" w14:textId="395109C0" w:rsidR="00392D00" w:rsidRPr="00171C37" w:rsidRDefault="00D44CC7" w:rsidP="00D465E4">
            <w:pPr>
              <w:spacing w:after="0" w:line="240" w:lineRule="auto"/>
              <w:jc w:val="both"/>
              <w:rPr>
                <w:rFonts w:ascii="Times New Roman" w:eastAsia="Times New Roman" w:hAnsi="Times New Roman"/>
                <w:bCs/>
                <w:sz w:val="24"/>
                <w:szCs w:val="24"/>
                <w:lang w:eastAsia="lv-LV"/>
              </w:rPr>
            </w:pPr>
            <w:r w:rsidRPr="00171C37">
              <w:rPr>
                <w:rFonts w:ascii="Times New Roman" w:eastAsia="Times New Roman" w:hAnsi="Times New Roman"/>
                <w:bCs/>
                <w:sz w:val="24"/>
                <w:szCs w:val="24"/>
                <w:lang w:eastAsia="lv-LV"/>
              </w:rPr>
              <w:t xml:space="preserve">Projekts izstrādāts sadarbībā ar </w:t>
            </w:r>
            <w:r w:rsidR="00A7007C">
              <w:rPr>
                <w:rFonts w:ascii="Times New Roman" w:eastAsia="Times New Roman" w:hAnsi="Times New Roman"/>
                <w:bCs/>
                <w:sz w:val="24"/>
                <w:szCs w:val="24"/>
                <w:lang w:eastAsia="lv-LV"/>
              </w:rPr>
              <w:t>AIC</w:t>
            </w:r>
            <w:r w:rsidRPr="00171C37">
              <w:rPr>
                <w:rFonts w:ascii="Times New Roman" w:eastAsia="Times New Roman" w:hAnsi="Times New Roman"/>
                <w:bCs/>
                <w:sz w:val="24"/>
                <w:szCs w:val="24"/>
                <w:lang w:eastAsia="lv-LV"/>
              </w:rPr>
              <w:t>.</w:t>
            </w:r>
          </w:p>
        </w:tc>
      </w:tr>
      <w:tr w:rsidR="00812271" w:rsidRPr="00171C37" w14:paraId="2DE7E0EC" w14:textId="77777777" w:rsidTr="00812271">
        <w:trPr>
          <w:tblCellSpacing w:w="15" w:type="dxa"/>
        </w:trPr>
        <w:tc>
          <w:tcPr>
            <w:tcW w:w="153" w:type="pct"/>
            <w:tcBorders>
              <w:top w:val="outset" w:sz="6" w:space="0" w:color="auto"/>
              <w:left w:val="outset" w:sz="6" w:space="0" w:color="auto"/>
              <w:bottom w:val="outset" w:sz="6" w:space="0" w:color="auto"/>
              <w:right w:val="outset" w:sz="6" w:space="0" w:color="auto"/>
            </w:tcBorders>
          </w:tcPr>
          <w:p w14:paraId="0A0A07B0" w14:textId="77777777" w:rsidR="00392D00"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4.</w:t>
            </w:r>
          </w:p>
        </w:tc>
        <w:tc>
          <w:tcPr>
            <w:tcW w:w="1480" w:type="pct"/>
            <w:tcBorders>
              <w:top w:val="outset" w:sz="6" w:space="0" w:color="auto"/>
              <w:left w:val="outset" w:sz="6" w:space="0" w:color="auto"/>
              <w:bottom w:val="outset" w:sz="6" w:space="0" w:color="auto"/>
              <w:right w:val="outset" w:sz="6" w:space="0" w:color="auto"/>
            </w:tcBorders>
          </w:tcPr>
          <w:p w14:paraId="3DD5AE4C" w14:textId="77777777" w:rsidR="00392D00"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Cita informācija</w:t>
            </w:r>
          </w:p>
        </w:tc>
        <w:tc>
          <w:tcPr>
            <w:tcW w:w="3304" w:type="pct"/>
            <w:tcBorders>
              <w:top w:val="outset" w:sz="6" w:space="0" w:color="auto"/>
              <w:left w:val="outset" w:sz="6" w:space="0" w:color="auto"/>
              <w:bottom w:val="outset" w:sz="6" w:space="0" w:color="auto"/>
              <w:right w:val="outset" w:sz="6" w:space="0" w:color="auto"/>
            </w:tcBorders>
          </w:tcPr>
          <w:p w14:paraId="498C7EC3" w14:textId="77777777" w:rsidR="00577216" w:rsidRPr="00171C37" w:rsidRDefault="00F558B6"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Nav.</w:t>
            </w:r>
          </w:p>
        </w:tc>
      </w:tr>
    </w:tbl>
    <w:p w14:paraId="33AC8EA8" w14:textId="77777777" w:rsidR="00CD1902" w:rsidRDefault="00CD1902" w:rsidP="00D465E4">
      <w:pPr>
        <w:spacing w:after="0" w:line="240" w:lineRule="auto"/>
        <w:rPr>
          <w:rFonts w:ascii="Times New Roman" w:hAnsi="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
        <w:gridCol w:w="2888"/>
        <w:gridCol w:w="5946"/>
      </w:tblGrid>
      <w:tr w:rsidR="00CD1902" w:rsidRPr="00171C37" w14:paraId="0730DD4F" w14:textId="77777777" w:rsidTr="00CD1902">
        <w:trPr>
          <w:trHeight w:val="55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E9A376" w14:textId="77777777" w:rsidR="00CD1902" w:rsidRPr="00171C37" w:rsidRDefault="00CD1902" w:rsidP="00D465E4">
            <w:pPr>
              <w:spacing w:after="0" w:line="240" w:lineRule="auto"/>
              <w:rPr>
                <w:rFonts w:ascii="Times New Roman" w:hAnsi="Times New Roman"/>
                <w:b/>
                <w:bCs/>
                <w:sz w:val="24"/>
                <w:szCs w:val="24"/>
              </w:rPr>
            </w:pPr>
            <w:r w:rsidRPr="00171C37">
              <w:rPr>
                <w:rFonts w:ascii="Times New Roman" w:hAnsi="Times New Roman"/>
                <w:b/>
                <w:bCs/>
                <w:sz w:val="24"/>
                <w:szCs w:val="24"/>
              </w:rPr>
              <w:t>II. Tiesību akta projekta ietekme uz sabiedrību, tautsaimniecības attīstību un administratīvo slogu</w:t>
            </w:r>
          </w:p>
        </w:tc>
      </w:tr>
      <w:tr w:rsidR="00CD1902" w:rsidRPr="00171C37" w14:paraId="262D535F" w14:textId="77777777" w:rsidTr="0004083F">
        <w:trPr>
          <w:trHeight w:val="465"/>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78A6C17D"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1.</w:t>
            </w:r>
          </w:p>
        </w:tc>
        <w:tc>
          <w:tcPr>
            <w:tcW w:w="1530" w:type="pct"/>
            <w:tcBorders>
              <w:top w:val="outset" w:sz="6" w:space="0" w:color="auto"/>
              <w:left w:val="outset" w:sz="6" w:space="0" w:color="auto"/>
              <w:bottom w:val="outset" w:sz="6" w:space="0" w:color="auto"/>
              <w:right w:val="outset" w:sz="6" w:space="0" w:color="auto"/>
            </w:tcBorders>
            <w:hideMark/>
          </w:tcPr>
          <w:p w14:paraId="3059D58B"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 xml:space="preserve">Sabiedrības </w:t>
            </w:r>
            <w:proofErr w:type="spellStart"/>
            <w:r w:rsidRPr="00171C37">
              <w:rPr>
                <w:rFonts w:ascii="Times New Roman" w:hAnsi="Times New Roman"/>
                <w:sz w:val="24"/>
                <w:szCs w:val="24"/>
              </w:rPr>
              <w:t>mērķgrupas</w:t>
            </w:r>
            <w:proofErr w:type="spellEnd"/>
            <w:r w:rsidRPr="00171C37">
              <w:rPr>
                <w:rFonts w:ascii="Times New Roman" w:hAnsi="Times New Roman"/>
                <w:sz w:val="24"/>
                <w:szCs w:val="24"/>
              </w:rPr>
              <w:t>, kuras tiesiskais regulējums ietekmē vai varētu ietekmēt</w:t>
            </w:r>
          </w:p>
        </w:tc>
        <w:tc>
          <w:tcPr>
            <w:tcW w:w="3159" w:type="pct"/>
            <w:tcBorders>
              <w:top w:val="outset" w:sz="6" w:space="0" w:color="auto"/>
              <w:left w:val="outset" w:sz="6" w:space="0" w:color="auto"/>
              <w:bottom w:val="outset" w:sz="6" w:space="0" w:color="auto"/>
              <w:right w:val="outset" w:sz="6" w:space="0" w:color="auto"/>
            </w:tcBorders>
            <w:hideMark/>
          </w:tcPr>
          <w:p w14:paraId="09844794" w14:textId="57FBE1B1" w:rsidR="00CD1902" w:rsidRDefault="00FE7724" w:rsidP="00D465E4">
            <w:pPr>
              <w:spacing w:after="0" w:line="240" w:lineRule="auto"/>
              <w:jc w:val="both"/>
              <w:rPr>
                <w:rFonts w:ascii="Times New Roman" w:hAnsi="Times New Roman"/>
                <w:sz w:val="24"/>
                <w:szCs w:val="24"/>
              </w:rPr>
            </w:pPr>
            <w:r w:rsidRPr="00171C37">
              <w:rPr>
                <w:rFonts w:ascii="Times New Roman" w:hAnsi="Times New Roman"/>
                <w:sz w:val="24"/>
                <w:szCs w:val="24"/>
              </w:rPr>
              <w:t>Projekts attiecas uz augstskolām un koledžām</w:t>
            </w:r>
            <w:r w:rsidR="001722A0">
              <w:rPr>
                <w:rFonts w:ascii="Times New Roman" w:hAnsi="Times New Roman"/>
                <w:sz w:val="24"/>
                <w:szCs w:val="24"/>
              </w:rPr>
              <w:t xml:space="preserve">. </w:t>
            </w:r>
            <w:r w:rsidR="001722A0" w:rsidRPr="001722A0">
              <w:rPr>
                <w:rFonts w:ascii="Times New Roman" w:hAnsi="Times New Roman"/>
                <w:sz w:val="24"/>
                <w:szCs w:val="24"/>
              </w:rPr>
              <w:t>Sakarā ar to, ka augstskolas un koledžas īsteno studiju programmas, kurās studē studējošie, noteikumu projekts attiecas arī uz visu augstskolu un koledžu studējošajiem.</w:t>
            </w:r>
            <w:r w:rsidR="00F558B6" w:rsidRPr="00171C37">
              <w:rPr>
                <w:rFonts w:ascii="Times New Roman" w:hAnsi="Times New Roman"/>
                <w:sz w:val="24"/>
                <w:szCs w:val="24"/>
              </w:rPr>
              <w:t xml:space="preserve"> </w:t>
            </w:r>
            <w:r w:rsidR="001722A0">
              <w:rPr>
                <w:rFonts w:ascii="Times New Roman" w:hAnsi="Times New Roman"/>
                <w:sz w:val="24"/>
                <w:szCs w:val="24"/>
              </w:rPr>
              <w:t xml:space="preserve">Tāpat projekts attiecas uz </w:t>
            </w:r>
            <w:r w:rsidR="00F558B6" w:rsidRPr="00171C37">
              <w:rPr>
                <w:rFonts w:ascii="Times New Roman" w:hAnsi="Times New Roman"/>
                <w:sz w:val="24"/>
                <w:szCs w:val="24"/>
              </w:rPr>
              <w:t>personām, kas iesniegs iesniegumus</w:t>
            </w:r>
            <w:r w:rsidR="001722A0">
              <w:rPr>
                <w:rFonts w:ascii="Times New Roman" w:hAnsi="Times New Roman"/>
                <w:sz w:val="24"/>
                <w:szCs w:val="24"/>
              </w:rPr>
              <w:t xml:space="preserve"> grādu un profesionālo kvalifikāciju, kā arī</w:t>
            </w:r>
            <w:r w:rsidR="00F558B6" w:rsidRPr="00171C37">
              <w:rPr>
                <w:rFonts w:ascii="Times New Roman" w:hAnsi="Times New Roman"/>
                <w:sz w:val="24"/>
                <w:szCs w:val="24"/>
              </w:rPr>
              <w:t xml:space="preserve"> izglītības dokumentu pielīdzināšanai,</w:t>
            </w:r>
            <w:r w:rsidRPr="00171C37">
              <w:rPr>
                <w:rFonts w:ascii="Times New Roman" w:hAnsi="Times New Roman"/>
                <w:sz w:val="24"/>
                <w:szCs w:val="24"/>
              </w:rPr>
              <w:t xml:space="preserve"> un </w:t>
            </w:r>
            <w:r w:rsidR="00742B82">
              <w:rPr>
                <w:rFonts w:ascii="Times New Roman" w:hAnsi="Times New Roman"/>
                <w:sz w:val="24"/>
                <w:szCs w:val="24"/>
              </w:rPr>
              <w:t>nodibinājumu “</w:t>
            </w:r>
            <w:r w:rsidRPr="00171C37">
              <w:rPr>
                <w:rFonts w:ascii="Times New Roman" w:hAnsi="Times New Roman"/>
                <w:sz w:val="24"/>
                <w:szCs w:val="24"/>
              </w:rPr>
              <w:t>Akadēmiskās informācijas centr</w:t>
            </w:r>
            <w:r w:rsidR="00742B82">
              <w:rPr>
                <w:rFonts w:ascii="Times New Roman" w:hAnsi="Times New Roman"/>
                <w:sz w:val="24"/>
                <w:szCs w:val="24"/>
              </w:rPr>
              <w:t>s””</w:t>
            </w:r>
            <w:r w:rsidRPr="00171C37">
              <w:rPr>
                <w:rFonts w:ascii="Times New Roman" w:hAnsi="Times New Roman"/>
                <w:sz w:val="24"/>
                <w:szCs w:val="24"/>
              </w:rPr>
              <w:t>.</w:t>
            </w:r>
          </w:p>
          <w:p w14:paraId="0161F62A" w14:textId="02D451C8" w:rsidR="001722A0" w:rsidRPr="00171C37" w:rsidRDefault="001722A0" w:rsidP="00D465E4">
            <w:pPr>
              <w:spacing w:after="0" w:line="240" w:lineRule="auto"/>
              <w:jc w:val="both"/>
              <w:rPr>
                <w:rFonts w:ascii="Times New Roman" w:hAnsi="Times New Roman"/>
                <w:sz w:val="24"/>
                <w:szCs w:val="24"/>
              </w:rPr>
            </w:pPr>
          </w:p>
        </w:tc>
      </w:tr>
      <w:tr w:rsidR="00CD1902" w:rsidRPr="00171C37" w14:paraId="03DBFD51" w14:textId="77777777" w:rsidTr="0004083F">
        <w:trPr>
          <w:trHeight w:val="510"/>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33E41A23"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2.</w:t>
            </w:r>
          </w:p>
        </w:tc>
        <w:tc>
          <w:tcPr>
            <w:tcW w:w="1530" w:type="pct"/>
            <w:tcBorders>
              <w:top w:val="outset" w:sz="6" w:space="0" w:color="auto"/>
              <w:left w:val="outset" w:sz="6" w:space="0" w:color="auto"/>
              <w:bottom w:val="outset" w:sz="6" w:space="0" w:color="auto"/>
              <w:right w:val="outset" w:sz="6" w:space="0" w:color="auto"/>
            </w:tcBorders>
            <w:hideMark/>
          </w:tcPr>
          <w:p w14:paraId="50CB7FA7"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Tiesiskā regulējuma ietekme uz tautsaimniecību un administratīvo slogu</w:t>
            </w:r>
          </w:p>
        </w:tc>
        <w:tc>
          <w:tcPr>
            <w:tcW w:w="3159" w:type="pct"/>
            <w:tcBorders>
              <w:top w:val="outset" w:sz="6" w:space="0" w:color="auto"/>
              <w:left w:val="outset" w:sz="6" w:space="0" w:color="auto"/>
              <w:bottom w:val="outset" w:sz="6" w:space="0" w:color="auto"/>
              <w:right w:val="outset" w:sz="6" w:space="0" w:color="auto"/>
            </w:tcBorders>
            <w:hideMark/>
          </w:tcPr>
          <w:p w14:paraId="29ECFE14" w14:textId="3BDF4476" w:rsidR="00CD1902" w:rsidRPr="00171C37" w:rsidRDefault="00FC6AE2" w:rsidP="00D465E4">
            <w:pPr>
              <w:spacing w:after="0" w:line="240" w:lineRule="auto"/>
              <w:jc w:val="both"/>
              <w:rPr>
                <w:rFonts w:ascii="Times New Roman" w:hAnsi="Times New Roman"/>
                <w:sz w:val="24"/>
                <w:szCs w:val="24"/>
              </w:rPr>
            </w:pPr>
            <w:r w:rsidRPr="00171C37">
              <w:rPr>
                <w:rFonts w:ascii="Times New Roman" w:hAnsi="Times New Roman"/>
                <w:sz w:val="24"/>
                <w:szCs w:val="24"/>
              </w:rPr>
              <w:t xml:space="preserve">Sabiedrības grupām un institūcijām projekta tiesiskais regulējums maina tiesības un pienākumus, kā arī veicamās darbības. </w:t>
            </w:r>
            <w:r w:rsidR="00F558B6" w:rsidRPr="00171C37">
              <w:rPr>
                <w:rFonts w:ascii="Times New Roman" w:hAnsi="Times New Roman"/>
                <w:sz w:val="24"/>
                <w:szCs w:val="24"/>
              </w:rPr>
              <w:t xml:space="preserve">Projekts paredz, ka personām, kas vēlas pielīdzināt </w:t>
            </w:r>
            <w:r w:rsidR="00F558B6" w:rsidRPr="008C0E92">
              <w:rPr>
                <w:rFonts w:ascii="Times New Roman" w:hAnsi="Times New Roman"/>
                <w:sz w:val="24"/>
                <w:szCs w:val="24"/>
              </w:rPr>
              <w:t>grādus vai profesionālās kvalifikācijas, kas iegūti pirms grādu un profesionālo kvalifikāciju piešķiršanas regulējuma spēkā stāšanās,</w:t>
            </w:r>
            <w:r w:rsidR="00E20A25" w:rsidRPr="008C0E92">
              <w:rPr>
                <w:rFonts w:ascii="Times New Roman" w:hAnsi="Times New Roman"/>
                <w:sz w:val="24"/>
                <w:szCs w:val="24"/>
              </w:rPr>
              <w:t xml:space="preserve"> </w:t>
            </w:r>
            <w:r w:rsidR="000D0442" w:rsidRPr="008C0E92">
              <w:rPr>
                <w:rFonts w:ascii="Times New Roman" w:hAnsi="Times New Roman"/>
                <w:sz w:val="24"/>
                <w:szCs w:val="24"/>
              </w:rPr>
              <w:t xml:space="preserve">veikt </w:t>
            </w:r>
            <w:r w:rsidR="00E20A25" w:rsidRPr="003F4305">
              <w:rPr>
                <w:rFonts w:ascii="Times New Roman" w:hAnsi="Times New Roman"/>
                <w:sz w:val="24"/>
                <w:szCs w:val="24"/>
              </w:rPr>
              <w:t>ārvalstīs izsniegto izglītības dok</w:t>
            </w:r>
            <w:r w:rsidR="002E4374" w:rsidRPr="002E4374">
              <w:rPr>
                <w:rFonts w:ascii="Times New Roman" w:hAnsi="Times New Roman"/>
                <w:sz w:val="24"/>
                <w:szCs w:val="24"/>
              </w:rPr>
              <w:t>umentu, kā arī ārvalstīs iegūto</w:t>
            </w:r>
            <w:r w:rsidR="00E20A25" w:rsidRPr="003F4305">
              <w:rPr>
                <w:rFonts w:ascii="Times New Roman" w:hAnsi="Times New Roman"/>
                <w:sz w:val="24"/>
                <w:szCs w:val="24"/>
              </w:rPr>
              <w:t xml:space="preserve"> akadēmiskos grādus </w:t>
            </w:r>
            <w:r w:rsidR="000D0442" w:rsidRPr="003F4305">
              <w:rPr>
                <w:rFonts w:ascii="Times New Roman" w:hAnsi="Times New Roman"/>
                <w:sz w:val="24"/>
                <w:szCs w:val="24"/>
              </w:rPr>
              <w:t>apliecinošu dokumentu ekspertīzi</w:t>
            </w:r>
            <w:r w:rsidR="00E631DD" w:rsidRPr="003F4305">
              <w:rPr>
                <w:rFonts w:ascii="Times New Roman" w:hAnsi="Times New Roman"/>
                <w:sz w:val="24"/>
                <w:szCs w:val="24"/>
              </w:rPr>
              <w:t xml:space="preserve">, </w:t>
            </w:r>
            <w:r w:rsidR="00E20A25" w:rsidRPr="003F4305">
              <w:rPr>
                <w:rFonts w:ascii="Times New Roman" w:hAnsi="Times New Roman"/>
                <w:sz w:val="24"/>
                <w:szCs w:val="24"/>
              </w:rPr>
              <w:t xml:space="preserve"> </w:t>
            </w:r>
            <w:r w:rsidR="00F558B6" w:rsidRPr="008C0E92">
              <w:rPr>
                <w:rFonts w:ascii="Times New Roman" w:hAnsi="Times New Roman"/>
                <w:sz w:val="24"/>
                <w:szCs w:val="24"/>
              </w:rPr>
              <w:t xml:space="preserve"> </w:t>
            </w:r>
            <w:r w:rsidR="00E631DD" w:rsidRPr="008C0E92">
              <w:rPr>
                <w:rFonts w:ascii="Times New Roman" w:hAnsi="Times New Roman"/>
                <w:sz w:val="24"/>
                <w:szCs w:val="24"/>
              </w:rPr>
              <w:t>tie</w:t>
            </w:r>
            <w:r w:rsidR="00F558B6" w:rsidRPr="008C0E92">
              <w:rPr>
                <w:rFonts w:ascii="Times New Roman" w:hAnsi="Times New Roman"/>
                <w:sz w:val="24"/>
                <w:szCs w:val="24"/>
              </w:rPr>
              <w:t xml:space="preserve"> turpmāk būs maksas pakalpojums.</w:t>
            </w:r>
          </w:p>
        </w:tc>
      </w:tr>
      <w:tr w:rsidR="00CD1902" w:rsidRPr="00171C37" w14:paraId="23122553" w14:textId="77777777" w:rsidTr="0004083F">
        <w:trPr>
          <w:trHeight w:val="510"/>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2991BACF"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3.</w:t>
            </w:r>
          </w:p>
        </w:tc>
        <w:tc>
          <w:tcPr>
            <w:tcW w:w="1530" w:type="pct"/>
            <w:tcBorders>
              <w:top w:val="outset" w:sz="6" w:space="0" w:color="auto"/>
              <w:left w:val="outset" w:sz="6" w:space="0" w:color="auto"/>
              <w:bottom w:val="outset" w:sz="6" w:space="0" w:color="auto"/>
              <w:right w:val="outset" w:sz="6" w:space="0" w:color="auto"/>
            </w:tcBorders>
            <w:hideMark/>
          </w:tcPr>
          <w:p w14:paraId="56B85B62"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Administratīvo izmaksu monetārs novērtējums</w:t>
            </w:r>
          </w:p>
        </w:tc>
        <w:tc>
          <w:tcPr>
            <w:tcW w:w="3159" w:type="pct"/>
            <w:tcBorders>
              <w:top w:val="outset" w:sz="6" w:space="0" w:color="auto"/>
              <w:left w:val="outset" w:sz="6" w:space="0" w:color="auto"/>
              <w:bottom w:val="outset" w:sz="6" w:space="0" w:color="auto"/>
              <w:right w:val="outset" w:sz="6" w:space="0" w:color="auto"/>
            </w:tcBorders>
            <w:hideMark/>
          </w:tcPr>
          <w:p w14:paraId="7996A3AD" w14:textId="77777777" w:rsidR="00CD1902" w:rsidRPr="00171C37" w:rsidRDefault="005E14B9" w:rsidP="00D465E4">
            <w:pPr>
              <w:spacing w:after="0" w:line="240" w:lineRule="auto"/>
              <w:rPr>
                <w:rFonts w:ascii="Times New Roman" w:hAnsi="Times New Roman"/>
                <w:sz w:val="24"/>
                <w:szCs w:val="24"/>
              </w:rPr>
            </w:pPr>
            <w:r w:rsidRPr="00171C37">
              <w:rPr>
                <w:rFonts w:ascii="Times New Roman" w:hAnsi="Times New Roman"/>
                <w:sz w:val="24"/>
                <w:szCs w:val="24"/>
              </w:rPr>
              <w:t>Projekts šo jomu neskar.</w:t>
            </w:r>
          </w:p>
        </w:tc>
      </w:tr>
      <w:tr w:rsidR="00CD1902" w:rsidRPr="00171C37" w14:paraId="3F734596" w14:textId="77777777" w:rsidTr="0004083F">
        <w:trPr>
          <w:trHeight w:val="345"/>
          <w:tblCellSpacing w:w="15" w:type="dxa"/>
        </w:trPr>
        <w:tc>
          <w:tcPr>
            <w:tcW w:w="247" w:type="pct"/>
            <w:tcBorders>
              <w:top w:val="outset" w:sz="6" w:space="0" w:color="auto"/>
              <w:left w:val="outset" w:sz="6" w:space="0" w:color="auto"/>
              <w:bottom w:val="outset" w:sz="6" w:space="0" w:color="auto"/>
              <w:right w:val="outset" w:sz="6" w:space="0" w:color="auto"/>
            </w:tcBorders>
            <w:hideMark/>
          </w:tcPr>
          <w:p w14:paraId="0A2EB633"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4.</w:t>
            </w:r>
          </w:p>
        </w:tc>
        <w:tc>
          <w:tcPr>
            <w:tcW w:w="1530" w:type="pct"/>
            <w:tcBorders>
              <w:top w:val="outset" w:sz="6" w:space="0" w:color="auto"/>
              <w:left w:val="outset" w:sz="6" w:space="0" w:color="auto"/>
              <w:bottom w:val="outset" w:sz="6" w:space="0" w:color="auto"/>
              <w:right w:val="outset" w:sz="6" w:space="0" w:color="auto"/>
            </w:tcBorders>
            <w:hideMark/>
          </w:tcPr>
          <w:p w14:paraId="3D107C39" w14:textId="77777777" w:rsidR="00CD1902" w:rsidRPr="00171C37" w:rsidRDefault="00CD1902" w:rsidP="00D465E4">
            <w:pPr>
              <w:spacing w:after="0" w:line="240" w:lineRule="auto"/>
              <w:rPr>
                <w:rFonts w:ascii="Times New Roman" w:hAnsi="Times New Roman"/>
                <w:sz w:val="24"/>
                <w:szCs w:val="24"/>
              </w:rPr>
            </w:pPr>
            <w:r w:rsidRPr="00171C37">
              <w:rPr>
                <w:rFonts w:ascii="Times New Roman" w:hAnsi="Times New Roman"/>
                <w:sz w:val="24"/>
                <w:szCs w:val="24"/>
              </w:rPr>
              <w:t>Cita informācija</w:t>
            </w:r>
          </w:p>
        </w:tc>
        <w:tc>
          <w:tcPr>
            <w:tcW w:w="3159" w:type="pct"/>
            <w:tcBorders>
              <w:top w:val="outset" w:sz="6" w:space="0" w:color="auto"/>
              <w:left w:val="outset" w:sz="6" w:space="0" w:color="auto"/>
              <w:bottom w:val="outset" w:sz="6" w:space="0" w:color="auto"/>
              <w:right w:val="outset" w:sz="6" w:space="0" w:color="auto"/>
            </w:tcBorders>
            <w:hideMark/>
          </w:tcPr>
          <w:p w14:paraId="3C7A6B4D" w14:textId="77777777" w:rsidR="00CD1902" w:rsidRPr="00171C37" w:rsidRDefault="005E14B9" w:rsidP="00D465E4">
            <w:pPr>
              <w:spacing w:after="0" w:line="240" w:lineRule="auto"/>
              <w:rPr>
                <w:rFonts w:ascii="Times New Roman" w:hAnsi="Times New Roman"/>
                <w:sz w:val="24"/>
                <w:szCs w:val="24"/>
              </w:rPr>
            </w:pPr>
            <w:r w:rsidRPr="00171C37">
              <w:rPr>
                <w:rFonts w:ascii="Times New Roman" w:hAnsi="Times New Roman"/>
                <w:sz w:val="24"/>
                <w:szCs w:val="24"/>
              </w:rPr>
              <w:t>Nav.</w:t>
            </w:r>
          </w:p>
        </w:tc>
      </w:tr>
    </w:tbl>
    <w:p w14:paraId="3CB3E43B" w14:textId="77777777" w:rsidR="00A56755" w:rsidRDefault="00A56755" w:rsidP="00D465E4">
      <w:pPr>
        <w:spacing w:after="0" w:line="240" w:lineRule="auto"/>
        <w:rPr>
          <w:rFonts w:ascii="Times New Roman" w:hAnsi="Times New Roman"/>
          <w:sz w:val="24"/>
          <w:szCs w:val="24"/>
        </w:rPr>
      </w:pPr>
    </w:p>
    <w:tbl>
      <w:tblPr>
        <w:tblW w:w="5009"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
        <w:gridCol w:w="301"/>
        <w:gridCol w:w="1354"/>
        <w:gridCol w:w="1167"/>
        <w:gridCol w:w="97"/>
        <w:gridCol w:w="1177"/>
        <w:gridCol w:w="1334"/>
        <w:gridCol w:w="1427"/>
        <w:gridCol w:w="1438"/>
        <w:gridCol w:w="1010"/>
      </w:tblGrid>
      <w:tr w:rsidR="0004083F" w14:paraId="4D36BE2F" w14:textId="77777777" w:rsidTr="0004083F">
        <w:trPr>
          <w:gridBefore w:val="1"/>
          <w:gridAfter w:val="1"/>
          <w:wBefore w:w="4" w:type="pct"/>
          <w:wAfter w:w="497" w:type="pct"/>
          <w:trHeight w:val="450"/>
          <w:tblCellSpacing w:w="15"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E535027" w14:textId="77777777" w:rsidR="0004083F" w:rsidRDefault="0004083F" w:rsidP="00D465E4">
            <w:pPr>
              <w:spacing w:after="0" w:line="240" w:lineRule="auto"/>
              <w:rPr>
                <w:rFonts w:ascii="Times New Roman" w:hAnsi="Times New Roman"/>
                <w:b/>
                <w:bCs/>
                <w:sz w:val="24"/>
                <w:szCs w:val="24"/>
              </w:rPr>
            </w:pPr>
            <w:r>
              <w:rPr>
                <w:rFonts w:ascii="Times New Roman" w:hAnsi="Times New Roman"/>
                <w:b/>
                <w:bCs/>
                <w:sz w:val="24"/>
                <w:szCs w:val="24"/>
              </w:rPr>
              <w:t>III. Tiesību akta projekta ietekme uz valsts budžetu un pašvaldību budžetiem</w:t>
            </w:r>
          </w:p>
        </w:tc>
      </w:tr>
      <w:tr w:rsidR="00A272B8" w14:paraId="514C9883" w14:textId="77777777" w:rsidTr="00A272B8">
        <w:trPr>
          <w:tblCellSpacing w:w="15" w:type="dxa"/>
          <w:jc w:val="center"/>
        </w:trPr>
        <w:tc>
          <w:tcPr>
            <w:tcW w:w="890" w:type="pct"/>
            <w:gridSpan w:val="3"/>
            <w:vMerge w:val="restart"/>
            <w:tcBorders>
              <w:top w:val="outset" w:sz="6" w:space="0" w:color="auto"/>
              <w:left w:val="nil"/>
              <w:bottom w:val="outset" w:sz="6" w:space="0" w:color="auto"/>
              <w:right w:val="outset" w:sz="6" w:space="0" w:color="auto"/>
            </w:tcBorders>
            <w:vAlign w:val="center"/>
            <w:hideMark/>
          </w:tcPr>
          <w:p w14:paraId="482AFEFE" w14:textId="77777777" w:rsidR="0004083F" w:rsidRDefault="0004083F" w:rsidP="00D465E4">
            <w:pPr>
              <w:spacing w:after="0" w:line="240" w:lineRule="auto"/>
              <w:ind w:firstLine="300"/>
              <w:jc w:val="both"/>
              <w:rPr>
                <w:rFonts w:ascii="Times New Roman" w:hAnsi="Times New Roman"/>
                <w:b/>
                <w:bCs/>
                <w:sz w:val="24"/>
                <w:szCs w:val="24"/>
                <w:lang w:eastAsia="lv-LV"/>
              </w:rPr>
            </w:pPr>
            <w:r>
              <w:rPr>
                <w:rFonts w:ascii="Times New Roman" w:hAnsi="Times New Roman"/>
                <w:b/>
                <w:bCs/>
                <w:sz w:val="24"/>
                <w:szCs w:val="24"/>
                <w:lang w:eastAsia="lv-LV"/>
              </w:rPr>
              <w:t>Rādītāji</w:t>
            </w:r>
          </w:p>
        </w:tc>
        <w:tc>
          <w:tcPr>
            <w:tcW w:w="1288"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34854205" w14:textId="77777777" w:rsidR="0004083F" w:rsidRDefault="0004083F" w:rsidP="00D465E4">
            <w:pPr>
              <w:spacing w:after="0" w:line="240" w:lineRule="auto"/>
              <w:ind w:firstLine="300"/>
              <w:jc w:val="both"/>
              <w:rPr>
                <w:rFonts w:ascii="Times New Roman" w:hAnsi="Times New Roman"/>
                <w:b/>
                <w:bCs/>
                <w:sz w:val="24"/>
                <w:szCs w:val="24"/>
                <w:lang w:eastAsia="lv-LV"/>
              </w:rPr>
            </w:pPr>
            <w:r>
              <w:rPr>
                <w:rFonts w:ascii="Times New Roman" w:hAnsi="Times New Roman"/>
                <w:b/>
                <w:bCs/>
                <w:sz w:val="24"/>
                <w:szCs w:val="24"/>
                <w:lang w:eastAsia="lv-LV"/>
              </w:rPr>
              <w:t>2015. gads</w:t>
            </w:r>
          </w:p>
        </w:tc>
        <w:tc>
          <w:tcPr>
            <w:tcW w:w="2757" w:type="pct"/>
            <w:gridSpan w:val="4"/>
            <w:tcBorders>
              <w:top w:val="outset" w:sz="6" w:space="0" w:color="auto"/>
              <w:left w:val="outset" w:sz="6" w:space="0" w:color="auto"/>
              <w:bottom w:val="outset" w:sz="6" w:space="0" w:color="auto"/>
              <w:right w:val="nil"/>
            </w:tcBorders>
            <w:vAlign w:val="center"/>
            <w:hideMark/>
          </w:tcPr>
          <w:p w14:paraId="77429B4C"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Turpmākie trīs gadi (</w:t>
            </w:r>
            <w:proofErr w:type="spellStart"/>
            <w:r>
              <w:rPr>
                <w:rFonts w:ascii="Times New Roman" w:hAnsi="Times New Roman"/>
                <w:i/>
                <w:iCs/>
                <w:sz w:val="24"/>
                <w:szCs w:val="24"/>
                <w:lang w:eastAsia="lv-LV"/>
              </w:rPr>
              <w:t>euro</w:t>
            </w:r>
            <w:proofErr w:type="spellEnd"/>
            <w:r>
              <w:rPr>
                <w:rFonts w:ascii="Times New Roman" w:hAnsi="Times New Roman"/>
                <w:sz w:val="24"/>
                <w:szCs w:val="24"/>
                <w:lang w:eastAsia="lv-LV"/>
              </w:rPr>
              <w:t>)</w:t>
            </w:r>
          </w:p>
        </w:tc>
      </w:tr>
      <w:tr w:rsidR="00A272B8" w14:paraId="10A9E4A7" w14:textId="77777777" w:rsidTr="00A272B8">
        <w:trPr>
          <w:tblCellSpacing w:w="15" w:type="dxa"/>
          <w:jc w:val="center"/>
        </w:trPr>
        <w:tc>
          <w:tcPr>
            <w:tcW w:w="0" w:type="auto"/>
            <w:gridSpan w:val="3"/>
            <w:vMerge/>
            <w:tcBorders>
              <w:top w:val="outset" w:sz="6" w:space="0" w:color="auto"/>
              <w:left w:val="nil"/>
              <w:bottom w:val="outset" w:sz="6" w:space="0" w:color="auto"/>
              <w:right w:val="outset" w:sz="6" w:space="0" w:color="auto"/>
            </w:tcBorders>
            <w:vAlign w:val="center"/>
            <w:hideMark/>
          </w:tcPr>
          <w:p w14:paraId="0283B4A2" w14:textId="77777777" w:rsidR="0004083F" w:rsidRDefault="0004083F" w:rsidP="00D465E4">
            <w:pPr>
              <w:spacing w:after="0" w:line="240" w:lineRule="auto"/>
              <w:rPr>
                <w:rFonts w:ascii="Times New Roman" w:hAnsi="Times New Roman"/>
                <w:b/>
                <w:bCs/>
                <w:sz w:val="24"/>
                <w:szCs w:val="24"/>
                <w:lang w:eastAsia="lv-LV"/>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1B55291" w14:textId="77777777" w:rsidR="0004083F" w:rsidRDefault="0004083F" w:rsidP="00D465E4">
            <w:pPr>
              <w:spacing w:after="0" w:line="240" w:lineRule="auto"/>
              <w:rPr>
                <w:rFonts w:ascii="Times New Roman" w:hAnsi="Times New Roman"/>
                <w:b/>
                <w:bCs/>
                <w:sz w:val="24"/>
                <w:szCs w:val="24"/>
                <w:lang w:eastAsia="lv-LV"/>
              </w:rPr>
            </w:pPr>
          </w:p>
        </w:tc>
        <w:tc>
          <w:tcPr>
            <w:tcW w:w="697" w:type="pct"/>
            <w:tcBorders>
              <w:top w:val="outset" w:sz="6" w:space="0" w:color="auto"/>
              <w:left w:val="outset" w:sz="6" w:space="0" w:color="auto"/>
              <w:bottom w:val="outset" w:sz="6" w:space="0" w:color="auto"/>
              <w:right w:val="outset" w:sz="6" w:space="0" w:color="auto"/>
            </w:tcBorders>
            <w:vAlign w:val="center"/>
            <w:hideMark/>
          </w:tcPr>
          <w:p w14:paraId="742D427E" w14:textId="77777777" w:rsidR="0004083F" w:rsidRDefault="0004083F" w:rsidP="00D465E4">
            <w:pPr>
              <w:spacing w:after="0" w:line="240" w:lineRule="auto"/>
              <w:jc w:val="both"/>
              <w:rPr>
                <w:rFonts w:ascii="Times New Roman" w:hAnsi="Times New Roman"/>
                <w:b/>
                <w:bCs/>
                <w:sz w:val="24"/>
                <w:szCs w:val="24"/>
                <w:lang w:eastAsia="lv-LV"/>
              </w:rPr>
            </w:pPr>
            <w:r>
              <w:rPr>
                <w:rFonts w:ascii="Times New Roman" w:hAnsi="Times New Roman"/>
                <w:b/>
                <w:bCs/>
                <w:sz w:val="24"/>
                <w:szCs w:val="24"/>
                <w:lang w:eastAsia="lv-LV"/>
              </w:rPr>
              <w:t xml:space="preserve"> 2016.gads</w:t>
            </w:r>
          </w:p>
        </w:tc>
        <w:tc>
          <w:tcPr>
            <w:tcW w:w="746" w:type="pct"/>
            <w:tcBorders>
              <w:top w:val="outset" w:sz="6" w:space="0" w:color="auto"/>
              <w:left w:val="outset" w:sz="6" w:space="0" w:color="auto"/>
              <w:bottom w:val="outset" w:sz="6" w:space="0" w:color="auto"/>
              <w:right w:val="outset" w:sz="6" w:space="0" w:color="auto"/>
            </w:tcBorders>
            <w:vAlign w:val="center"/>
            <w:hideMark/>
          </w:tcPr>
          <w:p w14:paraId="075CC700" w14:textId="77777777" w:rsidR="0004083F" w:rsidRDefault="0004083F" w:rsidP="00D465E4">
            <w:pPr>
              <w:spacing w:after="0" w:line="240" w:lineRule="auto"/>
              <w:ind w:firstLine="300"/>
              <w:jc w:val="both"/>
              <w:rPr>
                <w:rFonts w:ascii="Times New Roman" w:hAnsi="Times New Roman"/>
                <w:b/>
                <w:bCs/>
                <w:sz w:val="24"/>
                <w:szCs w:val="24"/>
                <w:lang w:eastAsia="lv-LV"/>
              </w:rPr>
            </w:pPr>
            <w:r>
              <w:rPr>
                <w:rFonts w:ascii="Times New Roman" w:hAnsi="Times New Roman"/>
                <w:b/>
                <w:bCs/>
                <w:sz w:val="24"/>
                <w:szCs w:val="24"/>
                <w:lang w:eastAsia="lv-LV"/>
              </w:rPr>
              <w:t>2017.gads</w:t>
            </w:r>
          </w:p>
        </w:tc>
        <w:tc>
          <w:tcPr>
            <w:tcW w:w="1282" w:type="pct"/>
            <w:gridSpan w:val="2"/>
            <w:tcBorders>
              <w:top w:val="outset" w:sz="6" w:space="0" w:color="auto"/>
              <w:left w:val="outset" w:sz="6" w:space="0" w:color="auto"/>
              <w:bottom w:val="outset" w:sz="6" w:space="0" w:color="auto"/>
              <w:right w:val="nil"/>
            </w:tcBorders>
            <w:vAlign w:val="center"/>
            <w:hideMark/>
          </w:tcPr>
          <w:p w14:paraId="0D4AFBC8" w14:textId="77777777" w:rsidR="0004083F" w:rsidRDefault="0004083F" w:rsidP="00D465E4">
            <w:pPr>
              <w:spacing w:after="0" w:line="240" w:lineRule="auto"/>
              <w:ind w:firstLine="300"/>
              <w:jc w:val="both"/>
              <w:rPr>
                <w:rFonts w:ascii="Times New Roman" w:hAnsi="Times New Roman"/>
                <w:b/>
                <w:bCs/>
                <w:sz w:val="24"/>
                <w:szCs w:val="24"/>
                <w:lang w:eastAsia="lv-LV"/>
              </w:rPr>
            </w:pPr>
            <w:r>
              <w:rPr>
                <w:rFonts w:ascii="Times New Roman" w:hAnsi="Times New Roman"/>
                <w:b/>
                <w:bCs/>
                <w:sz w:val="24"/>
                <w:szCs w:val="24"/>
                <w:lang w:eastAsia="lv-LV"/>
              </w:rPr>
              <w:t>2018.gads</w:t>
            </w:r>
          </w:p>
        </w:tc>
      </w:tr>
      <w:tr w:rsidR="00A272B8" w14:paraId="624579ED" w14:textId="77777777" w:rsidTr="00A272B8">
        <w:trPr>
          <w:tblCellSpacing w:w="15" w:type="dxa"/>
          <w:jc w:val="center"/>
        </w:trPr>
        <w:tc>
          <w:tcPr>
            <w:tcW w:w="0" w:type="auto"/>
            <w:gridSpan w:val="3"/>
            <w:vMerge/>
            <w:tcBorders>
              <w:top w:val="outset" w:sz="6" w:space="0" w:color="auto"/>
              <w:left w:val="nil"/>
              <w:bottom w:val="outset" w:sz="6" w:space="0" w:color="auto"/>
              <w:right w:val="outset" w:sz="6" w:space="0" w:color="auto"/>
            </w:tcBorders>
            <w:vAlign w:val="center"/>
            <w:hideMark/>
          </w:tcPr>
          <w:p w14:paraId="60B58899" w14:textId="77777777" w:rsidR="0004083F" w:rsidRDefault="0004083F" w:rsidP="00D465E4">
            <w:pPr>
              <w:spacing w:after="0" w:line="240" w:lineRule="auto"/>
              <w:rPr>
                <w:rFonts w:ascii="Times New Roman" w:hAnsi="Times New Roman"/>
                <w:b/>
                <w:bCs/>
                <w:sz w:val="24"/>
                <w:szCs w:val="24"/>
                <w:lang w:eastAsia="lv-LV"/>
              </w:rPr>
            </w:pPr>
          </w:p>
        </w:tc>
        <w:tc>
          <w:tcPr>
            <w:tcW w:w="608" w:type="pct"/>
            <w:tcBorders>
              <w:top w:val="outset" w:sz="6" w:space="0" w:color="auto"/>
              <w:left w:val="outset" w:sz="6" w:space="0" w:color="auto"/>
              <w:bottom w:val="outset" w:sz="6" w:space="0" w:color="auto"/>
              <w:right w:val="outset" w:sz="6" w:space="0" w:color="auto"/>
            </w:tcBorders>
            <w:vAlign w:val="center"/>
            <w:hideMark/>
          </w:tcPr>
          <w:p w14:paraId="2F463CAF"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saskaņā ar valsts budžetu kārtējam gadam</w:t>
            </w:r>
          </w:p>
        </w:tc>
        <w:tc>
          <w:tcPr>
            <w:tcW w:w="665" w:type="pct"/>
            <w:gridSpan w:val="2"/>
            <w:tcBorders>
              <w:top w:val="outset" w:sz="6" w:space="0" w:color="auto"/>
              <w:left w:val="outset" w:sz="6" w:space="0" w:color="auto"/>
              <w:bottom w:val="outset" w:sz="6" w:space="0" w:color="auto"/>
              <w:right w:val="outset" w:sz="6" w:space="0" w:color="auto"/>
            </w:tcBorders>
            <w:vAlign w:val="center"/>
            <w:hideMark/>
          </w:tcPr>
          <w:p w14:paraId="3492DD04"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izmaiņas kārtējā gadā, salīdzinot ar valsts budžetu kārtējam gadam</w:t>
            </w:r>
          </w:p>
        </w:tc>
        <w:tc>
          <w:tcPr>
            <w:tcW w:w="697" w:type="pct"/>
            <w:tcBorders>
              <w:top w:val="outset" w:sz="6" w:space="0" w:color="auto"/>
              <w:left w:val="outset" w:sz="6" w:space="0" w:color="auto"/>
              <w:bottom w:val="outset" w:sz="6" w:space="0" w:color="auto"/>
              <w:right w:val="outset" w:sz="6" w:space="0" w:color="auto"/>
            </w:tcBorders>
            <w:vAlign w:val="center"/>
            <w:hideMark/>
          </w:tcPr>
          <w:p w14:paraId="0135BB52"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izmaiņas, salīdzinot ar kārtējo (n) gadu</w:t>
            </w:r>
          </w:p>
        </w:tc>
        <w:tc>
          <w:tcPr>
            <w:tcW w:w="746" w:type="pct"/>
            <w:tcBorders>
              <w:top w:val="outset" w:sz="6" w:space="0" w:color="auto"/>
              <w:left w:val="outset" w:sz="6" w:space="0" w:color="auto"/>
              <w:bottom w:val="outset" w:sz="6" w:space="0" w:color="auto"/>
              <w:right w:val="outset" w:sz="6" w:space="0" w:color="auto"/>
            </w:tcBorders>
            <w:vAlign w:val="center"/>
            <w:hideMark/>
          </w:tcPr>
          <w:p w14:paraId="055FFC9A"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izmaiņas, salīdzinot ar kārtējo (n) gadu</w:t>
            </w:r>
          </w:p>
        </w:tc>
        <w:tc>
          <w:tcPr>
            <w:tcW w:w="1282" w:type="pct"/>
            <w:gridSpan w:val="2"/>
            <w:tcBorders>
              <w:top w:val="outset" w:sz="6" w:space="0" w:color="auto"/>
              <w:left w:val="outset" w:sz="6" w:space="0" w:color="auto"/>
              <w:bottom w:val="outset" w:sz="6" w:space="0" w:color="auto"/>
              <w:right w:val="nil"/>
            </w:tcBorders>
            <w:vAlign w:val="center"/>
            <w:hideMark/>
          </w:tcPr>
          <w:p w14:paraId="4E6A622F"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izmaiņas, salīdzinot ar kārtējo (n) gadu</w:t>
            </w:r>
          </w:p>
        </w:tc>
      </w:tr>
      <w:tr w:rsidR="00A272B8" w14:paraId="1500E275"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vAlign w:val="center"/>
            <w:hideMark/>
          </w:tcPr>
          <w:p w14:paraId="1E635350"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1</w:t>
            </w:r>
          </w:p>
        </w:tc>
        <w:tc>
          <w:tcPr>
            <w:tcW w:w="608" w:type="pct"/>
            <w:tcBorders>
              <w:top w:val="outset" w:sz="6" w:space="0" w:color="auto"/>
              <w:left w:val="outset" w:sz="6" w:space="0" w:color="auto"/>
              <w:bottom w:val="outset" w:sz="6" w:space="0" w:color="auto"/>
              <w:right w:val="outset" w:sz="6" w:space="0" w:color="auto"/>
            </w:tcBorders>
            <w:vAlign w:val="center"/>
            <w:hideMark/>
          </w:tcPr>
          <w:p w14:paraId="637FF236"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2</w:t>
            </w:r>
          </w:p>
        </w:tc>
        <w:tc>
          <w:tcPr>
            <w:tcW w:w="665" w:type="pct"/>
            <w:gridSpan w:val="2"/>
            <w:tcBorders>
              <w:top w:val="outset" w:sz="6" w:space="0" w:color="auto"/>
              <w:left w:val="outset" w:sz="6" w:space="0" w:color="auto"/>
              <w:bottom w:val="outset" w:sz="6" w:space="0" w:color="auto"/>
              <w:right w:val="outset" w:sz="6" w:space="0" w:color="auto"/>
            </w:tcBorders>
            <w:vAlign w:val="center"/>
            <w:hideMark/>
          </w:tcPr>
          <w:p w14:paraId="3E7BECC4"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3</w:t>
            </w:r>
          </w:p>
        </w:tc>
        <w:tc>
          <w:tcPr>
            <w:tcW w:w="697" w:type="pct"/>
            <w:tcBorders>
              <w:top w:val="outset" w:sz="6" w:space="0" w:color="auto"/>
              <w:left w:val="outset" w:sz="6" w:space="0" w:color="auto"/>
              <w:bottom w:val="outset" w:sz="6" w:space="0" w:color="auto"/>
              <w:right w:val="outset" w:sz="6" w:space="0" w:color="auto"/>
            </w:tcBorders>
            <w:vAlign w:val="center"/>
            <w:hideMark/>
          </w:tcPr>
          <w:p w14:paraId="3336EB4D"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4</w:t>
            </w:r>
          </w:p>
        </w:tc>
        <w:tc>
          <w:tcPr>
            <w:tcW w:w="746" w:type="pct"/>
            <w:tcBorders>
              <w:top w:val="outset" w:sz="6" w:space="0" w:color="auto"/>
              <w:left w:val="outset" w:sz="6" w:space="0" w:color="auto"/>
              <w:bottom w:val="outset" w:sz="6" w:space="0" w:color="auto"/>
              <w:right w:val="outset" w:sz="6" w:space="0" w:color="auto"/>
            </w:tcBorders>
            <w:vAlign w:val="center"/>
            <w:hideMark/>
          </w:tcPr>
          <w:p w14:paraId="5CEDC97B"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5</w:t>
            </w:r>
          </w:p>
        </w:tc>
        <w:tc>
          <w:tcPr>
            <w:tcW w:w="1282" w:type="pct"/>
            <w:gridSpan w:val="2"/>
            <w:tcBorders>
              <w:top w:val="outset" w:sz="6" w:space="0" w:color="auto"/>
              <w:left w:val="outset" w:sz="6" w:space="0" w:color="auto"/>
              <w:bottom w:val="outset" w:sz="6" w:space="0" w:color="auto"/>
              <w:right w:val="nil"/>
            </w:tcBorders>
            <w:vAlign w:val="center"/>
            <w:hideMark/>
          </w:tcPr>
          <w:p w14:paraId="29574BBA" w14:textId="77777777" w:rsidR="0004083F" w:rsidRDefault="0004083F"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6</w:t>
            </w:r>
          </w:p>
        </w:tc>
      </w:tr>
      <w:tr w:rsidR="00A272B8" w14:paraId="7C3C0A8C"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5DFC6BB5" w14:textId="77777777" w:rsidR="0004083F" w:rsidRDefault="0004083F"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 Budžeta ieņēmumi:</w:t>
            </w:r>
          </w:p>
        </w:tc>
        <w:tc>
          <w:tcPr>
            <w:tcW w:w="608" w:type="pct"/>
            <w:tcBorders>
              <w:top w:val="outset" w:sz="6" w:space="0" w:color="auto"/>
              <w:left w:val="outset" w:sz="6" w:space="0" w:color="auto"/>
              <w:bottom w:val="outset" w:sz="6" w:space="0" w:color="auto"/>
              <w:right w:val="outset" w:sz="6" w:space="0" w:color="auto"/>
            </w:tcBorders>
          </w:tcPr>
          <w:p w14:paraId="37BCEA5A" w14:textId="47DC289D" w:rsidR="0004083F"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6577523D" w14:textId="640EF7DC" w:rsidR="0004083F"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2D9ADC4E" w14:textId="2D47912F" w:rsidR="0004083F"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290276A0" w14:textId="2D997EE2" w:rsidR="0004083F"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5E8DAD3E" w14:textId="74A57087" w:rsidR="0004083F"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4D1F1150"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266D93B3"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lastRenderedPageBreak/>
              <w:t>1.1. valsts pamatbudžets, tai skaitā ieņēmumi no maksas pakalpojumiem un citi pašu ieņēmumi</w:t>
            </w:r>
          </w:p>
        </w:tc>
        <w:tc>
          <w:tcPr>
            <w:tcW w:w="608" w:type="pct"/>
            <w:tcBorders>
              <w:top w:val="outset" w:sz="6" w:space="0" w:color="auto"/>
              <w:left w:val="outset" w:sz="6" w:space="0" w:color="auto"/>
              <w:bottom w:val="outset" w:sz="6" w:space="0" w:color="auto"/>
              <w:right w:val="outset" w:sz="6" w:space="0" w:color="auto"/>
            </w:tcBorders>
          </w:tcPr>
          <w:p w14:paraId="54C7F0CD" w14:textId="6B2C6E2D"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156DB9D9" w14:textId="228B94B5"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2D7F775A" w14:textId="5FD4AE02"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0E12700B" w14:textId="7D245CC9"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7461203F" w14:textId="770897F5"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559B3485"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3BE810CA"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1.2. valsts speciālais budžets</w:t>
            </w:r>
          </w:p>
        </w:tc>
        <w:tc>
          <w:tcPr>
            <w:tcW w:w="608" w:type="pct"/>
            <w:tcBorders>
              <w:top w:val="outset" w:sz="6" w:space="0" w:color="auto"/>
              <w:left w:val="outset" w:sz="6" w:space="0" w:color="auto"/>
              <w:bottom w:val="outset" w:sz="6" w:space="0" w:color="auto"/>
              <w:right w:val="outset" w:sz="6" w:space="0" w:color="auto"/>
            </w:tcBorders>
          </w:tcPr>
          <w:p w14:paraId="50D8F058" w14:textId="0E164A72"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2D894D71" w14:textId="0832A580"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076CA9FE" w14:textId="1A03C7D0"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6EC222C1" w14:textId="1E1545C4"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28BC29C5" w14:textId="31222375"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7CCDB9BD"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3E3AB6DF"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1.3. pašvaldību budžets</w:t>
            </w:r>
          </w:p>
        </w:tc>
        <w:tc>
          <w:tcPr>
            <w:tcW w:w="608" w:type="pct"/>
            <w:tcBorders>
              <w:top w:val="outset" w:sz="6" w:space="0" w:color="auto"/>
              <w:left w:val="outset" w:sz="6" w:space="0" w:color="auto"/>
              <w:bottom w:val="outset" w:sz="6" w:space="0" w:color="auto"/>
              <w:right w:val="outset" w:sz="6" w:space="0" w:color="auto"/>
            </w:tcBorders>
          </w:tcPr>
          <w:p w14:paraId="6D8659B5" w14:textId="013BFC60"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562C66A5" w14:textId="754DA3C6"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006AA562" w14:textId="3E90DCE8"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16574120" w14:textId="5677925D"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2C6A15A9" w14:textId="4436CAB5"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58BDE9CA"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7B5B78D6"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 Budžeta izdevumi:</w:t>
            </w:r>
          </w:p>
        </w:tc>
        <w:tc>
          <w:tcPr>
            <w:tcW w:w="608" w:type="pct"/>
            <w:tcBorders>
              <w:top w:val="outset" w:sz="6" w:space="0" w:color="auto"/>
              <w:left w:val="outset" w:sz="6" w:space="0" w:color="auto"/>
              <w:bottom w:val="outset" w:sz="6" w:space="0" w:color="auto"/>
              <w:right w:val="outset" w:sz="6" w:space="0" w:color="auto"/>
            </w:tcBorders>
          </w:tcPr>
          <w:p w14:paraId="7F37A4FF" w14:textId="16BE464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14C1C333" w14:textId="1C9A607E"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686A390B" w14:textId="697487AE"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4E1B39B4" w14:textId="36860A1C"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05819F03" w14:textId="4F3E9D3A"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1F471C12"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08BED0F7"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2.1. valsts pamatbudžets</w:t>
            </w:r>
          </w:p>
        </w:tc>
        <w:tc>
          <w:tcPr>
            <w:tcW w:w="608" w:type="pct"/>
            <w:tcBorders>
              <w:top w:val="outset" w:sz="6" w:space="0" w:color="auto"/>
              <w:left w:val="outset" w:sz="6" w:space="0" w:color="auto"/>
              <w:bottom w:val="outset" w:sz="6" w:space="0" w:color="auto"/>
              <w:right w:val="outset" w:sz="6" w:space="0" w:color="auto"/>
            </w:tcBorders>
          </w:tcPr>
          <w:p w14:paraId="1B633A65" w14:textId="71BCB6BD"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48C4040A" w14:textId="6FBB53F0"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22DBDB30" w14:textId="009011F5"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677474F6" w14:textId="320D898B"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79B7E7DE" w14:textId="4C627369"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4C75CCBE"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060CB217"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2.2. valsts speciālais budžets</w:t>
            </w:r>
          </w:p>
        </w:tc>
        <w:tc>
          <w:tcPr>
            <w:tcW w:w="608" w:type="pct"/>
            <w:tcBorders>
              <w:top w:val="outset" w:sz="6" w:space="0" w:color="auto"/>
              <w:left w:val="outset" w:sz="6" w:space="0" w:color="auto"/>
              <w:bottom w:val="outset" w:sz="6" w:space="0" w:color="auto"/>
              <w:right w:val="outset" w:sz="6" w:space="0" w:color="auto"/>
            </w:tcBorders>
          </w:tcPr>
          <w:p w14:paraId="3018BDC6" w14:textId="7BB245B3"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40352F38" w14:textId="0128D5C6"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53614C76" w14:textId="169DB638"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56BF31E4" w14:textId="3B64390B"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7FE9EEA9" w14:textId="0EED30E8"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11F70CE2"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5E3C7EE5"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2.3. pašvaldību budžets</w:t>
            </w:r>
          </w:p>
        </w:tc>
        <w:tc>
          <w:tcPr>
            <w:tcW w:w="608" w:type="pct"/>
            <w:tcBorders>
              <w:top w:val="outset" w:sz="6" w:space="0" w:color="auto"/>
              <w:left w:val="outset" w:sz="6" w:space="0" w:color="auto"/>
              <w:bottom w:val="outset" w:sz="6" w:space="0" w:color="auto"/>
              <w:right w:val="outset" w:sz="6" w:space="0" w:color="auto"/>
            </w:tcBorders>
          </w:tcPr>
          <w:p w14:paraId="51DD0A48" w14:textId="4B8EBA38"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27E045FF" w14:textId="3D8ACA7D"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61EA194F" w14:textId="1086F69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6CD9C516" w14:textId="24AE4516"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796AD194" w14:textId="4C9D351B"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241C8E3C"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4DB60627"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3. Finansiālā ietekme:</w:t>
            </w:r>
          </w:p>
        </w:tc>
        <w:tc>
          <w:tcPr>
            <w:tcW w:w="608" w:type="pct"/>
            <w:tcBorders>
              <w:top w:val="outset" w:sz="6" w:space="0" w:color="auto"/>
              <w:left w:val="outset" w:sz="6" w:space="0" w:color="auto"/>
              <w:bottom w:val="outset" w:sz="6" w:space="0" w:color="auto"/>
              <w:right w:val="outset" w:sz="6" w:space="0" w:color="auto"/>
            </w:tcBorders>
          </w:tcPr>
          <w:p w14:paraId="5B16EE04" w14:textId="17C2215A"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19B60638" w14:textId="0D862F7F"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771941FF" w14:textId="6FD8DEA5"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1F05C18F" w14:textId="6DE25307"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3ADF5069" w14:textId="1E9833BF"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6BA64262"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76894F36"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3.1. valsts pamatbudžets</w:t>
            </w:r>
          </w:p>
        </w:tc>
        <w:tc>
          <w:tcPr>
            <w:tcW w:w="608" w:type="pct"/>
            <w:tcBorders>
              <w:top w:val="outset" w:sz="6" w:space="0" w:color="auto"/>
              <w:left w:val="outset" w:sz="6" w:space="0" w:color="auto"/>
              <w:bottom w:val="outset" w:sz="6" w:space="0" w:color="auto"/>
              <w:right w:val="outset" w:sz="6" w:space="0" w:color="auto"/>
            </w:tcBorders>
          </w:tcPr>
          <w:p w14:paraId="0CB0CC65" w14:textId="27B6F833"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759E093E" w14:textId="315C88CE"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4AD58576" w14:textId="45F91D3A"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7C6DD61B" w14:textId="00E32479"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1CBBCCA3" w14:textId="24FAE6BD"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0641A2E6"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644D9A24"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3.2. speciālais budžets</w:t>
            </w:r>
          </w:p>
        </w:tc>
        <w:tc>
          <w:tcPr>
            <w:tcW w:w="608" w:type="pct"/>
            <w:tcBorders>
              <w:top w:val="outset" w:sz="6" w:space="0" w:color="auto"/>
              <w:left w:val="outset" w:sz="6" w:space="0" w:color="auto"/>
              <w:bottom w:val="outset" w:sz="6" w:space="0" w:color="auto"/>
              <w:right w:val="outset" w:sz="6" w:space="0" w:color="auto"/>
            </w:tcBorders>
          </w:tcPr>
          <w:p w14:paraId="101F50B1" w14:textId="7889783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1C674236" w14:textId="4CD549C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4063D607" w14:textId="2D7BCD2E"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51169E2A" w14:textId="017B238C"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6BBE8001" w14:textId="6C0F706C"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3962FD61"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1F1300D6"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3.3. pašvaldību budžets</w:t>
            </w:r>
          </w:p>
        </w:tc>
        <w:tc>
          <w:tcPr>
            <w:tcW w:w="608" w:type="pct"/>
            <w:tcBorders>
              <w:top w:val="outset" w:sz="6" w:space="0" w:color="auto"/>
              <w:left w:val="outset" w:sz="6" w:space="0" w:color="auto"/>
              <w:bottom w:val="outset" w:sz="6" w:space="0" w:color="auto"/>
              <w:right w:val="outset" w:sz="6" w:space="0" w:color="auto"/>
            </w:tcBorders>
          </w:tcPr>
          <w:p w14:paraId="3713DCD2" w14:textId="4382DB13"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100B3E48" w14:textId="0E1B533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1A610967" w14:textId="4953A990"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17B28591" w14:textId="299CD19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36BADAA7" w14:textId="0020F38F"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rsidRPr="006F6BE5" w14:paraId="058253C2" w14:textId="77777777" w:rsidTr="00A272B8">
        <w:trPr>
          <w:tblCellSpacing w:w="15" w:type="dxa"/>
          <w:jc w:val="center"/>
        </w:trPr>
        <w:tc>
          <w:tcPr>
            <w:tcW w:w="890" w:type="pct"/>
            <w:gridSpan w:val="3"/>
            <w:vMerge w:val="restart"/>
            <w:tcBorders>
              <w:top w:val="outset" w:sz="6" w:space="0" w:color="auto"/>
              <w:left w:val="nil"/>
              <w:bottom w:val="outset" w:sz="6" w:space="0" w:color="auto"/>
              <w:right w:val="outset" w:sz="6" w:space="0" w:color="auto"/>
            </w:tcBorders>
            <w:hideMark/>
          </w:tcPr>
          <w:p w14:paraId="259F3B5F"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4. Finanšu līdzekļi papildu izdevumu finansēšanai (kompensējošu izdevumu samazinājumu norāda ar "+" zīmi)</w:t>
            </w:r>
          </w:p>
        </w:tc>
        <w:tc>
          <w:tcPr>
            <w:tcW w:w="608" w:type="pct"/>
            <w:vMerge w:val="restart"/>
            <w:tcBorders>
              <w:top w:val="outset" w:sz="6" w:space="0" w:color="auto"/>
              <w:left w:val="outset" w:sz="6" w:space="0" w:color="auto"/>
              <w:bottom w:val="outset" w:sz="6" w:space="0" w:color="auto"/>
              <w:right w:val="outset" w:sz="6" w:space="0" w:color="auto"/>
            </w:tcBorders>
          </w:tcPr>
          <w:p w14:paraId="68B569C6" w14:textId="7D481DA0" w:rsidR="00A272B8" w:rsidRPr="006F6BE5" w:rsidRDefault="00A272B8"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12A7CEF6" w14:textId="52A58E6A"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4ABB7AC6" w14:textId="34556C20"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1561DBBE" w14:textId="4C21C58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6637CB62" w14:textId="46A33424" w:rsidR="00A272B8" w:rsidRPr="006F6BE5"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19B9FD11" w14:textId="77777777" w:rsidTr="00A272B8">
        <w:trPr>
          <w:tblCellSpacing w:w="15" w:type="dxa"/>
          <w:jc w:val="center"/>
        </w:trPr>
        <w:tc>
          <w:tcPr>
            <w:tcW w:w="0" w:type="auto"/>
            <w:gridSpan w:val="3"/>
            <w:vMerge/>
            <w:tcBorders>
              <w:top w:val="outset" w:sz="6" w:space="0" w:color="auto"/>
              <w:left w:val="nil"/>
              <w:bottom w:val="outset" w:sz="6" w:space="0" w:color="auto"/>
              <w:right w:val="outset" w:sz="6" w:space="0" w:color="auto"/>
            </w:tcBorders>
            <w:vAlign w:val="center"/>
            <w:hideMark/>
          </w:tcPr>
          <w:p w14:paraId="73D3F531" w14:textId="77777777" w:rsidR="00A272B8" w:rsidRDefault="00A272B8" w:rsidP="00D465E4">
            <w:pPr>
              <w:spacing w:after="0" w:line="240" w:lineRule="auto"/>
              <w:rPr>
                <w:rFonts w:ascii="Times New Roman" w:hAnsi="Times New Roman"/>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5725017" w14:textId="77777777" w:rsidR="00A272B8" w:rsidRDefault="00A272B8" w:rsidP="00D465E4">
            <w:pPr>
              <w:spacing w:after="0" w:line="240" w:lineRule="auto"/>
              <w:rPr>
                <w:rFonts w:ascii="Times New Roman" w:hAnsi="Times New Roman"/>
                <w:sz w:val="24"/>
                <w:szCs w:val="24"/>
                <w:lang w:eastAsia="lv-LV"/>
              </w:rPr>
            </w:pPr>
          </w:p>
        </w:tc>
        <w:tc>
          <w:tcPr>
            <w:tcW w:w="665" w:type="pct"/>
            <w:gridSpan w:val="2"/>
            <w:tcBorders>
              <w:top w:val="outset" w:sz="6" w:space="0" w:color="auto"/>
              <w:left w:val="outset" w:sz="6" w:space="0" w:color="auto"/>
              <w:bottom w:val="outset" w:sz="6" w:space="0" w:color="auto"/>
              <w:right w:val="outset" w:sz="6" w:space="0" w:color="auto"/>
            </w:tcBorders>
          </w:tcPr>
          <w:p w14:paraId="2D773C6D" w14:textId="750CF966"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5255F2AB" w14:textId="0DC8BA5D"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464B787E" w14:textId="68A24272"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585A429A" w14:textId="33DC0640"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2FA0CDCC" w14:textId="77777777" w:rsidTr="00A272B8">
        <w:trPr>
          <w:tblCellSpacing w:w="15" w:type="dxa"/>
          <w:jc w:val="center"/>
        </w:trPr>
        <w:tc>
          <w:tcPr>
            <w:tcW w:w="0" w:type="auto"/>
            <w:gridSpan w:val="3"/>
            <w:vMerge/>
            <w:tcBorders>
              <w:top w:val="outset" w:sz="6" w:space="0" w:color="auto"/>
              <w:left w:val="nil"/>
              <w:bottom w:val="outset" w:sz="6" w:space="0" w:color="auto"/>
              <w:right w:val="outset" w:sz="6" w:space="0" w:color="auto"/>
            </w:tcBorders>
            <w:vAlign w:val="center"/>
            <w:hideMark/>
          </w:tcPr>
          <w:p w14:paraId="0F2E36F7" w14:textId="77777777" w:rsidR="00A272B8" w:rsidRDefault="00A272B8" w:rsidP="00D465E4">
            <w:pPr>
              <w:spacing w:after="0" w:line="240" w:lineRule="auto"/>
              <w:rPr>
                <w:rFonts w:ascii="Times New Roman" w:hAnsi="Times New Roman"/>
                <w:sz w:val="24"/>
                <w:szCs w:val="24"/>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AFF67A3" w14:textId="77777777" w:rsidR="00A272B8" w:rsidRDefault="00A272B8" w:rsidP="00D465E4">
            <w:pPr>
              <w:spacing w:after="0" w:line="240" w:lineRule="auto"/>
              <w:rPr>
                <w:rFonts w:ascii="Times New Roman" w:hAnsi="Times New Roman"/>
                <w:sz w:val="24"/>
                <w:szCs w:val="24"/>
                <w:lang w:eastAsia="lv-LV"/>
              </w:rPr>
            </w:pPr>
          </w:p>
        </w:tc>
        <w:tc>
          <w:tcPr>
            <w:tcW w:w="665" w:type="pct"/>
            <w:gridSpan w:val="2"/>
            <w:tcBorders>
              <w:top w:val="outset" w:sz="6" w:space="0" w:color="auto"/>
              <w:left w:val="outset" w:sz="6" w:space="0" w:color="auto"/>
              <w:bottom w:val="outset" w:sz="6" w:space="0" w:color="auto"/>
              <w:right w:val="outset" w:sz="6" w:space="0" w:color="auto"/>
            </w:tcBorders>
          </w:tcPr>
          <w:p w14:paraId="3337C41D" w14:textId="5D03C71F"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7D6B5596" w14:textId="74FADB1B"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19BF5F85" w14:textId="56B49BC2"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5DC026E3" w14:textId="69C8528B"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0FF5A2A3"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4703E433"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5. Precizēta finansiālā ietekme:</w:t>
            </w:r>
          </w:p>
        </w:tc>
        <w:tc>
          <w:tcPr>
            <w:tcW w:w="608" w:type="pct"/>
            <w:vMerge w:val="restart"/>
            <w:tcBorders>
              <w:top w:val="outset" w:sz="6" w:space="0" w:color="auto"/>
              <w:left w:val="outset" w:sz="6" w:space="0" w:color="auto"/>
              <w:bottom w:val="outset" w:sz="6" w:space="0" w:color="auto"/>
              <w:right w:val="outset" w:sz="6" w:space="0" w:color="auto"/>
            </w:tcBorders>
          </w:tcPr>
          <w:p w14:paraId="7B56513D" w14:textId="6688F021" w:rsidR="00A272B8" w:rsidRDefault="00A272B8" w:rsidP="00D465E4">
            <w:pPr>
              <w:spacing w:after="0" w:line="240" w:lineRule="auto"/>
              <w:ind w:firstLine="300"/>
              <w:jc w:val="both"/>
              <w:rPr>
                <w:rFonts w:ascii="Times New Roman" w:hAnsi="Times New Roman"/>
                <w:sz w:val="24"/>
                <w:szCs w:val="24"/>
                <w:lang w:eastAsia="lv-LV"/>
              </w:rPr>
            </w:pPr>
            <w:r>
              <w:rPr>
                <w:rFonts w:ascii="Times New Roman" w:hAnsi="Times New Roman"/>
                <w:sz w:val="24"/>
                <w:szCs w:val="24"/>
                <w:lang w:eastAsia="lv-LV"/>
              </w:rPr>
              <w:t>0</w:t>
            </w:r>
          </w:p>
        </w:tc>
        <w:tc>
          <w:tcPr>
            <w:tcW w:w="665" w:type="pct"/>
            <w:gridSpan w:val="2"/>
            <w:tcBorders>
              <w:top w:val="outset" w:sz="6" w:space="0" w:color="auto"/>
              <w:left w:val="outset" w:sz="6" w:space="0" w:color="auto"/>
              <w:bottom w:val="outset" w:sz="6" w:space="0" w:color="auto"/>
              <w:right w:val="outset" w:sz="6" w:space="0" w:color="auto"/>
            </w:tcBorders>
          </w:tcPr>
          <w:p w14:paraId="397793C3" w14:textId="652D5FFD"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3B6C6A65" w14:textId="18C8530A"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493A7444" w14:textId="58267036"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628B2ACB" w14:textId="55ABAFB1"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18066FF4"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5D6D087A"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tcPr>
          <w:p w14:paraId="3AEB122D" w14:textId="77777777" w:rsidR="00A272B8" w:rsidRDefault="00A272B8" w:rsidP="00D465E4">
            <w:pPr>
              <w:spacing w:after="0" w:line="240" w:lineRule="auto"/>
              <w:rPr>
                <w:rFonts w:ascii="Times New Roman" w:hAnsi="Times New Roman"/>
                <w:sz w:val="24"/>
                <w:szCs w:val="24"/>
                <w:lang w:eastAsia="lv-LV"/>
              </w:rPr>
            </w:pPr>
          </w:p>
        </w:tc>
        <w:tc>
          <w:tcPr>
            <w:tcW w:w="665" w:type="pct"/>
            <w:gridSpan w:val="2"/>
            <w:tcBorders>
              <w:top w:val="outset" w:sz="6" w:space="0" w:color="auto"/>
              <w:left w:val="outset" w:sz="6" w:space="0" w:color="auto"/>
              <w:bottom w:val="outset" w:sz="6" w:space="0" w:color="auto"/>
              <w:right w:val="outset" w:sz="6" w:space="0" w:color="auto"/>
            </w:tcBorders>
          </w:tcPr>
          <w:p w14:paraId="67252ABA" w14:textId="663E028B"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17E50E5E" w14:textId="73F47A04"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4964FC19" w14:textId="04F9DE66"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42281DA7" w14:textId="00D594BF"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0590745A"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4A01A6C7"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lastRenderedPageBreak/>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tcPr>
          <w:p w14:paraId="3C67F08B" w14:textId="77777777" w:rsidR="00A272B8" w:rsidRDefault="00A272B8" w:rsidP="00D465E4">
            <w:pPr>
              <w:spacing w:after="0" w:line="240" w:lineRule="auto"/>
              <w:rPr>
                <w:rFonts w:ascii="Times New Roman" w:hAnsi="Times New Roman"/>
                <w:sz w:val="24"/>
                <w:szCs w:val="24"/>
                <w:lang w:eastAsia="lv-LV"/>
              </w:rPr>
            </w:pPr>
          </w:p>
        </w:tc>
        <w:tc>
          <w:tcPr>
            <w:tcW w:w="665" w:type="pct"/>
            <w:gridSpan w:val="2"/>
            <w:tcBorders>
              <w:top w:val="outset" w:sz="6" w:space="0" w:color="auto"/>
              <w:left w:val="outset" w:sz="6" w:space="0" w:color="auto"/>
              <w:bottom w:val="outset" w:sz="6" w:space="0" w:color="auto"/>
              <w:right w:val="outset" w:sz="6" w:space="0" w:color="auto"/>
            </w:tcBorders>
          </w:tcPr>
          <w:p w14:paraId="7A83CC93" w14:textId="1CA64469"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2D4C1991" w14:textId="319B2D4A"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5B7D9462" w14:textId="29252BC1"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7BB26317" w14:textId="120C439D"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41C1FC38"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11CC5214"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tcPr>
          <w:p w14:paraId="66757146" w14:textId="77777777" w:rsidR="00A272B8" w:rsidRDefault="00A272B8" w:rsidP="00D465E4">
            <w:pPr>
              <w:spacing w:after="0" w:line="240" w:lineRule="auto"/>
              <w:rPr>
                <w:rFonts w:ascii="Times New Roman" w:hAnsi="Times New Roman"/>
                <w:sz w:val="24"/>
                <w:szCs w:val="24"/>
                <w:lang w:eastAsia="lv-LV"/>
              </w:rPr>
            </w:pPr>
          </w:p>
        </w:tc>
        <w:tc>
          <w:tcPr>
            <w:tcW w:w="665" w:type="pct"/>
            <w:gridSpan w:val="2"/>
            <w:tcBorders>
              <w:top w:val="outset" w:sz="6" w:space="0" w:color="auto"/>
              <w:left w:val="outset" w:sz="6" w:space="0" w:color="auto"/>
              <w:bottom w:val="outset" w:sz="6" w:space="0" w:color="auto"/>
              <w:right w:val="outset" w:sz="6" w:space="0" w:color="auto"/>
            </w:tcBorders>
          </w:tcPr>
          <w:p w14:paraId="42878A7B" w14:textId="650E4D8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697" w:type="pct"/>
            <w:tcBorders>
              <w:top w:val="outset" w:sz="6" w:space="0" w:color="auto"/>
              <w:left w:val="outset" w:sz="6" w:space="0" w:color="auto"/>
              <w:bottom w:val="outset" w:sz="6" w:space="0" w:color="auto"/>
              <w:right w:val="outset" w:sz="6" w:space="0" w:color="auto"/>
            </w:tcBorders>
          </w:tcPr>
          <w:p w14:paraId="64D87AC8" w14:textId="70C11F56"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746" w:type="pct"/>
            <w:tcBorders>
              <w:top w:val="outset" w:sz="6" w:space="0" w:color="auto"/>
              <w:left w:val="outset" w:sz="6" w:space="0" w:color="auto"/>
              <w:bottom w:val="outset" w:sz="6" w:space="0" w:color="auto"/>
              <w:right w:val="outset" w:sz="6" w:space="0" w:color="auto"/>
            </w:tcBorders>
          </w:tcPr>
          <w:p w14:paraId="5FEB2C49" w14:textId="3BDC2AA4"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c>
          <w:tcPr>
            <w:tcW w:w="1282" w:type="pct"/>
            <w:gridSpan w:val="2"/>
            <w:tcBorders>
              <w:top w:val="outset" w:sz="6" w:space="0" w:color="auto"/>
              <w:left w:val="outset" w:sz="6" w:space="0" w:color="auto"/>
              <w:bottom w:val="outset" w:sz="6" w:space="0" w:color="auto"/>
              <w:right w:val="nil"/>
            </w:tcBorders>
          </w:tcPr>
          <w:p w14:paraId="5C0EE05B" w14:textId="085CADEC"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0</w:t>
            </w:r>
          </w:p>
        </w:tc>
      </w:tr>
      <w:tr w:rsidR="00A272B8" w14:paraId="4FB730D9"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49F5BF2B"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6. Detalizēts ieņēmumu un izdevumu aprēķins (ja nepieciešams, detalizētu ieņēmumu un izdevumu aprēķinu var pievienot anotācijas pielikumā):</w:t>
            </w:r>
          </w:p>
        </w:tc>
        <w:tc>
          <w:tcPr>
            <w:tcW w:w="4062" w:type="pct"/>
            <w:gridSpan w:val="7"/>
            <w:vMerge w:val="restart"/>
            <w:tcBorders>
              <w:top w:val="outset" w:sz="6" w:space="0" w:color="auto"/>
              <w:left w:val="outset" w:sz="6" w:space="0" w:color="auto"/>
              <w:bottom w:val="outset" w:sz="6" w:space="0" w:color="auto"/>
              <w:right w:val="nil"/>
            </w:tcBorders>
          </w:tcPr>
          <w:p w14:paraId="73B3B1C1" w14:textId="77777777" w:rsidR="00A272B8" w:rsidRDefault="00A272B8" w:rsidP="00D465E4">
            <w:pPr>
              <w:spacing w:after="0" w:line="240" w:lineRule="auto"/>
              <w:jc w:val="both"/>
              <w:rPr>
                <w:rFonts w:ascii="Times New Roman" w:hAnsi="Times New Roman"/>
                <w:i/>
                <w:sz w:val="24"/>
                <w:szCs w:val="24"/>
                <w:lang w:eastAsia="lv-LV"/>
              </w:rPr>
            </w:pPr>
          </w:p>
        </w:tc>
      </w:tr>
      <w:tr w:rsidR="00A272B8" w14:paraId="7B290F0C"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41D9D8DD"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6.1. detalizēts ieņēmumu aprēķins</w:t>
            </w:r>
          </w:p>
        </w:tc>
        <w:tc>
          <w:tcPr>
            <w:tcW w:w="0" w:type="auto"/>
            <w:gridSpan w:val="7"/>
            <w:vMerge/>
            <w:tcBorders>
              <w:top w:val="outset" w:sz="6" w:space="0" w:color="auto"/>
              <w:left w:val="nil"/>
              <w:bottom w:val="outset" w:sz="6" w:space="0" w:color="auto"/>
              <w:right w:val="outset" w:sz="6" w:space="0" w:color="auto"/>
            </w:tcBorders>
            <w:vAlign w:val="center"/>
            <w:hideMark/>
          </w:tcPr>
          <w:p w14:paraId="5D615C91" w14:textId="77777777" w:rsidR="00A272B8" w:rsidRDefault="00A272B8" w:rsidP="00D465E4">
            <w:pPr>
              <w:spacing w:after="0" w:line="240" w:lineRule="auto"/>
              <w:rPr>
                <w:rFonts w:ascii="Times New Roman" w:hAnsi="Times New Roman"/>
                <w:i/>
                <w:sz w:val="24"/>
                <w:szCs w:val="24"/>
                <w:lang w:eastAsia="lv-LV"/>
              </w:rPr>
            </w:pPr>
          </w:p>
        </w:tc>
      </w:tr>
      <w:tr w:rsidR="00A272B8" w14:paraId="63022597" w14:textId="77777777" w:rsidTr="00A272B8">
        <w:trPr>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71334088"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6.2. detalizēts izdevumu aprēķins</w:t>
            </w:r>
          </w:p>
        </w:tc>
        <w:tc>
          <w:tcPr>
            <w:tcW w:w="0" w:type="auto"/>
            <w:gridSpan w:val="7"/>
            <w:vMerge/>
            <w:tcBorders>
              <w:top w:val="outset" w:sz="6" w:space="0" w:color="auto"/>
              <w:left w:val="nil"/>
              <w:bottom w:val="outset" w:sz="6" w:space="0" w:color="auto"/>
              <w:right w:val="outset" w:sz="6" w:space="0" w:color="auto"/>
            </w:tcBorders>
            <w:vAlign w:val="center"/>
            <w:hideMark/>
          </w:tcPr>
          <w:p w14:paraId="563FA74D" w14:textId="77777777" w:rsidR="00A272B8" w:rsidRDefault="00A272B8" w:rsidP="00D465E4">
            <w:pPr>
              <w:spacing w:after="0" w:line="240" w:lineRule="auto"/>
              <w:rPr>
                <w:rFonts w:ascii="Times New Roman" w:hAnsi="Times New Roman"/>
                <w:i/>
                <w:sz w:val="24"/>
                <w:szCs w:val="24"/>
                <w:lang w:eastAsia="lv-LV"/>
              </w:rPr>
            </w:pPr>
          </w:p>
        </w:tc>
      </w:tr>
      <w:tr w:rsidR="00A272B8" w14:paraId="69F7D6AF" w14:textId="77777777" w:rsidTr="00A272B8">
        <w:trPr>
          <w:trHeight w:val="555"/>
          <w:tblCellSpacing w:w="15" w:type="dxa"/>
          <w:jc w:val="center"/>
        </w:trPr>
        <w:tc>
          <w:tcPr>
            <w:tcW w:w="890" w:type="pct"/>
            <w:gridSpan w:val="3"/>
            <w:tcBorders>
              <w:top w:val="outset" w:sz="6" w:space="0" w:color="auto"/>
              <w:left w:val="nil"/>
              <w:bottom w:val="outset" w:sz="6" w:space="0" w:color="auto"/>
              <w:right w:val="outset" w:sz="6" w:space="0" w:color="auto"/>
            </w:tcBorders>
            <w:hideMark/>
          </w:tcPr>
          <w:p w14:paraId="6468EBEB" w14:textId="77777777" w:rsidR="00A272B8" w:rsidRDefault="00A272B8" w:rsidP="00D465E4">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7. Cita informācija</w:t>
            </w:r>
          </w:p>
        </w:tc>
        <w:tc>
          <w:tcPr>
            <w:tcW w:w="4062" w:type="pct"/>
            <w:gridSpan w:val="7"/>
            <w:tcBorders>
              <w:top w:val="outset" w:sz="6" w:space="0" w:color="auto"/>
              <w:left w:val="outset" w:sz="6" w:space="0" w:color="auto"/>
              <w:bottom w:val="outset" w:sz="6" w:space="0" w:color="auto"/>
              <w:right w:val="nil"/>
            </w:tcBorders>
            <w:hideMark/>
          </w:tcPr>
          <w:p w14:paraId="282F7CF3" w14:textId="0D4A20A4" w:rsidR="00A272B8" w:rsidRDefault="00A272B8" w:rsidP="00D465E4">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Precīzi paredzēt ietekmes uz valsts budžetu apjomu nav iespējams, tomēr indikatīvi prognozējams, ka tuvākajos trīs gados šīs ie</w:t>
            </w:r>
            <w:r w:rsidR="00E71731">
              <w:rPr>
                <w:rFonts w:ascii="Times New Roman" w:eastAsia="Times New Roman" w:hAnsi="Times New Roman"/>
                <w:sz w:val="24"/>
                <w:szCs w:val="24"/>
                <w:lang w:eastAsia="lv-LV"/>
              </w:rPr>
              <w:t>tekmes nebūs vai tā būs neliela,</w:t>
            </w:r>
            <w:r>
              <w:rPr>
                <w:rFonts w:ascii="Times New Roman" w:eastAsia="Times New Roman" w:hAnsi="Times New Roman"/>
                <w:sz w:val="24"/>
                <w:szCs w:val="24"/>
                <w:lang w:eastAsia="lv-LV"/>
              </w:rPr>
              <w:t xml:space="preserve"> jo studiju virzienu akreditācija </w:t>
            </w:r>
            <w:r w:rsidR="00E71731">
              <w:rPr>
                <w:rFonts w:ascii="Times New Roman" w:eastAsia="Times New Roman" w:hAnsi="Times New Roman"/>
                <w:sz w:val="24"/>
                <w:szCs w:val="24"/>
                <w:lang w:eastAsia="lv-LV"/>
              </w:rPr>
              <w:t>augstskolām un</w:t>
            </w:r>
            <w:r>
              <w:rPr>
                <w:rFonts w:ascii="Times New Roman" w:eastAsia="Times New Roman" w:hAnsi="Times New Roman"/>
                <w:sz w:val="24"/>
                <w:szCs w:val="24"/>
                <w:lang w:eastAsia="lv-LV"/>
              </w:rPr>
              <w:t xml:space="preserve"> koledžām jāveic tikai 2019.gadā, bet jaunu studiju programmu licencēšanas iespējamo gadījumu skaits </w:t>
            </w:r>
            <w:r w:rsidR="00EA39DC">
              <w:rPr>
                <w:rFonts w:ascii="Times New Roman" w:eastAsia="Times New Roman" w:hAnsi="Times New Roman"/>
                <w:sz w:val="24"/>
                <w:szCs w:val="24"/>
                <w:lang w:eastAsia="lv-LV"/>
              </w:rPr>
              <w:t>nav precīzi nosakāms. V</w:t>
            </w:r>
            <w:r>
              <w:rPr>
                <w:rFonts w:ascii="Times New Roman" w:eastAsia="Times New Roman" w:hAnsi="Times New Roman"/>
                <w:sz w:val="24"/>
                <w:szCs w:val="24"/>
                <w:lang w:eastAsia="lv-LV"/>
              </w:rPr>
              <w:t xml:space="preserve">alsts dibinātās augstskolas ir atvasinātas publiskas personas, kuru budžetu veido diversificēti ienākumu avoti, un raksturīga liela elastība budžeta plānošanā. </w:t>
            </w:r>
            <w:r w:rsidR="00EA39DC">
              <w:rPr>
                <w:rFonts w:ascii="Times New Roman" w:eastAsia="Times New Roman" w:hAnsi="Times New Roman"/>
                <w:sz w:val="24"/>
                <w:szCs w:val="24"/>
                <w:lang w:eastAsia="lv-LV"/>
              </w:rPr>
              <w:t>Ilgtermiņā projektam būs ietekme uz valsts budžetu, galvenokārt tām 13 valsts dibinātajām koledžām, kuras ir tiešās pārvaldes iestādes, jo studiju programmu licencēšanas un studiju virzienu akreditācijas izmaksas pieaugs</w:t>
            </w:r>
            <w:r w:rsidR="00A420DF">
              <w:rPr>
                <w:rFonts w:ascii="Times New Roman" w:eastAsia="Times New Roman" w:hAnsi="Times New Roman"/>
                <w:sz w:val="24"/>
                <w:szCs w:val="24"/>
                <w:lang w:eastAsia="lv-LV"/>
              </w:rPr>
              <w:t>, ja saglabāsies līdzšinējais studiju virzienu skaits vai tiks atvērti jauni studiju virzieni</w:t>
            </w:r>
            <w:r w:rsidR="00EA39DC">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Jāņem vērā, ka ir plānotas iespējas augstākās izglītības iestādēm akreditāciju veikt arī  </w:t>
            </w:r>
            <w:r w:rsidRPr="00BD618A">
              <w:rPr>
                <w:rFonts w:ascii="Times New Roman" w:eastAsia="Times New Roman" w:hAnsi="Times New Roman"/>
                <w:sz w:val="24"/>
                <w:szCs w:val="24"/>
                <w:lang w:eastAsia="lv-LV"/>
              </w:rPr>
              <w:t xml:space="preserve">paredzot līdzekļus </w:t>
            </w:r>
            <w:r w:rsidRPr="00BD618A">
              <w:rPr>
                <w:rFonts w:ascii="Times New Roman" w:hAnsi="Times New Roman"/>
                <w:sz w:val="24"/>
                <w:szCs w:val="24"/>
              </w:rPr>
              <w:t>ES fondu 2014.-2020.g. specifiskajā atbalsta mērķī (</w:t>
            </w:r>
            <w:r w:rsidRPr="00BD618A">
              <w:rPr>
                <w:rFonts w:ascii="Times New Roman" w:hAnsi="Times New Roman"/>
                <w:bCs/>
                <w:sz w:val="24"/>
                <w:szCs w:val="24"/>
              </w:rPr>
              <w:t>SAM) 8.2.4. “Nodrošināt atbalstu EQAR aģentūrai izvirzīto prasību izpildei”</w:t>
            </w:r>
            <w:r w:rsidRPr="00BD618A">
              <w:rPr>
                <w:rFonts w:ascii="Times New Roman" w:hAnsi="Times New Roman"/>
                <w:sz w:val="24"/>
                <w:szCs w:val="24"/>
              </w:rPr>
              <w:t xml:space="preserve">, kas tiks īstenota pirmajā atlases kārtā, kuru plānots uzsākt 2015.g. 4.ceturksnī. Saskaņā ar VSS izsludināto MK noteikumu projektu par SAM 824 īstenošanu (VSS-336) starp atbalstāmajām darbībām ir arī studiju virzienu </w:t>
            </w:r>
            <w:proofErr w:type="spellStart"/>
            <w:r w:rsidRPr="00BD618A">
              <w:rPr>
                <w:rFonts w:ascii="Times New Roman" w:hAnsi="Times New Roman"/>
                <w:sz w:val="24"/>
                <w:szCs w:val="24"/>
              </w:rPr>
              <w:t>pilotakreditāciju</w:t>
            </w:r>
            <w:proofErr w:type="spellEnd"/>
            <w:r w:rsidRPr="00BD618A">
              <w:rPr>
                <w:rFonts w:ascii="Times New Roman" w:hAnsi="Times New Roman"/>
                <w:sz w:val="24"/>
                <w:szCs w:val="24"/>
              </w:rPr>
              <w:t xml:space="preserve"> īstenošana, paredzot attiecināmās izmaksas šīs atbalstāmās darbības īstenošanai.</w:t>
            </w:r>
            <w:r w:rsidRPr="00BD618A">
              <w:rPr>
                <w:rFonts w:ascii="Times New Roman" w:eastAsia="Times New Roman" w:hAnsi="Times New Roman"/>
                <w:sz w:val="24"/>
                <w:szCs w:val="24"/>
                <w:lang w:eastAsia="lv-LV"/>
              </w:rPr>
              <w:t xml:space="preserve">  </w:t>
            </w:r>
          </w:p>
          <w:p w14:paraId="40D9434E" w14:textId="77777777" w:rsidR="00A272B8" w:rsidRPr="003F4305" w:rsidRDefault="00A272B8" w:rsidP="00D465E4">
            <w:pPr>
              <w:spacing w:after="0" w:line="240" w:lineRule="auto"/>
              <w:jc w:val="both"/>
              <w:rPr>
                <w:rFonts w:ascii="Times New Roman" w:hAnsi="Times New Roman"/>
                <w:sz w:val="24"/>
                <w:szCs w:val="24"/>
              </w:rPr>
            </w:pPr>
          </w:p>
        </w:tc>
      </w:tr>
      <w:tr w:rsidR="00A272B8" w:rsidRPr="00171C37" w14:paraId="3ED0A01A" w14:textId="77777777" w:rsidTr="0004083F">
        <w:trPr>
          <w:gridBefore w:val="1"/>
          <w:gridAfter w:val="1"/>
          <w:wBefore w:w="4" w:type="pct"/>
          <w:wAfter w:w="497" w:type="pct"/>
          <w:trHeight w:val="450"/>
          <w:tblCellSpacing w:w="15"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478545" w14:textId="77777777" w:rsidR="00A272B8" w:rsidRPr="00171C37" w:rsidRDefault="00A272B8" w:rsidP="00D465E4">
            <w:pPr>
              <w:spacing w:after="0" w:line="240" w:lineRule="auto"/>
              <w:rPr>
                <w:rFonts w:ascii="Times New Roman" w:hAnsi="Times New Roman"/>
                <w:b/>
                <w:bCs/>
                <w:sz w:val="24"/>
                <w:szCs w:val="24"/>
              </w:rPr>
            </w:pPr>
            <w:r w:rsidRPr="00171C37">
              <w:rPr>
                <w:rFonts w:ascii="Times New Roman" w:hAnsi="Times New Roman"/>
                <w:b/>
                <w:bCs/>
                <w:sz w:val="24"/>
                <w:szCs w:val="24"/>
              </w:rPr>
              <w:t>IV. Tiesību akta projekta ietekme uz spēkā esošo tiesību normu sistēmu</w:t>
            </w:r>
          </w:p>
        </w:tc>
      </w:tr>
      <w:tr w:rsidR="00A272B8" w:rsidRPr="00171C37" w14:paraId="2D05BED0" w14:textId="77777777" w:rsidTr="00A272B8">
        <w:trPr>
          <w:gridBefore w:val="1"/>
          <w:gridAfter w:val="1"/>
          <w:wBefore w:w="4" w:type="pct"/>
          <w:wAfter w:w="497" w:type="pct"/>
          <w:tblCellSpacing w:w="15" w:type="dxa"/>
          <w:jc w:val="center"/>
        </w:trPr>
        <w:tc>
          <w:tcPr>
            <w:tcW w:w="145" w:type="pct"/>
            <w:tcBorders>
              <w:top w:val="outset" w:sz="6" w:space="0" w:color="auto"/>
              <w:left w:val="outset" w:sz="6" w:space="0" w:color="auto"/>
              <w:bottom w:val="outset" w:sz="6" w:space="0" w:color="auto"/>
              <w:right w:val="outset" w:sz="6" w:space="0" w:color="auto"/>
            </w:tcBorders>
            <w:hideMark/>
          </w:tcPr>
          <w:p w14:paraId="649ADED5"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1.</w:t>
            </w:r>
          </w:p>
        </w:tc>
        <w:tc>
          <w:tcPr>
            <w:tcW w:w="1386" w:type="pct"/>
            <w:gridSpan w:val="3"/>
            <w:tcBorders>
              <w:top w:val="outset" w:sz="6" w:space="0" w:color="auto"/>
              <w:left w:val="outset" w:sz="6" w:space="0" w:color="auto"/>
              <w:bottom w:val="outset" w:sz="6" w:space="0" w:color="auto"/>
              <w:right w:val="outset" w:sz="6" w:space="0" w:color="auto"/>
            </w:tcBorders>
            <w:hideMark/>
          </w:tcPr>
          <w:p w14:paraId="246385F8"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Nepieciešamie saistītie tiesību aktu projekti</w:t>
            </w:r>
          </w:p>
        </w:tc>
        <w:tc>
          <w:tcPr>
            <w:tcW w:w="2873" w:type="pct"/>
            <w:gridSpan w:val="4"/>
            <w:tcBorders>
              <w:top w:val="outset" w:sz="6" w:space="0" w:color="auto"/>
              <w:left w:val="outset" w:sz="6" w:space="0" w:color="auto"/>
              <w:bottom w:val="outset" w:sz="6" w:space="0" w:color="auto"/>
              <w:right w:val="outset" w:sz="6" w:space="0" w:color="auto"/>
            </w:tcBorders>
            <w:hideMark/>
          </w:tcPr>
          <w:p w14:paraId="2E4823CF" w14:textId="7F524924" w:rsidR="00A272B8" w:rsidRDefault="00A272B8" w:rsidP="00D465E4">
            <w:pPr>
              <w:spacing w:after="0" w:line="240" w:lineRule="auto"/>
              <w:jc w:val="both"/>
              <w:rPr>
                <w:rFonts w:ascii="Times New Roman" w:hAnsi="Times New Roman"/>
                <w:sz w:val="24"/>
                <w:szCs w:val="24"/>
              </w:rPr>
            </w:pPr>
            <w:r w:rsidRPr="00171C37">
              <w:rPr>
                <w:rFonts w:ascii="Times New Roman" w:hAnsi="Times New Roman"/>
                <w:sz w:val="24"/>
                <w:szCs w:val="24"/>
              </w:rPr>
              <w:t>Nepieciešams izstrādāt Ministru kabineta noteikumus par augstskolu, koledžu un studiju virzienu akreditāciju</w:t>
            </w:r>
            <w:r>
              <w:rPr>
                <w:rFonts w:ascii="Times New Roman" w:hAnsi="Times New Roman"/>
                <w:sz w:val="24"/>
                <w:szCs w:val="24"/>
              </w:rPr>
              <w:t xml:space="preserve"> (VSS-361, 23.04.2015. prot.Nr.16, 10</w:t>
            </w:r>
            <w:r w:rsidRPr="000224AC">
              <w:rPr>
                <w:rFonts w:ascii="Times New Roman" w:hAnsi="Times New Roman"/>
                <w:sz w:val="24"/>
                <w:szCs w:val="24"/>
              </w:rPr>
              <w:t>.§</w:t>
            </w:r>
            <w:r>
              <w:rPr>
                <w:rFonts w:ascii="Times New Roman" w:hAnsi="Times New Roman"/>
                <w:sz w:val="24"/>
                <w:szCs w:val="24"/>
              </w:rPr>
              <w:t>)</w:t>
            </w:r>
            <w:r w:rsidRPr="00171C37">
              <w:rPr>
                <w:rFonts w:ascii="Times New Roman" w:hAnsi="Times New Roman"/>
                <w:sz w:val="24"/>
                <w:szCs w:val="24"/>
              </w:rPr>
              <w:t xml:space="preserve"> un Ministru </w:t>
            </w:r>
            <w:r w:rsidRPr="00171C37">
              <w:rPr>
                <w:rFonts w:ascii="Times New Roman" w:hAnsi="Times New Roman"/>
                <w:sz w:val="24"/>
                <w:szCs w:val="24"/>
              </w:rPr>
              <w:lastRenderedPageBreak/>
              <w:t>kabineta noteikumus par studiju programmu licencēšanu</w:t>
            </w:r>
            <w:r>
              <w:rPr>
                <w:rFonts w:ascii="Times New Roman" w:hAnsi="Times New Roman"/>
                <w:sz w:val="24"/>
                <w:szCs w:val="24"/>
              </w:rPr>
              <w:t xml:space="preserve"> (VSS-359, 23.04.2015. prot.Nr.16, </w:t>
            </w:r>
            <w:r w:rsidRPr="000224AC">
              <w:rPr>
                <w:rFonts w:ascii="Times New Roman" w:hAnsi="Times New Roman"/>
                <w:sz w:val="24"/>
                <w:szCs w:val="24"/>
              </w:rPr>
              <w:t>9.§</w:t>
            </w:r>
            <w:r>
              <w:rPr>
                <w:rFonts w:ascii="Times New Roman" w:hAnsi="Times New Roman"/>
                <w:sz w:val="24"/>
                <w:szCs w:val="24"/>
              </w:rPr>
              <w:t>).</w:t>
            </w:r>
            <w:r w:rsidRPr="00171C37">
              <w:rPr>
                <w:rFonts w:ascii="Times New Roman" w:hAnsi="Times New Roman"/>
                <w:sz w:val="24"/>
                <w:szCs w:val="24"/>
              </w:rPr>
              <w:t xml:space="preserve"> </w:t>
            </w:r>
          </w:p>
          <w:p w14:paraId="191746D9" w14:textId="3569437E" w:rsidR="00A272B8" w:rsidRPr="00171C37" w:rsidRDefault="00A272B8" w:rsidP="00D465E4">
            <w:pPr>
              <w:spacing w:after="0" w:line="240" w:lineRule="auto"/>
              <w:jc w:val="both"/>
              <w:rPr>
                <w:rFonts w:ascii="Times New Roman" w:hAnsi="Times New Roman"/>
                <w:sz w:val="24"/>
                <w:szCs w:val="24"/>
              </w:rPr>
            </w:pPr>
            <w:r>
              <w:rPr>
                <w:rFonts w:ascii="Times New Roman" w:hAnsi="Times New Roman"/>
                <w:sz w:val="24"/>
                <w:szCs w:val="24"/>
              </w:rPr>
              <w:t>Projekts un minētie izsludinātie noteikumu projekti Ministru kabinetā tiks virzīti vienlaicīgi.</w:t>
            </w:r>
          </w:p>
        </w:tc>
      </w:tr>
      <w:tr w:rsidR="00A272B8" w:rsidRPr="00171C37" w14:paraId="78ADF7DA" w14:textId="77777777" w:rsidTr="00A272B8">
        <w:trPr>
          <w:gridBefore w:val="1"/>
          <w:gridAfter w:val="1"/>
          <w:wBefore w:w="4" w:type="pct"/>
          <w:wAfter w:w="497" w:type="pct"/>
          <w:tblCellSpacing w:w="15" w:type="dxa"/>
          <w:jc w:val="center"/>
        </w:trPr>
        <w:tc>
          <w:tcPr>
            <w:tcW w:w="145" w:type="pct"/>
            <w:tcBorders>
              <w:top w:val="outset" w:sz="6" w:space="0" w:color="auto"/>
              <w:left w:val="outset" w:sz="6" w:space="0" w:color="auto"/>
              <w:bottom w:val="outset" w:sz="6" w:space="0" w:color="auto"/>
              <w:right w:val="outset" w:sz="6" w:space="0" w:color="auto"/>
            </w:tcBorders>
            <w:hideMark/>
          </w:tcPr>
          <w:p w14:paraId="5075EC15"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lastRenderedPageBreak/>
              <w:t>2.</w:t>
            </w:r>
          </w:p>
        </w:tc>
        <w:tc>
          <w:tcPr>
            <w:tcW w:w="1386" w:type="pct"/>
            <w:gridSpan w:val="3"/>
            <w:tcBorders>
              <w:top w:val="outset" w:sz="6" w:space="0" w:color="auto"/>
              <w:left w:val="outset" w:sz="6" w:space="0" w:color="auto"/>
              <w:bottom w:val="outset" w:sz="6" w:space="0" w:color="auto"/>
              <w:right w:val="outset" w:sz="6" w:space="0" w:color="auto"/>
            </w:tcBorders>
            <w:hideMark/>
          </w:tcPr>
          <w:p w14:paraId="56EEB626"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Atbildīgā institūcija</w:t>
            </w:r>
          </w:p>
        </w:tc>
        <w:tc>
          <w:tcPr>
            <w:tcW w:w="2873" w:type="pct"/>
            <w:gridSpan w:val="4"/>
            <w:tcBorders>
              <w:top w:val="outset" w:sz="6" w:space="0" w:color="auto"/>
              <w:left w:val="outset" w:sz="6" w:space="0" w:color="auto"/>
              <w:bottom w:val="outset" w:sz="6" w:space="0" w:color="auto"/>
              <w:right w:val="outset" w:sz="6" w:space="0" w:color="auto"/>
            </w:tcBorders>
            <w:hideMark/>
          </w:tcPr>
          <w:p w14:paraId="1ECEA573"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Izglītības un zinātnes ministrija.</w:t>
            </w:r>
          </w:p>
        </w:tc>
      </w:tr>
      <w:tr w:rsidR="00A272B8" w:rsidRPr="00171C37" w14:paraId="7251F5E3" w14:textId="77777777" w:rsidTr="00A272B8">
        <w:trPr>
          <w:gridBefore w:val="1"/>
          <w:gridAfter w:val="1"/>
          <w:wBefore w:w="4" w:type="pct"/>
          <w:wAfter w:w="497" w:type="pct"/>
          <w:tblCellSpacing w:w="15" w:type="dxa"/>
          <w:jc w:val="center"/>
        </w:trPr>
        <w:tc>
          <w:tcPr>
            <w:tcW w:w="145" w:type="pct"/>
            <w:tcBorders>
              <w:top w:val="outset" w:sz="6" w:space="0" w:color="auto"/>
              <w:left w:val="outset" w:sz="6" w:space="0" w:color="auto"/>
              <w:bottom w:val="outset" w:sz="6" w:space="0" w:color="auto"/>
              <w:right w:val="outset" w:sz="6" w:space="0" w:color="auto"/>
            </w:tcBorders>
            <w:hideMark/>
          </w:tcPr>
          <w:p w14:paraId="450A668C"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3.</w:t>
            </w:r>
          </w:p>
        </w:tc>
        <w:tc>
          <w:tcPr>
            <w:tcW w:w="1386" w:type="pct"/>
            <w:gridSpan w:val="3"/>
            <w:tcBorders>
              <w:top w:val="outset" w:sz="6" w:space="0" w:color="auto"/>
              <w:left w:val="outset" w:sz="6" w:space="0" w:color="auto"/>
              <w:bottom w:val="outset" w:sz="6" w:space="0" w:color="auto"/>
              <w:right w:val="outset" w:sz="6" w:space="0" w:color="auto"/>
            </w:tcBorders>
            <w:hideMark/>
          </w:tcPr>
          <w:p w14:paraId="3B0CE88B"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Cita informācija</w:t>
            </w:r>
          </w:p>
        </w:tc>
        <w:tc>
          <w:tcPr>
            <w:tcW w:w="2873" w:type="pct"/>
            <w:gridSpan w:val="4"/>
            <w:tcBorders>
              <w:top w:val="outset" w:sz="6" w:space="0" w:color="auto"/>
              <w:left w:val="outset" w:sz="6" w:space="0" w:color="auto"/>
              <w:bottom w:val="outset" w:sz="6" w:space="0" w:color="auto"/>
              <w:right w:val="outset" w:sz="6" w:space="0" w:color="auto"/>
            </w:tcBorders>
            <w:hideMark/>
          </w:tcPr>
          <w:p w14:paraId="7941F49C" w14:textId="77777777" w:rsidR="00A272B8" w:rsidRPr="00171C37" w:rsidRDefault="00A272B8" w:rsidP="00D465E4">
            <w:pPr>
              <w:spacing w:after="0" w:line="240" w:lineRule="auto"/>
              <w:rPr>
                <w:rFonts w:ascii="Times New Roman" w:hAnsi="Times New Roman"/>
                <w:sz w:val="24"/>
                <w:szCs w:val="24"/>
              </w:rPr>
            </w:pPr>
            <w:r w:rsidRPr="00171C37">
              <w:rPr>
                <w:rFonts w:ascii="Times New Roman" w:hAnsi="Times New Roman"/>
                <w:sz w:val="24"/>
                <w:szCs w:val="24"/>
              </w:rPr>
              <w:t>Nav.</w:t>
            </w:r>
          </w:p>
        </w:tc>
      </w:tr>
    </w:tbl>
    <w:p w14:paraId="4D52F0FD" w14:textId="77777777" w:rsidR="008D1CAA" w:rsidRPr="00171C37" w:rsidRDefault="008D1CAA" w:rsidP="00D465E4">
      <w:pPr>
        <w:spacing w:after="0" w:line="240" w:lineRule="auto"/>
        <w:rPr>
          <w:rFonts w:ascii="Times New Roman" w:hAnsi="Times New Roman"/>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
        <w:gridCol w:w="2796"/>
        <w:gridCol w:w="6038"/>
      </w:tblGrid>
      <w:tr w:rsidR="00812271" w:rsidRPr="00171C37" w14:paraId="04E0F530" w14:textId="77777777" w:rsidTr="002C1E90">
        <w:trPr>
          <w:trHeight w:val="420"/>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F3E691" w14:textId="77777777" w:rsidR="00812271" w:rsidRPr="00171C37" w:rsidRDefault="00812271" w:rsidP="00D465E4">
            <w:pPr>
              <w:spacing w:after="0" w:line="240" w:lineRule="auto"/>
              <w:ind w:firstLine="300"/>
              <w:jc w:val="center"/>
              <w:rPr>
                <w:rFonts w:ascii="Times New Roman" w:eastAsia="Times New Roman" w:hAnsi="Times New Roman"/>
                <w:b/>
                <w:bCs/>
                <w:sz w:val="24"/>
                <w:szCs w:val="24"/>
                <w:lang w:eastAsia="lv-LV"/>
              </w:rPr>
            </w:pPr>
            <w:r w:rsidRPr="00171C37">
              <w:rPr>
                <w:rFonts w:ascii="Times New Roman" w:eastAsia="Times New Roman" w:hAnsi="Times New Roman"/>
                <w:b/>
                <w:bCs/>
                <w:sz w:val="24"/>
                <w:szCs w:val="24"/>
                <w:lang w:eastAsia="lv-LV"/>
              </w:rPr>
              <w:t>VI. Sabiedrības līdzdalība un komunikācijas aktivitātes</w:t>
            </w:r>
          </w:p>
        </w:tc>
      </w:tr>
      <w:tr w:rsidR="00812271" w:rsidRPr="00171C37" w14:paraId="2A0EB978" w14:textId="77777777" w:rsidTr="00812271">
        <w:trPr>
          <w:trHeight w:val="540"/>
          <w:tblCellSpacing w:w="15" w:type="dxa"/>
          <w:jc w:val="center"/>
        </w:trPr>
        <w:tc>
          <w:tcPr>
            <w:tcW w:w="247" w:type="pct"/>
            <w:tcBorders>
              <w:top w:val="outset" w:sz="6" w:space="0" w:color="auto"/>
              <w:left w:val="outset" w:sz="6" w:space="0" w:color="auto"/>
              <w:bottom w:val="outset" w:sz="6" w:space="0" w:color="auto"/>
              <w:right w:val="outset" w:sz="6" w:space="0" w:color="auto"/>
            </w:tcBorders>
            <w:hideMark/>
          </w:tcPr>
          <w:p w14:paraId="452AE1DF"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1.</w:t>
            </w:r>
          </w:p>
        </w:tc>
        <w:tc>
          <w:tcPr>
            <w:tcW w:w="1481" w:type="pct"/>
            <w:tcBorders>
              <w:top w:val="outset" w:sz="6" w:space="0" w:color="auto"/>
              <w:left w:val="outset" w:sz="6" w:space="0" w:color="auto"/>
              <w:bottom w:val="outset" w:sz="6" w:space="0" w:color="auto"/>
              <w:right w:val="outset" w:sz="6" w:space="0" w:color="auto"/>
            </w:tcBorders>
            <w:hideMark/>
          </w:tcPr>
          <w:p w14:paraId="1927F1A9"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Plānotās sabiedrības līdzdalības un komunikācijas aktivitātes saistībā ar projektu</w:t>
            </w:r>
          </w:p>
        </w:tc>
        <w:tc>
          <w:tcPr>
            <w:tcW w:w="3208" w:type="pct"/>
            <w:tcBorders>
              <w:top w:val="outset" w:sz="6" w:space="0" w:color="auto"/>
              <w:left w:val="outset" w:sz="6" w:space="0" w:color="auto"/>
              <w:bottom w:val="outset" w:sz="6" w:space="0" w:color="auto"/>
              <w:right w:val="outset" w:sz="6" w:space="0" w:color="auto"/>
            </w:tcBorders>
            <w:hideMark/>
          </w:tcPr>
          <w:p w14:paraId="2C6E99CB" w14:textId="77777777" w:rsidR="00812271" w:rsidRPr="00171C37" w:rsidRDefault="00AE6D11"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Augstākās izglītības padomei, Rektoru padomei, Latvijas Darba devēju konfederācijai, Latvijas Koledžu asociācijai, Latvijas Studentu apvienībai un Latvijas Izglītības un zinātnes darbinieku arodbiedrībai plānots lūgt sniegt atzinumu par projektu.</w:t>
            </w:r>
          </w:p>
        </w:tc>
      </w:tr>
      <w:tr w:rsidR="00812271" w:rsidRPr="00171C37" w14:paraId="2C734437" w14:textId="77777777" w:rsidTr="00812271">
        <w:trPr>
          <w:trHeight w:val="330"/>
          <w:tblCellSpacing w:w="15" w:type="dxa"/>
          <w:jc w:val="center"/>
        </w:trPr>
        <w:tc>
          <w:tcPr>
            <w:tcW w:w="247" w:type="pct"/>
            <w:tcBorders>
              <w:top w:val="outset" w:sz="6" w:space="0" w:color="auto"/>
              <w:left w:val="outset" w:sz="6" w:space="0" w:color="auto"/>
              <w:bottom w:val="outset" w:sz="6" w:space="0" w:color="auto"/>
              <w:right w:val="outset" w:sz="6" w:space="0" w:color="auto"/>
            </w:tcBorders>
            <w:hideMark/>
          </w:tcPr>
          <w:p w14:paraId="11EDF754"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2.</w:t>
            </w:r>
          </w:p>
        </w:tc>
        <w:tc>
          <w:tcPr>
            <w:tcW w:w="1481" w:type="pct"/>
            <w:tcBorders>
              <w:top w:val="outset" w:sz="6" w:space="0" w:color="auto"/>
              <w:left w:val="outset" w:sz="6" w:space="0" w:color="auto"/>
              <w:bottom w:val="outset" w:sz="6" w:space="0" w:color="auto"/>
              <w:right w:val="outset" w:sz="6" w:space="0" w:color="auto"/>
            </w:tcBorders>
            <w:hideMark/>
          </w:tcPr>
          <w:p w14:paraId="713616F9"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Sabiedrības līdzdalība projekta izstrādē</w:t>
            </w:r>
          </w:p>
        </w:tc>
        <w:tc>
          <w:tcPr>
            <w:tcW w:w="3208" w:type="pct"/>
            <w:tcBorders>
              <w:top w:val="outset" w:sz="6" w:space="0" w:color="auto"/>
              <w:left w:val="outset" w:sz="6" w:space="0" w:color="auto"/>
              <w:bottom w:val="outset" w:sz="6" w:space="0" w:color="auto"/>
              <w:right w:val="outset" w:sz="6" w:space="0" w:color="auto"/>
            </w:tcBorders>
            <w:hideMark/>
          </w:tcPr>
          <w:p w14:paraId="431C36E8" w14:textId="7C57B112" w:rsidR="00812271" w:rsidRPr="00171C37" w:rsidRDefault="00D44CC7" w:rsidP="00D465E4">
            <w:pPr>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 xml:space="preserve">Projekts izstrādāts sadarbībā ar </w:t>
            </w:r>
            <w:r w:rsidR="006F0F0F">
              <w:rPr>
                <w:rFonts w:ascii="Times New Roman" w:hAnsi="Times New Roman"/>
                <w:sz w:val="24"/>
                <w:szCs w:val="24"/>
              </w:rPr>
              <w:t>AIC</w:t>
            </w:r>
            <w:r w:rsidRPr="00171C37">
              <w:rPr>
                <w:rFonts w:ascii="Times New Roman" w:hAnsi="Times New Roman"/>
                <w:sz w:val="24"/>
                <w:szCs w:val="24"/>
              </w:rPr>
              <w:t>.</w:t>
            </w:r>
            <w:r w:rsidR="00E7687A">
              <w:rPr>
                <w:rFonts w:ascii="Times New Roman" w:hAnsi="Times New Roman"/>
                <w:sz w:val="24"/>
                <w:szCs w:val="24"/>
              </w:rPr>
              <w:t xml:space="preserve"> Projekta </w:t>
            </w:r>
            <w:r w:rsidR="001804C6">
              <w:rPr>
                <w:rFonts w:ascii="Times New Roman" w:hAnsi="Times New Roman"/>
                <w:sz w:val="24"/>
                <w:szCs w:val="24"/>
              </w:rPr>
              <w:t>izstrādes gaita un atsevišķi satura jautājumi tika apspriesti Latvijas augstākās izglītības iestāžu pārstāvju sanāksmē Izglītības un zinātnes ministrijā 2015.gada 29.aprīlī, kurā piedalījās gan valsts dibināto, gan privāto augstskolu un koledžu pārstāvji.</w:t>
            </w:r>
          </w:p>
        </w:tc>
      </w:tr>
      <w:tr w:rsidR="00812271" w:rsidRPr="00171C37" w14:paraId="0ED3B8DC" w14:textId="77777777" w:rsidTr="00812271">
        <w:trPr>
          <w:trHeight w:val="465"/>
          <w:tblCellSpacing w:w="15" w:type="dxa"/>
          <w:jc w:val="center"/>
        </w:trPr>
        <w:tc>
          <w:tcPr>
            <w:tcW w:w="247" w:type="pct"/>
            <w:tcBorders>
              <w:top w:val="outset" w:sz="6" w:space="0" w:color="auto"/>
              <w:left w:val="outset" w:sz="6" w:space="0" w:color="auto"/>
              <w:bottom w:val="outset" w:sz="6" w:space="0" w:color="auto"/>
              <w:right w:val="outset" w:sz="6" w:space="0" w:color="auto"/>
            </w:tcBorders>
            <w:hideMark/>
          </w:tcPr>
          <w:p w14:paraId="5D0CB4F7"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3.</w:t>
            </w:r>
          </w:p>
        </w:tc>
        <w:tc>
          <w:tcPr>
            <w:tcW w:w="1481" w:type="pct"/>
            <w:tcBorders>
              <w:top w:val="outset" w:sz="6" w:space="0" w:color="auto"/>
              <w:left w:val="outset" w:sz="6" w:space="0" w:color="auto"/>
              <w:bottom w:val="outset" w:sz="6" w:space="0" w:color="auto"/>
              <w:right w:val="outset" w:sz="6" w:space="0" w:color="auto"/>
            </w:tcBorders>
            <w:hideMark/>
          </w:tcPr>
          <w:p w14:paraId="4B875068"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Sabiedrības līdzdalības rezultāti</w:t>
            </w:r>
          </w:p>
        </w:tc>
        <w:tc>
          <w:tcPr>
            <w:tcW w:w="3208" w:type="pct"/>
            <w:tcBorders>
              <w:top w:val="outset" w:sz="6" w:space="0" w:color="auto"/>
              <w:left w:val="outset" w:sz="6" w:space="0" w:color="auto"/>
              <w:bottom w:val="outset" w:sz="6" w:space="0" w:color="auto"/>
              <w:right w:val="outset" w:sz="6" w:space="0" w:color="auto"/>
            </w:tcBorders>
            <w:hideMark/>
          </w:tcPr>
          <w:p w14:paraId="2124761B" w14:textId="77777777" w:rsidR="00812271" w:rsidRPr="00171C37" w:rsidRDefault="00AE6D11" w:rsidP="00D465E4">
            <w:pPr>
              <w:spacing w:after="0" w:line="240" w:lineRule="auto"/>
              <w:jc w:val="both"/>
              <w:rPr>
                <w:rFonts w:ascii="Times New Roman" w:eastAsia="Times New Roman" w:hAnsi="Times New Roman"/>
                <w:sz w:val="24"/>
                <w:szCs w:val="24"/>
                <w:lang w:eastAsia="lv-LV"/>
              </w:rPr>
            </w:pPr>
            <w:r w:rsidRPr="00171C37">
              <w:rPr>
                <w:rFonts w:ascii="Times New Roman" w:hAnsi="Times New Roman"/>
                <w:sz w:val="24"/>
                <w:szCs w:val="24"/>
              </w:rPr>
              <w:t>Augstākās iz</w:t>
            </w:r>
            <w:r w:rsidR="00D44CC7" w:rsidRPr="00171C37">
              <w:rPr>
                <w:rFonts w:ascii="Times New Roman" w:hAnsi="Times New Roman"/>
                <w:sz w:val="24"/>
                <w:szCs w:val="24"/>
              </w:rPr>
              <w:t>glītības padome, Rektoru padome</w:t>
            </w:r>
            <w:r w:rsidRPr="00171C37">
              <w:rPr>
                <w:rFonts w:ascii="Times New Roman" w:hAnsi="Times New Roman"/>
                <w:sz w:val="24"/>
                <w:szCs w:val="24"/>
              </w:rPr>
              <w:t>, Latvijas Darba devēju konfederācija, Latvijas Koledžu asociācija, Latvijas Studentu apvienība un Latvijas Izglītības un zinātnes darbinieku arodbiedrība par projektu sniegs atzinumu.</w:t>
            </w:r>
          </w:p>
        </w:tc>
      </w:tr>
      <w:tr w:rsidR="00812271" w:rsidRPr="00171C37" w14:paraId="0C388DF6" w14:textId="77777777" w:rsidTr="00812271">
        <w:trPr>
          <w:trHeight w:val="465"/>
          <w:tblCellSpacing w:w="15" w:type="dxa"/>
          <w:jc w:val="center"/>
        </w:trPr>
        <w:tc>
          <w:tcPr>
            <w:tcW w:w="247" w:type="pct"/>
            <w:tcBorders>
              <w:top w:val="outset" w:sz="6" w:space="0" w:color="auto"/>
              <w:left w:val="outset" w:sz="6" w:space="0" w:color="auto"/>
              <w:bottom w:val="outset" w:sz="6" w:space="0" w:color="auto"/>
              <w:right w:val="outset" w:sz="6" w:space="0" w:color="auto"/>
            </w:tcBorders>
            <w:hideMark/>
          </w:tcPr>
          <w:p w14:paraId="6B679B99"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4.</w:t>
            </w:r>
          </w:p>
        </w:tc>
        <w:tc>
          <w:tcPr>
            <w:tcW w:w="1481" w:type="pct"/>
            <w:tcBorders>
              <w:top w:val="outset" w:sz="6" w:space="0" w:color="auto"/>
              <w:left w:val="outset" w:sz="6" w:space="0" w:color="auto"/>
              <w:bottom w:val="outset" w:sz="6" w:space="0" w:color="auto"/>
              <w:right w:val="outset" w:sz="6" w:space="0" w:color="auto"/>
            </w:tcBorders>
            <w:hideMark/>
          </w:tcPr>
          <w:p w14:paraId="00C927F5"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Cita informācija</w:t>
            </w:r>
          </w:p>
        </w:tc>
        <w:tc>
          <w:tcPr>
            <w:tcW w:w="3208" w:type="pct"/>
            <w:tcBorders>
              <w:top w:val="outset" w:sz="6" w:space="0" w:color="auto"/>
              <w:left w:val="outset" w:sz="6" w:space="0" w:color="auto"/>
              <w:bottom w:val="outset" w:sz="6" w:space="0" w:color="auto"/>
              <w:right w:val="outset" w:sz="6" w:space="0" w:color="auto"/>
            </w:tcBorders>
            <w:hideMark/>
          </w:tcPr>
          <w:p w14:paraId="400EA0B8" w14:textId="77777777" w:rsidR="00812271" w:rsidRPr="00171C37" w:rsidRDefault="00812271"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Nav.</w:t>
            </w:r>
          </w:p>
        </w:tc>
      </w:tr>
    </w:tbl>
    <w:p w14:paraId="70AAD082" w14:textId="77777777" w:rsidR="00C96AD3" w:rsidRPr="00171C37" w:rsidRDefault="00C96AD3" w:rsidP="00D465E4">
      <w:pPr>
        <w:spacing w:after="0" w:line="240" w:lineRule="auto"/>
        <w:jc w:val="both"/>
        <w:rPr>
          <w:rFonts w:ascii="Times New Roman" w:eastAsia="Times New Roman" w:hAnsi="Times New Roman"/>
          <w:sz w:val="24"/>
          <w:szCs w:val="24"/>
          <w:lang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
        <w:gridCol w:w="3534"/>
        <w:gridCol w:w="5300"/>
      </w:tblGrid>
      <w:tr w:rsidR="00812271" w:rsidRPr="00171C37" w14:paraId="09944FD1" w14:textId="77777777" w:rsidTr="00C96AD3">
        <w:trPr>
          <w:trHeight w:val="375"/>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0E09A1" w14:textId="77777777" w:rsidR="00C96AD3" w:rsidRPr="00171C37" w:rsidRDefault="00C96AD3" w:rsidP="00D465E4">
            <w:pPr>
              <w:spacing w:after="0" w:line="240" w:lineRule="auto"/>
              <w:ind w:firstLine="300"/>
              <w:jc w:val="center"/>
              <w:rPr>
                <w:rFonts w:ascii="Times New Roman" w:eastAsia="Times New Roman" w:hAnsi="Times New Roman"/>
                <w:b/>
                <w:bCs/>
                <w:sz w:val="24"/>
                <w:szCs w:val="24"/>
                <w:lang w:eastAsia="lv-LV"/>
              </w:rPr>
            </w:pPr>
            <w:r w:rsidRPr="00171C37">
              <w:rPr>
                <w:rFonts w:ascii="Times New Roman" w:eastAsia="Times New Roman" w:hAnsi="Times New Roman"/>
                <w:b/>
                <w:bCs/>
                <w:sz w:val="24"/>
                <w:szCs w:val="24"/>
                <w:lang w:eastAsia="lv-LV"/>
              </w:rPr>
              <w:t>VII. Tiesību akta projekta izpildes nodrošināšana un tās ietekme uz institūcijām</w:t>
            </w:r>
          </w:p>
        </w:tc>
      </w:tr>
      <w:tr w:rsidR="00812271" w:rsidRPr="00171C37" w14:paraId="3E8FE375" w14:textId="77777777" w:rsidTr="00C96AD3">
        <w:trPr>
          <w:trHeight w:val="42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14:paraId="19C6AEBD" w14:textId="77777777" w:rsidR="00C96AD3" w:rsidRPr="00171C37" w:rsidRDefault="00C96AD3"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1.</w:t>
            </w:r>
          </w:p>
        </w:tc>
        <w:tc>
          <w:tcPr>
            <w:tcW w:w="1900" w:type="pct"/>
            <w:tcBorders>
              <w:top w:val="outset" w:sz="6" w:space="0" w:color="auto"/>
              <w:left w:val="outset" w:sz="6" w:space="0" w:color="auto"/>
              <w:bottom w:val="outset" w:sz="6" w:space="0" w:color="auto"/>
              <w:right w:val="outset" w:sz="6" w:space="0" w:color="auto"/>
            </w:tcBorders>
            <w:hideMark/>
          </w:tcPr>
          <w:p w14:paraId="762A49C5" w14:textId="77777777" w:rsidR="00C96AD3" w:rsidRPr="00171C37" w:rsidRDefault="00C96AD3"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Projekta izpildē iesaistītās institūcijas</w:t>
            </w:r>
          </w:p>
        </w:tc>
        <w:tc>
          <w:tcPr>
            <w:tcW w:w="2850" w:type="pct"/>
            <w:tcBorders>
              <w:top w:val="outset" w:sz="6" w:space="0" w:color="auto"/>
              <w:left w:val="outset" w:sz="6" w:space="0" w:color="auto"/>
              <w:bottom w:val="outset" w:sz="6" w:space="0" w:color="auto"/>
              <w:right w:val="outset" w:sz="6" w:space="0" w:color="auto"/>
            </w:tcBorders>
            <w:hideMark/>
          </w:tcPr>
          <w:p w14:paraId="4F5D04D9" w14:textId="12CCE7F6" w:rsidR="00C96AD3" w:rsidRPr="00171C37" w:rsidRDefault="00D44CC7"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Augstskolas un koledžas, personas, kas iesniegs iesniegumu izglītības dokumenta pielīdzināšanai</w:t>
            </w:r>
            <w:r w:rsidR="00AC0A6E">
              <w:rPr>
                <w:rFonts w:ascii="Times New Roman" w:eastAsia="Times New Roman" w:hAnsi="Times New Roman"/>
                <w:sz w:val="24"/>
                <w:szCs w:val="24"/>
                <w:lang w:eastAsia="lv-LV"/>
              </w:rPr>
              <w:t xml:space="preserve"> un  </w:t>
            </w:r>
            <w:r w:rsidR="006323A9">
              <w:rPr>
                <w:rFonts w:ascii="Times New Roman" w:eastAsia="Times New Roman" w:hAnsi="Times New Roman"/>
                <w:sz w:val="24"/>
                <w:szCs w:val="24"/>
                <w:lang w:eastAsia="lv-LV"/>
              </w:rPr>
              <w:t>nodibinājums “</w:t>
            </w:r>
            <w:r w:rsidR="00AC0A6E">
              <w:rPr>
                <w:rFonts w:ascii="Times New Roman" w:eastAsia="Times New Roman" w:hAnsi="Times New Roman"/>
                <w:sz w:val="24"/>
                <w:szCs w:val="24"/>
                <w:lang w:eastAsia="lv-LV"/>
              </w:rPr>
              <w:t>Akadēmiskās informācijas centrs</w:t>
            </w:r>
            <w:r w:rsidR="006323A9">
              <w:rPr>
                <w:rFonts w:ascii="Times New Roman" w:eastAsia="Times New Roman" w:hAnsi="Times New Roman"/>
                <w:sz w:val="24"/>
                <w:szCs w:val="24"/>
                <w:lang w:eastAsia="lv-LV"/>
              </w:rPr>
              <w:t>”</w:t>
            </w:r>
          </w:p>
        </w:tc>
      </w:tr>
      <w:tr w:rsidR="00812271" w:rsidRPr="00171C37" w14:paraId="29BEF3C7" w14:textId="77777777" w:rsidTr="00C96AD3">
        <w:trPr>
          <w:trHeight w:val="45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14:paraId="3115C530" w14:textId="77777777" w:rsidR="00C96AD3" w:rsidRPr="00171C37" w:rsidRDefault="00C96AD3"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2.</w:t>
            </w:r>
          </w:p>
        </w:tc>
        <w:tc>
          <w:tcPr>
            <w:tcW w:w="1900" w:type="pct"/>
            <w:tcBorders>
              <w:top w:val="outset" w:sz="6" w:space="0" w:color="auto"/>
              <w:left w:val="outset" w:sz="6" w:space="0" w:color="auto"/>
              <w:bottom w:val="outset" w:sz="6" w:space="0" w:color="auto"/>
              <w:right w:val="outset" w:sz="6" w:space="0" w:color="auto"/>
            </w:tcBorders>
            <w:hideMark/>
          </w:tcPr>
          <w:p w14:paraId="2B3A996E" w14:textId="77777777" w:rsidR="00C96AD3" w:rsidRPr="00171C37" w:rsidRDefault="00C96AD3"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850" w:type="pct"/>
            <w:tcBorders>
              <w:top w:val="outset" w:sz="6" w:space="0" w:color="auto"/>
              <w:left w:val="outset" w:sz="6" w:space="0" w:color="auto"/>
              <w:bottom w:val="outset" w:sz="6" w:space="0" w:color="auto"/>
              <w:right w:val="outset" w:sz="6" w:space="0" w:color="auto"/>
            </w:tcBorders>
            <w:hideMark/>
          </w:tcPr>
          <w:p w14:paraId="021CE662" w14:textId="77777777" w:rsidR="00854313" w:rsidRPr="00171C37" w:rsidRDefault="00C924D6"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Projekts šo jomu neskar.</w:t>
            </w:r>
          </w:p>
        </w:tc>
      </w:tr>
      <w:tr w:rsidR="00812271" w:rsidRPr="00171C37" w14:paraId="41C571BE" w14:textId="77777777" w:rsidTr="00C96AD3">
        <w:trPr>
          <w:trHeight w:val="390"/>
          <w:tblCellSpacing w:w="15" w:type="dxa"/>
          <w:jc w:val="center"/>
        </w:trPr>
        <w:tc>
          <w:tcPr>
            <w:tcW w:w="250" w:type="pct"/>
            <w:tcBorders>
              <w:top w:val="outset" w:sz="6" w:space="0" w:color="auto"/>
              <w:left w:val="outset" w:sz="6" w:space="0" w:color="auto"/>
              <w:bottom w:val="outset" w:sz="6" w:space="0" w:color="auto"/>
              <w:right w:val="outset" w:sz="6" w:space="0" w:color="auto"/>
            </w:tcBorders>
            <w:hideMark/>
          </w:tcPr>
          <w:p w14:paraId="1D9AD949" w14:textId="77777777" w:rsidR="00C96AD3" w:rsidRPr="00171C37" w:rsidRDefault="00C96AD3"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3.</w:t>
            </w:r>
          </w:p>
        </w:tc>
        <w:tc>
          <w:tcPr>
            <w:tcW w:w="1900" w:type="pct"/>
            <w:tcBorders>
              <w:top w:val="outset" w:sz="6" w:space="0" w:color="auto"/>
              <w:left w:val="outset" w:sz="6" w:space="0" w:color="auto"/>
              <w:bottom w:val="outset" w:sz="6" w:space="0" w:color="auto"/>
              <w:right w:val="outset" w:sz="6" w:space="0" w:color="auto"/>
            </w:tcBorders>
            <w:hideMark/>
          </w:tcPr>
          <w:p w14:paraId="588E94A5" w14:textId="77777777" w:rsidR="00C96AD3" w:rsidRPr="00171C37" w:rsidRDefault="00C96AD3"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Cita informācija</w:t>
            </w:r>
          </w:p>
        </w:tc>
        <w:tc>
          <w:tcPr>
            <w:tcW w:w="2850" w:type="pct"/>
            <w:tcBorders>
              <w:top w:val="outset" w:sz="6" w:space="0" w:color="auto"/>
              <w:left w:val="outset" w:sz="6" w:space="0" w:color="auto"/>
              <w:bottom w:val="outset" w:sz="6" w:space="0" w:color="auto"/>
              <w:right w:val="outset" w:sz="6" w:space="0" w:color="auto"/>
            </w:tcBorders>
            <w:hideMark/>
          </w:tcPr>
          <w:p w14:paraId="70E95096" w14:textId="77777777" w:rsidR="00C96AD3" w:rsidRPr="00171C37" w:rsidRDefault="00C96AD3"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Nav.</w:t>
            </w:r>
          </w:p>
        </w:tc>
      </w:tr>
    </w:tbl>
    <w:p w14:paraId="4EA96B8D" w14:textId="77777777" w:rsidR="00392D00" w:rsidRPr="00171C37" w:rsidRDefault="00392D00" w:rsidP="00D465E4">
      <w:pPr>
        <w:spacing w:after="0" w:line="240" w:lineRule="auto"/>
        <w:rPr>
          <w:rFonts w:ascii="Times New Roman" w:eastAsia="Times New Roman" w:hAnsi="Times New Roman"/>
          <w:sz w:val="24"/>
          <w:szCs w:val="24"/>
          <w:lang w:eastAsia="lv-LV"/>
        </w:rPr>
      </w:pPr>
    </w:p>
    <w:p w14:paraId="548FDEC8" w14:textId="0625A33C" w:rsidR="007C5781" w:rsidRPr="00171C37" w:rsidRDefault="00854313" w:rsidP="00D465E4">
      <w:pPr>
        <w:autoSpaceDE w:val="0"/>
        <w:autoSpaceDN w:val="0"/>
        <w:adjustRightInd w:val="0"/>
        <w:spacing w:after="0" w:line="240" w:lineRule="auto"/>
        <w:rPr>
          <w:rFonts w:ascii="Times New Roman" w:hAnsi="Times New Roman"/>
          <w:sz w:val="24"/>
          <w:szCs w:val="24"/>
        </w:rPr>
      </w:pPr>
      <w:r w:rsidRPr="00171C37">
        <w:rPr>
          <w:rFonts w:ascii="Times New Roman" w:hAnsi="Times New Roman"/>
          <w:i/>
          <w:sz w:val="24"/>
          <w:szCs w:val="24"/>
        </w:rPr>
        <w:t>Anotācijas</w:t>
      </w:r>
      <w:r w:rsidR="002814C9" w:rsidRPr="00171C37">
        <w:rPr>
          <w:rFonts w:ascii="Times New Roman" w:hAnsi="Times New Roman"/>
          <w:i/>
          <w:sz w:val="24"/>
          <w:szCs w:val="24"/>
        </w:rPr>
        <w:t xml:space="preserve"> </w:t>
      </w:r>
      <w:r w:rsidR="00812271" w:rsidRPr="00171C37">
        <w:rPr>
          <w:rFonts w:ascii="Times New Roman" w:hAnsi="Times New Roman"/>
          <w:i/>
          <w:sz w:val="24"/>
          <w:szCs w:val="24"/>
        </w:rPr>
        <w:t xml:space="preserve">V sadaļa - </w:t>
      </w:r>
      <w:r w:rsidR="00BB24B4" w:rsidRPr="00171C37">
        <w:rPr>
          <w:rFonts w:ascii="Times New Roman" w:eastAsia="Times New Roman" w:hAnsi="Times New Roman"/>
          <w:i/>
          <w:sz w:val="24"/>
          <w:szCs w:val="24"/>
          <w:lang w:eastAsia="lv-LV"/>
        </w:rPr>
        <w:t xml:space="preserve">noteikumu </w:t>
      </w:r>
      <w:r w:rsidR="00812271" w:rsidRPr="00171C37">
        <w:rPr>
          <w:rFonts w:ascii="Times New Roman" w:eastAsia="Times New Roman" w:hAnsi="Times New Roman"/>
          <w:i/>
          <w:sz w:val="24"/>
          <w:szCs w:val="24"/>
          <w:lang w:eastAsia="lv-LV"/>
        </w:rPr>
        <w:t>projekts šīs jomas neskar</w:t>
      </w:r>
      <w:r w:rsidR="00812271" w:rsidRPr="00171C37">
        <w:rPr>
          <w:rFonts w:ascii="Times New Roman" w:eastAsia="Times New Roman" w:hAnsi="Times New Roman"/>
          <w:sz w:val="24"/>
          <w:szCs w:val="24"/>
          <w:lang w:eastAsia="lv-LV"/>
        </w:rPr>
        <w:t>.</w:t>
      </w:r>
    </w:p>
    <w:p w14:paraId="2E628157" w14:textId="77777777" w:rsidR="00322FF1" w:rsidRPr="00171C37" w:rsidRDefault="00322FF1" w:rsidP="00D465E4">
      <w:pPr>
        <w:autoSpaceDE w:val="0"/>
        <w:autoSpaceDN w:val="0"/>
        <w:adjustRightInd w:val="0"/>
        <w:spacing w:after="0" w:line="240" w:lineRule="auto"/>
        <w:rPr>
          <w:rFonts w:ascii="Times New Roman" w:hAnsi="Times New Roman"/>
          <w:sz w:val="24"/>
          <w:szCs w:val="24"/>
        </w:rPr>
      </w:pPr>
    </w:p>
    <w:p w14:paraId="1408A28D" w14:textId="77777777" w:rsidR="00C7273F" w:rsidRPr="00171C37" w:rsidRDefault="00C7273F" w:rsidP="00D465E4">
      <w:pPr>
        <w:autoSpaceDE w:val="0"/>
        <w:autoSpaceDN w:val="0"/>
        <w:adjustRightInd w:val="0"/>
        <w:spacing w:after="0" w:line="240" w:lineRule="auto"/>
        <w:rPr>
          <w:rFonts w:ascii="Times New Roman" w:hAnsi="Times New Roman"/>
          <w:sz w:val="24"/>
          <w:szCs w:val="24"/>
        </w:rPr>
      </w:pPr>
    </w:p>
    <w:p w14:paraId="2A50BAB0" w14:textId="77777777" w:rsidR="00C7273F" w:rsidRPr="00171C37" w:rsidRDefault="00C7273F" w:rsidP="00D465E4">
      <w:pPr>
        <w:autoSpaceDE w:val="0"/>
        <w:autoSpaceDN w:val="0"/>
        <w:adjustRightInd w:val="0"/>
        <w:spacing w:after="0" w:line="240" w:lineRule="auto"/>
        <w:rPr>
          <w:rFonts w:ascii="Times New Roman" w:hAnsi="Times New Roman"/>
          <w:sz w:val="24"/>
          <w:szCs w:val="24"/>
        </w:rPr>
      </w:pPr>
    </w:p>
    <w:p w14:paraId="7616C601" w14:textId="77777777" w:rsidR="00F31126" w:rsidRPr="00171C37" w:rsidRDefault="00A76C0A"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lastRenderedPageBreak/>
        <w:t>I</w:t>
      </w:r>
      <w:r w:rsidR="00F31126" w:rsidRPr="00171C37">
        <w:rPr>
          <w:rFonts w:ascii="Times New Roman" w:eastAsia="Times New Roman" w:hAnsi="Times New Roman"/>
          <w:sz w:val="24"/>
          <w:szCs w:val="24"/>
          <w:lang w:eastAsia="lv-LV"/>
        </w:rPr>
        <w:t>zglītības un zinātne</w:t>
      </w:r>
      <w:r w:rsidRPr="00171C37">
        <w:rPr>
          <w:rFonts w:ascii="Times New Roman" w:eastAsia="Times New Roman" w:hAnsi="Times New Roman"/>
          <w:sz w:val="24"/>
          <w:szCs w:val="24"/>
          <w:lang w:eastAsia="lv-LV"/>
        </w:rPr>
        <w:t>s ministre</w:t>
      </w:r>
      <w:r w:rsidRPr="00171C37">
        <w:rPr>
          <w:rFonts w:ascii="Times New Roman" w:eastAsia="Times New Roman" w:hAnsi="Times New Roman"/>
          <w:sz w:val="24"/>
          <w:szCs w:val="24"/>
          <w:lang w:eastAsia="lv-LV"/>
        </w:rPr>
        <w:tab/>
      </w:r>
      <w:r w:rsidRPr="00171C37">
        <w:rPr>
          <w:rFonts w:ascii="Times New Roman" w:eastAsia="Times New Roman" w:hAnsi="Times New Roman"/>
          <w:sz w:val="24"/>
          <w:szCs w:val="24"/>
          <w:lang w:eastAsia="lv-LV"/>
        </w:rPr>
        <w:tab/>
      </w:r>
      <w:r w:rsidR="00F31126" w:rsidRPr="00171C37">
        <w:rPr>
          <w:rFonts w:ascii="Times New Roman" w:eastAsia="Times New Roman" w:hAnsi="Times New Roman"/>
          <w:sz w:val="24"/>
          <w:szCs w:val="24"/>
          <w:lang w:eastAsia="lv-LV"/>
        </w:rPr>
        <w:t xml:space="preserve"> </w:t>
      </w:r>
      <w:r w:rsidR="00F31126" w:rsidRPr="00171C37">
        <w:rPr>
          <w:rFonts w:ascii="Times New Roman" w:eastAsia="Times New Roman" w:hAnsi="Times New Roman"/>
          <w:sz w:val="24"/>
          <w:szCs w:val="24"/>
          <w:lang w:eastAsia="lv-LV"/>
        </w:rPr>
        <w:tab/>
      </w:r>
      <w:r w:rsidR="00F31126" w:rsidRPr="00171C37">
        <w:rPr>
          <w:rFonts w:ascii="Times New Roman" w:eastAsia="Times New Roman" w:hAnsi="Times New Roman"/>
          <w:sz w:val="24"/>
          <w:szCs w:val="24"/>
          <w:lang w:eastAsia="lv-LV"/>
        </w:rPr>
        <w:tab/>
      </w:r>
      <w:r w:rsidR="00854313" w:rsidRPr="00171C37">
        <w:rPr>
          <w:rFonts w:ascii="Times New Roman" w:eastAsia="Times New Roman" w:hAnsi="Times New Roman"/>
          <w:sz w:val="24"/>
          <w:szCs w:val="24"/>
          <w:lang w:eastAsia="lv-LV"/>
        </w:rPr>
        <w:tab/>
      </w:r>
      <w:r w:rsidR="00F31126" w:rsidRPr="00171C37">
        <w:rPr>
          <w:rFonts w:ascii="Times New Roman" w:eastAsia="Times New Roman" w:hAnsi="Times New Roman"/>
          <w:sz w:val="24"/>
          <w:szCs w:val="24"/>
          <w:lang w:eastAsia="lv-LV"/>
        </w:rPr>
        <w:t xml:space="preserve">    </w:t>
      </w:r>
      <w:r w:rsidR="00F31126" w:rsidRPr="00171C37">
        <w:rPr>
          <w:rFonts w:ascii="Times New Roman" w:eastAsia="Times New Roman" w:hAnsi="Times New Roman"/>
          <w:sz w:val="24"/>
          <w:szCs w:val="24"/>
          <w:lang w:eastAsia="lv-LV"/>
        </w:rPr>
        <w:tab/>
      </w:r>
      <w:r w:rsidRPr="00171C37">
        <w:rPr>
          <w:rFonts w:ascii="Times New Roman" w:eastAsia="Times New Roman" w:hAnsi="Times New Roman"/>
          <w:sz w:val="24"/>
          <w:szCs w:val="24"/>
          <w:lang w:eastAsia="lv-LV"/>
        </w:rPr>
        <w:t>Mārīte Seile</w:t>
      </w:r>
    </w:p>
    <w:p w14:paraId="62B70CEC" w14:textId="77777777" w:rsidR="00F31126" w:rsidRPr="00171C37" w:rsidRDefault="00F31126" w:rsidP="00D465E4">
      <w:pPr>
        <w:spacing w:after="0" w:line="240" w:lineRule="auto"/>
        <w:ind w:firstLine="720"/>
        <w:jc w:val="both"/>
        <w:rPr>
          <w:rFonts w:ascii="Times New Roman" w:eastAsia="Times New Roman" w:hAnsi="Times New Roman"/>
          <w:sz w:val="24"/>
          <w:szCs w:val="24"/>
          <w:lang w:eastAsia="lv-LV"/>
        </w:rPr>
      </w:pPr>
    </w:p>
    <w:p w14:paraId="23779D9E" w14:textId="77777777" w:rsidR="00322FF1" w:rsidRPr="00171C37" w:rsidRDefault="00322FF1" w:rsidP="00D465E4">
      <w:pPr>
        <w:spacing w:after="0" w:line="240" w:lineRule="auto"/>
        <w:jc w:val="both"/>
        <w:rPr>
          <w:rFonts w:ascii="Times New Roman" w:eastAsia="Times New Roman" w:hAnsi="Times New Roman"/>
          <w:sz w:val="24"/>
          <w:szCs w:val="24"/>
          <w:lang w:eastAsia="lv-LV"/>
        </w:rPr>
      </w:pPr>
    </w:p>
    <w:p w14:paraId="3EE66EBF" w14:textId="77777777" w:rsidR="00A76C0A" w:rsidRPr="00171C37" w:rsidRDefault="00A76C0A"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sz w:val="24"/>
          <w:szCs w:val="24"/>
          <w:lang w:eastAsia="lv-LV"/>
        </w:rPr>
        <w:t>Vizē:</w:t>
      </w:r>
    </w:p>
    <w:p w14:paraId="29335FA4" w14:textId="77777777" w:rsidR="00012B57" w:rsidRPr="00171C37" w:rsidRDefault="00012B57" w:rsidP="00D465E4">
      <w:pPr>
        <w:spacing w:after="0" w:line="240" w:lineRule="auto"/>
        <w:jc w:val="both"/>
        <w:rPr>
          <w:rFonts w:ascii="Times New Roman" w:eastAsia="Times New Roman" w:hAnsi="Times New Roman"/>
          <w:sz w:val="24"/>
          <w:szCs w:val="24"/>
          <w:lang w:eastAsia="lv-LV"/>
        </w:rPr>
      </w:pPr>
      <w:r w:rsidRPr="00171C37">
        <w:rPr>
          <w:rFonts w:ascii="Times New Roman" w:eastAsia="Times New Roman" w:hAnsi="Times New Roman"/>
          <w:bCs/>
          <w:kern w:val="32"/>
          <w:sz w:val="24"/>
          <w:szCs w:val="24"/>
          <w:lang w:eastAsia="lv-LV"/>
        </w:rPr>
        <w:t xml:space="preserve">Valsts sekretāra vietniece – </w:t>
      </w:r>
      <w:r w:rsidRPr="00171C37">
        <w:rPr>
          <w:rFonts w:ascii="Times New Roman" w:eastAsia="Times New Roman" w:hAnsi="Times New Roman"/>
          <w:bCs/>
          <w:kern w:val="32"/>
          <w:sz w:val="24"/>
          <w:szCs w:val="24"/>
          <w:lang w:eastAsia="lv-LV"/>
        </w:rPr>
        <w:tab/>
      </w:r>
      <w:r w:rsidRPr="00171C37">
        <w:rPr>
          <w:rFonts w:ascii="Times New Roman" w:eastAsia="Times New Roman" w:hAnsi="Times New Roman"/>
          <w:bCs/>
          <w:kern w:val="32"/>
          <w:sz w:val="24"/>
          <w:szCs w:val="24"/>
          <w:lang w:eastAsia="lv-LV"/>
        </w:rPr>
        <w:tab/>
      </w:r>
      <w:r w:rsidRPr="00171C37">
        <w:rPr>
          <w:rFonts w:ascii="Times New Roman" w:eastAsia="Times New Roman" w:hAnsi="Times New Roman"/>
          <w:bCs/>
          <w:kern w:val="32"/>
          <w:sz w:val="24"/>
          <w:szCs w:val="24"/>
          <w:lang w:eastAsia="lv-LV"/>
        </w:rPr>
        <w:tab/>
      </w:r>
      <w:r w:rsidRPr="00171C37">
        <w:rPr>
          <w:rFonts w:ascii="Times New Roman" w:eastAsia="Times New Roman" w:hAnsi="Times New Roman"/>
          <w:bCs/>
          <w:kern w:val="32"/>
          <w:sz w:val="24"/>
          <w:szCs w:val="24"/>
          <w:lang w:eastAsia="lv-LV"/>
        </w:rPr>
        <w:tab/>
      </w:r>
      <w:r w:rsidRPr="00171C37">
        <w:rPr>
          <w:rFonts w:ascii="Times New Roman" w:eastAsia="Times New Roman" w:hAnsi="Times New Roman"/>
          <w:bCs/>
          <w:kern w:val="32"/>
          <w:sz w:val="24"/>
          <w:szCs w:val="24"/>
          <w:lang w:eastAsia="lv-LV"/>
        </w:rPr>
        <w:tab/>
      </w:r>
    </w:p>
    <w:p w14:paraId="32E8F0A5" w14:textId="77777777" w:rsidR="00012B57" w:rsidRPr="00171C37" w:rsidRDefault="00012B57" w:rsidP="00D465E4">
      <w:pPr>
        <w:spacing w:after="0" w:line="240" w:lineRule="auto"/>
        <w:jc w:val="both"/>
        <w:rPr>
          <w:rFonts w:ascii="Times New Roman" w:eastAsia="Times New Roman" w:hAnsi="Times New Roman"/>
          <w:bCs/>
          <w:kern w:val="32"/>
          <w:sz w:val="24"/>
          <w:szCs w:val="24"/>
          <w:lang w:eastAsia="lv-LV"/>
        </w:rPr>
      </w:pPr>
      <w:r w:rsidRPr="00171C37">
        <w:rPr>
          <w:rFonts w:ascii="Times New Roman" w:eastAsia="Times New Roman" w:hAnsi="Times New Roman"/>
          <w:bCs/>
          <w:kern w:val="32"/>
          <w:sz w:val="24"/>
          <w:szCs w:val="24"/>
          <w:lang w:eastAsia="lv-LV"/>
        </w:rPr>
        <w:t xml:space="preserve">Izglītības departamenta direktore, </w:t>
      </w:r>
    </w:p>
    <w:p w14:paraId="2D64AA28" w14:textId="77777777" w:rsidR="00012B57" w:rsidRPr="00171C37" w:rsidRDefault="00A76C0A" w:rsidP="00D465E4">
      <w:pPr>
        <w:spacing w:after="0" w:line="240" w:lineRule="auto"/>
        <w:rPr>
          <w:rFonts w:ascii="Times New Roman" w:eastAsia="Times New Roman" w:hAnsi="Times New Roman"/>
          <w:sz w:val="24"/>
          <w:szCs w:val="24"/>
          <w:lang w:eastAsia="lv-LV"/>
        </w:rPr>
      </w:pPr>
      <w:r w:rsidRPr="00171C37">
        <w:rPr>
          <w:rFonts w:ascii="Times New Roman" w:eastAsia="Times New Roman" w:hAnsi="Times New Roman"/>
          <w:bCs/>
          <w:kern w:val="32"/>
          <w:sz w:val="24"/>
          <w:szCs w:val="24"/>
          <w:lang w:eastAsia="lv-LV"/>
        </w:rPr>
        <w:t>valsts sekretāra</w:t>
      </w:r>
      <w:r w:rsidR="00012B57" w:rsidRPr="00171C37">
        <w:rPr>
          <w:rFonts w:ascii="Times New Roman" w:eastAsia="Times New Roman" w:hAnsi="Times New Roman"/>
          <w:bCs/>
          <w:kern w:val="32"/>
          <w:sz w:val="24"/>
          <w:szCs w:val="24"/>
          <w:lang w:eastAsia="lv-LV"/>
        </w:rPr>
        <w:t xml:space="preserve"> pienākumu izpildītāja</w:t>
      </w:r>
      <w:r w:rsidR="00012B57" w:rsidRPr="00171C37">
        <w:rPr>
          <w:rFonts w:ascii="Times New Roman" w:eastAsia="Times New Roman" w:hAnsi="Times New Roman"/>
          <w:bCs/>
          <w:kern w:val="32"/>
          <w:sz w:val="24"/>
          <w:szCs w:val="24"/>
          <w:lang w:eastAsia="lv-LV"/>
        </w:rPr>
        <w:tab/>
      </w:r>
      <w:r w:rsidR="00012B57" w:rsidRPr="00171C37">
        <w:rPr>
          <w:rFonts w:ascii="Times New Roman" w:eastAsia="Times New Roman" w:hAnsi="Times New Roman"/>
          <w:bCs/>
          <w:kern w:val="32"/>
          <w:sz w:val="24"/>
          <w:szCs w:val="24"/>
          <w:lang w:eastAsia="lv-LV"/>
        </w:rPr>
        <w:tab/>
      </w:r>
      <w:r w:rsidR="00012B57" w:rsidRPr="00171C37">
        <w:rPr>
          <w:rFonts w:ascii="Times New Roman" w:eastAsia="Times New Roman" w:hAnsi="Times New Roman"/>
          <w:bCs/>
          <w:kern w:val="32"/>
          <w:sz w:val="24"/>
          <w:szCs w:val="24"/>
          <w:lang w:eastAsia="lv-LV"/>
        </w:rPr>
        <w:tab/>
      </w:r>
      <w:r w:rsidR="00012B57" w:rsidRPr="00171C37">
        <w:rPr>
          <w:rFonts w:ascii="Times New Roman" w:eastAsia="Times New Roman" w:hAnsi="Times New Roman"/>
          <w:bCs/>
          <w:kern w:val="32"/>
          <w:sz w:val="24"/>
          <w:szCs w:val="24"/>
          <w:lang w:eastAsia="lv-LV"/>
        </w:rPr>
        <w:tab/>
      </w:r>
      <w:r w:rsidR="00F31126" w:rsidRPr="00171C37">
        <w:rPr>
          <w:rFonts w:ascii="Times New Roman" w:eastAsia="Times New Roman" w:hAnsi="Times New Roman"/>
          <w:bCs/>
          <w:kern w:val="32"/>
          <w:sz w:val="24"/>
          <w:szCs w:val="24"/>
          <w:lang w:eastAsia="lv-LV"/>
        </w:rPr>
        <w:tab/>
      </w:r>
      <w:r w:rsidR="00012B57" w:rsidRPr="00171C37">
        <w:rPr>
          <w:rFonts w:ascii="Times New Roman" w:eastAsia="Times New Roman" w:hAnsi="Times New Roman"/>
          <w:bCs/>
          <w:kern w:val="32"/>
          <w:sz w:val="24"/>
          <w:szCs w:val="24"/>
          <w:lang w:eastAsia="lv-LV"/>
        </w:rPr>
        <w:t xml:space="preserve">Evija </w:t>
      </w:r>
      <w:proofErr w:type="spellStart"/>
      <w:r w:rsidR="00012B57" w:rsidRPr="00171C37">
        <w:rPr>
          <w:rFonts w:ascii="Times New Roman" w:eastAsia="Times New Roman" w:hAnsi="Times New Roman"/>
          <w:bCs/>
          <w:kern w:val="32"/>
          <w:sz w:val="24"/>
          <w:szCs w:val="24"/>
          <w:lang w:eastAsia="lv-LV"/>
        </w:rPr>
        <w:t>Papule</w:t>
      </w:r>
      <w:proofErr w:type="spellEnd"/>
    </w:p>
    <w:p w14:paraId="09E08D90" w14:textId="77777777" w:rsidR="00012B57" w:rsidRPr="00171C37" w:rsidRDefault="00012B57" w:rsidP="00D465E4">
      <w:pPr>
        <w:spacing w:after="0" w:line="240" w:lineRule="auto"/>
        <w:jc w:val="both"/>
        <w:rPr>
          <w:rFonts w:ascii="Times New Roman" w:eastAsia="Times New Roman" w:hAnsi="Times New Roman"/>
          <w:sz w:val="24"/>
          <w:szCs w:val="24"/>
          <w:lang w:eastAsia="lv-LV"/>
        </w:rPr>
      </w:pPr>
    </w:p>
    <w:p w14:paraId="06A3764D" w14:textId="77777777" w:rsidR="00012B57" w:rsidRPr="00171C37" w:rsidRDefault="00012B57" w:rsidP="00D465E4">
      <w:pPr>
        <w:autoSpaceDE w:val="0"/>
        <w:autoSpaceDN w:val="0"/>
        <w:adjustRightInd w:val="0"/>
        <w:spacing w:after="0" w:line="240" w:lineRule="auto"/>
        <w:ind w:firstLine="720"/>
        <w:rPr>
          <w:rFonts w:ascii="Times New Roman" w:hAnsi="Times New Roman"/>
          <w:sz w:val="24"/>
          <w:szCs w:val="24"/>
        </w:rPr>
      </w:pPr>
    </w:p>
    <w:p w14:paraId="47FE2929" w14:textId="77777777" w:rsidR="00FC7EFA" w:rsidRPr="00171C37" w:rsidRDefault="00FC7EFA" w:rsidP="00D465E4">
      <w:pPr>
        <w:autoSpaceDE w:val="0"/>
        <w:autoSpaceDN w:val="0"/>
        <w:adjustRightInd w:val="0"/>
        <w:spacing w:after="0" w:line="240" w:lineRule="auto"/>
        <w:rPr>
          <w:rFonts w:ascii="Times New Roman" w:hAnsi="Times New Roman"/>
          <w:sz w:val="24"/>
          <w:szCs w:val="24"/>
        </w:rPr>
      </w:pPr>
      <w:r w:rsidRPr="00171C37">
        <w:rPr>
          <w:rFonts w:ascii="Times New Roman" w:hAnsi="Times New Roman"/>
          <w:sz w:val="24"/>
          <w:szCs w:val="24"/>
        </w:rPr>
        <w:tab/>
      </w:r>
      <w:r w:rsidRPr="00171C37">
        <w:rPr>
          <w:rFonts w:ascii="Times New Roman" w:hAnsi="Times New Roman"/>
          <w:sz w:val="24"/>
          <w:szCs w:val="24"/>
        </w:rPr>
        <w:tab/>
      </w:r>
      <w:r w:rsidRPr="00171C37">
        <w:rPr>
          <w:rFonts w:ascii="Times New Roman" w:hAnsi="Times New Roman"/>
          <w:sz w:val="24"/>
          <w:szCs w:val="24"/>
        </w:rPr>
        <w:tab/>
      </w:r>
      <w:r w:rsidRPr="00171C37">
        <w:rPr>
          <w:rFonts w:ascii="Times New Roman" w:hAnsi="Times New Roman"/>
          <w:sz w:val="24"/>
          <w:szCs w:val="24"/>
        </w:rPr>
        <w:tab/>
      </w:r>
    </w:p>
    <w:p w14:paraId="7C7DE4C7" w14:textId="7471F676" w:rsidR="00012B57" w:rsidRPr="00040640" w:rsidRDefault="00C442C2" w:rsidP="00D465E4">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25</w:t>
      </w:r>
      <w:r w:rsidR="00A80D35" w:rsidRPr="00040640">
        <w:rPr>
          <w:rFonts w:ascii="Times New Roman" w:eastAsia="Times New Roman" w:hAnsi="Times New Roman"/>
          <w:sz w:val="20"/>
          <w:szCs w:val="20"/>
          <w:lang w:eastAsia="lv-LV"/>
        </w:rPr>
        <w:t>.05</w:t>
      </w:r>
      <w:r w:rsidR="00246C87">
        <w:rPr>
          <w:rFonts w:ascii="Times New Roman" w:eastAsia="Times New Roman" w:hAnsi="Times New Roman"/>
          <w:sz w:val="20"/>
          <w:szCs w:val="20"/>
          <w:lang w:eastAsia="lv-LV"/>
        </w:rPr>
        <w:t xml:space="preserve">.2015. </w:t>
      </w:r>
    </w:p>
    <w:p w14:paraId="04BEB329" w14:textId="09738C22" w:rsidR="00012B57" w:rsidRPr="00040640" w:rsidRDefault="00C442C2" w:rsidP="00D465E4">
      <w:pPr>
        <w:spacing w:after="0" w:line="240" w:lineRule="auto"/>
        <w:jc w:val="both"/>
        <w:rPr>
          <w:rFonts w:ascii="Times New Roman" w:eastAsia="Times New Roman" w:hAnsi="Times New Roman"/>
          <w:sz w:val="20"/>
          <w:szCs w:val="20"/>
          <w:lang w:eastAsia="lv-LV"/>
        </w:rPr>
      </w:pPr>
      <w:r>
        <w:rPr>
          <w:rFonts w:ascii="Times New Roman" w:eastAsia="Times New Roman" w:hAnsi="Times New Roman"/>
          <w:sz w:val="20"/>
          <w:szCs w:val="20"/>
          <w:lang w:eastAsia="lv-LV"/>
        </w:rPr>
        <w:t>3</w:t>
      </w:r>
      <w:r w:rsidR="007A274D">
        <w:rPr>
          <w:rFonts w:ascii="Times New Roman" w:eastAsia="Times New Roman" w:hAnsi="Times New Roman"/>
          <w:sz w:val="20"/>
          <w:szCs w:val="20"/>
          <w:lang w:eastAsia="lv-LV"/>
        </w:rPr>
        <w:t>3</w:t>
      </w:r>
      <w:r w:rsidR="0067081D">
        <w:rPr>
          <w:rFonts w:ascii="Times New Roman" w:eastAsia="Times New Roman" w:hAnsi="Times New Roman"/>
          <w:sz w:val="20"/>
          <w:szCs w:val="20"/>
          <w:lang w:eastAsia="lv-LV"/>
        </w:rPr>
        <w:t>75</w:t>
      </w:r>
    </w:p>
    <w:p w14:paraId="22EBF1F4" w14:textId="77777777" w:rsidR="00FC7EFA" w:rsidRPr="00040640" w:rsidRDefault="00A76C0A" w:rsidP="00D465E4">
      <w:pPr>
        <w:spacing w:after="0" w:line="240" w:lineRule="auto"/>
        <w:jc w:val="both"/>
        <w:rPr>
          <w:rFonts w:ascii="Times New Roman" w:eastAsia="Times New Roman" w:hAnsi="Times New Roman"/>
          <w:sz w:val="20"/>
          <w:szCs w:val="20"/>
          <w:lang w:eastAsia="lv-LV"/>
        </w:rPr>
      </w:pPr>
      <w:proofErr w:type="spellStart"/>
      <w:r w:rsidRPr="00040640">
        <w:rPr>
          <w:rFonts w:ascii="Times New Roman" w:eastAsia="Times New Roman" w:hAnsi="Times New Roman"/>
          <w:sz w:val="20"/>
          <w:szCs w:val="20"/>
          <w:lang w:eastAsia="lv-LV"/>
        </w:rPr>
        <w:t>L.Upīte</w:t>
      </w:r>
      <w:proofErr w:type="spellEnd"/>
      <w:r w:rsidRPr="00040640">
        <w:rPr>
          <w:rFonts w:ascii="Times New Roman" w:eastAsia="Times New Roman" w:hAnsi="Times New Roman"/>
          <w:sz w:val="20"/>
          <w:szCs w:val="20"/>
          <w:lang w:eastAsia="lv-LV"/>
        </w:rPr>
        <w:t>, 67047816</w:t>
      </w:r>
    </w:p>
    <w:p w14:paraId="50ADF11C" w14:textId="256934CC" w:rsidR="00A76C0A" w:rsidRDefault="009E4B94" w:rsidP="00D465E4">
      <w:pPr>
        <w:spacing w:after="0" w:line="240" w:lineRule="auto"/>
        <w:jc w:val="both"/>
        <w:rPr>
          <w:rFonts w:ascii="Times New Roman" w:eastAsia="Times New Roman" w:hAnsi="Times New Roman"/>
          <w:sz w:val="20"/>
          <w:szCs w:val="20"/>
          <w:lang w:eastAsia="lv-LV"/>
        </w:rPr>
      </w:pPr>
      <w:hyperlink r:id="rId7" w:history="1">
        <w:r w:rsidR="00040640" w:rsidRPr="00167974">
          <w:rPr>
            <w:rStyle w:val="Hyperlink"/>
            <w:rFonts w:ascii="Times New Roman" w:eastAsia="Times New Roman" w:hAnsi="Times New Roman"/>
            <w:sz w:val="20"/>
            <w:szCs w:val="20"/>
            <w:lang w:eastAsia="lv-LV"/>
          </w:rPr>
          <w:t>Linda.Upite@izm.gov.lv</w:t>
        </w:r>
      </w:hyperlink>
    </w:p>
    <w:p w14:paraId="21D4C6F2" w14:textId="3825032F" w:rsidR="00040640" w:rsidRDefault="00040640" w:rsidP="00D465E4">
      <w:pPr>
        <w:spacing w:after="0" w:line="240" w:lineRule="auto"/>
        <w:jc w:val="both"/>
        <w:rPr>
          <w:rFonts w:ascii="Times New Roman" w:eastAsia="Times New Roman" w:hAnsi="Times New Roman"/>
          <w:sz w:val="20"/>
          <w:szCs w:val="20"/>
          <w:lang w:eastAsia="lv-LV"/>
        </w:rPr>
      </w:pPr>
      <w:proofErr w:type="spellStart"/>
      <w:r>
        <w:rPr>
          <w:rFonts w:ascii="Times New Roman" w:eastAsia="Times New Roman" w:hAnsi="Times New Roman"/>
          <w:sz w:val="20"/>
          <w:szCs w:val="20"/>
          <w:lang w:eastAsia="lv-LV"/>
        </w:rPr>
        <w:t>I.Stūre</w:t>
      </w:r>
      <w:proofErr w:type="spellEnd"/>
      <w:r>
        <w:rPr>
          <w:rFonts w:ascii="Times New Roman" w:eastAsia="Times New Roman" w:hAnsi="Times New Roman"/>
          <w:sz w:val="20"/>
          <w:szCs w:val="20"/>
          <w:lang w:eastAsia="lv-LV"/>
        </w:rPr>
        <w:t>, 67047899</w:t>
      </w:r>
    </w:p>
    <w:p w14:paraId="7EF7EA27" w14:textId="4E6B1EEC" w:rsidR="00040640" w:rsidRDefault="009E4B94" w:rsidP="00D465E4">
      <w:pPr>
        <w:spacing w:after="0" w:line="240" w:lineRule="auto"/>
        <w:jc w:val="both"/>
        <w:rPr>
          <w:rFonts w:ascii="Times New Roman" w:eastAsia="Times New Roman" w:hAnsi="Times New Roman"/>
          <w:sz w:val="20"/>
          <w:szCs w:val="20"/>
          <w:lang w:eastAsia="lv-LV"/>
        </w:rPr>
      </w:pPr>
      <w:hyperlink r:id="rId8" w:history="1">
        <w:r w:rsidR="00040640" w:rsidRPr="00167974">
          <w:rPr>
            <w:rStyle w:val="Hyperlink"/>
            <w:rFonts w:ascii="Times New Roman" w:eastAsia="Times New Roman" w:hAnsi="Times New Roman"/>
            <w:sz w:val="20"/>
            <w:szCs w:val="20"/>
            <w:lang w:eastAsia="lv-LV"/>
          </w:rPr>
          <w:t>Inese.Sture@izm.gov.lv</w:t>
        </w:r>
      </w:hyperlink>
    </w:p>
    <w:p w14:paraId="5FA25A7F" w14:textId="77777777" w:rsidR="00040640" w:rsidRPr="00040640" w:rsidRDefault="00040640" w:rsidP="00D465E4">
      <w:pPr>
        <w:spacing w:after="0" w:line="240" w:lineRule="auto"/>
        <w:jc w:val="both"/>
        <w:rPr>
          <w:rFonts w:ascii="Times New Roman" w:eastAsia="Times New Roman" w:hAnsi="Times New Roman"/>
          <w:sz w:val="20"/>
          <w:szCs w:val="20"/>
          <w:lang w:eastAsia="lv-LV"/>
        </w:rPr>
      </w:pPr>
    </w:p>
    <w:sectPr w:rsidR="00040640" w:rsidRPr="00040640" w:rsidSect="00DF12C5">
      <w:headerReference w:type="default" r:id="rId9"/>
      <w:footerReference w:type="default" r:id="rId10"/>
      <w:footerReference w:type="first" r:id="rId11"/>
      <w:pgSz w:w="11906" w:h="16838"/>
      <w:pgMar w:top="567" w:right="1274" w:bottom="1560" w:left="1276" w:header="51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2FB18" w14:textId="77777777" w:rsidR="009E4B94" w:rsidRDefault="009E4B94" w:rsidP="004A53C8">
      <w:pPr>
        <w:spacing w:after="0" w:line="240" w:lineRule="auto"/>
      </w:pPr>
      <w:r>
        <w:separator/>
      </w:r>
    </w:p>
  </w:endnote>
  <w:endnote w:type="continuationSeparator" w:id="0">
    <w:p w14:paraId="0AD9274D" w14:textId="77777777" w:rsidR="009E4B94" w:rsidRDefault="009E4B94" w:rsidP="004A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7CA9" w14:textId="137449BE" w:rsidR="00FC1275" w:rsidRPr="002865DB" w:rsidRDefault="0073049D" w:rsidP="002865DB">
    <w:pPr>
      <w:pStyle w:val="Footer"/>
      <w:spacing w:after="0" w:line="240" w:lineRule="auto"/>
      <w:jc w:val="both"/>
      <w:rPr>
        <w:rFonts w:ascii="Times New Roman" w:hAnsi="Times New Roman"/>
        <w:sz w:val="20"/>
        <w:szCs w:val="20"/>
      </w:rPr>
    </w:pPr>
    <w:r w:rsidRPr="0073049D">
      <w:rPr>
        <w:rFonts w:ascii="Times New Roman" w:hAnsi="Times New Roman"/>
        <w:sz w:val="20"/>
        <w:szCs w:val="20"/>
      </w:rPr>
      <w:t>IZManot_250515_cenradis</w:t>
    </w:r>
    <w:r w:rsidR="00FC1275" w:rsidRPr="002865DB">
      <w:rPr>
        <w:rFonts w:ascii="Times New Roman" w:hAnsi="Times New Roman"/>
        <w:sz w:val="20"/>
        <w:szCs w:val="20"/>
      </w:rPr>
      <w:t xml:space="preserve">; </w:t>
    </w:r>
    <w:r w:rsidR="00FC1275" w:rsidRPr="002865DB">
      <w:rPr>
        <w:rFonts w:ascii="Times New Roman" w:eastAsia="Times New Roman" w:hAnsi="Times New Roman"/>
        <w:bCs/>
        <w:sz w:val="20"/>
        <w:szCs w:val="20"/>
        <w:lang w:eastAsia="lv-LV"/>
      </w:rPr>
      <w:t>Minist</w:t>
    </w:r>
    <w:r w:rsidR="00FC1275">
      <w:rPr>
        <w:rFonts w:ascii="Times New Roman" w:eastAsia="Times New Roman" w:hAnsi="Times New Roman"/>
        <w:bCs/>
        <w:sz w:val="20"/>
        <w:szCs w:val="20"/>
        <w:lang w:eastAsia="lv-LV"/>
      </w:rPr>
      <w:t>ru kabineta noteikumu projekta “Nodibinājuma “Akadēmiskās informācijas centrs” maksas pakalpojumu cenrādis”</w:t>
    </w:r>
    <w:r w:rsidR="00FC1275" w:rsidRPr="002865DB">
      <w:rPr>
        <w:rFonts w:ascii="Times New Roman" w:hAnsi="Times New Roman"/>
        <w:sz w:val="20"/>
        <w:szCs w:val="20"/>
      </w:rPr>
      <w:t xml:space="preserve"> sākotnējās ietekmes novērtējuma ziņojums (anotācija)</w:t>
    </w:r>
  </w:p>
  <w:p w14:paraId="07323A96" w14:textId="77777777" w:rsidR="00FC1275" w:rsidRPr="002865DB" w:rsidRDefault="00FC1275" w:rsidP="00286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3B04" w14:textId="3AE0D4CC" w:rsidR="00FC1275" w:rsidRPr="00F558B6" w:rsidRDefault="00FC1275" w:rsidP="00F558B6">
    <w:pPr>
      <w:pStyle w:val="Footer"/>
      <w:spacing w:after="0" w:line="240" w:lineRule="auto"/>
      <w:jc w:val="both"/>
      <w:rPr>
        <w:rFonts w:ascii="Times New Roman" w:hAnsi="Times New Roman"/>
        <w:sz w:val="20"/>
        <w:szCs w:val="20"/>
      </w:rPr>
    </w:pPr>
    <w:r>
      <w:rPr>
        <w:rFonts w:ascii="Times New Roman" w:hAnsi="Times New Roman"/>
        <w:sz w:val="20"/>
        <w:szCs w:val="20"/>
      </w:rPr>
      <w:t>IZManot_120515_cenradis</w:t>
    </w:r>
    <w:r w:rsidRPr="002865DB">
      <w:rPr>
        <w:rFonts w:ascii="Times New Roman" w:hAnsi="Times New Roman"/>
        <w:sz w:val="20"/>
        <w:szCs w:val="20"/>
      </w:rPr>
      <w:t xml:space="preserve">; </w:t>
    </w:r>
    <w:r w:rsidRPr="002865DB">
      <w:rPr>
        <w:rFonts w:ascii="Times New Roman" w:eastAsia="Times New Roman" w:hAnsi="Times New Roman"/>
        <w:bCs/>
        <w:sz w:val="20"/>
        <w:szCs w:val="20"/>
        <w:lang w:eastAsia="lv-LV"/>
      </w:rPr>
      <w:t>Minist</w:t>
    </w:r>
    <w:r>
      <w:rPr>
        <w:rFonts w:ascii="Times New Roman" w:eastAsia="Times New Roman" w:hAnsi="Times New Roman"/>
        <w:bCs/>
        <w:sz w:val="20"/>
        <w:szCs w:val="20"/>
        <w:lang w:eastAsia="lv-LV"/>
      </w:rPr>
      <w:t>ru kabineta noteikumu projekta “Nodibinājuma “Akadēmiskās informācijas centrs” maksas pakalpojumu cenrādis”</w:t>
    </w:r>
    <w:r w:rsidRPr="002865DB">
      <w:rPr>
        <w:rFonts w:ascii="Times New Roman" w:hAnsi="Times New Roman"/>
        <w:sz w:val="20"/>
        <w:szCs w:val="20"/>
      </w:rPr>
      <w:t xml:space="preserve"> 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083D7" w14:textId="77777777" w:rsidR="009E4B94" w:rsidRDefault="009E4B94" w:rsidP="004A53C8">
      <w:pPr>
        <w:spacing w:after="0" w:line="240" w:lineRule="auto"/>
      </w:pPr>
      <w:r>
        <w:separator/>
      </w:r>
    </w:p>
  </w:footnote>
  <w:footnote w:type="continuationSeparator" w:id="0">
    <w:p w14:paraId="681004A4" w14:textId="77777777" w:rsidR="009E4B94" w:rsidRDefault="009E4B94" w:rsidP="004A5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EA4F" w14:textId="77777777" w:rsidR="00FC1275" w:rsidRDefault="00FC1275" w:rsidP="00F4546D">
    <w:pPr>
      <w:pStyle w:val="Header"/>
      <w:spacing w:after="0"/>
      <w:jc w:val="center"/>
      <w:rPr>
        <w:rFonts w:ascii="Times New Roman" w:hAnsi="Times New Roman"/>
        <w:sz w:val="24"/>
        <w:szCs w:val="24"/>
      </w:rPr>
    </w:pPr>
    <w:r w:rsidRPr="00F4546D">
      <w:rPr>
        <w:rFonts w:ascii="Times New Roman" w:hAnsi="Times New Roman"/>
        <w:sz w:val="24"/>
        <w:szCs w:val="24"/>
      </w:rPr>
      <w:fldChar w:fldCharType="begin"/>
    </w:r>
    <w:r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sidR="004C671E">
      <w:rPr>
        <w:rFonts w:ascii="Times New Roman" w:hAnsi="Times New Roman"/>
        <w:noProof/>
        <w:sz w:val="24"/>
        <w:szCs w:val="24"/>
      </w:rPr>
      <w:t>17</w:t>
    </w:r>
    <w:r w:rsidRPr="00F4546D">
      <w:rPr>
        <w:rFonts w:ascii="Times New Roman" w:hAnsi="Times New Roman"/>
        <w:sz w:val="24"/>
        <w:szCs w:val="24"/>
      </w:rPr>
      <w:fldChar w:fldCharType="end"/>
    </w:r>
  </w:p>
  <w:p w14:paraId="2C69AD72" w14:textId="77777777" w:rsidR="00FC1275" w:rsidRPr="00F4546D" w:rsidRDefault="00FC1275" w:rsidP="00F4546D">
    <w:pPr>
      <w:pStyle w:val="Header"/>
      <w:spacing w:after="0"/>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4CA"/>
    <w:multiLevelType w:val="hybridMultilevel"/>
    <w:tmpl w:val="91DE57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7F3B9D"/>
    <w:multiLevelType w:val="hybridMultilevel"/>
    <w:tmpl w:val="BD840750"/>
    <w:lvl w:ilvl="0" w:tplc="F0B4AE00">
      <w:start w:val="1"/>
      <w:numFmt w:val="decimal"/>
      <w:lvlText w:val="%1)"/>
      <w:lvlJc w:val="left"/>
      <w:pPr>
        <w:ind w:left="360" w:hanging="360"/>
      </w:pPr>
      <w:rPr>
        <w:rFonts w:eastAsia="Calibr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CD945AC"/>
    <w:multiLevelType w:val="hybridMultilevel"/>
    <w:tmpl w:val="358233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4B5AA9"/>
    <w:multiLevelType w:val="hybridMultilevel"/>
    <w:tmpl w:val="BC80F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07E10C2"/>
    <w:multiLevelType w:val="hybridMultilevel"/>
    <w:tmpl w:val="3496C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DE4BFF"/>
    <w:multiLevelType w:val="hybridMultilevel"/>
    <w:tmpl w:val="197C060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41115E25"/>
    <w:multiLevelType w:val="hybridMultilevel"/>
    <w:tmpl w:val="D6E0DB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D21A56"/>
    <w:multiLevelType w:val="hybridMultilevel"/>
    <w:tmpl w:val="3B443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442367E"/>
    <w:multiLevelType w:val="hybridMultilevel"/>
    <w:tmpl w:val="928C8A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6E38F8"/>
    <w:multiLevelType w:val="hybridMultilevel"/>
    <w:tmpl w:val="76ECC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B028BE"/>
    <w:multiLevelType w:val="hybridMultilevel"/>
    <w:tmpl w:val="5ABA1A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DC64556"/>
    <w:multiLevelType w:val="hybridMultilevel"/>
    <w:tmpl w:val="7E5E6F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04B5D9B"/>
    <w:multiLevelType w:val="hybridMultilevel"/>
    <w:tmpl w:val="8B0A778C"/>
    <w:lvl w:ilvl="0" w:tplc="FE04A208">
      <w:start w:val="14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69C61F5C"/>
    <w:multiLevelType w:val="hybridMultilevel"/>
    <w:tmpl w:val="20DC1210"/>
    <w:lvl w:ilvl="0" w:tplc="0CC66466">
      <w:start w:val="11"/>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3"/>
  </w:num>
  <w:num w:numId="4">
    <w:abstractNumId w:val="9"/>
  </w:num>
  <w:num w:numId="5">
    <w:abstractNumId w:val="8"/>
  </w:num>
  <w:num w:numId="6">
    <w:abstractNumId w:val="4"/>
  </w:num>
  <w:num w:numId="7">
    <w:abstractNumId w:val="0"/>
  </w:num>
  <w:num w:numId="8">
    <w:abstractNumId w:val="2"/>
  </w:num>
  <w:num w:numId="9">
    <w:abstractNumId w:val="11"/>
  </w:num>
  <w:num w:numId="10">
    <w:abstractNumId w:val="10"/>
  </w:num>
  <w:num w:numId="11">
    <w:abstractNumId w:val="6"/>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00"/>
    <w:rsid w:val="00012B57"/>
    <w:rsid w:val="0001406B"/>
    <w:rsid w:val="000224AC"/>
    <w:rsid w:val="00023814"/>
    <w:rsid w:val="000264EC"/>
    <w:rsid w:val="00040640"/>
    <w:rsid w:val="0004083F"/>
    <w:rsid w:val="00057E77"/>
    <w:rsid w:val="00064A14"/>
    <w:rsid w:val="0006697F"/>
    <w:rsid w:val="00084E0D"/>
    <w:rsid w:val="0008604B"/>
    <w:rsid w:val="00087D55"/>
    <w:rsid w:val="0009669B"/>
    <w:rsid w:val="000A1C76"/>
    <w:rsid w:val="000A5997"/>
    <w:rsid w:val="000A624E"/>
    <w:rsid w:val="000B05E5"/>
    <w:rsid w:val="000C0CAE"/>
    <w:rsid w:val="000D0442"/>
    <w:rsid w:val="000D05F4"/>
    <w:rsid w:val="000F47DB"/>
    <w:rsid w:val="000F5413"/>
    <w:rsid w:val="000F597B"/>
    <w:rsid w:val="000F6881"/>
    <w:rsid w:val="00121135"/>
    <w:rsid w:val="00124DCE"/>
    <w:rsid w:val="00127E6C"/>
    <w:rsid w:val="00144092"/>
    <w:rsid w:val="00171C37"/>
    <w:rsid w:val="001722A0"/>
    <w:rsid w:val="001804C6"/>
    <w:rsid w:val="0018443B"/>
    <w:rsid w:val="00184E31"/>
    <w:rsid w:val="00196D09"/>
    <w:rsid w:val="001A08CA"/>
    <w:rsid w:val="001B2B20"/>
    <w:rsid w:val="001B63D2"/>
    <w:rsid w:val="001C5976"/>
    <w:rsid w:val="001D3671"/>
    <w:rsid w:val="001D5D6F"/>
    <w:rsid w:val="001D6B05"/>
    <w:rsid w:val="001E0C7F"/>
    <w:rsid w:val="001F0710"/>
    <w:rsid w:val="00200A9A"/>
    <w:rsid w:val="00202371"/>
    <w:rsid w:val="00204189"/>
    <w:rsid w:val="00212B8F"/>
    <w:rsid w:val="002172EA"/>
    <w:rsid w:val="002423D7"/>
    <w:rsid w:val="00246011"/>
    <w:rsid w:val="00246C87"/>
    <w:rsid w:val="00246F08"/>
    <w:rsid w:val="00250073"/>
    <w:rsid w:val="002546AB"/>
    <w:rsid w:val="00255E5E"/>
    <w:rsid w:val="00260CAD"/>
    <w:rsid w:val="002620B7"/>
    <w:rsid w:val="00272847"/>
    <w:rsid w:val="00275B3C"/>
    <w:rsid w:val="002814C9"/>
    <w:rsid w:val="002865DB"/>
    <w:rsid w:val="002901D5"/>
    <w:rsid w:val="002B1A24"/>
    <w:rsid w:val="002B2B6C"/>
    <w:rsid w:val="002C1E90"/>
    <w:rsid w:val="002D0EB1"/>
    <w:rsid w:val="002D5095"/>
    <w:rsid w:val="002D5DF6"/>
    <w:rsid w:val="002E4374"/>
    <w:rsid w:val="002F343B"/>
    <w:rsid w:val="0030592D"/>
    <w:rsid w:val="003138F6"/>
    <w:rsid w:val="00313AB9"/>
    <w:rsid w:val="00313C26"/>
    <w:rsid w:val="003152AF"/>
    <w:rsid w:val="00322FF1"/>
    <w:rsid w:val="003264EE"/>
    <w:rsid w:val="00326E14"/>
    <w:rsid w:val="0033149E"/>
    <w:rsid w:val="00354158"/>
    <w:rsid w:val="00356919"/>
    <w:rsid w:val="0037163B"/>
    <w:rsid w:val="00392D00"/>
    <w:rsid w:val="003A6BFF"/>
    <w:rsid w:val="003B0459"/>
    <w:rsid w:val="003B4004"/>
    <w:rsid w:val="003C228F"/>
    <w:rsid w:val="003D11C4"/>
    <w:rsid w:val="003D2266"/>
    <w:rsid w:val="003D5881"/>
    <w:rsid w:val="003E12C5"/>
    <w:rsid w:val="003F4305"/>
    <w:rsid w:val="00402CEA"/>
    <w:rsid w:val="004126BF"/>
    <w:rsid w:val="004358D3"/>
    <w:rsid w:val="00437C2F"/>
    <w:rsid w:val="00454A2A"/>
    <w:rsid w:val="00470A88"/>
    <w:rsid w:val="00473C87"/>
    <w:rsid w:val="00476B66"/>
    <w:rsid w:val="0048006B"/>
    <w:rsid w:val="00482C68"/>
    <w:rsid w:val="00486593"/>
    <w:rsid w:val="00497987"/>
    <w:rsid w:val="004A16FD"/>
    <w:rsid w:val="004A53C8"/>
    <w:rsid w:val="004A549F"/>
    <w:rsid w:val="004A5DE5"/>
    <w:rsid w:val="004B12FE"/>
    <w:rsid w:val="004C4E93"/>
    <w:rsid w:val="004C671E"/>
    <w:rsid w:val="004D00E6"/>
    <w:rsid w:val="004D37D0"/>
    <w:rsid w:val="004D6490"/>
    <w:rsid w:val="004E520A"/>
    <w:rsid w:val="00506F2B"/>
    <w:rsid w:val="00517034"/>
    <w:rsid w:val="005373DF"/>
    <w:rsid w:val="00541203"/>
    <w:rsid w:val="00541BDE"/>
    <w:rsid w:val="00551B92"/>
    <w:rsid w:val="00561B38"/>
    <w:rsid w:val="005652E0"/>
    <w:rsid w:val="00565B69"/>
    <w:rsid w:val="00567FE4"/>
    <w:rsid w:val="005730EA"/>
    <w:rsid w:val="005749B4"/>
    <w:rsid w:val="00577216"/>
    <w:rsid w:val="005925F2"/>
    <w:rsid w:val="005A4EDC"/>
    <w:rsid w:val="005C34FC"/>
    <w:rsid w:val="005C3F18"/>
    <w:rsid w:val="005C42B1"/>
    <w:rsid w:val="005D2C4E"/>
    <w:rsid w:val="005D56D4"/>
    <w:rsid w:val="005D785D"/>
    <w:rsid w:val="005E14B9"/>
    <w:rsid w:val="005F5AC1"/>
    <w:rsid w:val="005F5ADA"/>
    <w:rsid w:val="006051F8"/>
    <w:rsid w:val="006058AA"/>
    <w:rsid w:val="006301C8"/>
    <w:rsid w:val="00631529"/>
    <w:rsid w:val="006323A9"/>
    <w:rsid w:val="00634BA3"/>
    <w:rsid w:val="00636413"/>
    <w:rsid w:val="00647270"/>
    <w:rsid w:val="0065161F"/>
    <w:rsid w:val="00651E7F"/>
    <w:rsid w:val="0067081D"/>
    <w:rsid w:val="006804FE"/>
    <w:rsid w:val="006825C0"/>
    <w:rsid w:val="0068644D"/>
    <w:rsid w:val="00694633"/>
    <w:rsid w:val="006A3B0A"/>
    <w:rsid w:val="006A5B37"/>
    <w:rsid w:val="006C5B37"/>
    <w:rsid w:val="006E351C"/>
    <w:rsid w:val="006F0F0F"/>
    <w:rsid w:val="006F3CAE"/>
    <w:rsid w:val="006F7FD7"/>
    <w:rsid w:val="00702234"/>
    <w:rsid w:val="007058CE"/>
    <w:rsid w:val="0071082B"/>
    <w:rsid w:val="007147BE"/>
    <w:rsid w:val="007248FB"/>
    <w:rsid w:val="0073049D"/>
    <w:rsid w:val="00733908"/>
    <w:rsid w:val="00742B82"/>
    <w:rsid w:val="00743DE0"/>
    <w:rsid w:val="0074653E"/>
    <w:rsid w:val="00764021"/>
    <w:rsid w:val="00771AE0"/>
    <w:rsid w:val="00773158"/>
    <w:rsid w:val="00773B60"/>
    <w:rsid w:val="00773C6A"/>
    <w:rsid w:val="00780B08"/>
    <w:rsid w:val="00787C61"/>
    <w:rsid w:val="007973E0"/>
    <w:rsid w:val="007A0535"/>
    <w:rsid w:val="007A274D"/>
    <w:rsid w:val="007A5D0E"/>
    <w:rsid w:val="007B0B3B"/>
    <w:rsid w:val="007B2EAC"/>
    <w:rsid w:val="007B568A"/>
    <w:rsid w:val="007B5FA3"/>
    <w:rsid w:val="007C4012"/>
    <w:rsid w:val="007C5781"/>
    <w:rsid w:val="007D491B"/>
    <w:rsid w:val="007E7C9E"/>
    <w:rsid w:val="00800369"/>
    <w:rsid w:val="00803E13"/>
    <w:rsid w:val="00812271"/>
    <w:rsid w:val="00813A88"/>
    <w:rsid w:val="00816BD1"/>
    <w:rsid w:val="0082002F"/>
    <w:rsid w:val="00820DF2"/>
    <w:rsid w:val="0082459F"/>
    <w:rsid w:val="00825C80"/>
    <w:rsid w:val="00833E9A"/>
    <w:rsid w:val="00835064"/>
    <w:rsid w:val="008357B4"/>
    <w:rsid w:val="00840CFA"/>
    <w:rsid w:val="008479BB"/>
    <w:rsid w:val="00854313"/>
    <w:rsid w:val="00857EFA"/>
    <w:rsid w:val="00863303"/>
    <w:rsid w:val="00867271"/>
    <w:rsid w:val="00876451"/>
    <w:rsid w:val="008B4FFB"/>
    <w:rsid w:val="008C0B91"/>
    <w:rsid w:val="008C0E92"/>
    <w:rsid w:val="008C2F6A"/>
    <w:rsid w:val="008C37DB"/>
    <w:rsid w:val="008C7F90"/>
    <w:rsid w:val="008D1CAA"/>
    <w:rsid w:val="008D37A4"/>
    <w:rsid w:val="008D3E73"/>
    <w:rsid w:val="008D447D"/>
    <w:rsid w:val="008E12D5"/>
    <w:rsid w:val="008E7275"/>
    <w:rsid w:val="0090029B"/>
    <w:rsid w:val="00910EE9"/>
    <w:rsid w:val="009121DE"/>
    <w:rsid w:val="00915876"/>
    <w:rsid w:val="00930A74"/>
    <w:rsid w:val="00951E78"/>
    <w:rsid w:val="009625C1"/>
    <w:rsid w:val="009636D0"/>
    <w:rsid w:val="00966366"/>
    <w:rsid w:val="00966604"/>
    <w:rsid w:val="009675F2"/>
    <w:rsid w:val="009705CA"/>
    <w:rsid w:val="00971FE2"/>
    <w:rsid w:val="00973AB7"/>
    <w:rsid w:val="0098126F"/>
    <w:rsid w:val="00985459"/>
    <w:rsid w:val="009A7BAD"/>
    <w:rsid w:val="009B0744"/>
    <w:rsid w:val="009B3D7E"/>
    <w:rsid w:val="009C7ABE"/>
    <w:rsid w:val="009D028B"/>
    <w:rsid w:val="009D6AA0"/>
    <w:rsid w:val="009E0243"/>
    <w:rsid w:val="009E2D98"/>
    <w:rsid w:val="009E3113"/>
    <w:rsid w:val="009E4B94"/>
    <w:rsid w:val="009F6089"/>
    <w:rsid w:val="00A01456"/>
    <w:rsid w:val="00A12092"/>
    <w:rsid w:val="00A13AAD"/>
    <w:rsid w:val="00A15AC5"/>
    <w:rsid w:val="00A21C59"/>
    <w:rsid w:val="00A26DC3"/>
    <w:rsid w:val="00A272B8"/>
    <w:rsid w:val="00A272D5"/>
    <w:rsid w:val="00A325FA"/>
    <w:rsid w:val="00A415D2"/>
    <w:rsid w:val="00A420DF"/>
    <w:rsid w:val="00A4504C"/>
    <w:rsid w:val="00A56755"/>
    <w:rsid w:val="00A6532E"/>
    <w:rsid w:val="00A66576"/>
    <w:rsid w:val="00A7007C"/>
    <w:rsid w:val="00A76C0A"/>
    <w:rsid w:val="00A80D35"/>
    <w:rsid w:val="00A87395"/>
    <w:rsid w:val="00A917AF"/>
    <w:rsid w:val="00AA050C"/>
    <w:rsid w:val="00AB2B26"/>
    <w:rsid w:val="00AC0A6E"/>
    <w:rsid w:val="00AC20F9"/>
    <w:rsid w:val="00AC5845"/>
    <w:rsid w:val="00AC62B2"/>
    <w:rsid w:val="00AC6351"/>
    <w:rsid w:val="00AD32A3"/>
    <w:rsid w:val="00AE6178"/>
    <w:rsid w:val="00AE6D11"/>
    <w:rsid w:val="00AF54C3"/>
    <w:rsid w:val="00AF7504"/>
    <w:rsid w:val="00B01379"/>
    <w:rsid w:val="00B05007"/>
    <w:rsid w:val="00B10218"/>
    <w:rsid w:val="00B2079E"/>
    <w:rsid w:val="00B21F14"/>
    <w:rsid w:val="00B232E9"/>
    <w:rsid w:val="00B2641B"/>
    <w:rsid w:val="00B31D70"/>
    <w:rsid w:val="00B44E38"/>
    <w:rsid w:val="00B4613D"/>
    <w:rsid w:val="00B47243"/>
    <w:rsid w:val="00B54E5E"/>
    <w:rsid w:val="00B57810"/>
    <w:rsid w:val="00B65C59"/>
    <w:rsid w:val="00B72734"/>
    <w:rsid w:val="00B73480"/>
    <w:rsid w:val="00B8300C"/>
    <w:rsid w:val="00B91E30"/>
    <w:rsid w:val="00BA7B96"/>
    <w:rsid w:val="00BB10ED"/>
    <w:rsid w:val="00BB24B4"/>
    <w:rsid w:val="00BB5043"/>
    <w:rsid w:val="00BC02DA"/>
    <w:rsid w:val="00BD1C23"/>
    <w:rsid w:val="00BD5364"/>
    <w:rsid w:val="00BD6649"/>
    <w:rsid w:val="00BE61F3"/>
    <w:rsid w:val="00C02C2B"/>
    <w:rsid w:val="00C05444"/>
    <w:rsid w:val="00C1270E"/>
    <w:rsid w:val="00C13A50"/>
    <w:rsid w:val="00C14E5C"/>
    <w:rsid w:val="00C17025"/>
    <w:rsid w:val="00C21978"/>
    <w:rsid w:val="00C24085"/>
    <w:rsid w:val="00C256E5"/>
    <w:rsid w:val="00C35318"/>
    <w:rsid w:val="00C41CAB"/>
    <w:rsid w:val="00C442C2"/>
    <w:rsid w:val="00C51360"/>
    <w:rsid w:val="00C62E89"/>
    <w:rsid w:val="00C64748"/>
    <w:rsid w:val="00C7273F"/>
    <w:rsid w:val="00C76A5D"/>
    <w:rsid w:val="00C77A99"/>
    <w:rsid w:val="00C77BF2"/>
    <w:rsid w:val="00C924D6"/>
    <w:rsid w:val="00C96AD3"/>
    <w:rsid w:val="00C97BF6"/>
    <w:rsid w:val="00CD1902"/>
    <w:rsid w:val="00CE239B"/>
    <w:rsid w:val="00CF0A15"/>
    <w:rsid w:val="00CF1208"/>
    <w:rsid w:val="00D169F6"/>
    <w:rsid w:val="00D23B0E"/>
    <w:rsid w:val="00D30B82"/>
    <w:rsid w:val="00D32E3B"/>
    <w:rsid w:val="00D429B5"/>
    <w:rsid w:val="00D44CC7"/>
    <w:rsid w:val="00D465E4"/>
    <w:rsid w:val="00D51D4F"/>
    <w:rsid w:val="00D7234C"/>
    <w:rsid w:val="00D72F08"/>
    <w:rsid w:val="00D7657E"/>
    <w:rsid w:val="00D86E70"/>
    <w:rsid w:val="00D933B0"/>
    <w:rsid w:val="00D947A5"/>
    <w:rsid w:val="00D95F93"/>
    <w:rsid w:val="00DA5586"/>
    <w:rsid w:val="00DB30BA"/>
    <w:rsid w:val="00DB3160"/>
    <w:rsid w:val="00DB3F54"/>
    <w:rsid w:val="00DB475F"/>
    <w:rsid w:val="00DB4A4B"/>
    <w:rsid w:val="00DC6380"/>
    <w:rsid w:val="00DC6BAF"/>
    <w:rsid w:val="00DD6B94"/>
    <w:rsid w:val="00DF12C5"/>
    <w:rsid w:val="00DF376A"/>
    <w:rsid w:val="00DF53C3"/>
    <w:rsid w:val="00DF6500"/>
    <w:rsid w:val="00E01393"/>
    <w:rsid w:val="00E01795"/>
    <w:rsid w:val="00E05857"/>
    <w:rsid w:val="00E12AC4"/>
    <w:rsid w:val="00E14F0D"/>
    <w:rsid w:val="00E16259"/>
    <w:rsid w:val="00E16634"/>
    <w:rsid w:val="00E20A25"/>
    <w:rsid w:val="00E223F6"/>
    <w:rsid w:val="00E32858"/>
    <w:rsid w:val="00E44DD5"/>
    <w:rsid w:val="00E521AB"/>
    <w:rsid w:val="00E60279"/>
    <w:rsid w:val="00E631DD"/>
    <w:rsid w:val="00E67DE9"/>
    <w:rsid w:val="00E71731"/>
    <w:rsid w:val="00E7687A"/>
    <w:rsid w:val="00E83628"/>
    <w:rsid w:val="00E90688"/>
    <w:rsid w:val="00E910C9"/>
    <w:rsid w:val="00EA2144"/>
    <w:rsid w:val="00EA39DC"/>
    <w:rsid w:val="00EA6CD0"/>
    <w:rsid w:val="00EB4EB5"/>
    <w:rsid w:val="00EC08CE"/>
    <w:rsid w:val="00EC1F0E"/>
    <w:rsid w:val="00EC418C"/>
    <w:rsid w:val="00ED5197"/>
    <w:rsid w:val="00EE0570"/>
    <w:rsid w:val="00EE213D"/>
    <w:rsid w:val="00EE4B99"/>
    <w:rsid w:val="00EF16F5"/>
    <w:rsid w:val="00EF5512"/>
    <w:rsid w:val="00F00509"/>
    <w:rsid w:val="00F01A9C"/>
    <w:rsid w:val="00F17C81"/>
    <w:rsid w:val="00F259FB"/>
    <w:rsid w:val="00F31126"/>
    <w:rsid w:val="00F36184"/>
    <w:rsid w:val="00F4110A"/>
    <w:rsid w:val="00F4546D"/>
    <w:rsid w:val="00F476E5"/>
    <w:rsid w:val="00F558B6"/>
    <w:rsid w:val="00F834B3"/>
    <w:rsid w:val="00F86ABA"/>
    <w:rsid w:val="00F92AF7"/>
    <w:rsid w:val="00F9465B"/>
    <w:rsid w:val="00F95042"/>
    <w:rsid w:val="00FA75FC"/>
    <w:rsid w:val="00FB4C35"/>
    <w:rsid w:val="00FC1275"/>
    <w:rsid w:val="00FC4FD8"/>
    <w:rsid w:val="00FC68B2"/>
    <w:rsid w:val="00FC6AE2"/>
    <w:rsid w:val="00FC7EFA"/>
    <w:rsid w:val="00FE08D2"/>
    <w:rsid w:val="00FE0EE1"/>
    <w:rsid w:val="00FE6554"/>
    <w:rsid w:val="00FE7724"/>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DBB9"/>
  <w15:docId w15:val="{80F50CF0-A7FE-456F-AB66-E3E9FE2B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C80"/>
    <w:pPr>
      <w:spacing w:after="200" w:line="276" w:lineRule="auto"/>
    </w:pPr>
    <w:rPr>
      <w:sz w:val="22"/>
      <w:szCs w:val="22"/>
      <w:lang w:val="lv-LV"/>
    </w:rPr>
  </w:style>
  <w:style w:type="paragraph" w:styleId="Heading4">
    <w:name w:val="heading 4"/>
    <w:basedOn w:val="Normal"/>
    <w:link w:val="Heading4Char"/>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D00"/>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A53C8"/>
    <w:pPr>
      <w:tabs>
        <w:tab w:val="center" w:pos="4153"/>
        <w:tab w:val="right" w:pos="8306"/>
      </w:tabs>
    </w:pPr>
  </w:style>
  <w:style w:type="character" w:customStyle="1" w:styleId="HeaderChar">
    <w:name w:val="Header Char"/>
    <w:basedOn w:val="DefaultParagraphFont"/>
    <w:link w:val="Header"/>
    <w:uiPriority w:val="99"/>
    <w:rsid w:val="004A53C8"/>
    <w:rPr>
      <w:sz w:val="22"/>
      <w:szCs w:val="22"/>
      <w:lang w:eastAsia="en-US"/>
    </w:rPr>
  </w:style>
  <w:style w:type="paragraph" w:styleId="Footer">
    <w:name w:val="footer"/>
    <w:basedOn w:val="Normal"/>
    <w:link w:val="FooterChar"/>
    <w:uiPriority w:val="99"/>
    <w:unhideWhenUsed/>
    <w:rsid w:val="004A53C8"/>
    <w:pPr>
      <w:tabs>
        <w:tab w:val="center" w:pos="4153"/>
        <w:tab w:val="right" w:pos="8306"/>
      </w:tabs>
    </w:pPr>
  </w:style>
  <w:style w:type="character" w:customStyle="1" w:styleId="FooterChar">
    <w:name w:val="Footer Char"/>
    <w:basedOn w:val="DefaultParagraphFont"/>
    <w:link w:val="Footer"/>
    <w:uiPriority w:val="99"/>
    <w:rsid w:val="004A53C8"/>
    <w:rPr>
      <w:sz w:val="22"/>
      <w:szCs w:val="22"/>
      <w:lang w:eastAsia="en-US"/>
    </w:rPr>
  </w:style>
  <w:style w:type="character" w:styleId="Hyperlink">
    <w:name w:val="Hyperlink"/>
    <w:basedOn w:val="DefaultParagraphFont"/>
    <w:uiPriority w:val="99"/>
    <w:unhideWhenUsed/>
    <w:rsid w:val="00A6532E"/>
    <w:rPr>
      <w:color w:val="0000FF"/>
      <w:u w:val="single"/>
    </w:rPr>
  </w:style>
  <w:style w:type="paragraph" w:styleId="EndnoteText">
    <w:name w:val="endnote text"/>
    <w:basedOn w:val="Normal"/>
    <w:link w:val="EndnoteTextChar"/>
    <w:uiPriority w:val="99"/>
    <w:semiHidden/>
    <w:unhideWhenUsed/>
    <w:rsid w:val="007E7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C9E"/>
    <w:rPr>
      <w:lang w:val="lv-LV"/>
    </w:rPr>
  </w:style>
  <w:style w:type="character" w:styleId="EndnoteReference">
    <w:name w:val="endnote reference"/>
    <w:basedOn w:val="DefaultParagraphFont"/>
    <w:uiPriority w:val="99"/>
    <w:semiHidden/>
    <w:unhideWhenUsed/>
    <w:rsid w:val="007E7C9E"/>
    <w:rPr>
      <w:vertAlign w:val="superscript"/>
    </w:rPr>
  </w:style>
  <w:style w:type="paragraph" w:styleId="BalloonText">
    <w:name w:val="Balloon Text"/>
    <w:basedOn w:val="Normal"/>
    <w:link w:val="BalloonTextChar"/>
    <w:uiPriority w:val="99"/>
    <w:semiHidden/>
    <w:unhideWhenUsed/>
    <w:rsid w:val="00F1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81"/>
    <w:rPr>
      <w:rFonts w:ascii="Segoe UI" w:hAnsi="Segoe UI" w:cs="Segoe UI"/>
      <w:sz w:val="18"/>
      <w:szCs w:val="18"/>
      <w:lang w:val="lv-LV"/>
    </w:rPr>
  </w:style>
  <w:style w:type="paragraph" w:styleId="ListParagraph">
    <w:name w:val="List Paragraph"/>
    <w:basedOn w:val="Normal"/>
    <w:link w:val="ListParagraphChar"/>
    <w:uiPriority w:val="34"/>
    <w:qFormat/>
    <w:rsid w:val="00B57810"/>
    <w:pPr>
      <w:ind w:left="720"/>
      <w:contextualSpacing/>
    </w:pPr>
  </w:style>
  <w:style w:type="table" w:styleId="TableGrid">
    <w:name w:val="Table Grid"/>
    <w:basedOn w:val="TableNormal"/>
    <w:uiPriority w:val="39"/>
    <w:rsid w:val="00A5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60279"/>
    <w:rPr>
      <w:sz w:val="22"/>
      <w:szCs w:val="22"/>
      <w:lang w:val="lv-LV"/>
    </w:rPr>
  </w:style>
  <w:style w:type="table" w:customStyle="1" w:styleId="TableGrid1">
    <w:name w:val="Table Grid1"/>
    <w:basedOn w:val="TableNormal"/>
    <w:next w:val="TableGrid"/>
    <w:uiPriority w:val="39"/>
    <w:rsid w:val="00E60279"/>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7DB"/>
    <w:rPr>
      <w:sz w:val="16"/>
      <w:szCs w:val="16"/>
    </w:rPr>
  </w:style>
  <w:style w:type="paragraph" w:styleId="CommentText">
    <w:name w:val="annotation text"/>
    <w:basedOn w:val="Normal"/>
    <w:link w:val="CommentTextChar"/>
    <w:uiPriority w:val="99"/>
    <w:semiHidden/>
    <w:unhideWhenUsed/>
    <w:rsid w:val="008C37DB"/>
    <w:pPr>
      <w:spacing w:line="240" w:lineRule="auto"/>
    </w:pPr>
    <w:rPr>
      <w:sz w:val="20"/>
      <w:szCs w:val="20"/>
    </w:rPr>
  </w:style>
  <w:style w:type="character" w:customStyle="1" w:styleId="CommentTextChar">
    <w:name w:val="Comment Text Char"/>
    <w:basedOn w:val="DefaultParagraphFont"/>
    <w:link w:val="CommentText"/>
    <w:uiPriority w:val="99"/>
    <w:semiHidden/>
    <w:rsid w:val="008C37DB"/>
    <w:rPr>
      <w:lang w:val="lv-LV"/>
    </w:rPr>
  </w:style>
  <w:style w:type="paragraph" w:styleId="CommentSubject">
    <w:name w:val="annotation subject"/>
    <w:basedOn w:val="CommentText"/>
    <w:next w:val="CommentText"/>
    <w:link w:val="CommentSubjectChar"/>
    <w:uiPriority w:val="99"/>
    <w:semiHidden/>
    <w:unhideWhenUsed/>
    <w:rsid w:val="005D785D"/>
    <w:rPr>
      <w:b/>
      <w:bCs/>
    </w:rPr>
  </w:style>
  <w:style w:type="character" w:customStyle="1" w:styleId="CommentSubjectChar">
    <w:name w:val="Comment Subject Char"/>
    <w:basedOn w:val="CommentTextChar"/>
    <w:link w:val="CommentSubject"/>
    <w:uiPriority w:val="99"/>
    <w:semiHidden/>
    <w:rsid w:val="005D785D"/>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8619">
      <w:bodyDiv w:val="1"/>
      <w:marLeft w:val="0"/>
      <w:marRight w:val="0"/>
      <w:marTop w:val="0"/>
      <w:marBottom w:val="0"/>
      <w:divBdr>
        <w:top w:val="none" w:sz="0" w:space="0" w:color="auto"/>
        <w:left w:val="none" w:sz="0" w:space="0" w:color="auto"/>
        <w:bottom w:val="none" w:sz="0" w:space="0" w:color="auto"/>
        <w:right w:val="none" w:sz="0" w:space="0" w:color="auto"/>
      </w:divBdr>
      <w:divsChild>
        <w:div w:id="15344">
          <w:marLeft w:val="0"/>
          <w:marRight w:val="0"/>
          <w:marTop w:val="0"/>
          <w:marBottom w:val="0"/>
          <w:divBdr>
            <w:top w:val="none" w:sz="0" w:space="0" w:color="auto"/>
            <w:left w:val="none" w:sz="0" w:space="0" w:color="auto"/>
            <w:bottom w:val="none" w:sz="0" w:space="0" w:color="auto"/>
            <w:right w:val="none" w:sz="0" w:space="0" w:color="auto"/>
          </w:divBdr>
          <w:divsChild>
            <w:div w:id="467088381">
              <w:marLeft w:val="0"/>
              <w:marRight w:val="0"/>
              <w:marTop w:val="0"/>
              <w:marBottom w:val="0"/>
              <w:divBdr>
                <w:top w:val="none" w:sz="0" w:space="0" w:color="auto"/>
                <w:left w:val="none" w:sz="0" w:space="0" w:color="auto"/>
                <w:bottom w:val="none" w:sz="0" w:space="0" w:color="auto"/>
                <w:right w:val="none" w:sz="0" w:space="0" w:color="auto"/>
              </w:divBdr>
              <w:divsChild>
                <w:div w:id="1081677683">
                  <w:marLeft w:val="0"/>
                  <w:marRight w:val="0"/>
                  <w:marTop w:val="0"/>
                  <w:marBottom w:val="0"/>
                  <w:divBdr>
                    <w:top w:val="none" w:sz="0" w:space="0" w:color="auto"/>
                    <w:left w:val="none" w:sz="0" w:space="0" w:color="auto"/>
                    <w:bottom w:val="none" w:sz="0" w:space="0" w:color="auto"/>
                    <w:right w:val="none" w:sz="0" w:space="0" w:color="auto"/>
                  </w:divBdr>
                  <w:divsChild>
                    <w:div w:id="2035036755">
                      <w:marLeft w:val="0"/>
                      <w:marRight w:val="0"/>
                      <w:marTop w:val="0"/>
                      <w:marBottom w:val="0"/>
                      <w:divBdr>
                        <w:top w:val="none" w:sz="0" w:space="0" w:color="auto"/>
                        <w:left w:val="none" w:sz="0" w:space="0" w:color="auto"/>
                        <w:bottom w:val="none" w:sz="0" w:space="0" w:color="auto"/>
                        <w:right w:val="none" w:sz="0" w:space="0" w:color="auto"/>
                      </w:divBdr>
                      <w:divsChild>
                        <w:div w:id="2069570240">
                          <w:marLeft w:val="0"/>
                          <w:marRight w:val="0"/>
                          <w:marTop w:val="0"/>
                          <w:marBottom w:val="0"/>
                          <w:divBdr>
                            <w:top w:val="none" w:sz="0" w:space="0" w:color="auto"/>
                            <w:left w:val="none" w:sz="0" w:space="0" w:color="auto"/>
                            <w:bottom w:val="none" w:sz="0" w:space="0" w:color="auto"/>
                            <w:right w:val="none" w:sz="0" w:space="0" w:color="auto"/>
                          </w:divBdr>
                          <w:divsChild>
                            <w:div w:id="5852365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3234">
      <w:bodyDiv w:val="1"/>
      <w:marLeft w:val="0"/>
      <w:marRight w:val="0"/>
      <w:marTop w:val="0"/>
      <w:marBottom w:val="0"/>
      <w:divBdr>
        <w:top w:val="none" w:sz="0" w:space="0" w:color="auto"/>
        <w:left w:val="none" w:sz="0" w:space="0" w:color="auto"/>
        <w:bottom w:val="none" w:sz="0" w:space="0" w:color="auto"/>
        <w:right w:val="none" w:sz="0" w:space="0" w:color="auto"/>
      </w:divBdr>
      <w:divsChild>
        <w:div w:id="369300358">
          <w:marLeft w:val="0"/>
          <w:marRight w:val="0"/>
          <w:marTop w:val="0"/>
          <w:marBottom w:val="0"/>
          <w:divBdr>
            <w:top w:val="none" w:sz="0" w:space="0" w:color="auto"/>
            <w:left w:val="none" w:sz="0" w:space="0" w:color="auto"/>
            <w:bottom w:val="none" w:sz="0" w:space="0" w:color="auto"/>
            <w:right w:val="none" w:sz="0" w:space="0" w:color="auto"/>
          </w:divBdr>
          <w:divsChild>
            <w:div w:id="1654023179">
              <w:marLeft w:val="0"/>
              <w:marRight w:val="0"/>
              <w:marTop w:val="0"/>
              <w:marBottom w:val="0"/>
              <w:divBdr>
                <w:top w:val="none" w:sz="0" w:space="0" w:color="auto"/>
                <w:left w:val="none" w:sz="0" w:space="0" w:color="auto"/>
                <w:bottom w:val="none" w:sz="0" w:space="0" w:color="auto"/>
                <w:right w:val="none" w:sz="0" w:space="0" w:color="auto"/>
              </w:divBdr>
              <w:divsChild>
                <w:div w:id="1560050369">
                  <w:marLeft w:val="0"/>
                  <w:marRight w:val="0"/>
                  <w:marTop w:val="0"/>
                  <w:marBottom w:val="0"/>
                  <w:divBdr>
                    <w:top w:val="none" w:sz="0" w:space="0" w:color="auto"/>
                    <w:left w:val="none" w:sz="0" w:space="0" w:color="auto"/>
                    <w:bottom w:val="none" w:sz="0" w:space="0" w:color="auto"/>
                    <w:right w:val="none" w:sz="0" w:space="0" w:color="auto"/>
                  </w:divBdr>
                  <w:divsChild>
                    <w:div w:id="779960127">
                      <w:marLeft w:val="0"/>
                      <w:marRight w:val="0"/>
                      <w:marTop w:val="0"/>
                      <w:marBottom w:val="0"/>
                      <w:divBdr>
                        <w:top w:val="none" w:sz="0" w:space="0" w:color="auto"/>
                        <w:left w:val="none" w:sz="0" w:space="0" w:color="auto"/>
                        <w:bottom w:val="none" w:sz="0" w:space="0" w:color="auto"/>
                        <w:right w:val="none" w:sz="0" w:space="0" w:color="auto"/>
                      </w:divBdr>
                      <w:divsChild>
                        <w:div w:id="1695308269">
                          <w:marLeft w:val="0"/>
                          <w:marRight w:val="0"/>
                          <w:marTop w:val="0"/>
                          <w:marBottom w:val="0"/>
                          <w:divBdr>
                            <w:top w:val="none" w:sz="0" w:space="0" w:color="auto"/>
                            <w:left w:val="none" w:sz="0" w:space="0" w:color="auto"/>
                            <w:bottom w:val="none" w:sz="0" w:space="0" w:color="auto"/>
                            <w:right w:val="none" w:sz="0" w:space="0" w:color="auto"/>
                          </w:divBdr>
                          <w:divsChild>
                            <w:div w:id="15778611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089">
      <w:bodyDiv w:val="1"/>
      <w:marLeft w:val="0"/>
      <w:marRight w:val="0"/>
      <w:marTop w:val="0"/>
      <w:marBottom w:val="0"/>
      <w:divBdr>
        <w:top w:val="none" w:sz="0" w:space="0" w:color="auto"/>
        <w:left w:val="none" w:sz="0" w:space="0" w:color="auto"/>
        <w:bottom w:val="none" w:sz="0" w:space="0" w:color="auto"/>
        <w:right w:val="none" w:sz="0" w:space="0" w:color="auto"/>
      </w:divBdr>
    </w:div>
    <w:div w:id="232201982">
      <w:bodyDiv w:val="1"/>
      <w:marLeft w:val="0"/>
      <w:marRight w:val="0"/>
      <w:marTop w:val="0"/>
      <w:marBottom w:val="0"/>
      <w:divBdr>
        <w:top w:val="none" w:sz="0" w:space="0" w:color="auto"/>
        <w:left w:val="none" w:sz="0" w:space="0" w:color="auto"/>
        <w:bottom w:val="none" w:sz="0" w:space="0" w:color="auto"/>
        <w:right w:val="none" w:sz="0" w:space="0" w:color="auto"/>
      </w:divBdr>
    </w:div>
    <w:div w:id="676033932">
      <w:bodyDiv w:val="1"/>
      <w:marLeft w:val="0"/>
      <w:marRight w:val="0"/>
      <w:marTop w:val="0"/>
      <w:marBottom w:val="0"/>
      <w:divBdr>
        <w:top w:val="none" w:sz="0" w:space="0" w:color="auto"/>
        <w:left w:val="none" w:sz="0" w:space="0" w:color="auto"/>
        <w:bottom w:val="none" w:sz="0" w:space="0" w:color="auto"/>
        <w:right w:val="none" w:sz="0" w:space="0" w:color="auto"/>
      </w:divBdr>
      <w:divsChild>
        <w:div w:id="1131754437">
          <w:marLeft w:val="0"/>
          <w:marRight w:val="0"/>
          <w:marTop w:val="0"/>
          <w:marBottom w:val="0"/>
          <w:divBdr>
            <w:top w:val="none" w:sz="0" w:space="0" w:color="auto"/>
            <w:left w:val="none" w:sz="0" w:space="0" w:color="auto"/>
            <w:bottom w:val="none" w:sz="0" w:space="0" w:color="auto"/>
            <w:right w:val="none" w:sz="0" w:space="0" w:color="auto"/>
          </w:divBdr>
          <w:divsChild>
            <w:div w:id="2636649">
              <w:marLeft w:val="0"/>
              <w:marRight w:val="0"/>
              <w:marTop w:val="0"/>
              <w:marBottom w:val="0"/>
              <w:divBdr>
                <w:top w:val="none" w:sz="0" w:space="0" w:color="auto"/>
                <w:left w:val="none" w:sz="0" w:space="0" w:color="auto"/>
                <w:bottom w:val="none" w:sz="0" w:space="0" w:color="auto"/>
                <w:right w:val="none" w:sz="0" w:space="0" w:color="auto"/>
              </w:divBdr>
              <w:divsChild>
                <w:div w:id="1543128829">
                  <w:marLeft w:val="0"/>
                  <w:marRight w:val="0"/>
                  <w:marTop w:val="0"/>
                  <w:marBottom w:val="0"/>
                  <w:divBdr>
                    <w:top w:val="none" w:sz="0" w:space="0" w:color="auto"/>
                    <w:left w:val="none" w:sz="0" w:space="0" w:color="auto"/>
                    <w:bottom w:val="none" w:sz="0" w:space="0" w:color="auto"/>
                    <w:right w:val="none" w:sz="0" w:space="0" w:color="auto"/>
                  </w:divBdr>
                  <w:divsChild>
                    <w:div w:id="1858998656">
                      <w:marLeft w:val="0"/>
                      <w:marRight w:val="0"/>
                      <w:marTop w:val="0"/>
                      <w:marBottom w:val="0"/>
                      <w:divBdr>
                        <w:top w:val="none" w:sz="0" w:space="0" w:color="auto"/>
                        <w:left w:val="none" w:sz="0" w:space="0" w:color="auto"/>
                        <w:bottom w:val="none" w:sz="0" w:space="0" w:color="auto"/>
                        <w:right w:val="none" w:sz="0" w:space="0" w:color="auto"/>
                      </w:divBdr>
                      <w:divsChild>
                        <w:div w:id="1056515010">
                          <w:marLeft w:val="0"/>
                          <w:marRight w:val="0"/>
                          <w:marTop w:val="0"/>
                          <w:marBottom w:val="0"/>
                          <w:divBdr>
                            <w:top w:val="none" w:sz="0" w:space="0" w:color="auto"/>
                            <w:left w:val="none" w:sz="0" w:space="0" w:color="auto"/>
                            <w:bottom w:val="none" w:sz="0" w:space="0" w:color="auto"/>
                            <w:right w:val="none" w:sz="0" w:space="0" w:color="auto"/>
                          </w:divBdr>
                          <w:divsChild>
                            <w:div w:id="10291398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643717">
      <w:bodyDiv w:val="1"/>
      <w:marLeft w:val="0"/>
      <w:marRight w:val="0"/>
      <w:marTop w:val="0"/>
      <w:marBottom w:val="0"/>
      <w:divBdr>
        <w:top w:val="none" w:sz="0" w:space="0" w:color="auto"/>
        <w:left w:val="none" w:sz="0" w:space="0" w:color="auto"/>
        <w:bottom w:val="none" w:sz="0" w:space="0" w:color="auto"/>
        <w:right w:val="none" w:sz="0" w:space="0" w:color="auto"/>
      </w:divBdr>
      <w:divsChild>
        <w:div w:id="1271859182">
          <w:marLeft w:val="0"/>
          <w:marRight w:val="0"/>
          <w:marTop w:val="0"/>
          <w:marBottom w:val="0"/>
          <w:divBdr>
            <w:top w:val="none" w:sz="0" w:space="0" w:color="auto"/>
            <w:left w:val="none" w:sz="0" w:space="0" w:color="auto"/>
            <w:bottom w:val="none" w:sz="0" w:space="0" w:color="auto"/>
            <w:right w:val="none" w:sz="0" w:space="0" w:color="auto"/>
          </w:divBdr>
          <w:divsChild>
            <w:div w:id="676885277">
              <w:marLeft w:val="0"/>
              <w:marRight w:val="0"/>
              <w:marTop w:val="0"/>
              <w:marBottom w:val="0"/>
              <w:divBdr>
                <w:top w:val="none" w:sz="0" w:space="0" w:color="auto"/>
                <w:left w:val="none" w:sz="0" w:space="0" w:color="auto"/>
                <w:bottom w:val="none" w:sz="0" w:space="0" w:color="auto"/>
                <w:right w:val="none" w:sz="0" w:space="0" w:color="auto"/>
              </w:divBdr>
              <w:divsChild>
                <w:div w:id="445002730">
                  <w:marLeft w:val="0"/>
                  <w:marRight w:val="0"/>
                  <w:marTop w:val="0"/>
                  <w:marBottom w:val="0"/>
                  <w:divBdr>
                    <w:top w:val="none" w:sz="0" w:space="0" w:color="auto"/>
                    <w:left w:val="none" w:sz="0" w:space="0" w:color="auto"/>
                    <w:bottom w:val="none" w:sz="0" w:space="0" w:color="auto"/>
                    <w:right w:val="none" w:sz="0" w:space="0" w:color="auto"/>
                  </w:divBdr>
                  <w:divsChild>
                    <w:div w:id="835265192">
                      <w:marLeft w:val="0"/>
                      <w:marRight w:val="0"/>
                      <w:marTop w:val="0"/>
                      <w:marBottom w:val="0"/>
                      <w:divBdr>
                        <w:top w:val="none" w:sz="0" w:space="0" w:color="auto"/>
                        <w:left w:val="none" w:sz="0" w:space="0" w:color="auto"/>
                        <w:bottom w:val="none" w:sz="0" w:space="0" w:color="auto"/>
                        <w:right w:val="none" w:sz="0" w:space="0" w:color="auto"/>
                      </w:divBdr>
                      <w:divsChild>
                        <w:div w:id="151071143">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997865">
      <w:bodyDiv w:val="1"/>
      <w:marLeft w:val="0"/>
      <w:marRight w:val="0"/>
      <w:marTop w:val="0"/>
      <w:marBottom w:val="0"/>
      <w:divBdr>
        <w:top w:val="none" w:sz="0" w:space="0" w:color="auto"/>
        <w:left w:val="none" w:sz="0" w:space="0" w:color="auto"/>
        <w:bottom w:val="none" w:sz="0" w:space="0" w:color="auto"/>
        <w:right w:val="none" w:sz="0" w:space="0" w:color="auto"/>
      </w:divBdr>
      <w:divsChild>
        <w:div w:id="1707872613">
          <w:marLeft w:val="0"/>
          <w:marRight w:val="0"/>
          <w:marTop w:val="0"/>
          <w:marBottom w:val="0"/>
          <w:divBdr>
            <w:top w:val="none" w:sz="0" w:space="0" w:color="auto"/>
            <w:left w:val="none" w:sz="0" w:space="0" w:color="auto"/>
            <w:bottom w:val="none" w:sz="0" w:space="0" w:color="auto"/>
            <w:right w:val="none" w:sz="0" w:space="0" w:color="auto"/>
          </w:divBdr>
          <w:divsChild>
            <w:div w:id="1269316948">
              <w:marLeft w:val="0"/>
              <w:marRight w:val="0"/>
              <w:marTop w:val="0"/>
              <w:marBottom w:val="0"/>
              <w:divBdr>
                <w:top w:val="none" w:sz="0" w:space="0" w:color="auto"/>
                <w:left w:val="none" w:sz="0" w:space="0" w:color="auto"/>
                <w:bottom w:val="none" w:sz="0" w:space="0" w:color="auto"/>
                <w:right w:val="none" w:sz="0" w:space="0" w:color="auto"/>
              </w:divBdr>
              <w:divsChild>
                <w:div w:id="1951546961">
                  <w:marLeft w:val="0"/>
                  <w:marRight w:val="0"/>
                  <w:marTop w:val="0"/>
                  <w:marBottom w:val="0"/>
                  <w:divBdr>
                    <w:top w:val="none" w:sz="0" w:space="0" w:color="auto"/>
                    <w:left w:val="none" w:sz="0" w:space="0" w:color="auto"/>
                    <w:bottom w:val="none" w:sz="0" w:space="0" w:color="auto"/>
                    <w:right w:val="none" w:sz="0" w:space="0" w:color="auto"/>
                  </w:divBdr>
                  <w:divsChild>
                    <w:div w:id="1708215311">
                      <w:marLeft w:val="0"/>
                      <w:marRight w:val="0"/>
                      <w:marTop w:val="0"/>
                      <w:marBottom w:val="0"/>
                      <w:divBdr>
                        <w:top w:val="none" w:sz="0" w:space="0" w:color="auto"/>
                        <w:left w:val="none" w:sz="0" w:space="0" w:color="auto"/>
                        <w:bottom w:val="none" w:sz="0" w:space="0" w:color="auto"/>
                        <w:right w:val="none" w:sz="0" w:space="0" w:color="auto"/>
                      </w:divBdr>
                      <w:divsChild>
                        <w:div w:id="1294336786">
                          <w:marLeft w:val="0"/>
                          <w:marRight w:val="0"/>
                          <w:marTop w:val="0"/>
                          <w:marBottom w:val="0"/>
                          <w:divBdr>
                            <w:top w:val="none" w:sz="0" w:space="0" w:color="auto"/>
                            <w:left w:val="none" w:sz="0" w:space="0" w:color="auto"/>
                            <w:bottom w:val="none" w:sz="0" w:space="0" w:color="auto"/>
                            <w:right w:val="none" w:sz="0" w:space="0" w:color="auto"/>
                          </w:divBdr>
                          <w:divsChild>
                            <w:div w:id="16195999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218492">
      <w:bodyDiv w:val="1"/>
      <w:marLeft w:val="0"/>
      <w:marRight w:val="0"/>
      <w:marTop w:val="0"/>
      <w:marBottom w:val="0"/>
      <w:divBdr>
        <w:top w:val="none" w:sz="0" w:space="0" w:color="auto"/>
        <w:left w:val="none" w:sz="0" w:space="0" w:color="auto"/>
        <w:bottom w:val="none" w:sz="0" w:space="0" w:color="auto"/>
        <w:right w:val="none" w:sz="0" w:space="0" w:color="auto"/>
      </w:divBdr>
      <w:divsChild>
        <w:div w:id="1377048657">
          <w:marLeft w:val="0"/>
          <w:marRight w:val="0"/>
          <w:marTop w:val="0"/>
          <w:marBottom w:val="0"/>
          <w:divBdr>
            <w:top w:val="none" w:sz="0" w:space="0" w:color="auto"/>
            <w:left w:val="none" w:sz="0" w:space="0" w:color="auto"/>
            <w:bottom w:val="none" w:sz="0" w:space="0" w:color="auto"/>
            <w:right w:val="none" w:sz="0" w:space="0" w:color="auto"/>
          </w:divBdr>
          <w:divsChild>
            <w:div w:id="2131315389">
              <w:marLeft w:val="0"/>
              <w:marRight w:val="0"/>
              <w:marTop w:val="0"/>
              <w:marBottom w:val="0"/>
              <w:divBdr>
                <w:top w:val="none" w:sz="0" w:space="0" w:color="auto"/>
                <w:left w:val="none" w:sz="0" w:space="0" w:color="auto"/>
                <w:bottom w:val="none" w:sz="0" w:space="0" w:color="auto"/>
                <w:right w:val="none" w:sz="0" w:space="0" w:color="auto"/>
              </w:divBdr>
              <w:divsChild>
                <w:div w:id="1262756466">
                  <w:marLeft w:val="0"/>
                  <w:marRight w:val="0"/>
                  <w:marTop w:val="0"/>
                  <w:marBottom w:val="0"/>
                  <w:divBdr>
                    <w:top w:val="none" w:sz="0" w:space="0" w:color="auto"/>
                    <w:left w:val="none" w:sz="0" w:space="0" w:color="auto"/>
                    <w:bottom w:val="none" w:sz="0" w:space="0" w:color="auto"/>
                    <w:right w:val="none" w:sz="0" w:space="0" w:color="auto"/>
                  </w:divBdr>
                  <w:divsChild>
                    <w:div w:id="1941135702">
                      <w:marLeft w:val="0"/>
                      <w:marRight w:val="0"/>
                      <w:marTop w:val="0"/>
                      <w:marBottom w:val="0"/>
                      <w:divBdr>
                        <w:top w:val="none" w:sz="0" w:space="0" w:color="auto"/>
                        <w:left w:val="none" w:sz="0" w:space="0" w:color="auto"/>
                        <w:bottom w:val="none" w:sz="0" w:space="0" w:color="auto"/>
                        <w:right w:val="none" w:sz="0" w:space="0" w:color="auto"/>
                      </w:divBdr>
                      <w:divsChild>
                        <w:div w:id="1099326660">
                          <w:marLeft w:val="0"/>
                          <w:marRight w:val="0"/>
                          <w:marTop w:val="0"/>
                          <w:marBottom w:val="0"/>
                          <w:divBdr>
                            <w:top w:val="none" w:sz="0" w:space="0" w:color="auto"/>
                            <w:left w:val="none" w:sz="0" w:space="0" w:color="auto"/>
                            <w:bottom w:val="none" w:sz="0" w:space="0" w:color="auto"/>
                            <w:right w:val="none" w:sz="0" w:space="0" w:color="auto"/>
                          </w:divBdr>
                          <w:divsChild>
                            <w:div w:id="135149596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628559">
      <w:bodyDiv w:val="1"/>
      <w:marLeft w:val="0"/>
      <w:marRight w:val="0"/>
      <w:marTop w:val="0"/>
      <w:marBottom w:val="0"/>
      <w:divBdr>
        <w:top w:val="none" w:sz="0" w:space="0" w:color="auto"/>
        <w:left w:val="none" w:sz="0" w:space="0" w:color="auto"/>
        <w:bottom w:val="none" w:sz="0" w:space="0" w:color="auto"/>
        <w:right w:val="none" w:sz="0" w:space="0" w:color="auto"/>
      </w:divBdr>
      <w:divsChild>
        <w:div w:id="2035500803">
          <w:marLeft w:val="0"/>
          <w:marRight w:val="0"/>
          <w:marTop w:val="0"/>
          <w:marBottom w:val="0"/>
          <w:divBdr>
            <w:top w:val="none" w:sz="0" w:space="0" w:color="auto"/>
            <w:left w:val="none" w:sz="0" w:space="0" w:color="auto"/>
            <w:bottom w:val="none" w:sz="0" w:space="0" w:color="auto"/>
            <w:right w:val="none" w:sz="0" w:space="0" w:color="auto"/>
          </w:divBdr>
          <w:divsChild>
            <w:div w:id="1559588811">
              <w:marLeft w:val="0"/>
              <w:marRight w:val="0"/>
              <w:marTop w:val="0"/>
              <w:marBottom w:val="0"/>
              <w:divBdr>
                <w:top w:val="none" w:sz="0" w:space="0" w:color="auto"/>
                <w:left w:val="none" w:sz="0" w:space="0" w:color="auto"/>
                <w:bottom w:val="none" w:sz="0" w:space="0" w:color="auto"/>
                <w:right w:val="none" w:sz="0" w:space="0" w:color="auto"/>
              </w:divBdr>
              <w:divsChild>
                <w:div w:id="787508200">
                  <w:marLeft w:val="0"/>
                  <w:marRight w:val="0"/>
                  <w:marTop w:val="0"/>
                  <w:marBottom w:val="0"/>
                  <w:divBdr>
                    <w:top w:val="none" w:sz="0" w:space="0" w:color="auto"/>
                    <w:left w:val="none" w:sz="0" w:space="0" w:color="auto"/>
                    <w:bottom w:val="none" w:sz="0" w:space="0" w:color="auto"/>
                    <w:right w:val="none" w:sz="0" w:space="0" w:color="auto"/>
                  </w:divBdr>
                  <w:divsChild>
                    <w:div w:id="680857519">
                      <w:marLeft w:val="0"/>
                      <w:marRight w:val="0"/>
                      <w:marTop w:val="0"/>
                      <w:marBottom w:val="0"/>
                      <w:divBdr>
                        <w:top w:val="none" w:sz="0" w:space="0" w:color="auto"/>
                        <w:left w:val="none" w:sz="0" w:space="0" w:color="auto"/>
                        <w:bottom w:val="none" w:sz="0" w:space="0" w:color="auto"/>
                        <w:right w:val="none" w:sz="0" w:space="0" w:color="auto"/>
                      </w:divBdr>
                      <w:divsChild>
                        <w:div w:id="1426027657">
                          <w:marLeft w:val="0"/>
                          <w:marRight w:val="0"/>
                          <w:marTop w:val="0"/>
                          <w:marBottom w:val="0"/>
                          <w:divBdr>
                            <w:top w:val="none" w:sz="0" w:space="0" w:color="auto"/>
                            <w:left w:val="none" w:sz="0" w:space="0" w:color="auto"/>
                            <w:bottom w:val="none" w:sz="0" w:space="0" w:color="auto"/>
                            <w:right w:val="none" w:sz="0" w:space="0" w:color="auto"/>
                          </w:divBdr>
                          <w:divsChild>
                            <w:div w:id="20272941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4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se.Sture@iz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da.Upite@iz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17</Pages>
  <Words>17333</Words>
  <Characters>9880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vector>
  </TitlesOfParts>
  <Company>IZM</Company>
  <LinksUpToDate>false</LinksUpToDate>
  <CharactersWithSpaces>27159</CharactersWithSpaces>
  <SharedDoc>false</SharedDoc>
  <HLinks>
    <vt:vector size="6" baseType="variant">
      <vt:variant>
        <vt:i4>2883640</vt:i4>
      </vt:variant>
      <vt:variant>
        <vt:i4>0</vt:i4>
      </vt:variant>
      <vt:variant>
        <vt:i4>0</vt:i4>
      </vt:variant>
      <vt:variant>
        <vt:i4>5</vt:i4>
      </vt:variant>
      <vt:variant>
        <vt:lpwstr>http://85.254.195.224/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27.decembra noteikumos Nr.1000 „Noteikumi par doktora zinātniskā grāda piešķiršanas (promocijas) tiesību deleģēšanu augstskolām”” sākotnējās ietekmes novērtējuma ziņojums (anotācija)</dc:title>
  <dc:subject>Noteikumu projekta anotācija</dc:subject>
  <dc:creator>Kaspars Kalsnavs</dc:creator>
  <cp:keywords/>
  <dc:description>tel.:67047893; e-pasts: kaspars.kalsnavs@izm.gov.lv</dc:description>
  <cp:lastModifiedBy>Inese Stūre</cp:lastModifiedBy>
  <cp:revision>77</cp:revision>
  <cp:lastPrinted>2015-05-25T07:24:00Z</cp:lastPrinted>
  <dcterms:created xsi:type="dcterms:W3CDTF">2015-05-22T08:12:00Z</dcterms:created>
  <dcterms:modified xsi:type="dcterms:W3CDTF">2015-05-25T14:44:00Z</dcterms:modified>
</cp:coreProperties>
</file>