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0.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1.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2.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3.xml" ContentType="application/vnd.openxmlformats-officedocument.themeOverrid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4.xml" ContentType="application/vnd.openxmlformats-officedocument.themeOverrid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5.xml" ContentType="application/vnd.openxmlformats-officedocument.themeOverride+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0E3B86" w14:textId="77777777" w:rsidR="00C638D0" w:rsidRDefault="00C638D0" w:rsidP="00C638D0">
      <w:pPr>
        <w:spacing w:line="200" w:lineRule="exact"/>
      </w:pPr>
      <w:r>
        <w:rPr>
          <w:noProof/>
          <w:lang w:eastAsia="lv-LV"/>
        </w:rPr>
        <w:drawing>
          <wp:anchor distT="0" distB="0" distL="114300" distR="114300" simplePos="0" relativeHeight="251659264" behindDoc="1" locked="0" layoutInCell="1" allowOverlap="1" wp14:anchorId="0366ED56" wp14:editId="1EABB890">
            <wp:simplePos x="0" y="0"/>
            <wp:positionH relativeFrom="page">
              <wp:posOffset>2780030</wp:posOffset>
            </wp:positionH>
            <wp:positionV relativeFrom="page">
              <wp:posOffset>0</wp:posOffset>
            </wp:positionV>
            <wp:extent cx="1694815" cy="2296795"/>
            <wp:effectExtent l="0" t="0" r="635" b="825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94815" cy="2296795"/>
                    </a:xfrm>
                    <a:prstGeom prst="rect">
                      <a:avLst/>
                    </a:prstGeom>
                    <a:noFill/>
                  </pic:spPr>
                </pic:pic>
              </a:graphicData>
            </a:graphic>
            <wp14:sizeRelH relativeFrom="page">
              <wp14:pctWidth>0</wp14:pctWidth>
            </wp14:sizeRelH>
            <wp14:sizeRelV relativeFrom="page">
              <wp14:pctHeight>0</wp14:pctHeight>
            </wp14:sizeRelV>
          </wp:anchor>
        </w:drawing>
      </w:r>
    </w:p>
    <w:p w14:paraId="000E513C" w14:textId="77777777" w:rsidR="00C638D0" w:rsidRDefault="00C638D0" w:rsidP="00C638D0">
      <w:pPr>
        <w:spacing w:line="200" w:lineRule="exact"/>
      </w:pPr>
    </w:p>
    <w:p w14:paraId="404F1E33" w14:textId="77777777" w:rsidR="00C638D0" w:rsidRDefault="00C638D0" w:rsidP="00C638D0">
      <w:pPr>
        <w:spacing w:line="200" w:lineRule="exact"/>
      </w:pPr>
    </w:p>
    <w:p w14:paraId="3646553C" w14:textId="77777777" w:rsidR="00C638D0" w:rsidRDefault="00C638D0" w:rsidP="00C638D0">
      <w:pPr>
        <w:spacing w:line="200" w:lineRule="exact"/>
      </w:pPr>
    </w:p>
    <w:p w14:paraId="4340A395" w14:textId="77777777" w:rsidR="00C638D0" w:rsidRDefault="00C638D0" w:rsidP="00C638D0">
      <w:pPr>
        <w:spacing w:line="200" w:lineRule="exact"/>
      </w:pPr>
    </w:p>
    <w:p w14:paraId="21D05B3B" w14:textId="77777777" w:rsidR="00C638D0" w:rsidRDefault="00C638D0" w:rsidP="00C638D0">
      <w:pPr>
        <w:spacing w:line="200" w:lineRule="exact"/>
      </w:pPr>
    </w:p>
    <w:p w14:paraId="5148A094" w14:textId="77777777" w:rsidR="00C638D0" w:rsidRDefault="00C638D0" w:rsidP="00C638D0">
      <w:pPr>
        <w:spacing w:line="200" w:lineRule="exact"/>
      </w:pPr>
    </w:p>
    <w:p w14:paraId="6A4525CE" w14:textId="77777777" w:rsidR="00C638D0" w:rsidRDefault="00C638D0" w:rsidP="00C638D0">
      <w:pPr>
        <w:spacing w:line="200" w:lineRule="exact"/>
      </w:pPr>
    </w:p>
    <w:p w14:paraId="79C83A15" w14:textId="77777777" w:rsidR="00C638D0" w:rsidRDefault="00C638D0" w:rsidP="00C638D0">
      <w:pPr>
        <w:spacing w:line="200" w:lineRule="exact"/>
      </w:pPr>
    </w:p>
    <w:p w14:paraId="11692733" w14:textId="77777777" w:rsidR="00C638D0" w:rsidRDefault="00C638D0" w:rsidP="00C638D0">
      <w:pPr>
        <w:spacing w:line="200" w:lineRule="exact"/>
      </w:pPr>
    </w:p>
    <w:p w14:paraId="0A1194D7" w14:textId="77777777" w:rsidR="00C638D0" w:rsidRDefault="00C638D0" w:rsidP="00C638D0">
      <w:pPr>
        <w:spacing w:line="200" w:lineRule="exact"/>
      </w:pPr>
    </w:p>
    <w:p w14:paraId="5F87B041" w14:textId="77777777" w:rsidR="00C638D0" w:rsidRDefault="00C638D0" w:rsidP="00C638D0">
      <w:pPr>
        <w:spacing w:line="200" w:lineRule="exact"/>
      </w:pPr>
    </w:p>
    <w:p w14:paraId="738197A2" w14:textId="77777777" w:rsidR="00C638D0" w:rsidRDefault="00C638D0" w:rsidP="00C638D0">
      <w:pPr>
        <w:spacing w:line="200" w:lineRule="exact"/>
      </w:pPr>
    </w:p>
    <w:p w14:paraId="4DA322E1" w14:textId="77777777" w:rsidR="00C638D0" w:rsidRDefault="00C638D0" w:rsidP="00C638D0">
      <w:pPr>
        <w:spacing w:line="200" w:lineRule="exact"/>
      </w:pPr>
    </w:p>
    <w:p w14:paraId="067DE37D" w14:textId="77777777" w:rsidR="00C638D0" w:rsidRDefault="00C638D0" w:rsidP="00C638D0">
      <w:pPr>
        <w:spacing w:line="200" w:lineRule="exact"/>
      </w:pPr>
    </w:p>
    <w:p w14:paraId="268CEC68" w14:textId="77777777" w:rsidR="00C638D0" w:rsidRDefault="00C638D0" w:rsidP="00C638D0">
      <w:pPr>
        <w:spacing w:before="7" w:line="260" w:lineRule="exact"/>
        <w:rPr>
          <w:sz w:val="26"/>
          <w:szCs w:val="26"/>
        </w:rPr>
      </w:pPr>
    </w:p>
    <w:p w14:paraId="07561BE4" w14:textId="77777777" w:rsidR="00C638D0" w:rsidRPr="003B16DF" w:rsidRDefault="00C638D0" w:rsidP="00283FB4">
      <w:pPr>
        <w:spacing w:line="780" w:lineRule="exact"/>
        <w:ind w:left="1287" w:right="752" w:hanging="578"/>
        <w:jc w:val="center"/>
        <w:rPr>
          <w:rFonts w:ascii="Calibri" w:eastAsia="Calibri" w:hAnsi="Calibri" w:cs="Calibri"/>
          <w:b/>
          <w:color w:val="704D83"/>
          <w:sz w:val="52"/>
          <w:szCs w:val="56"/>
        </w:rPr>
      </w:pPr>
      <w:r w:rsidRPr="003B16DF">
        <w:rPr>
          <w:rFonts w:ascii="Calibri" w:eastAsia="Calibri" w:hAnsi="Calibri" w:cs="Calibri"/>
          <w:b/>
          <w:color w:val="704D83"/>
          <w:position w:val="3"/>
          <w:sz w:val="52"/>
          <w:szCs w:val="56"/>
        </w:rPr>
        <w:t>AUGSTĀKĀS IZGLĪTĪBAS</w:t>
      </w:r>
    </w:p>
    <w:p w14:paraId="0D789F98" w14:textId="566B7F69" w:rsidR="00C638D0" w:rsidRPr="003B16DF" w:rsidRDefault="00C638D0" w:rsidP="00283FB4">
      <w:pPr>
        <w:ind w:left="1701" w:right="2169" w:firstLine="284"/>
        <w:jc w:val="center"/>
        <w:rPr>
          <w:rFonts w:ascii="Calibri" w:eastAsia="Calibri" w:hAnsi="Calibri" w:cs="Calibri"/>
          <w:b/>
          <w:color w:val="704D83"/>
          <w:sz w:val="52"/>
          <w:szCs w:val="56"/>
        </w:rPr>
      </w:pPr>
      <w:r w:rsidRPr="003B16DF">
        <w:rPr>
          <w:rFonts w:ascii="Calibri" w:eastAsia="Calibri" w:hAnsi="Calibri" w:cs="Calibri"/>
          <w:b/>
          <w:color w:val="704D83"/>
          <w:sz w:val="52"/>
          <w:szCs w:val="56"/>
        </w:rPr>
        <w:t xml:space="preserve">FINANSĒJUMS </w:t>
      </w:r>
      <w:r w:rsidRPr="00050D35">
        <w:rPr>
          <w:rFonts w:ascii="Calibri" w:eastAsia="Calibri" w:hAnsi="Calibri" w:cs="Calibri"/>
          <w:b/>
          <w:color w:val="704D83"/>
          <w:sz w:val="48"/>
          <w:szCs w:val="56"/>
        </w:rPr>
        <w:t>201</w:t>
      </w:r>
      <w:r w:rsidR="0001394A">
        <w:rPr>
          <w:rFonts w:ascii="Calibri" w:eastAsia="Calibri" w:hAnsi="Calibri" w:cs="Calibri"/>
          <w:b/>
          <w:color w:val="704D83"/>
          <w:sz w:val="48"/>
          <w:szCs w:val="56"/>
        </w:rPr>
        <w:t>9</w:t>
      </w:r>
      <w:r w:rsidRPr="00050D35">
        <w:rPr>
          <w:rFonts w:ascii="Calibri" w:eastAsia="Calibri" w:hAnsi="Calibri" w:cs="Calibri"/>
          <w:b/>
          <w:color w:val="704D83"/>
          <w:sz w:val="48"/>
          <w:szCs w:val="56"/>
        </w:rPr>
        <w:t>. GADĀ</w:t>
      </w:r>
    </w:p>
    <w:p w14:paraId="678F52AC" w14:textId="77777777" w:rsidR="00C638D0" w:rsidRPr="00113B8B" w:rsidRDefault="00C638D0" w:rsidP="00113B8B">
      <w:pPr>
        <w:spacing w:line="200" w:lineRule="exact"/>
        <w:rPr>
          <w:color w:val="000000" w:themeColor="text1"/>
        </w:rPr>
      </w:pPr>
    </w:p>
    <w:p w14:paraId="00638321" w14:textId="77777777" w:rsidR="00C638D0" w:rsidRPr="00113B8B" w:rsidRDefault="00C638D0" w:rsidP="00C638D0">
      <w:pPr>
        <w:spacing w:line="200" w:lineRule="exact"/>
        <w:rPr>
          <w:color w:val="000000" w:themeColor="text1"/>
        </w:rPr>
      </w:pPr>
    </w:p>
    <w:p w14:paraId="04AA3905" w14:textId="77777777" w:rsidR="00C638D0" w:rsidRPr="00113B8B" w:rsidRDefault="00C638D0" w:rsidP="00C638D0">
      <w:pPr>
        <w:spacing w:line="200" w:lineRule="exact"/>
        <w:rPr>
          <w:color w:val="000000" w:themeColor="text1"/>
        </w:rPr>
      </w:pPr>
    </w:p>
    <w:p w14:paraId="115A38DB" w14:textId="77777777" w:rsidR="00C638D0" w:rsidRPr="00113B8B" w:rsidRDefault="00C638D0" w:rsidP="00C638D0">
      <w:pPr>
        <w:spacing w:line="200" w:lineRule="exact"/>
        <w:rPr>
          <w:color w:val="000000" w:themeColor="text1"/>
        </w:rPr>
      </w:pPr>
    </w:p>
    <w:p w14:paraId="4D43E8B5" w14:textId="77777777" w:rsidR="00C638D0" w:rsidRPr="00113B8B" w:rsidRDefault="00C638D0" w:rsidP="00C638D0">
      <w:pPr>
        <w:spacing w:line="200" w:lineRule="exact"/>
        <w:rPr>
          <w:color w:val="000000" w:themeColor="text1"/>
        </w:rPr>
      </w:pPr>
    </w:p>
    <w:p w14:paraId="414355C9" w14:textId="77777777" w:rsidR="00C638D0" w:rsidRPr="00113B8B" w:rsidRDefault="00C638D0" w:rsidP="00C638D0">
      <w:pPr>
        <w:spacing w:line="200" w:lineRule="exact"/>
        <w:rPr>
          <w:color w:val="000000" w:themeColor="text1"/>
        </w:rPr>
      </w:pPr>
    </w:p>
    <w:p w14:paraId="4F3EE313" w14:textId="77777777" w:rsidR="00C638D0" w:rsidRPr="00113B8B" w:rsidRDefault="00C638D0" w:rsidP="00C638D0">
      <w:pPr>
        <w:spacing w:line="200" w:lineRule="exact"/>
        <w:rPr>
          <w:color w:val="000000" w:themeColor="text1"/>
        </w:rPr>
      </w:pPr>
    </w:p>
    <w:p w14:paraId="3A9A2EB0" w14:textId="77777777" w:rsidR="00C638D0" w:rsidRPr="00113B8B" w:rsidRDefault="00C638D0" w:rsidP="00C638D0">
      <w:pPr>
        <w:spacing w:line="200" w:lineRule="exact"/>
        <w:rPr>
          <w:color w:val="000000" w:themeColor="text1"/>
        </w:rPr>
      </w:pPr>
    </w:p>
    <w:p w14:paraId="47FDE729" w14:textId="77777777" w:rsidR="00C638D0" w:rsidRPr="00113B8B" w:rsidRDefault="00C638D0" w:rsidP="00C638D0">
      <w:pPr>
        <w:spacing w:line="200" w:lineRule="exact"/>
        <w:rPr>
          <w:color w:val="000000" w:themeColor="text1"/>
        </w:rPr>
      </w:pPr>
    </w:p>
    <w:p w14:paraId="7299E5D6" w14:textId="77777777" w:rsidR="00C638D0" w:rsidRPr="00113B8B" w:rsidRDefault="00C638D0" w:rsidP="00C638D0">
      <w:pPr>
        <w:spacing w:line="200" w:lineRule="exact"/>
        <w:rPr>
          <w:color w:val="000000" w:themeColor="text1"/>
        </w:rPr>
      </w:pPr>
    </w:p>
    <w:p w14:paraId="151329B2" w14:textId="77777777" w:rsidR="00C638D0" w:rsidRPr="00113B8B" w:rsidRDefault="00C638D0" w:rsidP="00C638D0">
      <w:pPr>
        <w:spacing w:line="200" w:lineRule="exact"/>
        <w:rPr>
          <w:color w:val="000000" w:themeColor="text1"/>
        </w:rPr>
      </w:pPr>
    </w:p>
    <w:p w14:paraId="1B335B52" w14:textId="77777777" w:rsidR="00C638D0" w:rsidRPr="00113B8B" w:rsidRDefault="00C638D0" w:rsidP="00C638D0">
      <w:pPr>
        <w:spacing w:line="200" w:lineRule="exact"/>
        <w:rPr>
          <w:color w:val="000000" w:themeColor="text1"/>
        </w:rPr>
      </w:pPr>
    </w:p>
    <w:p w14:paraId="1C432179" w14:textId="77777777" w:rsidR="00C638D0" w:rsidRPr="00113B8B" w:rsidRDefault="00C638D0" w:rsidP="00C638D0">
      <w:pPr>
        <w:spacing w:line="200" w:lineRule="exact"/>
        <w:rPr>
          <w:color w:val="000000" w:themeColor="text1"/>
        </w:rPr>
      </w:pPr>
    </w:p>
    <w:p w14:paraId="5667D9C6" w14:textId="5CFAB167" w:rsidR="00C638D0" w:rsidRDefault="00C638D0" w:rsidP="00283FB4">
      <w:pPr>
        <w:ind w:right="610"/>
        <w:jc w:val="center"/>
        <w:rPr>
          <w:rFonts w:ascii="Calibri" w:eastAsia="Calibri" w:hAnsi="Calibri" w:cs="Calibri"/>
          <w:b/>
          <w:color w:val="704D83"/>
          <w:sz w:val="32"/>
          <w:szCs w:val="36"/>
        </w:rPr>
      </w:pPr>
      <w:r w:rsidRPr="006D68EB">
        <w:rPr>
          <w:rFonts w:ascii="Calibri" w:eastAsia="Calibri" w:hAnsi="Calibri" w:cs="Calibri"/>
          <w:b/>
          <w:color w:val="704D83"/>
          <w:sz w:val="32"/>
          <w:szCs w:val="36"/>
        </w:rPr>
        <w:t>20</w:t>
      </w:r>
      <w:r w:rsidR="00335469">
        <w:rPr>
          <w:rFonts w:ascii="Calibri" w:eastAsia="Calibri" w:hAnsi="Calibri" w:cs="Calibri"/>
          <w:b/>
          <w:color w:val="704D83"/>
          <w:sz w:val="32"/>
          <w:szCs w:val="36"/>
        </w:rPr>
        <w:t>20</w:t>
      </w:r>
    </w:p>
    <w:p w14:paraId="691A7152" w14:textId="77777777" w:rsidR="00C638D0" w:rsidRDefault="00C638D0">
      <w:pPr>
        <w:rPr>
          <w:rFonts w:ascii="Calibri" w:eastAsia="Calibri" w:hAnsi="Calibri" w:cs="Calibri"/>
          <w:b/>
          <w:color w:val="704D83"/>
          <w:sz w:val="32"/>
          <w:szCs w:val="36"/>
        </w:rPr>
      </w:pPr>
      <w:r>
        <w:rPr>
          <w:rFonts w:ascii="Calibri" w:eastAsia="Calibri" w:hAnsi="Calibri" w:cs="Calibri"/>
          <w:b/>
          <w:color w:val="704D83"/>
          <w:sz w:val="32"/>
          <w:szCs w:val="36"/>
        </w:rPr>
        <w:br w:type="page"/>
      </w:r>
    </w:p>
    <w:p w14:paraId="367A4250" w14:textId="77777777" w:rsidR="00113B8B" w:rsidRDefault="00113B8B" w:rsidP="00C638D0">
      <w:pPr>
        <w:ind w:left="3861" w:right="3862" w:hanging="317"/>
        <w:jc w:val="center"/>
        <w:rPr>
          <w:rFonts w:ascii="Calibri" w:eastAsia="Calibri" w:hAnsi="Calibri" w:cs="Calibri"/>
          <w:b/>
          <w:color w:val="704D83"/>
          <w:sz w:val="32"/>
          <w:szCs w:val="36"/>
        </w:rPr>
        <w:sectPr w:rsidR="00113B8B" w:rsidSect="00283FB4">
          <w:footerReference w:type="default" r:id="rId9"/>
          <w:pgSz w:w="11906" w:h="16838"/>
          <w:pgMar w:top="1440" w:right="1841" w:bottom="1440" w:left="1800" w:header="708" w:footer="708" w:gutter="0"/>
          <w:cols w:space="708"/>
          <w:docGrid w:linePitch="360"/>
        </w:sectPr>
      </w:pPr>
    </w:p>
    <w:p w14:paraId="0B4EC3A5" w14:textId="77777777" w:rsidR="00C638D0" w:rsidRPr="00113B8B" w:rsidRDefault="00C638D0" w:rsidP="00C638D0">
      <w:pPr>
        <w:ind w:left="3861" w:right="3862" w:hanging="317"/>
        <w:jc w:val="center"/>
        <w:rPr>
          <w:rFonts w:ascii="Calibri" w:eastAsia="Calibri" w:hAnsi="Calibri" w:cs="Calibri"/>
          <w:b/>
          <w:color w:val="000000" w:themeColor="text1"/>
          <w:sz w:val="32"/>
          <w:szCs w:val="36"/>
        </w:rPr>
      </w:pPr>
    </w:p>
    <w:p w14:paraId="67B4367A" w14:textId="0120F012" w:rsidR="007604A7" w:rsidRDefault="00522B3B" w:rsidP="00541062">
      <w:pPr>
        <w:jc w:val="both"/>
      </w:pPr>
      <w:r w:rsidRPr="0029728A">
        <w:t>P</w:t>
      </w:r>
      <w:r w:rsidR="00F83F09" w:rsidRPr="0029728A">
        <w:t>ārskatā par augstākās izglītības finansējumu 201</w:t>
      </w:r>
      <w:r w:rsidR="00191110">
        <w:t>9</w:t>
      </w:r>
      <w:r w:rsidR="00F83F09" w:rsidRPr="0029728A">
        <w:t>.</w:t>
      </w:r>
      <w:r w:rsidR="002A588F">
        <w:t xml:space="preserve"> </w:t>
      </w:r>
      <w:r w:rsidR="00F83F09" w:rsidRPr="0029728A">
        <w:t>gadā</w:t>
      </w:r>
      <w:r w:rsidR="00CF4D88" w:rsidRPr="0029728A">
        <w:t xml:space="preserve"> </w:t>
      </w:r>
      <w:r w:rsidR="00F83F09" w:rsidRPr="0029728A">
        <w:t xml:space="preserve">publicēti dati par augstākās izglītības </w:t>
      </w:r>
      <w:r w:rsidR="0056315B" w:rsidRPr="0029728A">
        <w:t xml:space="preserve">iestāžu </w:t>
      </w:r>
      <w:r w:rsidR="00F83F09" w:rsidRPr="0029728A">
        <w:t>ieņēmumu un izdevumu apmēru, struktūru, snieguma finansējumu un dažādu rādītāju</w:t>
      </w:r>
      <w:r w:rsidR="0034779F" w:rsidRPr="0029728A">
        <w:t xml:space="preserve"> dinamiku </w:t>
      </w:r>
      <w:r w:rsidR="00F83F09" w:rsidRPr="0029728A">
        <w:t xml:space="preserve">un izmaiņām, </w:t>
      </w:r>
      <w:r w:rsidR="00205E62" w:rsidRPr="0029728A">
        <w:t>kā arī dati par studiju maksu un budžeta vietu sadalījumu augstskolās</w:t>
      </w:r>
      <w:r w:rsidR="006220F1" w:rsidRPr="0029728A">
        <w:t>.</w:t>
      </w:r>
    </w:p>
    <w:p w14:paraId="079AE69A" w14:textId="216B4520" w:rsidR="0029728A" w:rsidRPr="0029728A" w:rsidRDefault="0029728A" w:rsidP="00541062">
      <w:pPr>
        <w:jc w:val="both"/>
      </w:pPr>
      <w:r w:rsidRPr="0029728A">
        <w:t>Augstskolas vai koledžas iepriekšējā gada valsts budžeta līdzekļu sadalījuma un izlietojuma, pašu ieņēmumu un to izlietojuma dati katru gadu tiek iegūti saskaņā ar Ministru kabineta 2006. gada 2. maija noteikumu Nr. 348 "</w:t>
      </w:r>
      <w:r w:rsidRPr="0029728A">
        <w:rPr>
          <w:i/>
        </w:rPr>
        <w:t>Kārtība, kādā augstskola un koledža iesniedz Izglītības un zinātnes ministrijā informāciju par savu darbību</w:t>
      </w:r>
      <w:r w:rsidRPr="0029728A">
        <w:t>"</w:t>
      </w:r>
      <w:r w:rsidR="006F53FF">
        <w:t>.</w:t>
      </w:r>
    </w:p>
    <w:p w14:paraId="5C8D5439" w14:textId="4E25F9FA" w:rsidR="0029728A" w:rsidRPr="0029728A" w:rsidRDefault="006F53FF" w:rsidP="00541062">
      <w:pPr>
        <w:jc w:val="both"/>
      </w:pPr>
      <w:r>
        <w:t>2020</w:t>
      </w:r>
      <w:r w:rsidR="0029728A" w:rsidRPr="0029728A">
        <w:t>.</w:t>
      </w:r>
      <w:r w:rsidR="002A588F">
        <w:t xml:space="preserve"> </w:t>
      </w:r>
      <w:r w:rsidR="0029728A" w:rsidRPr="0029728A">
        <w:t>gadā apkopoti un šajā pārskatā publicēti da</w:t>
      </w:r>
      <w:r w:rsidR="00247C1B">
        <w:t xml:space="preserve">ti par valsts augstskolām, </w:t>
      </w:r>
      <w:r w:rsidR="0029728A" w:rsidRPr="0029728A">
        <w:t>juridisko personu dibinātām augstskolām (ieskaitot ārvalstu au</w:t>
      </w:r>
      <w:r w:rsidR="006C2CD7">
        <w:t>gstākās izglītības filiāles),</w:t>
      </w:r>
      <w:r w:rsidR="00335469">
        <w:t xml:space="preserve"> valsts augstskolu aģentūrām un</w:t>
      </w:r>
      <w:r w:rsidR="0029728A" w:rsidRPr="0029728A">
        <w:t xml:space="preserve"> valsts koledžām</w:t>
      </w:r>
      <w:r w:rsidR="00335469">
        <w:t xml:space="preserve">, </w:t>
      </w:r>
      <w:r w:rsidR="006C2CD7">
        <w:t>un</w:t>
      </w:r>
      <w:r w:rsidR="00335469">
        <w:t xml:space="preserve"> </w:t>
      </w:r>
      <w:r w:rsidR="0029728A" w:rsidRPr="0029728A">
        <w:t>juridisko personu dibinātām koledžām. Dati par Latvijas Nacionālo aizsardzības akadēmiju šajā pārskatā netiek iekļauti.</w:t>
      </w:r>
    </w:p>
    <w:p w14:paraId="34E4E3FA" w14:textId="77777777" w:rsidR="00F73065" w:rsidRPr="0029728A" w:rsidRDefault="0029728A" w:rsidP="00541062">
      <w:pPr>
        <w:spacing w:after="0"/>
        <w:jc w:val="both"/>
      </w:pPr>
      <w:r w:rsidRPr="0029728A">
        <w:t>Pārskatā lietotie aug</w:t>
      </w:r>
      <w:r>
        <w:t>stskolu un koledžu saīsinājumi:</w:t>
      </w:r>
    </w:p>
    <w:tbl>
      <w:tblPr>
        <w:tblW w:w="8045" w:type="dxa"/>
        <w:jc w:val="center"/>
        <w:tblCellMar>
          <w:left w:w="0" w:type="dxa"/>
          <w:right w:w="0" w:type="dxa"/>
        </w:tblCellMar>
        <w:tblLook w:val="04A0" w:firstRow="1" w:lastRow="0" w:firstColumn="1" w:lastColumn="0" w:noHBand="0" w:noVBand="1"/>
      </w:tblPr>
      <w:tblGrid>
        <w:gridCol w:w="1508"/>
        <w:gridCol w:w="4885"/>
        <w:gridCol w:w="1638"/>
        <w:gridCol w:w="14"/>
      </w:tblGrid>
      <w:tr w:rsidR="0029728A" w:rsidRPr="006C2CD7" w14:paraId="52EB4377" w14:textId="77777777" w:rsidTr="009D533D">
        <w:trPr>
          <w:trHeight w:val="20"/>
          <w:jc w:val="center"/>
        </w:trPr>
        <w:tc>
          <w:tcPr>
            <w:tcW w:w="8045" w:type="dxa"/>
            <w:gridSpan w:val="4"/>
            <w:tcBorders>
              <w:top w:val="nil"/>
              <w:left w:val="single" w:sz="6" w:space="0" w:color="DEDFE3"/>
              <w:bottom w:val="single" w:sz="6" w:space="0" w:color="DEDFE3"/>
              <w:right w:val="single" w:sz="6" w:space="0" w:color="DEDFE3"/>
            </w:tcBorders>
            <w:shd w:val="clear" w:color="auto" w:fill="603C74"/>
            <w:tcMar>
              <w:top w:w="120" w:type="dxa"/>
              <w:left w:w="225" w:type="dxa"/>
              <w:bottom w:w="120" w:type="dxa"/>
              <w:right w:w="225" w:type="dxa"/>
            </w:tcMar>
          </w:tcPr>
          <w:p w14:paraId="4C0ABC6B" w14:textId="16734C27" w:rsidR="0029728A" w:rsidRPr="006C2CD7" w:rsidRDefault="0029728A" w:rsidP="00CF7892">
            <w:pPr>
              <w:tabs>
                <w:tab w:val="left" w:pos="6630"/>
              </w:tabs>
              <w:spacing w:after="0"/>
              <w:rPr>
                <w:b/>
                <w:color w:val="FFFFFF" w:themeColor="background1"/>
                <w:sz w:val="20"/>
                <w:szCs w:val="20"/>
              </w:rPr>
            </w:pPr>
            <w:r w:rsidRPr="006C2CD7">
              <w:rPr>
                <w:b/>
                <w:color w:val="FFFFFF" w:themeColor="background1"/>
                <w:sz w:val="20"/>
                <w:szCs w:val="20"/>
              </w:rPr>
              <w:t>Valsts augstskolas</w:t>
            </w:r>
            <w:r w:rsidR="00972595">
              <w:rPr>
                <w:b/>
                <w:color w:val="FFFFFF" w:themeColor="background1"/>
                <w:sz w:val="20"/>
                <w:szCs w:val="20"/>
              </w:rPr>
              <w:t xml:space="preserve"> un to aģentūras</w:t>
            </w:r>
            <w:r w:rsidR="00CF7892">
              <w:rPr>
                <w:b/>
                <w:color w:val="FFFFFF" w:themeColor="background1"/>
                <w:sz w:val="20"/>
                <w:szCs w:val="20"/>
              </w:rPr>
              <w:tab/>
            </w:r>
          </w:p>
        </w:tc>
      </w:tr>
      <w:tr w:rsidR="00037DA0" w:rsidRPr="006C2CD7" w14:paraId="5FE9B47E" w14:textId="77777777" w:rsidTr="009D533D">
        <w:trPr>
          <w:gridAfter w:val="1"/>
          <w:wAfter w:w="14" w:type="dxa"/>
          <w:trHeight w:val="217"/>
          <w:jc w:val="center"/>
        </w:trPr>
        <w:tc>
          <w:tcPr>
            <w:tcW w:w="1508" w:type="dxa"/>
            <w:tcBorders>
              <w:top w:val="nil"/>
              <w:left w:val="single" w:sz="6" w:space="0" w:color="DEDFE3"/>
              <w:bottom w:val="single" w:sz="6" w:space="0" w:color="DEDFE3"/>
              <w:right w:val="single" w:sz="6" w:space="0" w:color="DEDFE3"/>
            </w:tcBorders>
            <w:shd w:val="clear" w:color="auto" w:fill="F1EEF5"/>
            <w:tcMar>
              <w:top w:w="120" w:type="dxa"/>
              <w:left w:w="225" w:type="dxa"/>
              <w:bottom w:w="120" w:type="dxa"/>
              <w:right w:w="225" w:type="dxa"/>
            </w:tcMar>
            <w:hideMark/>
          </w:tcPr>
          <w:p w14:paraId="268809F8" w14:textId="77777777" w:rsidR="0029728A" w:rsidRPr="006C2CD7" w:rsidRDefault="0029728A" w:rsidP="00CF7892">
            <w:pPr>
              <w:spacing w:after="0"/>
              <w:rPr>
                <w:sz w:val="20"/>
                <w:szCs w:val="20"/>
              </w:rPr>
            </w:pPr>
            <w:r w:rsidRPr="006C2CD7">
              <w:rPr>
                <w:sz w:val="20"/>
                <w:szCs w:val="20"/>
              </w:rPr>
              <w:t>1.</w:t>
            </w:r>
          </w:p>
        </w:tc>
        <w:tc>
          <w:tcPr>
            <w:tcW w:w="4885" w:type="dxa"/>
            <w:tcBorders>
              <w:top w:val="nil"/>
              <w:left w:val="single" w:sz="6" w:space="0" w:color="DEDFE3"/>
              <w:bottom w:val="single" w:sz="6" w:space="0" w:color="DEDFE3"/>
              <w:right w:val="single" w:sz="6" w:space="0" w:color="DEDFE3"/>
            </w:tcBorders>
            <w:shd w:val="clear" w:color="auto" w:fill="F1EEF5"/>
            <w:tcMar>
              <w:top w:w="120" w:type="dxa"/>
              <w:left w:w="225" w:type="dxa"/>
              <w:bottom w:w="120" w:type="dxa"/>
              <w:right w:w="225" w:type="dxa"/>
            </w:tcMar>
            <w:hideMark/>
          </w:tcPr>
          <w:p w14:paraId="4BF32B7C" w14:textId="77777777" w:rsidR="0029728A" w:rsidRPr="006C2CD7" w:rsidRDefault="0029728A" w:rsidP="00CF7892">
            <w:pPr>
              <w:spacing w:after="0"/>
              <w:rPr>
                <w:sz w:val="20"/>
                <w:szCs w:val="20"/>
              </w:rPr>
            </w:pPr>
            <w:r w:rsidRPr="006C2CD7">
              <w:rPr>
                <w:sz w:val="20"/>
                <w:szCs w:val="20"/>
              </w:rPr>
              <w:t>Latvijas Universitāte</w:t>
            </w:r>
          </w:p>
        </w:tc>
        <w:tc>
          <w:tcPr>
            <w:tcW w:w="1638" w:type="dxa"/>
            <w:tcBorders>
              <w:top w:val="nil"/>
              <w:left w:val="single" w:sz="6" w:space="0" w:color="DEDFE3"/>
              <w:bottom w:val="single" w:sz="6" w:space="0" w:color="DEDFE3"/>
              <w:right w:val="single" w:sz="6" w:space="0" w:color="DEDFE3"/>
            </w:tcBorders>
            <w:shd w:val="clear" w:color="auto" w:fill="F1EEF5"/>
            <w:tcMar>
              <w:top w:w="120" w:type="dxa"/>
              <w:left w:w="225" w:type="dxa"/>
              <w:bottom w:w="120" w:type="dxa"/>
              <w:right w:w="225" w:type="dxa"/>
            </w:tcMar>
            <w:hideMark/>
          </w:tcPr>
          <w:p w14:paraId="4AD81D52" w14:textId="77777777" w:rsidR="0029728A" w:rsidRPr="006C2CD7" w:rsidRDefault="0029728A" w:rsidP="00CF7892">
            <w:pPr>
              <w:spacing w:after="0"/>
              <w:rPr>
                <w:sz w:val="20"/>
                <w:szCs w:val="20"/>
              </w:rPr>
            </w:pPr>
            <w:r w:rsidRPr="006C2CD7">
              <w:rPr>
                <w:sz w:val="20"/>
                <w:szCs w:val="20"/>
              </w:rPr>
              <w:t>LU</w:t>
            </w:r>
          </w:p>
        </w:tc>
      </w:tr>
      <w:tr w:rsidR="00037DA0" w:rsidRPr="006C2CD7" w14:paraId="27275AE3" w14:textId="77777777" w:rsidTr="009D533D">
        <w:trPr>
          <w:gridAfter w:val="1"/>
          <w:wAfter w:w="14" w:type="dxa"/>
          <w:trHeight w:val="215"/>
          <w:jc w:val="center"/>
        </w:trPr>
        <w:tc>
          <w:tcPr>
            <w:tcW w:w="1508" w:type="dxa"/>
            <w:tcBorders>
              <w:top w:val="nil"/>
              <w:left w:val="single" w:sz="6" w:space="0" w:color="DEDFE3"/>
              <w:bottom w:val="single" w:sz="6" w:space="0" w:color="DEDFE3"/>
              <w:right w:val="single" w:sz="6" w:space="0" w:color="DEDFE3"/>
            </w:tcBorders>
            <w:shd w:val="clear" w:color="auto" w:fill="auto"/>
            <w:tcMar>
              <w:top w:w="120" w:type="dxa"/>
              <w:left w:w="225" w:type="dxa"/>
              <w:bottom w:w="120" w:type="dxa"/>
              <w:right w:w="225" w:type="dxa"/>
            </w:tcMar>
          </w:tcPr>
          <w:p w14:paraId="23BE4095" w14:textId="77777777" w:rsidR="0029728A" w:rsidRPr="006C2CD7" w:rsidRDefault="0029728A" w:rsidP="00CF7892">
            <w:pPr>
              <w:spacing w:after="0"/>
              <w:ind w:left="720" w:hanging="386"/>
              <w:rPr>
                <w:sz w:val="20"/>
                <w:szCs w:val="20"/>
              </w:rPr>
            </w:pPr>
            <w:r w:rsidRPr="006C2CD7">
              <w:rPr>
                <w:sz w:val="20"/>
                <w:szCs w:val="20"/>
              </w:rPr>
              <w:t>1.1.</w:t>
            </w:r>
          </w:p>
        </w:tc>
        <w:tc>
          <w:tcPr>
            <w:tcW w:w="4885" w:type="dxa"/>
            <w:tcBorders>
              <w:top w:val="nil"/>
              <w:left w:val="single" w:sz="6" w:space="0" w:color="DEDFE3"/>
              <w:bottom w:val="single" w:sz="6" w:space="0" w:color="DEDFE3"/>
              <w:right w:val="single" w:sz="6" w:space="0" w:color="DEDFE3"/>
            </w:tcBorders>
            <w:shd w:val="clear" w:color="auto" w:fill="auto"/>
            <w:tcMar>
              <w:top w:w="120" w:type="dxa"/>
              <w:left w:w="225" w:type="dxa"/>
              <w:bottom w:w="120" w:type="dxa"/>
              <w:right w:w="225" w:type="dxa"/>
            </w:tcMar>
          </w:tcPr>
          <w:p w14:paraId="54C062CD" w14:textId="46D7EB1D" w:rsidR="0029728A" w:rsidRPr="006C2CD7" w:rsidRDefault="0029728A" w:rsidP="00CF7892">
            <w:pPr>
              <w:spacing w:after="0"/>
              <w:rPr>
                <w:sz w:val="20"/>
                <w:szCs w:val="20"/>
              </w:rPr>
            </w:pPr>
            <w:r w:rsidRPr="006C2CD7">
              <w:rPr>
                <w:sz w:val="20"/>
                <w:szCs w:val="20"/>
              </w:rPr>
              <w:t>Latvijas Universitātes P.</w:t>
            </w:r>
            <w:r w:rsidR="008718D2">
              <w:rPr>
                <w:sz w:val="20"/>
                <w:szCs w:val="20"/>
              </w:rPr>
              <w:t xml:space="preserve"> </w:t>
            </w:r>
            <w:r w:rsidRPr="006C2CD7">
              <w:rPr>
                <w:sz w:val="20"/>
                <w:szCs w:val="20"/>
              </w:rPr>
              <w:t>Stradiņa medicīnas koledža</w:t>
            </w:r>
          </w:p>
        </w:tc>
        <w:tc>
          <w:tcPr>
            <w:tcW w:w="1638" w:type="dxa"/>
            <w:tcBorders>
              <w:top w:val="nil"/>
              <w:left w:val="single" w:sz="6" w:space="0" w:color="DEDFE3"/>
              <w:bottom w:val="single" w:sz="6" w:space="0" w:color="DEDFE3"/>
              <w:right w:val="single" w:sz="6" w:space="0" w:color="DEDFE3"/>
            </w:tcBorders>
            <w:shd w:val="clear" w:color="auto" w:fill="auto"/>
            <w:tcMar>
              <w:top w:w="120" w:type="dxa"/>
              <w:left w:w="225" w:type="dxa"/>
              <w:bottom w:w="120" w:type="dxa"/>
              <w:right w:w="225" w:type="dxa"/>
            </w:tcMar>
          </w:tcPr>
          <w:p w14:paraId="739B4808" w14:textId="77777777" w:rsidR="0029728A" w:rsidRPr="006C2CD7" w:rsidRDefault="0029728A" w:rsidP="00CF7892">
            <w:pPr>
              <w:spacing w:after="0"/>
              <w:rPr>
                <w:sz w:val="20"/>
                <w:szCs w:val="20"/>
              </w:rPr>
            </w:pPr>
            <w:r w:rsidRPr="006C2CD7">
              <w:rPr>
                <w:sz w:val="20"/>
                <w:szCs w:val="20"/>
              </w:rPr>
              <w:t>LU PSK</w:t>
            </w:r>
          </w:p>
        </w:tc>
      </w:tr>
      <w:tr w:rsidR="00037DA0" w:rsidRPr="006C2CD7" w14:paraId="6ABB6E73" w14:textId="77777777" w:rsidTr="009D533D">
        <w:trPr>
          <w:gridAfter w:val="1"/>
          <w:wAfter w:w="14" w:type="dxa"/>
          <w:trHeight w:val="20"/>
          <w:jc w:val="center"/>
        </w:trPr>
        <w:tc>
          <w:tcPr>
            <w:tcW w:w="1508" w:type="dxa"/>
            <w:tcBorders>
              <w:top w:val="nil"/>
              <w:left w:val="single" w:sz="6" w:space="0" w:color="DEDFE3"/>
              <w:bottom w:val="single" w:sz="6" w:space="0" w:color="DEDFE3"/>
              <w:right w:val="single" w:sz="6" w:space="0" w:color="DEDFE3"/>
            </w:tcBorders>
            <w:shd w:val="clear" w:color="auto" w:fill="F1EEF5"/>
            <w:tcMar>
              <w:top w:w="120" w:type="dxa"/>
              <w:left w:w="225" w:type="dxa"/>
              <w:bottom w:w="120" w:type="dxa"/>
              <w:right w:w="225" w:type="dxa"/>
            </w:tcMar>
          </w:tcPr>
          <w:p w14:paraId="2BD6733C" w14:textId="77777777" w:rsidR="0029728A" w:rsidRPr="006C2CD7" w:rsidRDefault="0029728A" w:rsidP="00CF7892">
            <w:pPr>
              <w:spacing w:after="0"/>
              <w:ind w:left="720" w:hanging="386"/>
              <w:rPr>
                <w:sz w:val="20"/>
                <w:szCs w:val="20"/>
              </w:rPr>
            </w:pPr>
            <w:r w:rsidRPr="006C2CD7">
              <w:rPr>
                <w:sz w:val="20"/>
                <w:szCs w:val="20"/>
              </w:rPr>
              <w:t>1.2.</w:t>
            </w:r>
          </w:p>
        </w:tc>
        <w:tc>
          <w:tcPr>
            <w:tcW w:w="4885" w:type="dxa"/>
            <w:tcBorders>
              <w:top w:val="nil"/>
              <w:left w:val="single" w:sz="6" w:space="0" w:color="DEDFE3"/>
              <w:bottom w:val="single" w:sz="6" w:space="0" w:color="DEDFE3"/>
              <w:right w:val="single" w:sz="6" w:space="0" w:color="DEDFE3"/>
            </w:tcBorders>
            <w:shd w:val="clear" w:color="auto" w:fill="F1EEF5"/>
            <w:tcMar>
              <w:top w:w="120" w:type="dxa"/>
              <w:left w:w="225" w:type="dxa"/>
              <w:bottom w:w="120" w:type="dxa"/>
              <w:right w:w="225" w:type="dxa"/>
            </w:tcMar>
          </w:tcPr>
          <w:p w14:paraId="5D0F842F" w14:textId="77777777" w:rsidR="0029728A" w:rsidRPr="006C2CD7" w:rsidRDefault="0029728A" w:rsidP="00CF7892">
            <w:pPr>
              <w:spacing w:after="0"/>
              <w:rPr>
                <w:sz w:val="20"/>
                <w:szCs w:val="20"/>
              </w:rPr>
            </w:pPr>
            <w:r w:rsidRPr="006C2CD7">
              <w:rPr>
                <w:sz w:val="20"/>
                <w:szCs w:val="20"/>
              </w:rPr>
              <w:t>Latvijas Universitātes Rīgas Medicīnas koledža</w:t>
            </w:r>
          </w:p>
        </w:tc>
        <w:tc>
          <w:tcPr>
            <w:tcW w:w="1638" w:type="dxa"/>
            <w:tcBorders>
              <w:top w:val="nil"/>
              <w:left w:val="single" w:sz="6" w:space="0" w:color="DEDFE3"/>
              <w:bottom w:val="single" w:sz="6" w:space="0" w:color="DEDFE3"/>
              <w:right w:val="single" w:sz="6" w:space="0" w:color="DEDFE3"/>
            </w:tcBorders>
            <w:shd w:val="clear" w:color="auto" w:fill="F1EEF5"/>
            <w:tcMar>
              <w:top w:w="120" w:type="dxa"/>
              <w:left w:w="225" w:type="dxa"/>
              <w:bottom w:w="120" w:type="dxa"/>
              <w:right w:w="225" w:type="dxa"/>
            </w:tcMar>
          </w:tcPr>
          <w:p w14:paraId="374EF28A" w14:textId="77777777" w:rsidR="0029728A" w:rsidRPr="006C2CD7" w:rsidRDefault="0029728A" w:rsidP="00CF7892">
            <w:pPr>
              <w:spacing w:after="0"/>
              <w:rPr>
                <w:sz w:val="20"/>
                <w:szCs w:val="20"/>
              </w:rPr>
            </w:pPr>
            <w:r w:rsidRPr="006C2CD7">
              <w:rPr>
                <w:sz w:val="20"/>
                <w:szCs w:val="20"/>
              </w:rPr>
              <w:t>LU RMK</w:t>
            </w:r>
          </w:p>
        </w:tc>
      </w:tr>
      <w:tr w:rsidR="009D533D" w:rsidRPr="006C2CD7" w14:paraId="1A15FB51" w14:textId="77777777" w:rsidTr="009D533D">
        <w:trPr>
          <w:gridAfter w:val="1"/>
          <w:wAfter w:w="14" w:type="dxa"/>
          <w:trHeight w:val="20"/>
          <w:jc w:val="center"/>
        </w:trPr>
        <w:tc>
          <w:tcPr>
            <w:tcW w:w="1508" w:type="dxa"/>
            <w:tcBorders>
              <w:top w:val="single" w:sz="6" w:space="0" w:color="DEDFE3"/>
              <w:left w:val="single" w:sz="6" w:space="0" w:color="DEDFE3"/>
              <w:bottom w:val="single" w:sz="6" w:space="0" w:color="DEDFE3"/>
              <w:right w:val="single" w:sz="6" w:space="0" w:color="DEDFE3"/>
            </w:tcBorders>
            <w:shd w:val="clear" w:color="auto" w:fill="FFFFFF"/>
            <w:tcMar>
              <w:top w:w="120" w:type="dxa"/>
              <w:left w:w="225" w:type="dxa"/>
              <w:bottom w:w="120" w:type="dxa"/>
              <w:right w:w="225" w:type="dxa"/>
            </w:tcMar>
          </w:tcPr>
          <w:p w14:paraId="600AE84A" w14:textId="1356B9B0" w:rsidR="009D533D" w:rsidRPr="006C2CD7" w:rsidRDefault="009D533D" w:rsidP="009D533D">
            <w:pPr>
              <w:spacing w:after="0"/>
              <w:ind w:left="720" w:hanging="386"/>
              <w:rPr>
                <w:sz w:val="20"/>
                <w:szCs w:val="20"/>
              </w:rPr>
            </w:pPr>
            <w:r>
              <w:rPr>
                <w:sz w:val="20"/>
                <w:szCs w:val="20"/>
              </w:rPr>
              <w:t>1.3.</w:t>
            </w:r>
          </w:p>
        </w:tc>
        <w:tc>
          <w:tcPr>
            <w:tcW w:w="4885" w:type="dxa"/>
            <w:tcBorders>
              <w:top w:val="single" w:sz="6" w:space="0" w:color="DEDFE3"/>
              <w:left w:val="single" w:sz="6" w:space="0" w:color="DEDFE3"/>
              <w:bottom w:val="single" w:sz="6" w:space="0" w:color="DEDFE3"/>
              <w:right w:val="single" w:sz="6" w:space="0" w:color="DEDFE3"/>
            </w:tcBorders>
            <w:shd w:val="clear" w:color="auto" w:fill="FFFFFF"/>
            <w:tcMar>
              <w:top w:w="120" w:type="dxa"/>
              <w:left w:w="225" w:type="dxa"/>
              <w:bottom w:w="120" w:type="dxa"/>
              <w:right w:w="225" w:type="dxa"/>
            </w:tcMar>
          </w:tcPr>
          <w:p w14:paraId="1D7E581F" w14:textId="6414C3A3" w:rsidR="009D533D" w:rsidRPr="006C2CD7" w:rsidRDefault="009D533D" w:rsidP="00CF7892">
            <w:pPr>
              <w:spacing w:after="0"/>
              <w:rPr>
                <w:sz w:val="20"/>
                <w:szCs w:val="20"/>
              </w:rPr>
            </w:pPr>
            <w:r>
              <w:rPr>
                <w:sz w:val="20"/>
                <w:szCs w:val="20"/>
              </w:rPr>
              <w:t>Latvijas Universitātes Rīgas 1. medicīnas koledža</w:t>
            </w:r>
          </w:p>
        </w:tc>
        <w:tc>
          <w:tcPr>
            <w:tcW w:w="1638" w:type="dxa"/>
            <w:tcBorders>
              <w:top w:val="single" w:sz="6" w:space="0" w:color="DEDFE3"/>
              <w:left w:val="single" w:sz="6" w:space="0" w:color="DEDFE3"/>
              <w:bottom w:val="single" w:sz="6" w:space="0" w:color="DEDFE3"/>
              <w:right w:val="single" w:sz="6" w:space="0" w:color="DEDFE3"/>
            </w:tcBorders>
            <w:shd w:val="clear" w:color="auto" w:fill="FFFFFF"/>
            <w:tcMar>
              <w:top w:w="120" w:type="dxa"/>
              <w:left w:w="225" w:type="dxa"/>
              <w:bottom w:w="120" w:type="dxa"/>
              <w:right w:w="225" w:type="dxa"/>
            </w:tcMar>
          </w:tcPr>
          <w:p w14:paraId="13074CB2" w14:textId="011E5561" w:rsidR="009D533D" w:rsidRPr="006C2CD7" w:rsidRDefault="009D533D" w:rsidP="00CF7892">
            <w:pPr>
              <w:spacing w:after="0"/>
              <w:rPr>
                <w:sz w:val="20"/>
                <w:szCs w:val="20"/>
              </w:rPr>
            </w:pPr>
            <w:r>
              <w:rPr>
                <w:sz w:val="20"/>
                <w:szCs w:val="20"/>
              </w:rPr>
              <w:t>LU R1MK</w:t>
            </w:r>
          </w:p>
        </w:tc>
      </w:tr>
      <w:tr w:rsidR="00037DA0" w:rsidRPr="006C2CD7" w14:paraId="0A4FFFA5" w14:textId="77777777" w:rsidTr="009D533D">
        <w:trPr>
          <w:gridAfter w:val="1"/>
          <w:wAfter w:w="14" w:type="dxa"/>
          <w:trHeight w:val="20"/>
          <w:jc w:val="center"/>
        </w:trPr>
        <w:tc>
          <w:tcPr>
            <w:tcW w:w="1508" w:type="dxa"/>
            <w:tcBorders>
              <w:top w:val="single" w:sz="6" w:space="0" w:color="DEDFE3"/>
              <w:left w:val="single" w:sz="6" w:space="0" w:color="DEDFE3"/>
              <w:bottom w:val="single" w:sz="6" w:space="0" w:color="DEDFE3"/>
              <w:right w:val="single" w:sz="6" w:space="0" w:color="DEDFE3"/>
            </w:tcBorders>
            <w:shd w:val="clear" w:color="auto" w:fill="F1EEF5"/>
            <w:tcMar>
              <w:top w:w="120" w:type="dxa"/>
              <w:left w:w="225" w:type="dxa"/>
              <w:bottom w:w="120" w:type="dxa"/>
              <w:right w:w="225" w:type="dxa"/>
            </w:tcMar>
            <w:hideMark/>
          </w:tcPr>
          <w:p w14:paraId="33891535" w14:textId="77777777" w:rsidR="0029728A" w:rsidRPr="006C2CD7" w:rsidRDefault="0029728A" w:rsidP="00CF7892">
            <w:pPr>
              <w:spacing w:after="0"/>
              <w:rPr>
                <w:sz w:val="20"/>
                <w:szCs w:val="20"/>
              </w:rPr>
            </w:pPr>
            <w:r w:rsidRPr="006C2CD7">
              <w:rPr>
                <w:sz w:val="20"/>
                <w:szCs w:val="20"/>
              </w:rPr>
              <w:t>2.</w:t>
            </w:r>
          </w:p>
        </w:tc>
        <w:tc>
          <w:tcPr>
            <w:tcW w:w="4885" w:type="dxa"/>
            <w:tcBorders>
              <w:top w:val="single" w:sz="6" w:space="0" w:color="DEDFE3"/>
              <w:left w:val="single" w:sz="6" w:space="0" w:color="DEDFE3"/>
              <w:bottom w:val="single" w:sz="6" w:space="0" w:color="DEDFE3"/>
              <w:right w:val="single" w:sz="6" w:space="0" w:color="DEDFE3"/>
            </w:tcBorders>
            <w:shd w:val="clear" w:color="auto" w:fill="F1EEF5"/>
            <w:tcMar>
              <w:top w:w="120" w:type="dxa"/>
              <w:left w:w="225" w:type="dxa"/>
              <w:bottom w:w="120" w:type="dxa"/>
              <w:right w:w="225" w:type="dxa"/>
            </w:tcMar>
            <w:hideMark/>
          </w:tcPr>
          <w:p w14:paraId="2CFF6D85" w14:textId="77777777" w:rsidR="0029728A" w:rsidRPr="006C2CD7" w:rsidRDefault="0029728A" w:rsidP="00CF7892">
            <w:pPr>
              <w:spacing w:after="0"/>
              <w:rPr>
                <w:sz w:val="20"/>
                <w:szCs w:val="20"/>
              </w:rPr>
            </w:pPr>
            <w:r w:rsidRPr="006C2CD7">
              <w:rPr>
                <w:sz w:val="20"/>
                <w:szCs w:val="20"/>
              </w:rPr>
              <w:t>Rīgas Tehniskā universitāte</w:t>
            </w:r>
          </w:p>
        </w:tc>
        <w:tc>
          <w:tcPr>
            <w:tcW w:w="1638" w:type="dxa"/>
            <w:tcBorders>
              <w:top w:val="single" w:sz="6" w:space="0" w:color="DEDFE3"/>
              <w:left w:val="single" w:sz="6" w:space="0" w:color="DEDFE3"/>
              <w:bottom w:val="single" w:sz="6" w:space="0" w:color="DEDFE3"/>
              <w:right w:val="single" w:sz="6" w:space="0" w:color="DEDFE3"/>
            </w:tcBorders>
            <w:shd w:val="clear" w:color="auto" w:fill="F1EEF5"/>
            <w:tcMar>
              <w:top w:w="120" w:type="dxa"/>
              <w:left w:w="225" w:type="dxa"/>
              <w:bottom w:w="120" w:type="dxa"/>
              <w:right w:w="225" w:type="dxa"/>
            </w:tcMar>
            <w:hideMark/>
          </w:tcPr>
          <w:p w14:paraId="5E1943EF" w14:textId="77777777" w:rsidR="0029728A" w:rsidRPr="006C2CD7" w:rsidRDefault="0029728A" w:rsidP="00CF7892">
            <w:pPr>
              <w:spacing w:after="0"/>
              <w:rPr>
                <w:sz w:val="20"/>
                <w:szCs w:val="20"/>
              </w:rPr>
            </w:pPr>
            <w:r w:rsidRPr="006C2CD7">
              <w:rPr>
                <w:sz w:val="20"/>
                <w:szCs w:val="20"/>
              </w:rPr>
              <w:t>RTU</w:t>
            </w:r>
          </w:p>
        </w:tc>
      </w:tr>
      <w:tr w:rsidR="009D533D" w:rsidRPr="006C2CD7" w14:paraId="0771BAAD" w14:textId="77777777" w:rsidTr="009D533D">
        <w:trPr>
          <w:gridAfter w:val="1"/>
          <w:wAfter w:w="14" w:type="dxa"/>
          <w:trHeight w:val="20"/>
          <w:jc w:val="center"/>
        </w:trPr>
        <w:tc>
          <w:tcPr>
            <w:tcW w:w="1508" w:type="dxa"/>
            <w:tcBorders>
              <w:top w:val="single" w:sz="6" w:space="0" w:color="DEDFE3"/>
              <w:left w:val="single" w:sz="6" w:space="0" w:color="DEDFE3"/>
              <w:bottom w:val="single" w:sz="6" w:space="0" w:color="DEDFE3"/>
              <w:right w:val="single" w:sz="6" w:space="0" w:color="DEDFE3"/>
            </w:tcBorders>
            <w:shd w:val="clear" w:color="auto" w:fill="auto"/>
            <w:tcMar>
              <w:top w:w="120" w:type="dxa"/>
              <w:left w:w="225" w:type="dxa"/>
              <w:bottom w:w="120" w:type="dxa"/>
              <w:right w:w="225" w:type="dxa"/>
            </w:tcMar>
          </w:tcPr>
          <w:p w14:paraId="637DFD24" w14:textId="31133CBD" w:rsidR="009D533D" w:rsidRPr="006C2CD7" w:rsidRDefault="009D533D" w:rsidP="009D533D">
            <w:pPr>
              <w:spacing w:after="0"/>
              <w:ind w:left="720" w:hanging="386"/>
              <w:rPr>
                <w:sz w:val="20"/>
                <w:szCs w:val="20"/>
              </w:rPr>
            </w:pPr>
            <w:r>
              <w:rPr>
                <w:sz w:val="20"/>
                <w:szCs w:val="20"/>
              </w:rPr>
              <w:t>2.1.</w:t>
            </w:r>
          </w:p>
        </w:tc>
        <w:tc>
          <w:tcPr>
            <w:tcW w:w="4885" w:type="dxa"/>
            <w:tcBorders>
              <w:top w:val="single" w:sz="6" w:space="0" w:color="DEDFE3"/>
              <w:left w:val="single" w:sz="6" w:space="0" w:color="DEDFE3"/>
              <w:bottom w:val="single" w:sz="6" w:space="0" w:color="DEDFE3"/>
              <w:right w:val="single" w:sz="6" w:space="0" w:color="DEDFE3"/>
            </w:tcBorders>
            <w:shd w:val="clear" w:color="auto" w:fill="auto"/>
            <w:tcMar>
              <w:top w:w="120" w:type="dxa"/>
              <w:left w:w="225" w:type="dxa"/>
              <w:bottom w:w="120" w:type="dxa"/>
              <w:right w:w="225" w:type="dxa"/>
            </w:tcMar>
          </w:tcPr>
          <w:p w14:paraId="73653A46" w14:textId="16773151" w:rsidR="009D533D" w:rsidRPr="006C2CD7" w:rsidRDefault="009D533D" w:rsidP="00CF7892">
            <w:pPr>
              <w:spacing w:after="0"/>
              <w:rPr>
                <w:sz w:val="20"/>
                <w:szCs w:val="20"/>
              </w:rPr>
            </w:pPr>
            <w:r>
              <w:rPr>
                <w:sz w:val="20"/>
                <w:szCs w:val="20"/>
              </w:rPr>
              <w:t>Rīgas Tehniskās universitātes Olaines Tehnoloģiju koledža</w:t>
            </w:r>
          </w:p>
        </w:tc>
        <w:tc>
          <w:tcPr>
            <w:tcW w:w="1638" w:type="dxa"/>
            <w:tcBorders>
              <w:top w:val="single" w:sz="6" w:space="0" w:color="DEDFE3"/>
              <w:left w:val="single" w:sz="6" w:space="0" w:color="DEDFE3"/>
              <w:bottom w:val="single" w:sz="6" w:space="0" w:color="DEDFE3"/>
              <w:right w:val="single" w:sz="6" w:space="0" w:color="DEDFE3"/>
            </w:tcBorders>
            <w:shd w:val="clear" w:color="auto" w:fill="auto"/>
            <w:tcMar>
              <w:top w:w="120" w:type="dxa"/>
              <w:left w:w="225" w:type="dxa"/>
              <w:bottom w:w="120" w:type="dxa"/>
              <w:right w:w="225" w:type="dxa"/>
            </w:tcMar>
          </w:tcPr>
          <w:p w14:paraId="0D79745D" w14:textId="1C91F429" w:rsidR="009D533D" w:rsidRPr="006C2CD7" w:rsidRDefault="00BC3898" w:rsidP="00CF7892">
            <w:pPr>
              <w:spacing w:after="0"/>
              <w:rPr>
                <w:sz w:val="20"/>
                <w:szCs w:val="20"/>
              </w:rPr>
            </w:pPr>
            <w:r>
              <w:rPr>
                <w:sz w:val="20"/>
                <w:szCs w:val="20"/>
              </w:rPr>
              <w:t>RTU OTK</w:t>
            </w:r>
          </w:p>
        </w:tc>
      </w:tr>
      <w:tr w:rsidR="00037DA0" w:rsidRPr="006C2CD7" w14:paraId="039A599A" w14:textId="77777777" w:rsidTr="009D533D">
        <w:trPr>
          <w:gridAfter w:val="1"/>
          <w:wAfter w:w="14" w:type="dxa"/>
          <w:trHeight w:val="20"/>
          <w:jc w:val="center"/>
        </w:trPr>
        <w:tc>
          <w:tcPr>
            <w:tcW w:w="1508" w:type="dxa"/>
            <w:tcBorders>
              <w:top w:val="single" w:sz="6" w:space="0" w:color="DEDFE3"/>
              <w:left w:val="single" w:sz="6" w:space="0" w:color="DEDFE3"/>
              <w:bottom w:val="single" w:sz="6" w:space="0" w:color="DEDFE3"/>
              <w:right w:val="single" w:sz="6" w:space="0" w:color="DEDFE3"/>
            </w:tcBorders>
            <w:shd w:val="clear" w:color="auto" w:fill="F1EEF5"/>
            <w:tcMar>
              <w:top w:w="120" w:type="dxa"/>
              <w:left w:w="225" w:type="dxa"/>
              <w:bottom w:w="120" w:type="dxa"/>
              <w:right w:w="225" w:type="dxa"/>
            </w:tcMar>
            <w:hideMark/>
          </w:tcPr>
          <w:p w14:paraId="3A0F0BEC" w14:textId="77777777" w:rsidR="0029728A" w:rsidRPr="006C2CD7" w:rsidRDefault="0029728A" w:rsidP="00CF7892">
            <w:pPr>
              <w:spacing w:after="0"/>
              <w:rPr>
                <w:sz w:val="20"/>
                <w:szCs w:val="20"/>
              </w:rPr>
            </w:pPr>
            <w:r w:rsidRPr="006C2CD7">
              <w:rPr>
                <w:sz w:val="20"/>
                <w:szCs w:val="20"/>
              </w:rPr>
              <w:t>3.</w:t>
            </w:r>
          </w:p>
        </w:tc>
        <w:tc>
          <w:tcPr>
            <w:tcW w:w="4885" w:type="dxa"/>
            <w:tcBorders>
              <w:top w:val="single" w:sz="6" w:space="0" w:color="DEDFE3"/>
              <w:left w:val="single" w:sz="6" w:space="0" w:color="DEDFE3"/>
              <w:bottom w:val="single" w:sz="6" w:space="0" w:color="DEDFE3"/>
              <w:right w:val="single" w:sz="6" w:space="0" w:color="DEDFE3"/>
            </w:tcBorders>
            <w:shd w:val="clear" w:color="auto" w:fill="F1EEF5"/>
            <w:tcMar>
              <w:top w:w="120" w:type="dxa"/>
              <w:left w:w="225" w:type="dxa"/>
              <w:bottom w:w="120" w:type="dxa"/>
              <w:right w:w="225" w:type="dxa"/>
            </w:tcMar>
            <w:hideMark/>
          </w:tcPr>
          <w:p w14:paraId="6E49324D" w14:textId="77777777" w:rsidR="0029728A" w:rsidRPr="006C2CD7" w:rsidRDefault="0029728A" w:rsidP="00CF7892">
            <w:pPr>
              <w:spacing w:after="0"/>
              <w:rPr>
                <w:sz w:val="20"/>
                <w:szCs w:val="20"/>
              </w:rPr>
            </w:pPr>
            <w:r w:rsidRPr="006C2CD7">
              <w:rPr>
                <w:sz w:val="20"/>
                <w:szCs w:val="20"/>
              </w:rPr>
              <w:t>Latvijas Lauksaimniecības universitāte</w:t>
            </w:r>
          </w:p>
        </w:tc>
        <w:tc>
          <w:tcPr>
            <w:tcW w:w="1638" w:type="dxa"/>
            <w:tcBorders>
              <w:top w:val="single" w:sz="6" w:space="0" w:color="DEDFE3"/>
              <w:left w:val="single" w:sz="6" w:space="0" w:color="DEDFE3"/>
              <w:bottom w:val="single" w:sz="6" w:space="0" w:color="DEDFE3"/>
              <w:right w:val="single" w:sz="6" w:space="0" w:color="DEDFE3"/>
            </w:tcBorders>
            <w:shd w:val="clear" w:color="auto" w:fill="F1EEF5"/>
            <w:tcMar>
              <w:top w:w="120" w:type="dxa"/>
              <w:left w:w="225" w:type="dxa"/>
              <w:bottom w:w="120" w:type="dxa"/>
              <w:right w:w="225" w:type="dxa"/>
            </w:tcMar>
            <w:hideMark/>
          </w:tcPr>
          <w:p w14:paraId="091B9E73" w14:textId="77777777" w:rsidR="0029728A" w:rsidRPr="006C2CD7" w:rsidRDefault="0029728A" w:rsidP="00CF7892">
            <w:pPr>
              <w:spacing w:after="0"/>
              <w:rPr>
                <w:sz w:val="20"/>
                <w:szCs w:val="20"/>
              </w:rPr>
            </w:pPr>
            <w:r w:rsidRPr="006C2CD7">
              <w:rPr>
                <w:sz w:val="20"/>
                <w:szCs w:val="20"/>
              </w:rPr>
              <w:t>LLU</w:t>
            </w:r>
          </w:p>
        </w:tc>
      </w:tr>
      <w:tr w:rsidR="00037DA0" w:rsidRPr="006C2CD7" w14:paraId="0AB1DB52" w14:textId="77777777" w:rsidTr="009D533D">
        <w:trPr>
          <w:gridAfter w:val="1"/>
          <w:wAfter w:w="14" w:type="dxa"/>
          <w:trHeight w:val="20"/>
          <w:jc w:val="center"/>
        </w:trPr>
        <w:tc>
          <w:tcPr>
            <w:tcW w:w="1508" w:type="dxa"/>
            <w:tcBorders>
              <w:top w:val="single" w:sz="6" w:space="0" w:color="DEDFE3"/>
              <w:left w:val="single" w:sz="6" w:space="0" w:color="DEDFE3"/>
              <w:bottom w:val="single" w:sz="6" w:space="0" w:color="DEDFE3"/>
              <w:right w:val="single" w:sz="6" w:space="0" w:color="DEDFE3"/>
            </w:tcBorders>
            <w:shd w:val="clear" w:color="auto" w:fill="auto"/>
            <w:tcMar>
              <w:top w:w="120" w:type="dxa"/>
              <w:left w:w="225" w:type="dxa"/>
              <w:bottom w:w="120" w:type="dxa"/>
              <w:right w:w="225" w:type="dxa"/>
            </w:tcMar>
            <w:hideMark/>
          </w:tcPr>
          <w:p w14:paraId="536C28C9" w14:textId="77777777" w:rsidR="0029728A" w:rsidRPr="006C2CD7" w:rsidRDefault="0029728A" w:rsidP="00CF7892">
            <w:pPr>
              <w:spacing w:after="0"/>
              <w:rPr>
                <w:sz w:val="20"/>
                <w:szCs w:val="20"/>
              </w:rPr>
            </w:pPr>
            <w:r w:rsidRPr="006C2CD7">
              <w:rPr>
                <w:sz w:val="20"/>
                <w:szCs w:val="20"/>
              </w:rPr>
              <w:t>4.</w:t>
            </w:r>
          </w:p>
        </w:tc>
        <w:tc>
          <w:tcPr>
            <w:tcW w:w="4885" w:type="dxa"/>
            <w:tcBorders>
              <w:top w:val="single" w:sz="6" w:space="0" w:color="DEDFE3"/>
              <w:left w:val="single" w:sz="6" w:space="0" w:color="DEDFE3"/>
              <w:bottom w:val="single" w:sz="6" w:space="0" w:color="DEDFE3"/>
              <w:right w:val="single" w:sz="6" w:space="0" w:color="DEDFE3"/>
            </w:tcBorders>
            <w:shd w:val="clear" w:color="auto" w:fill="auto"/>
            <w:tcMar>
              <w:top w:w="120" w:type="dxa"/>
              <w:left w:w="225" w:type="dxa"/>
              <w:bottom w:w="120" w:type="dxa"/>
              <w:right w:w="225" w:type="dxa"/>
            </w:tcMar>
            <w:hideMark/>
          </w:tcPr>
          <w:p w14:paraId="77657790" w14:textId="77777777" w:rsidR="0029728A" w:rsidRPr="006C2CD7" w:rsidRDefault="0029728A" w:rsidP="00CF7892">
            <w:pPr>
              <w:spacing w:after="0"/>
              <w:rPr>
                <w:sz w:val="20"/>
                <w:szCs w:val="20"/>
              </w:rPr>
            </w:pPr>
            <w:r w:rsidRPr="006C2CD7">
              <w:rPr>
                <w:sz w:val="20"/>
                <w:szCs w:val="20"/>
              </w:rPr>
              <w:t>Daugavpils Universitāte</w:t>
            </w:r>
          </w:p>
        </w:tc>
        <w:tc>
          <w:tcPr>
            <w:tcW w:w="1638" w:type="dxa"/>
            <w:tcBorders>
              <w:top w:val="single" w:sz="6" w:space="0" w:color="DEDFE3"/>
              <w:left w:val="single" w:sz="6" w:space="0" w:color="DEDFE3"/>
              <w:bottom w:val="single" w:sz="6" w:space="0" w:color="DEDFE3"/>
              <w:right w:val="single" w:sz="6" w:space="0" w:color="DEDFE3"/>
            </w:tcBorders>
            <w:shd w:val="clear" w:color="auto" w:fill="auto"/>
            <w:tcMar>
              <w:top w:w="120" w:type="dxa"/>
              <w:left w:w="225" w:type="dxa"/>
              <w:bottom w:w="120" w:type="dxa"/>
              <w:right w:w="225" w:type="dxa"/>
            </w:tcMar>
            <w:hideMark/>
          </w:tcPr>
          <w:p w14:paraId="0AA8D9A2" w14:textId="77777777" w:rsidR="0029728A" w:rsidRPr="006C2CD7" w:rsidRDefault="0029728A" w:rsidP="00CF7892">
            <w:pPr>
              <w:spacing w:after="0"/>
              <w:rPr>
                <w:sz w:val="20"/>
                <w:szCs w:val="20"/>
              </w:rPr>
            </w:pPr>
            <w:r w:rsidRPr="006C2CD7">
              <w:rPr>
                <w:sz w:val="20"/>
                <w:szCs w:val="20"/>
              </w:rPr>
              <w:t>DU</w:t>
            </w:r>
          </w:p>
        </w:tc>
      </w:tr>
      <w:tr w:rsidR="00037DA0" w:rsidRPr="006C2CD7" w14:paraId="7EEFF950" w14:textId="77777777" w:rsidTr="009D533D">
        <w:trPr>
          <w:gridAfter w:val="1"/>
          <w:wAfter w:w="14" w:type="dxa"/>
          <w:trHeight w:val="20"/>
          <w:jc w:val="center"/>
        </w:trPr>
        <w:tc>
          <w:tcPr>
            <w:tcW w:w="1508" w:type="dxa"/>
            <w:tcBorders>
              <w:top w:val="single" w:sz="6" w:space="0" w:color="DEDFE3"/>
              <w:left w:val="single" w:sz="6" w:space="0" w:color="DEDFE3"/>
              <w:bottom w:val="single" w:sz="6" w:space="0" w:color="DEDFE3"/>
              <w:right w:val="single" w:sz="6" w:space="0" w:color="DEDFE3"/>
            </w:tcBorders>
            <w:shd w:val="clear" w:color="auto" w:fill="F1EEF5"/>
            <w:tcMar>
              <w:top w:w="120" w:type="dxa"/>
              <w:left w:w="225" w:type="dxa"/>
              <w:bottom w:w="120" w:type="dxa"/>
              <w:right w:w="225" w:type="dxa"/>
            </w:tcMar>
          </w:tcPr>
          <w:p w14:paraId="6437867E" w14:textId="77777777" w:rsidR="0029728A" w:rsidRPr="006C2CD7" w:rsidRDefault="0029728A" w:rsidP="00CF7892">
            <w:pPr>
              <w:spacing w:after="0"/>
              <w:ind w:left="720" w:hanging="386"/>
              <w:rPr>
                <w:sz w:val="20"/>
                <w:szCs w:val="20"/>
              </w:rPr>
            </w:pPr>
            <w:r w:rsidRPr="006C2CD7">
              <w:rPr>
                <w:sz w:val="20"/>
                <w:szCs w:val="20"/>
              </w:rPr>
              <w:t>4.1.</w:t>
            </w:r>
          </w:p>
        </w:tc>
        <w:tc>
          <w:tcPr>
            <w:tcW w:w="4885" w:type="dxa"/>
            <w:tcBorders>
              <w:top w:val="single" w:sz="6" w:space="0" w:color="DEDFE3"/>
              <w:left w:val="single" w:sz="6" w:space="0" w:color="DEDFE3"/>
              <w:bottom w:val="single" w:sz="6" w:space="0" w:color="DEDFE3"/>
              <w:right w:val="single" w:sz="6" w:space="0" w:color="DEDFE3"/>
            </w:tcBorders>
            <w:shd w:val="clear" w:color="auto" w:fill="F1EEF5"/>
            <w:tcMar>
              <w:top w:w="120" w:type="dxa"/>
              <w:left w:w="225" w:type="dxa"/>
              <w:bottom w:w="120" w:type="dxa"/>
              <w:right w:w="225" w:type="dxa"/>
            </w:tcMar>
          </w:tcPr>
          <w:p w14:paraId="412F8855" w14:textId="21179523" w:rsidR="0029728A" w:rsidRPr="006C2CD7" w:rsidRDefault="0029728A" w:rsidP="00CF7892">
            <w:pPr>
              <w:spacing w:after="0"/>
              <w:rPr>
                <w:sz w:val="20"/>
                <w:szCs w:val="20"/>
              </w:rPr>
            </w:pPr>
            <w:r w:rsidRPr="006C2CD7">
              <w:rPr>
                <w:sz w:val="20"/>
                <w:szCs w:val="20"/>
              </w:rPr>
              <w:t>Daugavpils Universitātes Daugavpils medicīnas koledža</w:t>
            </w:r>
          </w:p>
        </w:tc>
        <w:tc>
          <w:tcPr>
            <w:tcW w:w="1638" w:type="dxa"/>
            <w:tcBorders>
              <w:top w:val="single" w:sz="6" w:space="0" w:color="DEDFE3"/>
              <w:left w:val="single" w:sz="6" w:space="0" w:color="DEDFE3"/>
              <w:bottom w:val="single" w:sz="6" w:space="0" w:color="DEDFE3"/>
              <w:right w:val="single" w:sz="6" w:space="0" w:color="DEDFE3"/>
            </w:tcBorders>
            <w:shd w:val="clear" w:color="auto" w:fill="F1EEF5"/>
            <w:tcMar>
              <w:top w:w="120" w:type="dxa"/>
              <w:left w:w="225" w:type="dxa"/>
              <w:bottom w:w="120" w:type="dxa"/>
              <w:right w:w="225" w:type="dxa"/>
            </w:tcMar>
          </w:tcPr>
          <w:p w14:paraId="578E08AF" w14:textId="77777777" w:rsidR="0029728A" w:rsidRPr="006C2CD7" w:rsidRDefault="0029728A" w:rsidP="00CF7892">
            <w:pPr>
              <w:spacing w:after="0"/>
              <w:rPr>
                <w:sz w:val="20"/>
                <w:szCs w:val="20"/>
              </w:rPr>
            </w:pPr>
            <w:r w:rsidRPr="006C2CD7">
              <w:rPr>
                <w:sz w:val="20"/>
                <w:szCs w:val="20"/>
              </w:rPr>
              <w:t>DU DMK</w:t>
            </w:r>
          </w:p>
        </w:tc>
      </w:tr>
      <w:tr w:rsidR="00037DA0" w:rsidRPr="006C2CD7" w14:paraId="059D7BB1" w14:textId="77777777" w:rsidTr="009D533D">
        <w:trPr>
          <w:gridAfter w:val="1"/>
          <w:wAfter w:w="14" w:type="dxa"/>
          <w:trHeight w:val="20"/>
          <w:jc w:val="center"/>
        </w:trPr>
        <w:tc>
          <w:tcPr>
            <w:tcW w:w="1508" w:type="dxa"/>
            <w:tcBorders>
              <w:top w:val="single" w:sz="6" w:space="0" w:color="DEDFE3"/>
              <w:left w:val="single" w:sz="6" w:space="0" w:color="DEDFE3"/>
              <w:bottom w:val="single" w:sz="6" w:space="0" w:color="DEDFE3"/>
              <w:right w:val="single" w:sz="6" w:space="0" w:color="DEDFE3"/>
            </w:tcBorders>
            <w:shd w:val="clear" w:color="auto" w:fill="auto"/>
            <w:tcMar>
              <w:top w:w="120" w:type="dxa"/>
              <w:left w:w="225" w:type="dxa"/>
              <w:bottom w:w="120" w:type="dxa"/>
              <w:right w:w="225" w:type="dxa"/>
            </w:tcMar>
            <w:hideMark/>
          </w:tcPr>
          <w:p w14:paraId="573C66CD" w14:textId="77777777" w:rsidR="0029728A" w:rsidRPr="006C2CD7" w:rsidRDefault="0029728A" w:rsidP="00CF7892">
            <w:pPr>
              <w:spacing w:after="0"/>
              <w:rPr>
                <w:sz w:val="20"/>
                <w:szCs w:val="20"/>
              </w:rPr>
            </w:pPr>
            <w:r w:rsidRPr="006C2CD7">
              <w:rPr>
                <w:sz w:val="20"/>
                <w:szCs w:val="20"/>
              </w:rPr>
              <w:t>5.</w:t>
            </w:r>
          </w:p>
        </w:tc>
        <w:tc>
          <w:tcPr>
            <w:tcW w:w="4885" w:type="dxa"/>
            <w:tcBorders>
              <w:top w:val="single" w:sz="6" w:space="0" w:color="DEDFE3"/>
              <w:left w:val="single" w:sz="6" w:space="0" w:color="DEDFE3"/>
              <w:bottom w:val="single" w:sz="6" w:space="0" w:color="DEDFE3"/>
              <w:right w:val="single" w:sz="6" w:space="0" w:color="DEDFE3"/>
            </w:tcBorders>
            <w:shd w:val="clear" w:color="auto" w:fill="auto"/>
            <w:tcMar>
              <w:top w:w="120" w:type="dxa"/>
              <w:left w:w="225" w:type="dxa"/>
              <w:bottom w:w="120" w:type="dxa"/>
              <w:right w:w="225" w:type="dxa"/>
            </w:tcMar>
            <w:hideMark/>
          </w:tcPr>
          <w:p w14:paraId="4340A050" w14:textId="77777777" w:rsidR="0029728A" w:rsidRPr="006C2CD7" w:rsidRDefault="0029728A" w:rsidP="00CF7892">
            <w:pPr>
              <w:spacing w:after="0"/>
              <w:rPr>
                <w:sz w:val="20"/>
                <w:szCs w:val="20"/>
              </w:rPr>
            </w:pPr>
            <w:r w:rsidRPr="006C2CD7">
              <w:rPr>
                <w:sz w:val="20"/>
                <w:szCs w:val="20"/>
              </w:rPr>
              <w:t>Rīgas Stradiņa universitāte</w:t>
            </w:r>
          </w:p>
        </w:tc>
        <w:tc>
          <w:tcPr>
            <w:tcW w:w="1638" w:type="dxa"/>
            <w:tcBorders>
              <w:top w:val="single" w:sz="6" w:space="0" w:color="DEDFE3"/>
              <w:left w:val="single" w:sz="6" w:space="0" w:color="DEDFE3"/>
              <w:bottom w:val="single" w:sz="6" w:space="0" w:color="DEDFE3"/>
              <w:right w:val="single" w:sz="6" w:space="0" w:color="DEDFE3"/>
            </w:tcBorders>
            <w:shd w:val="clear" w:color="auto" w:fill="auto"/>
            <w:tcMar>
              <w:top w:w="120" w:type="dxa"/>
              <w:left w:w="225" w:type="dxa"/>
              <w:bottom w:w="120" w:type="dxa"/>
              <w:right w:w="225" w:type="dxa"/>
            </w:tcMar>
            <w:hideMark/>
          </w:tcPr>
          <w:p w14:paraId="2152EEBD" w14:textId="77777777" w:rsidR="0029728A" w:rsidRPr="006C2CD7" w:rsidRDefault="0029728A" w:rsidP="00CF7892">
            <w:pPr>
              <w:spacing w:after="0"/>
              <w:rPr>
                <w:sz w:val="20"/>
                <w:szCs w:val="20"/>
              </w:rPr>
            </w:pPr>
            <w:r w:rsidRPr="006C2CD7">
              <w:rPr>
                <w:sz w:val="20"/>
                <w:szCs w:val="20"/>
              </w:rPr>
              <w:t>RSU</w:t>
            </w:r>
          </w:p>
        </w:tc>
      </w:tr>
      <w:tr w:rsidR="00037DA0" w:rsidRPr="006C2CD7" w14:paraId="48F3B00F" w14:textId="77777777" w:rsidTr="009D533D">
        <w:trPr>
          <w:gridAfter w:val="1"/>
          <w:wAfter w:w="14" w:type="dxa"/>
          <w:trHeight w:val="520"/>
          <w:jc w:val="center"/>
        </w:trPr>
        <w:tc>
          <w:tcPr>
            <w:tcW w:w="1508" w:type="dxa"/>
            <w:tcBorders>
              <w:top w:val="single" w:sz="6" w:space="0" w:color="DEDFE3"/>
              <w:left w:val="single" w:sz="6" w:space="0" w:color="DEDFE3"/>
              <w:bottom w:val="single" w:sz="6" w:space="0" w:color="DEDFE3"/>
              <w:right w:val="single" w:sz="6" w:space="0" w:color="DEDFE3"/>
            </w:tcBorders>
            <w:shd w:val="clear" w:color="auto" w:fill="F1EEF5"/>
            <w:tcMar>
              <w:top w:w="120" w:type="dxa"/>
              <w:left w:w="225" w:type="dxa"/>
              <w:bottom w:w="120" w:type="dxa"/>
              <w:right w:w="225" w:type="dxa"/>
            </w:tcMar>
          </w:tcPr>
          <w:p w14:paraId="059EDD2B" w14:textId="77777777" w:rsidR="0029728A" w:rsidRPr="006C2CD7" w:rsidRDefault="0029728A" w:rsidP="00CF7892">
            <w:pPr>
              <w:spacing w:after="0"/>
              <w:ind w:left="720" w:hanging="386"/>
              <w:rPr>
                <w:sz w:val="20"/>
                <w:szCs w:val="20"/>
              </w:rPr>
            </w:pPr>
            <w:r w:rsidRPr="006C2CD7">
              <w:rPr>
                <w:sz w:val="20"/>
                <w:szCs w:val="20"/>
              </w:rPr>
              <w:t>5.1.</w:t>
            </w:r>
          </w:p>
        </w:tc>
        <w:tc>
          <w:tcPr>
            <w:tcW w:w="4885" w:type="dxa"/>
            <w:tcBorders>
              <w:top w:val="single" w:sz="6" w:space="0" w:color="DEDFE3"/>
              <w:left w:val="single" w:sz="6" w:space="0" w:color="DEDFE3"/>
              <w:bottom w:val="single" w:sz="6" w:space="0" w:color="DEDFE3"/>
              <w:right w:val="single" w:sz="6" w:space="0" w:color="DEDFE3"/>
            </w:tcBorders>
            <w:shd w:val="clear" w:color="auto" w:fill="F1EEF5"/>
            <w:tcMar>
              <w:top w:w="120" w:type="dxa"/>
              <w:left w:w="225" w:type="dxa"/>
              <w:bottom w:w="120" w:type="dxa"/>
              <w:right w:w="225" w:type="dxa"/>
            </w:tcMar>
          </w:tcPr>
          <w:p w14:paraId="3A976003" w14:textId="77777777" w:rsidR="0029728A" w:rsidRPr="006C2CD7" w:rsidRDefault="0029728A" w:rsidP="00CF7892">
            <w:pPr>
              <w:spacing w:after="0"/>
              <w:rPr>
                <w:sz w:val="20"/>
                <w:szCs w:val="20"/>
              </w:rPr>
            </w:pPr>
            <w:r w:rsidRPr="006C2CD7">
              <w:rPr>
                <w:sz w:val="20"/>
                <w:szCs w:val="20"/>
              </w:rPr>
              <w:t>Rīgas Stradiņa universitātes Sarkanā Krusta medicīnas koledža</w:t>
            </w:r>
          </w:p>
        </w:tc>
        <w:tc>
          <w:tcPr>
            <w:tcW w:w="1638" w:type="dxa"/>
            <w:tcBorders>
              <w:top w:val="single" w:sz="6" w:space="0" w:color="DEDFE3"/>
              <w:left w:val="single" w:sz="6" w:space="0" w:color="DEDFE3"/>
              <w:bottom w:val="single" w:sz="6" w:space="0" w:color="DEDFE3"/>
              <w:right w:val="single" w:sz="6" w:space="0" w:color="DEDFE3"/>
            </w:tcBorders>
            <w:shd w:val="clear" w:color="auto" w:fill="F1EEF5"/>
            <w:tcMar>
              <w:top w:w="120" w:type="dxa"/>
              <w:left w:w="225" w:type="dxa"/>
              <w:bottom w:w="120" w:type="dxa"/>
              <w:right w:w="225" w:type="dxa"/>
            </w:tcMar>
          </w:tcPr>
          <w:p w14:paraId="5C4B1F11" w14:textId="77777777" w:rsidR="0029728A" w:rsidRPr="006C2CD7" w:rsidRDefault="0029728A" w:rsidP="00CF7892">
            <w:pPr>
              <w:spacing w:after="0"/>
              <w:rPr>
                <w:sz w:val="20"/>
                <w:szCs w:val="20"/>
              </w:rPr>
            </w:pPr>
            <w:r w:rsidRPr="006C2CD7">
              <w:rPr>
                <w:sz w:val="20"/>
                <w:szCs w:val="20"/>
              </w:rPr>
              <w:t>RSU SKMK</w:t>
            </w:r>
          </w:p>
        </w:tc>
      </w:tr>
      <w:tr w:rsidR="00037DA0" w:rsidRPr="006C2CD7" w14:paraId="29D0FBA7" w14:textId="77777777" w:rsidTr="009D533D">
        <w:trPr>
          <w:gridAfter w:val="1"/>
          <w:wAfter w:w="14" w:type="dxa"/>
          <w:trHeight w:val="20"/>
          <w:jc w:val="center"/>
        </w:trPr>
        <w:tc>
          <w:tcPr>
            <w:tcW w:w="1508" w:type="dxa"/>
            <w:tcBorders>
              <w:top w:val="single" w:sz="6" w:space="0" w:color="DEDFE3"/>
              <w:left w:val="single" w:sz="6" w:space="0" w:color="DEDFE3"/>
              <w:bottom w:val="single" w:sz="6" w:space="0" w:color="DEDFE3"/>
              <w:right w:val="single" w:sz="6" w:space="0" w:color="DEDFE3"/>
            </w:tcBorders>
            <w:shd w:val="clear" w:color="auto" w:fill="auto"/>
            <w:tcMar>
              <w:top w:w="120" w:type="dxa"/>
              <w:left w:w="225" w:type="dxa"/>
              <w:bottom w:w="120" w:type="dxa"/>
              <w:right w:w="225" w:type="dxa"/>
            </w:tcMar>
            <w:hideMark/>
          </w:tcPr>
          <w:p w14:paraId="47B603F8" w14:textId="77777777" w:rsidR="0029728A" w:rsidRPr="006C2CD7" w:rsidRDefault="0029728A" w:rsidP="00CF7892">
            <w:pPr>
              <w:spacing w:after="0"/>
              <w:rPr>
                <w:sz w:val="20"/>
                <w:szCs w:val="20"/>
              </w:rPr>
            </w:pPr>
            <w:r w:rsidRPr="006C2CD7">
              <w:rPr>
                <w:sz w:val="20"/>
                <w:szCs w:val="20"/>
              </w:rPr>
              <w:t>6.</w:t>
            </w:r>
          </w:p>
        </w:tc>
        <w:tc>
          <w:tcPr>
            <w:tcW w:w="4885" w:type="dxa"/>
            <w:tcBorders>
              <w:top w:val="single" w:sz="6" w:space="0" w:color="DEDFE3"/>
              <w:left w:val="single" w:sz="6" w:space="0" w:color="DEDFE3"/>
              <w:bottom w:val="single" w:sz="6" w:space="0" w:color="DEDFE3"/>
              <w:right w:val="single" w:sz="6" w:space="0" w:color="DEDFE3"/>
            </w:tcBorders>
            <w:shd w:val="clear" w:color="auto" w:fill="auto"/>
            <w:tcMar>
              <w:top w:w="120" w:type="dxa"/>
              <w:left w:w="225" w:type="dxa"/>
              <w:bottom w:w="120" w:type="dxa"/>
              <w:right w:w="225" w:type="dxa"/>
            </w:tcMar>
            <w:hideMark/>
          </w:tcPr>
          <w:p w14:paraId="2CC316BD" w14:textId="77777777" w:rsidR="0029728A" w:rsidRPr="006C2CD7" w:rsidRDefault="0029728A" w:rsidP="00CF7892">
            <w:pPr>
              <w:spacing w:after="0"/>
              <w:rPr>
                <w:sz w:val="20"/>
                <w:szCs w:val="20"/>
              </w:rPr>
            </w:pPr>
            <w:r w:rsidRPr="006C2CD7">
              <w:rPr>
                <w:sz w:val="20"/>
                <w:szCs w:val="20"/>
              </w:rPr>
              <w:t>Liepājas Universitāte</w:t>
            </w:r>
          </w:p>
        </w:tc>
        <w:tc>
          <w:tcPr>
            <w:tcW w:w="1638" w:type="dxa"/>
            <w:tcBorders>
              <w:top w:val="single" w:sz="6" w:space="0" w:color="DEDFE3"/>
              <w:left w:val="single" w:sz="6" w:space="0" w:color="DEDFE3"/>
              <w:bottom w:val="single" w:sz="6" w:space="0" w:color="DEDFE3"/>
              <w:right w:val="single" w:sz="6" w:space="0" w:color="DEDFE3"/>
            </w:tcBorders>
            <w:shd w:val="clear" w:color="auto" w:fill="auto"/>
            <w:tcMar>
              <w:top w:w="120" w:type="dxa"/>
              <w:left w:w="225" w:type="dxa"/>
              <w:bottom w:w="120" w:type="dxa"/>
              <w:right w:w="225" w:type="dxa"/>
            </w:tcMar>
            <w:hideMark/>
          </w:tcPr>
          <w:p w14:paraId="534C1BBD" w14:textId="77777777" w:rsidR="0029728A" w:rsidRPr="006C2CD7" w:rsidRDefault="0029728A" w:rsidP="00CF7892">
            <w:pPr>
              <w:spacing w:after="0"/>
              <w:rPr>
                <w:sz w:val="20"/>
                <w:szCs w:val="20"/>
              </w:rPr>
            </w:pPr>
            <w:r w:rsidRPr="006C2CD7">
              <w:rPr>
                <w:sz w:val="20"/>
                <w:szCs w:val="20"/>
              </w:rPr>
              <w:t>LiepU</w:t>
            </w:r>
          </w:p>
        </w:tc>
      </w:tr>
      <w:tr w:rsidR="00037DA0" w:rsidRPr="006C2CD7" w14:paraId="1663D117" w14:textId="77777777" w:rsidTr="009D533D">
        <w:trPr>
          <w:gridAfter w:val="1"/>
          <w:wAfter w:w="14" w:type="dxa"/>
          <w:trHeight w:val="20"/>
          <w:jc w:val="center"/>
        </w:trPr>
        <w:tc>
          <w:tcPr>
            <w:tcW w:w="1508" w:type="dxa"/>
            <w:tcBorders>
              <w:top w:val="single" w:sz="6" w:space="0" w:color="DEDFE3"/>
              <w:left w:val="single" w:sz="6" w:space="0" w:color="DEDFE3"/>
              <w:bottom w:val="single" w:sz="6" w:space="0" w:color="DEDFE3"/>
              <w:right w:val="single" w:sz="6" w:space="0" w:color="DEDFE3"/>
            </w:tcBorders>
            <w:shd w:val="clear" w:color="auto" w:fill="F1EEF5"/>
            <w:tcMar>
              <w:top w:w="120" w:type="dxa"/>
              <w:left w:w="225" w:type="dxa"/>
              <w:bottom w:w="120" w:type="dxa"/>
              <w:right w:w="225" w:type="dxa"/>
            </w:tcMar>
            <w:hideMark/>
          </w:tcPr>
          <w:p w14:paraId="5152EEEA" w14:textId="77777777" w:rsidR="0029728A" w:rsidRPr="006C2CD7" w:rsidRDefault="0029728A" w:rsidP="00CF7892">
            <w:pPr>
              <w:spacing w:after="0"/>
              <w:rPr>
                <w:sz w:val="20"/>
                <w:szCs w:val="20"/>
              </w:rPr>
            </w:pPr>
            <w:r w:rsidRPr="006C2CD7">
              <w:rPr>
                <w:sz w:val="20"/>
                <w:szCs w:val="20"/>
              </w:rPr>
              <w:t>7.</w:t>
            </w:r>
          </w:p>
        </w:tc>
        <w:tc>
          <w:tcPr>
            <w:tcW w:w="4885" w:type="dxa"/>
            <w:tcBorders>
              <w:top w:val="single" w:sz="6" w:space="0" w:color="DEDFE3"/>
              <w:left w:val="single" w:sz="6" w:space="0" w:color="DEDFE3"/>
              <w:bottom w:val="single" w:sz="6" w:space="0" w:color="DEDFE3"/>
              <w:right w:val="single" w:sz="6" w:space="0" w:color="DEDFE3"/>
            </w:tcBorders>
            <w:shd w:val="clear" w:color="auto" w:fill="F1EEF5"/>
            <w:tcMar>
              <w:top w:w="120" w:type="dxa"/>
              <w:left w:w="225" w:type="dxa"/>
              <w:bottom w:w="120" w:type="dxa"/>
              <w:right w:w="225" w:type="dxa"/>
            </w:tcMar>
            <w:hideMark/>
          </w:tcPr>
          <w:p w14:paraId="75A45827" w14:textId="77777777" w:rsidR="0029728A" w:rsidRPr="006C2CD7" w:rsidRDefault="0029728A" w:rsidP="00CF7892">
            <w:pPr>
              <w:spacing w:after="0"/>
              <w:rPr>
                <w:sz w:val="20"/>
                <w:szCs w:val="20"/>
              </w:rPr>
            </w:pPr>
            <w:r w:rsidRPr="006C2CD7">
              <w:rPr>
                <w:sz w:val="20"/>
                <w:szCs w:val="20"/>
              </w:rPr>
              <w:t>Latvijas Kultūras akadēmija</w:t>
            </w:r>
          </w:p>
        </w:tc>
        <w:tc>
          <w:tcPr>
            <w:tcW w:w="1638" w:type="dxa"/>
            <w:tcBorders>
              <w:top w:val="single" w:sz="6" w:space="0" w:color="DEDFE3"/>
              <w:left w:val="single" w:sz="6" w:space="0" w:color="DEDFE3"/>
              <w:bottom w:val="single" w:sz="6" w:space="0" w:color="DEDFE3"/>
              <w:right w:val="single" w:sz="6" w:space="0" w:color="DEDFE3"/>
            </w:tcBorders>
            <w:shd w:val="clear" w:color="auto" w:fill="F1EEF5"/>
            <w:tcMar>
              <w:top w:w="120" w:type="dxa"/>
              <w:left w:w="225" w:type="dxa"/>
              <w:bottom w:w="120" w:type="dxa"/>
              <w:right w:w="225" w:type="dxa"/>
            </w:tcMar>
            <w:hideMark/>
          </w:tcPr>
          <w:p w14:paraId="3CD6C582" w14:textId="74655DDB" w:rsidR="0029728A" w:rsidRPr="006C2CD7" w:rsidRDefault="0029728A" w:rsidP="00CF7892">
            <w:pPr>
              <w:spacing w:after="0"/>
              <w:rPr>
                <w:sz w:val="20"/>
                <w:szCs w:val="20"/>
              </w:rPr>
            </w:pPr>
            <w:r w:rsidRPr="006C2CD7">
              <w:rPr>
                <w:sz w:val="20"/>
                <w:szCs w:val="20"/>
              </w:rPr>
              <w:t>LKA</w:t>
            </w:r>
          </w:p>
        </w:tc>
      </w:tr>
      <w:tr w:rsidR="00037DA0" w:rsidRPr="006C2CD7" w14:paraId="3C286A42" w14:textId="77777777" w:rsidTr="009D533D">
        <w:trPr>
          <w:gridAfter w:val="1"/>
          <w:wAfter w:w="14" w:type="dxa"/>
          <w:trHeight w:val="20"/>
          <w:jc w:val="center"/>
        </w:trPr>
        <w:tc>
          <w:tcPr>
            <w:tcW w:w="1508" w:type="dxa"/>
            <w:tcBorders>
              <w:top w:val="single" w:sz="6" w:space="0" w:color="DEDFE3"/>
              <w:left w:val="single" w:sz="6" w:space="0" w:color="DEDFE3"/>
              <w:bottom w:val="single" w:sz="6" w:space="0" w:color="DEDFE3"/>
              <w:right w:val="single" w:sz="6" w:space="0" w:color="DEDFE3"/>
            </w:tcBorders>
            <w:shd w:val="clear" w:color="auto" w:fill="auto"/>
            <w:tcMar>
              <w:top w:w="120" w:type="dxa"/>
              <w:left w:w="225" w:type="dxa"/>
              <w:bottom w:w="120" w:type="dxa"/>
              <w:right w:w="225" w:type="dxa"/>
            </w:tcMar>
          </w:tcPr>
          <w:p w14:paraId="0E591010" w14:textId="77777777" w:rsidR="0029728A" w:rsidRPr="006C2CD7" w:rsidRDefault="0029728A" w:rsidP="00CF7892">
            <w:pPr>
              <w:spacing w:after="0"/>
              <w:ind w:left="720" w:hanging="386"/>
              <w:rPr>
                <w:sz w:val="20"/>
                <w:szCs w:val="20"/>
              </w:rPr>
            </w:pPr>
            <w:r w:rsidRPr="006C2CD7">
              <w:rPr>
                <w:sz w:val="20"/>
                <w:szCs w:val="20"/>
              </w:rPr>
              <w:t>7.1.</w:t>
            </w:r>
          </w:p>
        </w:tc>
        <w:tc>
          <w:tcPr>
            <w:tcW w:w="4885" w:type="dxa"/>
            <w:tcBorders>
              <w:top w:val="single" w:sz="6" w:space="0" w:color="DEDFE3"/>
              <w:left w:val="single" w:sz="6" w:space="0" w:color="DEDFE3"/>
              <w:bottom w:val="single" w:sz="6" w:space="0" w:color="DEDFE3"/>
              <w:right w:val="single" w:sz="6" w:space="0" w:color="DEDFE3"/>
            </w:tcBorders>
            <w:shd w:val="clear" w:color="auto" w:fill="auto"/>
            <w:tcMar>
              <w:top w:w="120" w:type="dxa"/>
              <w:left w:w="225" w:type="dxa"/>
              <w:bottom w:w="120" w:type="dxa"/>
              <w:right w:w="225" w:type="dxa"/>
            </w:tcMar>
          </w:tcPr>
          <w:p w14:paraId="09C9EBD7" w14:textId="77777777" w:rsidR="0029728A" w:rsidRPr="006C2CD7" w:rsidRDefault="0029728A" w:rsidP="00CF7892">
            <w:pPr>
              <w:spacing w:after="0"/>
              <w:rPr>
                <w:sz w:val="20"/>
                <w:szCs w:val="20"/>
              </w:rPr>
            </w:pPr>
            <w:r w:rsidRPr="006C2CD7">
              <w:rPr>
                <w:sz w:val="20"/>
                <w:szCs w:val="20"/>
              </w:rPr>
              <w:t xml:space="preserve">Latvijas Kultūras akadēmijas </w:t>
            </w:r>
            <w:r w:rsidRPr="002A588F">
              <w:rPr>
                <w:sz w:val="20"/>
                <w:szCs w:val="20"/>
              </w:rPr>
              <w:t>Latvijas Kultūras koledža</w:t>
            </w:r>
          </w:p>
        </w:tc>
        <w:tc>
          <w:tcPr>
            <w:tcW w:w="1638" w:type="dxa"/>
            <w:tcBorders>
              <w:top w:val="single" w:sz="6" w:space="0" w:color="DEDFE3"/>
              <w:left w:val="single" w:sz="6" w:space="0" w:color="DEDFE3"/>
              <w:bottom w:val="single" w:sz="6" w:space="0" w:color="DEDFE3"/>
              <w:right w:val="single" w:sz="6" w:space="0" w:color="DEDFE3"/>
            </w:tcBorders>
            <w:shd w:val="clear" w:color="auto" w:fill="auto"/>
            <w:tcMar>
              <w:top w:w="120" w:type="dxa"/>
              <w:left w:w="225" w:type="dxa"/>
              <w:bottom w:w="120" w:type="dxa"/>
              <w:right w:w="225" w:type="dxa"/>
            </w:tcMar>
          </w:tcPr>
          <w:p w14:paraId="22694929" w14:textId="6FCEA33A" w:rsidR="0029728A" w:rsidRPr="006C2CD7" w:rsidRDefault="0029728A" w:rsidP="00CF7892">
            <w:pPr>
              <w:spacing w:after="0"/>
              <w:rPr>
                <w:sz w:val="20"/>
                <w:szCs w:val="20"/>
              </w:rPr>
            </w:pPr>
            <w:r w:rsidRPr="006C2CD7">
              <w:rPr>
                <w:sz w:val="20"/>
                <w:szCs w:val="20"/>
              </w:rPr>
              <w:t>LKA LKK</w:t>
            </w:r>
          </w:p>
        </w:tc>
      </w:tr>
      <w:tr w:rsidR="00037DA0" w:rsidRPr="006C2CD7" w14:paraId="324D55AC" w14:textId="77777777" w:rsidTr="009D533D">
        <w:trPr>
          <w:gridAfter w:val="1"/>
          <w:wAfter w:w="14" w:type="dxa"/>
          <w:trHeight w:val="20"/>
          <w:jc w:val="center"/>
        </w:trPr>
        <w:tc>
          <w:tcPr>
            <w:tcW w:w="1508" w:type="dxa"/>
            <w:tcBorders>
              <w:top w:val="single" w:sz="6" w:space="0" w:color="DEDFE3"/>
              <w:left w:val="single" w:sz="6" w:space="0" w:color="DEDFE3"/>
              <w:bottom w:val="single" w:sz="6" w:space="0" w:color="DEDFE3"/>
              <w:right w:val="single" w:sz="6" w:space="0" w:color="DEDFE3"/>
            </w:tcBorders>
            <w:shd w:val="clear" w:color="auto" w:fill="F1EEF5"/>
            <w:tcMar>
              <w:top w:w="120" w:type="dxa"/>
              <w:left w:w="225" w:type="dxa"/>
              <w:bottom w:w="120" w:type="dxa"/>
              <w:right w:w="225" w:type="dxa"/>
            </w:tcMar>
            <w:hideMark/>
          </w:tcPr>
          <w:p w14:paraId="758140F0" w14:textId="77777777" w:rsidR="0029728A" w:rsidRPr="006C2CD7" w:rsidRDefault="0029728A" w:rsidP="00CF7892">
            <w:pPr>
              <w:spacing w:after="0"/>
              <w:rPr>
                <w:sz w:val="20"/>
                <w:szCs w:val="20"/>
              </w:rPr>
            </w:pPr>
            <w:r w:rsidRPr="006C2CD7">
              <w:rPr>
                <w:sz w:val="20"/>
                <w:szCs w:val="20"/>
              </w:rPr>
              <w:t>8.</w:t>
            </w:r>
          </w:p>
        </w:tc>
        <w:tc>
          <w:tcPr>
            <w:tcW w:w="4885" w:type="dxa"/>
            <w:tcBorders>
              <w:top w:val="single" w:sz="6" w:space="0" w:color="DEDFE3"/>
              <w:left w:val="single" w:sz="6" w:space="0" w:color="DEDFE3"/>
              <w:bottom w:val="single" w:sz="6" w:space="0" w:color="DEDFE3"/>
              <w:right w:val="single" w:sz="6" w:space="0" w:color="DEDFE3"/>
            </w:tcBorders>
            <w:shd w:val="clear" w:color="auto" w:fill="F1EEF5"/>
            <w:tcMar>
              <w:top w:w="120" w:type="dxa"/>
              <w:left w:w="225" w:type="dxa"/>
              <w:bottom w:w="120" w:type="dxa"/>
              <w:right w:w="225" w:type="dxa"/>
            </w:tcMar>
            <w:hideMark/>
          </w:tcPr>
          <w:p w14:paraId="7AA524A8" w14:textId="77777777" w:rsidR="0029728A" w:rsidRPr="006C2CD7" w:rsidRDefault="0029728A" w:rsidP="00CF7892">
            <w:pPr>
              <w:spacing w:after="0"/>
              <w:rPr>
                <w:sz w:val="20"/>
                <w:szCs w:val="20"/>
              </w:rPr>
            </w:pPr>
            <w:r w:rsidRPr="006C2CD7">
              <w:rPr>
                <w:sz w:val="20"/>
                <w:szCs w:val="20"/>
              </w:rPr>
              <w:t>Latvijas Mākslas akadēmija</w:t>
            </w:r>
          </w:p>
        </w:tc>
        <w:tc>
          <w:tcPr>
            <w:tcW w:w="1638" w:type="dxa"/>
            <w:tcBorders>
              <w:top w:val="single" w:sz="6" w:space="0" w:color="DEDFE3"/>
              <w:left w:val="single" w:sz="6" w:space="0" w:color="DEDFE3"/>
              <w:bottom w:val="single" w:sz="6" w:space="0" w:color="DEDFE3"/>
              <w:right w:val="single" w:sz="6" w:space="0" w:color="DEDFE3"/>
            </w:tcBorders>
            <w:shd w:val="clear" w:color="auto" w:fill="F1EEF5"/>
            <w:tcMar>
              <w:top w:w="120" w:type="dxa"/>
              <w:left w:w="225" w:type="dxa"/>
              <w:bottom w:w="120" w:type="dxa"/>
              <w:right w:w="225" w:type="dxa"/>
            </w:tcMar>
            <w:hideMark/>
          </w:tcPr>
          <w:p w14:paraId="2C7C2968" w14:textId="77777777" w:rsidR="0029728A" w:rsidRPr="006C2CD7" w:rsidRDefault="0029728A" w:rsidP="00CF7892">
            <w:pPr>
              <w:spacing w:after="0"/>
              <w:rPr>
                <w:sz w:val="20"/>
                <w:szCs w:val="20"/>
              </w:rPr>
            </w:pPr>
            <w:r w:rsidRPr="006C2CD7">
              <w:rPr>
                <w:sz w:val="20"/>
                <w:szCs w:val="20"/>
              </w:rPr>
              <w:t>LMA</w:t>
            </w:r>
          </w:p>
        </w:tc>
      </w:tr>
      <w:tr w:rsidR="00037DA0" w:rsidRPr="006C2CD7" w14:paraId="76AE24AB" w14:textId="77777777" w:rsidTr="009D533D">
        <w:trPr>
          <w:gridAfter w:val="1"/>
          <w:wAfter w:w="14" w:type="dxa"/>
          <w:trHeight w:val="20"/>
          <w:jc w:val="center"/>
        </w:trPr>
        <w:tc>
          <w:tcPr>
            <w:tcW w:w="1508" w:type="dxa"/>
            <w:tcBorders>
              <w:top w:val="single" w:sz="6" w:space="0" w:color="DEDFE3"/>
              <w:left w:val="single" w:sz="6" w:space="0" w:color="DEDFE3"/>
              <w:bottom w:val="single" w:sz="6" w:space="0" w:color="DEDFE3"/>
              <w:right w:val="single" w:sz="6" w:space="0" w:color="DEDFE3"/>
            </w:tcBorders>
            <w:shd w:val="clear" w:color="auto" w:fill="auto"/>
            <w:tcMar>
              <w:top w:w="120" w:type="dxa"/>
              <w:left w:w="225" w:type="dxa"/>
              <w:bottom w:w="120" w:type="dxa"/>
              <w:right w:w="225" w:type="dxa"/>
            </w:tcMar>
            <w:hideMark/>
          </w:tcPr>
          <w:p w14:paraId="5BDC679F" w14:textId="77777777" w:rsidR="0029728A" w:rsidRPr="006C2CD7" w:rsidRDefault="0029728A" w:rsidP="00CF7892">
            <w:pPr>
              <w:spacing w:after="0"/>
              <w:rPr>
                <w:sz w:val="20"/>
                <w:szCs w:val="20"/>
              </w:rPr>
            </w:pPr>
            <w:r w:rsidRPr="006C2CD7">
              <w:rPr>
                <w:sz w:val="20"/>
                <w:szCs w:val="20"/>
              </w:rPr>
              <w:lastRenderedPageBreak/>
              <w:t>9.</w:t>
            </w:r>
          </w:p>
        </w:tc>
        <w:tc>
          <w:tcPr>
            <w:tcW w:w="4885" w:type="dxa"/>
            <w:tcBorders>
              <w:top w:val="single" w:sz="6" w:space="0" w:color="DEDFE3"/>
              <w:left w:val="single" w:sz="6" w:space="0" w:color="DEDFE3"/>
              <w:bottom w:val="single" w:sz="6" w:space="0" w:color="DEDFE3"/>
              <w:right w:val="single" w:sz="6" w:space="0" w:color="DEDFE3"/>
            </w:tcBorders>
            <w:shd w:val="clear" w:color="auto" w:fill="auto"/>
            <w:tcMar>
              <w:top w:w="120" w:type="dxa"/>
              <w:left w:w="225" w:type="dxa"/>
              <w:bottom w:w="120" w:type="dxa"/>
              <w:right w:w="225" w:type="dxa"/>
            </w:tcMar>
            <w:hideMark/>
          </w:tcPr>
          <w:p w14:paraId="31802B2F" w14:textId="77777777" w:rsidR="0029728A" w:rsidRPr="006C2CD7" w:rsidRDefault="0029728A" w:rsidP="00CF7892">
            <w:pPr>
              <w:spacing w:after="0"/>
              <w:rPr>
                <w:sz w:val="20"/>
                <w:szCs w:val="20"/>
              </w:rPr>
            </w:pPr>
            <w:r w:rsidRPr="006C2CD7">
              <w:rPr>
                <w:sz w:val="20"/>
                <w:szCs w:val="20"/>
              </w:rPr>
              <w:t>J. Vītola Latvijas Mūzikas akadēmija</w:t>
            </w:r>
          </w:p>
        </w:tc>
        <w:tc>
          <w:tcPr>
            <w:tcW w:w="1638" w:type="dxa"/>
            <w:tcBorders>
              <w:top w:val="single" w:sz="6" w:space="0" w:color="DEDFE3"/>
              <w:left w:val="single" w:sz="6" w:space="0" w:color="DEDFE3"/>
              <w:bottom w:val="single" w:sz="6" w:space="0" w:color="DEDFE3"/>
              <w:right w:val="single" w:sz="6" w:space="0" w:color="DEDFE3"/>
            </w:tcBorders>
            <w:shd w:val="clear" w:color="auto" w:fill="auto"/>
            <w:tcMar>
              <w:top w:w="120" w:type="dxa"/>
              <w:left w:w="225" w:type="dxa"/>
              <w:bottom w:w="120" w:type="dxa"/>
              <w:right w:w="225" w:type="dxa"/>
            </w:tcMar>
            <w:hideMark/>
          </w:tcPr>
          <w:p w14:paraId="1D057D8C" w14:textId="77777777" w:rsidR="0029728A" w:rsidRPr="006C2CD7" w:rsidRDefault="0029728A" w:rsidP="00CF7892">
            <w:pPr>
              <w:spacing w:after="0"/>
              <w:rPr>
                <w:sz w:val="20"/>
                <w:szCs w:val="20"/>
              </w:rPr>
            </w:pPr>
            <w:r w:rsidRPr="006C2CD7">
              <w:rPr>
                <w:sz w:val="20"/>
                <w:szCs w:val="20"/>
              </w:rPr>
              <w:t>JVLMA</w:t>
            </w:r>
          </w:p>
        </w:tc>
      </w:tr>
      <w:tr w:rsidR="00037DA0" w:rsidRPr="006C2CD7" w14:paraId="516EB597" w14:textId="77777777" w:rsidTr="009D533D">
        <w:trPr>
          <w:gridAfter w:val="1"/>
          <w:wAfter w:w="14" w:type="dxa"/>
          <w:trHeight w:val="20"/>
          <w:jc w:val="center"/>
        </w:trPr>
        <w:tc>
          <w:tcPr>
            <w:tcW w:w="1508" w:type="dxa"/>
            <w:tcBorders>
              <w:top w:val="single" w:sz="6" w:space="0" w:color="DEDFE3"/>
              <w:left w:val="single" w:sz="6" w:space="0" w:color="DEDFE3"/>
              <w:bottom w:val="single" w:sz="6" w:space="0" w:color="DEDFE3"/>
              <w:right w:val="single" w:sz="6" w:space="0" w:color="DEDFE3"/>
            </w:tcBorders>
            <w:shd w:val="clear" w:color="auto" w:fill="F1EEF5"/>
            <w:tcMar>
              <w:top w:w="120" w:type="dxa"/>
              <w:left w:w="225" w:type="dxa"/>
              <w:bottom w:w="120" w:type="dxa"/>
              <w:right w:w="225" w:type="dxa"/>
            </w:tcMar>
            <w:hideMark/>
          </w:tcPr>
          <w:p w14:paraId="11C1B8E6" w14:textId="77777777" w:rsidR="0029728A" w:rsidRPr="006C2CD7" w:rsidRDefault="0029728A" w:rsidP="00CF7892">
            <w:pPr>
              <w:spacing w:after="0"/>
              <w:rPr>
                <w:sz w:val="20"/>
                <w:szCs w:val="20"/>
              </w:rPr>
            </w:pPr>
            <w:r w:rsidRPr="006C2CD7">
              <w:rPr>
                <w:sz w:val="20"/>
                <w:szCs w:val="20"/>
              </w:rPr>
              <w:t>10.</w:t>
            </w:r>
          </w:p>
        </w:tc>
        <w:tc>
          <w:tcPr>
            <w:tcW w:w="4885" w:type="dxa"/>
            <w:tcBorders>
              <w:top w:val="single" w:sz="6" w:space="0" w:color="DEDFE3"/>
              <w:left w:val="single" w:sz="6" w:space="0" w:color="DEDFE3"/>
              <w:bottom w:val="single" w:sz="6" w:space="0" w:color="DEDFE3"/>
              <w:right w:val="single" w:sz="6" w:space="0" w:color="DEDFE3"/>
            </w:tcBorders>
            <w:shd w:val="clear" w:color="auto" w:fill="F1EEF5"/>
            <w:tcMar>
              <w:top w:w="120" w:type="dxa"/>
              <w:left w:w="225" w:type="dxa"/>
              <w:bottom w:w="120" w:type="dxa"/>
              <w:right w:w="225" w:type="dxa"/>
            </w:tcMar>
            <w:hideMark/>
          </w:tcPr>
          <w:p w14:paraId="4FDEFDEF" w14:textId="77777777" w:rsidR="0029728A" w:rsidRPr="006C2CD7" w:rsidRDefault="0029728A" w:rsidP="00CF7892">
            <w:pPr>
              <w:spacing w:after="0"/>
              <w:rPr>
                <w:sz w:val="20"/>
                <w:szCs w:val="20"/>
              </w:rPr>
            </w:pPr>
            <w:r w:rsidRPr="006C2CD7">
              <w:rPr>
                <w:sz w:val="20"/>
                <w:szCs w:val="20"/>
              </w:rPr>
              <w:t>Latvijas Sporta pedagoģijas akadēmija</w:t>
            </w:r>
          </w:p>
        </w:tc>
        <w:tc>
          <w:tcPr>
            <w:tcW w:w="1638" w:type="dxa"/>
            <w:tcBorders>
              <w:top w:val="single" w:sz="6" w:space="0" w:color="DEDFE3"/>
              <w:left w:val="single" w:sz="6" w:space="0" w:color="DEDFE3"/>
              <w:bottom w:val="single" w:sz="6" w:space="0" w:color="DEDFE3"/>
              <w:right w:val="single" w:sz="6" w:space="0" w:color="DEDFE3"/>
            </w:tcBorders>
            <w:shd w:val="clear" w:color="auto" w:fill="F1EEF5"/>
            <w:tcMar>
              <w:top w:w="120" w:type="dxa"/>
              <w:left w:w="225" w:type="dxa"/>
              <w:bottom w:w="120" w:type="dxa"/>
              <w:right w:w="225" w:type="dxa"/>
            </w:tcMar>
            <w:hideMark/>
          </w:tcPr>
          <w:p w14:paraId="38C0A45F" w14:textId="77777777" w:rsidR="0029728A" w:rsidRPr="006C2CD7" w:rsidRDefault="0029728A" w:rsidP="00CF7892">
            <w:pPr>
              <w:spacing w:after="0"/>
              <w:rPr>
                <w:sz w:val="20"/>
                <w:szCs w:val="20"/>
              </w:rPr>
            </w:pPr>
            <w:r w:rsidRPr="006C2CD7">
              <w:rPr>
                <w:sz w:val="20"/>
                <w:szCs w:val="20"/>
              </w:rPr>
              <w:t>LSPA</w:t>
            </w:r>
          </w:p>
        </w:tc>
      </w:tr>
      <w:tr w:rsidR="00037DA0" w:rsidRPr="006C2CD7" w14:paraId="6CB5C9AC" w14:textId="77777777" w:rsidTr="009D533D">
        <w:trPr>
          <w:gridAfter w:val="1"/>
          <w:wAfter w:w="14" w:type="dxa"/>
          <w:trHeight w:val="20"/>
          <w:jc w:val="center"/>
        </w:trPr>
        <w:tc>
          <w:tcPr>
            <w:tcW w:w="1508" w:type="dxa"/>
            <w:tcBorders>
              <w:top w:val="single" w:sz="6" w:space="0" w:color="DEDFE3"/>
              <w:left w:val="single" w:sz="6" w:space="0" w:color="DEDFE3"/>
              <w:bottom w:val="single" w:sz="6" w:space="0" w:color="DEDFE3"/>
              <w:right w:val="single" w:sz="6" w:space="0" w:color="DEDFE3"/>
            </w:tcBorders>
            <w:shd w:val="clear" w:color="auto" w:fill="auto"/>
            <w:tcMar>
              <w:top w:w="120" w:type="dxa"/>
              <w:left w:w="225" w:type="dxa"/>
              <w:bottom w:w="120" w:type="dxa"/>
              <w:right w:w="225" w:type="dxa"/>
            </w:tcMar>
            <w:hideMark/>
          </w:tcPr>
          <w:p w14:paraId="1F393CF8" w14:textId="77777777" w:rsidR="0029728A" w:rsidRPr="006C2CD7" w:rsidRDefault="0029728A" w:rsidP="00CF7892">
            <w:pPr>
              <w:spacing w:after="0"/>
              <w:rPr>
                <w:sz w:val="20"/>
                <w:szCs w:val="20"/>
              </w:rPr>
            </w:pPr>
            <w:r w:rsidRPr="006C2CD7">
              <w:rPr>
                <w:sz w:val="20"/>
                <w:szCs w:val="20"/>
              </w:rPr>
              <w:t>11.</w:t>
            </w:r>
          </w:p>
        </w:tc>
        <w:tc>
          <w:tcPr>
            <w:tcW w:w="4885" w:type="dxa"/>
            <w:tcBorders>
              <w:top w:val="single" w:sz="6" w:space="0" w:color="DEDFE3"/>
              <w:left w:val="single" w:sz="6" w:space="0" w:color="DEDFE3"/>
              <w:bottom w:val="single" w:sz="6" w:space="0" w:color="DEDFE3"/>
              <w:right w:val="single" w:sz="6" w:space="0" w:color="DEDFE3"/>
            </w:tcBorders>
            <w:shd w:val="clear" w:color="auto" w:fill="auto"/>
            <w:tcMar>
              <w:top w:w="120" w:type="dxa"/>
              <w:left w:w="225" w:type="dxa"/>
              <w:bottom w:w="120" w:type="dxa"/>
              <w:right w:w="225" w:type="dxa"/>
            </w:tcMar>
            <w:hideMark/>
          </w:tcPr>
          <w:p w14:paraId="71E4CB22" w14:textId="77777777" w:rsidR="0029728A" w:rsidRPr="006C2CD7" w:rsidRDefault="0029728A" w:rsidP="00CF7892">
            <w:pPr>
              <w:spacing w:after="0"/>
              <w:rPr>
                <w:sz w:val="20"/>
                <w:szCs w:val="20"/>
              </w:rPr>
            </w:pPr>
            <w:r w:rsidRPr="006C2CD7">
              <w:rPr>
                <w:sz w:val="20"/>
                <w:szCs w:val="20"/>
              </w:rPr>
              <w:t>Latvijas Jūras akadēmija</w:t>
            </w:r>
          </w:p>
        </w:tc>
        <w:tc>
          <w:tcPr>
            <w:tcW w:w="1638" w:type="dxa"/>
            <w:tcBorders>
              <w:top w:val="single" w:sz="6" w:space="0" w:color="DEDFE3"/>
              <w:left w:val="single" w:sz="6" w:space="0" w:color="DEDFE3"/>
              <w:bottom w:val="single" w:sz="6" w:space="0" w:color="DEDFE3"/>
              <w:right w:val="single" w:sz="6" w:space="0" w:color="DEDFE3"/>
            </w:tcBorders>
            <w:shd w:val="clear" w:color="auto" w:fill="auto"/>
            <w:tcMar>
              <w:top w:w="120" w:type="dxa"/>
              <w:left w:w="225" w:type="dxa"/>
              <w:bottom w:w="120" w:type="dxa"/>
              <w:right w:w="225" w:type="dxa"/>
            </w:tcMar>
            <w:hideMark/>
          </w:tcPr>
          <w:p w14:paraId="7151DDC5" w14:textId="77777777" w:rsidR="0029728A" w:rsidRPr="006C2CD7" w:rsidRDefault="0029728A" w:rsidP="00CF7892">
            <w:pPr>
              <w:spacing w:after="0"/>
              <w:rPr>
                <w:sz w:val="20"/>
                <w:szCs w:val="20"/>
              </w:rPr>
            </w:pPr>
            <w:r w:rsidRPr="006C2CD7">
              <w:rPr>
                <w:sz w:val="20"/>
                <w:szCs w:val="20"/>
              </w:rPr>
              <w:t>LJA</w:t>
            </w:r>
          </w:p>
        </w:tc>
      </w:tr>
      <w:tr w:rsidR="00037DA0" w:rsidRPr="006C2CD7" w14:paraId="68ECE588" w14:textId="77777777" w:rsidTr="009D533D">
        <w:trPr>
          <w:gridAfter w:val="1"/>
          <w:wAfter w:w="14" w:type="dxa"/>
          <w:trHeight w:val="20"/>
          <w:jc w:val="center"/>
        </w:trPr>
        <w:tc>
          <w:tcPr>
            <w:tcW w:w="1508" w:type="dxa"/>
            <w:tcBorders>
              <w:top w:val="single" w:sz="6" w:space="0" w:color="DEDFE3"/>
              <w:left w:val="single" w:sz="6" w:space="0" w:color="DEDFE3"/>
              <w:bottom w:val="single" w:sz="6" w:space="0" w:color="DEDFE3"/>
              <w:right w:val="single" w:sz="6" w:space="0" w:color="DEDFE3"/>
            </w:tcBorders>
            <w:shd w:val="clear" w:color="auto" w:fill="F1EEF5"/>
            <w:tcMar>
              <w:top w:w="120" w:type="dxa"/>
              <w:left w:w="225" w:type="dxa"/>
              <w:bottom w:w="120" w:type="dxa"/>
              <w:right w:w="225" w:type="dxa"/>
            </w:tcMar>
            <w:hideMark/>
          </w:tcPr>
          <w:p w14:paraId="1506B61C" w14:textId="77777777" w:rsidR="0029728A" w:rsidRPr="006C2CD7" w:rsidRDefault="0029728A" w:rsidP="00CF7892">
            <w:pPr>
              <w:spacing w:after="0"/>
              <w:rPr>
                <w:sz w:val="20"/>
                <w:szCs w:val="20"/>
              </w:rPr>
            </w:pPr>
            <w:r w:rsidRPr="006C2CD7">
              <w:rPr>
                <w:sz w:val="20"/>
                <w:szCs w:val="20"/>
              </w:rPr>
              <w:t>12.</w:t>
            </w:r>
          </w:p>
        </w:tc>
        <w:tc>
          <w:tcPr>
            <w:tcW w:w="4885" w:type="dxa"/>
            <w:tcBorders>
              <w:top w:val="single" w:sz="6" w:space="0" w:color="DEDFE3"/>
              <w:left w:val="single" w:sz="6" w:space="0" w:color="DEDFE3"/>
              <w:bottom w:val="single" w:sz="6" w:space="0" w:color="DEDFE3"/>
              <w:right w:val="single" w:sz="6" w:space="0" w:color="DEDFE3"/>
            </w:tcBorders>
            <w:shd w:val="clear" w:color="auto" w:fill="F1EEF5"/>
            <w:tcMar>
              <w:top w:w="120" w:type="dxa"/>
              <w:left w:w="225" w:type="dxa"/>
              <w:bottom w:w="120" w:type="dxa"/>
              <w:right w:w="225" w:type="dxa"/>
            </w:tcMar>
            <w:hideMark/>
          </w:tcPr>
          <w:p w14:paraId="3D8515EE" w14:textId="77777777" w:rsidR="0029728A" w:rsidRPr="006C2CD7" w:rsidRDefault="0029728A" w:rsidP="00CF7892">
            <w:pPr>
              <w:spacing w:after="0"/>
              <w:rPr>
                <w:sz w:val="20"/>
                <w:szCs w:val="20"/>
              </w:rPr>
            </w:pPr>
            <w:r w:rsidRPr="006C2CD7">
              <w:rPr>
                <w:sz w:val="20"/>
                <w:szCs w:val="20"/>
              </w:rPr>
              <w:t>Rēzeknes Tehnoloģiju Akadēmija</w:t>
            </w:r>
          </w:p>
        </w:tc>
        <w:tc>
          <w:tcPr>
            <w:tcW w:w="1638" w:type="dxa"/>
            <w:tcBorders>
              <w:top w:val="single" w:sz="6" w:space="0" w:color="DEDFE3"/>
              <w:left w:val="single" w:sz="6" w:space="0" w:color="DEDFE3"/>
              <w:bottom w:val="single" w:sz="6" w:space="0" w:color="DEDFE3"/>
              <w:right w:val="single" w:sz="6" w:space="0" w:color="DEDFE3"/>
            </w:tcBorders>
            <w:shd w:val="clear" w:color="auto" w:fill="F1EEF5"/>
            <w:tcMar>
              <w:top w:w="120" w:type="dxa"/>
              <w:left w:w="225" w:type="dxa"/>
              <w:bottom w:w="120" w:type="dxa"/>
              <w:right w:w="225" w:type="dxa"/>
            </w:tcMar>
            <w:hideMark/>
          </w:tcPr>
          <w:p w14:paraId="35A7296C" w14:textId="77777777" w:rsidR="0029728A" w:rsidRPr="006C2CD7" w:rsidRDefault="0029728A" w:rsidP="00CF7892">
            <w:pPr>
              <w:spacing w:after="0"/>
              <w:rPr>
                <w:sz w:val="20"/>
                <w:szCs w:val="20"/>
              </w:rPr>
            </w:pPr>
            <w:r w:rsidRPr="006C2CD7">
              <w:rPr>
                <w:sz w:val="20"/>
                <w:szCs w:val="20"/>
              </w:rPr>
              <w:t>RTA</w:t>
            </w:r>
          </w:p>
        </w:tc>
      </w:tr>
      <w:tr w:rsidR="00037DA0" w:rsidRPr="006C2CD7" w14:paraId="3DCC6925" w14:textId="77777777" w:rsidTr="009D533D">
        <w:trPr>
          <w:gridAfter w:val="1"/>
          <w:wAfter w:w="14" w:type="dxa"/>
          <w:trHeight w:val="20"/>
          <w:jc w:val="center"/>
        </w:trPr>
        <w:tc>
          <w:tcPr>
            <w:tcW w:w="1508" w:type="dxa"/>
            <w:tcBorders>
              <w:top w:val="single" w:sz="6" w:space="0" w:color="DEDFE3"/>
              <w:left w:val="single" w:sz="6" w:space="0" w:color="DEDFE3"/>
              <w:bottom w:val="single" w:sz="6" w:space="0" w:color="DEDFE3"/>
              <w:right w:val="single" w:sz="6" w:space="0" w:color="DEDFE3"/>
            </w:tcBorders>
            <w:shd w:val="clear" w:color="auto" w:fill="auto"/>
            <w:tcMar>
              <w:top w:w="120" w:type="dxa"/>
              <w:left w:w="225" w:type="dxa"/>
              <w:bottom w:w="120" w:type="dxa"/>
              <w:right w:w="225" w:type="dxa"/>
            </w:tcMar>
            <w:hideMark/>
          </w:tcPr>
          <w:p w14:paraId="632E6F51" w14:textId="77777777" w:rsidR="0029728A" w:rsidRPr="006C2CD7" w:rsidRDefault="0029728A" w:rsidP="00CF7892">
            <w:pPr>
              <w:spacing w:after="0"/>
              <w:rPr>
                <w:sz w:val="20"/>
                <w:szCs w:val="20"/>
              </w:rPr>
            </w:pPr>
            <w:r w:rsidRPr="006C2CD7">
              <w:rPr>
                <w:sz w:val="20"/>
                <w:szCs w:val="20"/>
              </w:rPr>
              <w:t>13.</w:t>
            </w:r>
          </w:p>
        </w:tc>
        <w:tc>
          <w:tcPr>
            <w:tcW w:w="4885" w:type="dxa"/>
            <w:tcBorders>
              <w:top w:val="single" w:sz="6" w:space="0" w:color="DEDFE3"/>
              <w:left w:val="single" w:sz="6" w:space="0" w:color="DEDFE3"/>
              <w:bottom w:val="single" w:sz="6" w:space="0" w:color="DEDFE3"/>
              <w:right w:val="single" w:sz="6" w:space="0" w:color="DEDFE3"/>
            </w:tcBorders>
            <w:shd w:val="clear" w:color="auto" w:fill="auto"/>
            <w:tcMar>
              <w:top w:w="120" w:type="dxa"/>
              <w:left w:w="225" w:type="dxa"/>
              <w:bottom w:w="120" w:type="dxa"/>
              <w:right w:w="225" w:type="dxa"/>
            </w:tcMar>
            <w:hideMark/>
          </w:tcPr>
          <w:p w14:paraId="07715943" w14:textId="77777777" w:rsidR="0029728A" w:rsidRPr="006C2CD7" w:rsidRDefault="0029728A" w:rsidP="00CF7892">
            <w:pPr>
              <w:spacing w:after="0"/>
              <w:rPr>
                <w:sz w:val="20"/>
                <w:szCs w:val="20"/>
              </w:rPr>
            </w:pPr>
            <w:r w:rsidRPr="006C2CD7">
              <w:rPr>
                <w:sz w:val="20"/>
                <w:szCs w:val="20"/>
              </w:rPr>
              <w:t>Ventspils Augstskola</w:t>
            </w:r>
          </w:p>
        </w:tc>
        <w:tc>
          <w:tcPr>
            <w:tcW w:w="1638" w:type="dxa"/>
            <w:tcBorders>
              <w:top w:val="single" w:sz="6" w:space="0" w:color="DEDFE3"/>
              <w:left w:val="single" w:sz="6" w:space="0" w:color="DEDFE3"/>
              <w:bottom w:val="single" w:sz="6" w:space="0" w:color="DEDFE3"/>
              <w:right w:val="single" w:sz="6" w:space="0" w:color="DEDFE3"/>
            </w:tcBorders>
            <w:shd w:val="clear" w:color="auto" w:fill="auto"/>
            <w:tcMar>
              <w:top w:w="120" w:type="dxa"/>
              <w:left w:w="225" w:type="dxa"/>
              <w:bottom w:w="120" w:type="dxa"/>
              <w:right w:w="225" w:type="dxa"/>
            </w:tcMar>
            <w:hideMark/>
          </w:tcPr>
          <w:p w14:paraId="227A02DC" w14:textId="77777777" w:rsidR="0029728A" w:rsidRPr="006C2CD7" w:rsidRDefault="0029728A" w:rsidP="00CF7892">
            <w:pPr>
              <w:spacing w:after="0"/>
              <w:rPr>
                <w:sz w:val="20"/>
                <w:szCs w:val="20"/>
              </w:rPr>
            </w:pPr>
            <w:r w:rsidRPr="006C2CD7">
              <w:rPr>
                <w:sz w:val="20"/>
                <w:szCs w:val="20"/>
              </w:rPr>
              <w:t>VeA</w:t>
            </w:r>
          </w:p>
        </w:tc>
      </w:tr>
      <w:tr w:rsidR="00037DA0" w:rsidRPr="006C2CD7" w14:paraId="0C293193" w14:textId="77777777" w:rsidTr="009D533D">
        <w:trPr>
          <w:gridAfter w:val="1"/>
          <w:wAfter w:w="14" w:type="dxa"/>
          <w:trHeight w:val="20"/>
          <w:jc w:val="center"/>
        </w:trPr>
        <w:tc>
          <w:tcPr>
            <w:tcW w:w="1508" w:type="dxa"/>
            <w:tcBorders>
              <w:top w:val="single" w:sz="6" w:space="0" w:color="DEDFE3"/>
              <w:left w:val="single" w:sz="6" w:space="0" w:color="DEDFE3"/>
              <w:bottom w:val="single" w:sz="6" w:space="0" w:color="DEDFE3"/>
              <w:right w:val="single" w:sz="6" w:space="0" w:color="DEDFE3"/>
            </w:tcBorders>
            <w:shd w:val="clear" w:color="auto" w:fill="F1EEF5"/>
            <w:tcMar>
              <w:top w:w="120" w:type="dxa"/>
              <w:left w:w="225" w:type="dxa"/>
              <w:bottom w:w="120" w:type="dxa"/>
              <w:right w:w="225" w:type="dxa"/>
            </w:tcMar>
            <w:hideMark/>
          </w:tcPr>
          <w:p w14:paraId="65EA8542" w14:textId="77777777" w:rsidR="0029728A" w:rsidRPr="006C2CD7" w:rsidRDefault="0029728A" w:rsidP="00CF7892">
            <w:pPr>
              <w:spacing w:after="0"/>
              <w:rPr>
                <w:sz w:val="20"/>
                <w:szCs w:val="20"/>
              </w:rPr>
            </w:pPr>
            <w:r w:rsidRPr="006C2CD7">
              <w:rPr>
                <w:sz w:val="20"/>
                <w:szCs w:val="20"/>
              </w:rPr>
              <w:t>14.</w:t>
            </w:r>
          </w:p>
        </w:tc>
        <w:tc>
          <w:tcPr>
            <w:tcW w:w="4885" w:type="dxa"/>
            <w:tcBorders>
              <w:top w:val="single" w:sz="6" w:space="0" w:color="DEDFE3"/>
              <w:left w:val="single" w:sz="6" w:space="0" w:color="DEDFE3"/>
              <w:bottom w:val="single" w:sz="6" w:space="0" w:color="DEDFE3"/>
              <w:right w:val="single" w:sz="6" w:space="0" w:color="DEDFE3"/>
            </w:tcBorders>
            <w:shd w:val="clear" w:color="auto" w:fill="F1EEF5"/>
            <w:tcMar>
              <w:top w:w="120" w:type="dxa"/>
              <w:left w:w="225" w:type="dxa"/>
              <w:bottom w:w="120" w:type="dxa"/>
              <w:right w:w="225" w:type="dxa"/>
            </w:tcMar>
            <w:hideMark/>
          </w:tcPr>
          <w:p w14:paraId="7107267E" w14:textId="77777777" w:rsidR="0029728A" w:rsidRPr="006C2CD7" w:rsidRDefault="0029728A" w:rsidP="00CF7892">
            <w:pPr>
              <w:spacing w:after="0"/>
              <w:rPr>
                <w:sz w:val="20"/>
                <w:szCs w:val="20"/>
              </w:rPr>
            </w:pPr>
            <w:r w:rsidRPr="006C2CD7">
              <w:rPr>
                <w:sz w:val="20"/>
                <w:szCs w:val="20"/>
              </w:rPr>
              <w:t>Vidzemes Augstskola</w:t>
            </w:r>
          </w:p>
        </w:tc>
        <w:tc>
          <w:tcPr>
            <w:tcW w:w="1638" w:type="dxa"/>
            <w:tcBorders>
              <w:top w:val="single" w:sz="6" w:space="0" w:color="DEDFE3"/>
              <w:left w:val="single" w:sz="6" w:space="0" w:color="DEDFE3"/>
              <w:bottom w:val="single" w:sz="6" w:space="0" w:color="DEDFE3"/>
              <w:right w:val="single" w:sz="6" w:space="0" w:color="DEDFE3"/>
            </w:tcBorders>
            <w:shd w:val="clear" w:color="auto" w:fill="F1EEF5"/>
            <w:tcMar>
              <w:top w:w="120" w:type="dxa"/>
              <w:left w:w="225" w:type="dxa"/>
              <w:bottom w:w="120" w:type="dxa"/>
              <w:right w:w="225" w:type="dxa"/>
            </w:tcMar>
            <w:hideMark/>
          </w:tcPr>
          <w:p w14:paraId="3A5C90BB" w14:textId="77777777" w:rsidR="0029728A" w:rsidRPr="006C2CD7" w:rsidRDefault="0029728A" w:rsidP="00CF7892">
            <w:pPr>
              <w:spacing w:after="0"/>
              <w:rPr>
                <w:sz w:val="20"/>
                <w:szCs w:val="20"/>
              </w:rPr>
            </w:pPr>
            <w:r w:rsidRPr="006C2CD7">
              <w:rPr>
                <w:sz w:val="20"/>
                <w:szCs w:val="20"/>
              </w:rPr>
              <w:t>ViA</w:t>
            </w:r>
          </w:p>
        </w:tc>
      </w:tr>
      <w:tr w:rsidR="00037DA0" w:rsidRPr="006C2CD7" w14:paraId="2B012A34" w14:textId="77777777" w:rsidTr="009D533D">
        <w:trPr>
          <w:gridAfter w:val="1"/>
          <w:wAfter w:w="14" w:type="dxa"/>
          <w:trHeight w:val="20"/>
          <w:jc w:val="center"/>
        </w:trPr>
        <w:tc>
          <w:tcPr>
            <w:tcW w:w="1508" w:type="dxa"/>
            <w:tcBorders>
              <w:top w:val="single" w:sz="6" w:space="0" w:color="DEDFE3"/>
              <w:left w:val="single" w:sz="6" w:space="0" w:color="DEDFE3"/>
              <w:bottom w:val="single" w:sz="6" w:space="0" w:color="DEDFE3"/>
              <w:right w:val="single" w:sz="6" w:space="0" w:color="DEDFE3"/>
            </w:tcBorders>
            <w:shd w:val="clear" w:color="auto" w:fill="auto"/>
            <w:tcMar>
              <w:top w:w="120" w:type="dxa"/>
              <w:left w:w="225" w:type="dxa"/>
              <w:bottom w:w="120" w:type="dxa"/>
              <w:right w:w="225" w:type="dxa"/>
            </w:tcMar>
            <w:hideMark/>
          </w:tcPr>
          <w:p w14:paraId="235F8D80" w14:textId="77777777" w:rsidR="0029728A" w:rsidRPr="006C2CD7" w:rsidRDefault="0029728A" w:rsidP="00CF7892">
            <w:pPr>
              <w:spacing w:after="0"/>
              <w:rPr>
                <w:sz w:val="20"/>
                <w:szCs w:val="20"/>
              </w:rPr>
            </w:pPr>
            <w:r w:rsidRPr="006C2CD7">
              <w:rPr>
                <w:sz w:val="20"/>
                <w:szCs w:val="20"/>
              </w:rPr>
              <w:t>15.</w:t>
            </w:r>
          </w:p>
        </w:tc>
        <w:tc>
          <w:tcPr>
            <w:tcW w:w="4885" w:type="dxa"/>
            <w:tcBorders>
              <w:top w:val="single" w:sz="6" w:space="0" w:color="DEDFE3"/>
              <w:left w:val="single" w:sz="6" w:space="0" w:color="DEDFE3"/>
              <w:bottom w:val="single" w:sz="6" w:space="0" w:color="DEDFE3"/>
              <w:right w:val="single" w:sz="6" w:space="0" w:color="DEDFE3"/>
            </w:tcBorders>
            <w:shd w:val="clear" w:color="auto" w:fill="auto"/>
            <w:tcMar>
              <w:top w:w="120" w:type="dxa"/>
              <w:left w:w="225" w:type="dxa"/>
              <w:bottom w:w="120" w:type="dxa"/>
              <w:right w:w="225" w:type="dxa"/>
            </w:tcMar>
            <w:hideMark/>
          </w:tcPr>
          <w:p w14:paraId="23C42AB6" w14:textId="77777777" w:rsidR="0029728A" w:rsidRPr="006C2CD7" w:rsidRDefault="0029728A" w:rsidP="00CF7892">
            <w:pPr>
              <w:spacing w:after="0"/>
              <w:rPr>
                <w:sz w:val="20"/>
                <w:szCs w:val="20"/>
              </w:rPr>
            </w:pPr>
            <w:r w:rsidRPr="006C2CD7">
              <w:rPr>
                <w:sz w:val="20"/>
                <w:szCs w:val="20"/>
              </w:rPr>
              <w:t>Banku augstskola</w:t>
            </w:r>
          </w:p>
        </w:tc>
        <w:tc>
          <w:tcPr>
            <w:tcW w:w="1638" w:type="dxa"/>
            <w:tcBorders>
              <w:top w:val="single" w:sz="6" w:space="0" w:color="DEDFE3"/>
              <w:left w:val="single" w:sz="6" w:space="0" w:color="DEDFE3"/>
              <w:bottom w:val="single" w:sz="6" w:space="0" w:color="DEDFE3"/>
              <w:right w:val="single" w:sz="6" w:space="0" w:color="DEDFE3"/>
            </w:tcBorders>
            <w:shd w:val="clear" w:color="auto" w:fill="auto"/>
            <w:tcMar>
              <w:top w:w="120" w:type="dxa"/>
              <w:left w:w="225" w:type="dxa"/>
              <w:bottom w:w="120" w:type="dxa"/>
              <w:right w:w="225" w:type="dxa"/>
            </w:tcMar>
            <w:hideMark/>
          </w:tcPr>
          <w:p w14:paraId="37A75F56" w14:textId="77777777" w:rsidR="0029728A" w:rsidRPr="006C2CD7" w:rsidRDefault="0029728A" w:rsidP="00CF7892">
            <w:pPr>
              <w:spacing w:after="0"/>
              <w:rPr>
                <w:sz w:val="20"/>
                <w:szCs w:val="20"/>
              </w:rPr>
            </w:pPr>
            <w:r w:rsidRPr="006C2CD7">
              <w:rPr>
                <w:sz w:val="20"/>
                <w:szCs w:val="20"/>
              </w:rPr>
              <w:t>BA</w:t>
            </w:r>
          </w:p>
        </w:tc>
      </w:tr>
      <w:tr w:rsidR="00037DA0" w:rsidRPr="006C2CD7" w14:paraId="32CC6B19" w14:textId="77777777" w:rsidTr="009D533D">
        <w:trPr>
          <w:gridAfter w:val="1"/>
          <w:wAfter w:w="14" w:type="dxa"/>
          <w:trHeight w:val="20"/>
          <w:jc w:val="center"/>
        </w:trPr>
        <w:tc>
          <w:tcPr>
            <w:tcW w:w="1508" w:type="dxa"/>
            <w:tcBorders>
              <w:top w:val="single" w:sz="6" w:space="0" w:color="DEDFE3"/>
              <w:left w:val="single" w:sz="6" w:space="0" w:color="DEDFE3"/>
              <w:bottom w:val="single" w:sz="6" w:space="0" w:color="DEDFE3"/>
              <w:right w:val="single" w:sz="6" w:space="0" w:color="DEDFE3"/>
            </w:tcBorders>
            <w:shd w:val="clear" w:color="auto" w:fill="F1EEF5"/>
            <w:tcMar>
              <w:top w:w="120" w:type="dxa"/>
              <w:left w:w="225" w:type="dxa"/>
              <w:bottom w:w="120" w:type="dxa"/>
              <w:right w:w="225" w:type="dxa"/>
            </w:tcMar>
          </w:tcPr>
          <w:p w14:paraId="66BCDD10" w14:textId="77777777" w:rsidR="0029728A" w:rsidRPr="006C2CD7" w:rsidRDefault="0029728A" w:rsidP="00CF7892">
            <w:pPr>
              <w:spacing w:after="0"/>
              <w:ind w:left="720" w:hanging="386"/>
              <w:rPr>
                <w:sz w:val="20"/>
                <w:szCs w:val="20"/>
              </w:rPr>
            </w:pPr>
            <w:r w:rsidRPr="006C2CD7">
              <w:rPr>
                <w:sz w:val="20"/>
                <w:szCs w:val="20"/>
              </w:rPr>
              <w:t>15.1.</w:t>
            </w:r>
          </w:p>
        </w:tc>
        <w:tc>
          <w:tcPr>
            <w:tcW w:w="4885" w:type="dxa"/>
            <w:tcBorders>
              <w:top w:val="single" w:sz="6" w:space="0" w:color="DEDFE3"/>
              <w:left w:val="single" w:sz="6" w:space="0" w:color="DEDFE3"/>
              <w:bottom w:val="single" w:sz="6" w:space="0" w:color="DEDFE3"/>
              <w:right w:val="single" w:sz="6" w:space="0" w:color="DEDFE3"/>
            </w:tcBorders>
            <w:shd w:val="clear" w:color="auto" w:fill="F1EEF5"/>
            <w:tcMar>
              <w:top w:w="120" w:type="dxa"/>
              <w:left w:w="225" w:type="dxa"/>
              <w:bottom w:w="120" w:type="dxa"/>
              <w:right w:w="225" w:type="dxa"/>
            </w:tcMar>
          </w:tcPr>
          <w:p w14:paraId="76799649" w14:textId="77777777" w:rsidR="0029728A" w:rsidRPr="006C2CD7" w:rsidRDefault="0029728A" w:rsidP="00CF7892">
            <w:pPr>
              <w:spacing w:after="0"/>
              <w:rPr>
                <w:sz w:val="20"/>
                <w:szCs w:val="20"/>
              </w:rPr>
            </w:pPr>
            <w:r w:rsidRPr="006C2CD7">
              <w:rPr>
                <w:sz w:val="20"/>
                <w:szCs w:val="20"/>
              </w:rPr>
              <w:t>Banku augstskolas Uzņēmējdarbības koledža</w:t>
            </w:r>
          </w:p>
        </w:tc>
        <w:tc>
          <w:tcPr>
            <w:tcW w:w="1638" w:type="dxa"/>
            <w:tcBorders>
              <w:top w:val="single" w:sz="6" w:space="0" w:color="DEDFE3"/>
              <w:left w:val="single" w:sz="6" w:space="0" w:color="DEDFE3"/>
              <w:bottom w:val="single" w:sz="6" w:space="0" w:color="DEDFE3"/>
              <w:right w:val="single" w:sz="6" w:space="0" w:color="DEDFE3"/>
            </w:tcBorders>
            <w:shd w:val="clear" w:color="auto" w:fill="F1EEF5"/>
            <w:tcMar>
              <w:top w:w="120" w:type="dxa"/>
              <w:left w:w="225" w:type="dxa"/>
              <w:bottom w:w="120" w:type="dxa"/>
              <w:right w:w="225" w:type="dxa"/>
            </w:tcMar>
          </w:tcPr>
          <w:p w14:paraId="318768CE" w14:textId="77777777" w:rsidR="0029728A" w:rsidRPr="006C2CD7" w:rsidRDefault="0029728A" w:rsidP="00CF7892">
            <w:pPr>
              <w:spacing w:after="0"/>
              <w:rPr>
                <w:sz w:val="20"/>
                <w:szCs w:val="20"/>
              </w:rPr>
            </w:pPr>
            <w:r w:rsidRPr="006C2CD7">
              <w:rPr>
                <w:sz w:val="20"/>
                <w:szCs w:val="20"/>
              </w:rPr>
              <w:t>BA UK</w:t>
            </w:r>
          </w:p>
        </w:tc>
      </w:tr>
      <w:tr w:rsidR="00CF7892" w:rsidRPr="006C2CD7" w14:paraId="465C7395" w14:textId="77777777" w:rsidTr="009D533D">
        <w:trPr>
          <w:gridAfter w:val="1"/>
          <w:wAfter w:w="14" w:type="dxa"/>
          <w:trHeight w:val="20"/>
          <w:jc w:val="center"/>
        </w:trPr>
        <w:tc>
          <w:tcPr>
            <w:tcW w:w="8031" w:type="dxa"/>
            <w:gridSpan w:val="3"/>
            <w:tcBorders>
              <w:top w:val="single" w:sz="6" w:space="0" w:color="DEDFE3"/>
              <w:left w:val="single" w:sz="6" w:space="0" w:color="DEDFE3"/>
              <w:bottom w:val="single" w:sz="6" w:space="0" w:color="DEDFE3"/>
              <w:right w:val="single" w:sz="6" w:space="0" w:color="DEDFE3"/>
            </w:tcBorders>
            <w:shd w:val="clear" w:color="auto" w:fill="603C74"/>
            <w:tcMar>
              <w:top w:w="120" w:type="dxa"/>
              <w:left w:w="225" w:type="dxa"/>
              <w:bottom w:w="120" w:type="dxa"/>
              <w:right w:w="225" w:type="dxa"/>
            </w:tcMar>
          </w:tcPr>
          <w:p w14:paraId="7F499EC2" w14:textId="7DA6938D" w:rsidR="00CF7892" w:rsidRPr="006C2CD7" w:rsidRDefault="00CF7892" w:rsidP="00CF7892">
            <w:pPr>
              <w:tabs>
                <w:tab w:val="left" w:pos="6630"/>
              </w:tabs>
              <w:spacing w:after="0"/>
              <w:rPr>
                <w:sz w:val="20"/>
                <w:szCs w:val="20"/>
              </w:rPr>
            </w:pPr>
            <w:r w:rsidRPr="00CF7892">
              <w:rPr>
                <w:b/>
                <w:color w:val="FFFFFF" w:themeColor="background1"/>
                <w:sz w:val="20"/>
                <w:szCs w:val="20"/>
              </w:rPr>
              <w:t>Valsts koledžas</w:t>
            </w:r>
          </w:p>
        </w:tc>
      </w:tr>
      <w:tr w:rsidR="00CF7892" w:rsidRPr="00CF7892" w14:paraId="3EE21839" w14:textId="77777777" w:rsidTr="009D533D">
        <w:trPr>
          <w:gridAfter w:val="1"/>
          <w:wAfter w:w="14" w:type="dxa"/>
          <w:trHeight w:val="20"/>
          <w:jc w:val="center"/>
        </w:trPr>
        <w:tc>
          <w:tcPr>
            <w:tcW w:w="1508" w:type="dxa"/>
            <w:tcBorders>
              <w:top w:val="single" w:sz="6" w:space="0" w:color="DEDFE3"/>
              <w:left w:val="single" w:sz="6" w:space="0" w:color="DEDFE3"/>
              <w:bottom w:val="single" w:sz="6" w:space="0" w:color="DEDFE3"/>
              <w:right w:val="single" w:sz="6" w:space="0" w:color="DEDFE3"/>
            </w:tcBorders>
            <w:shd w:val="clear" w:color="auto" w:fill="auto"/>
            <w:tcMar>
              <w:top w:w="120" w:type="dxa"/>
              <w:left w:w="225" w:type="dxa"/>
              <w:bottom w:w="120" w:type="dxa"/>
              <w:right w:w="225" w:type="dxa"/>
            </w:tcMar>
          </w:tcPr>
          <w:p w14:paraId="3EBF334F" w14:textId="1B232980" w:rsidR="00CF7892" w:rsidRPr="00CF7892" w:rsidRDefault="00CF7892" w:rsidP="00CF7892">
            <w:pPr>
              <w:spacing w:after="0"/>
              <w:rPr>
                <w:sz w:val="20"/>
                <w:szCs w:val="20"/>
              </w:rPr>
            </w:pPr>
            <w:r w:rsidRPr="00CF7892">
              <w:rPr>
                <w:sz w:val="20"/>
                <w:szCs w:val="20"/>
              </w:rPr>
              <w:t>1</w:t>
            </w:r>
            <w:r>
              <w:rPr>
                <w:sz w:val="20"/>
                <w:szCs w:val="20"/>
              </w:rPr>
              <w:t>.</w:t>
            </w:r>
          </w:p>
        </w:tc>
        <w:tc>
          <w:tcPr>
            <w:tcW w:w="4885" w:type="dxa"/>
            <w:tcBorders>
              <w:top w:val="single" w:sz="6" w:space="0" w:color="DEDFE3"/>
              <w:left w:val="single" w:sz="6" w:space="0" w:color="DEDFE3"/>
              <w:bottom w:val="single" w:sz="6" w:space="0" w:color="DEDFE3"/>
              <w:right w:val="single" w:sz="6" w:space="0" w:color="DEDFE3"/>
            </w:tcBorders>
            <w:shd w:val="clear" w:color="auto" w:fill="auto"/>
            <w:tcMar>
              <w:top w:w="120" w:type="dxa"/>
              <w:left w:w="225" w:type="dxa"/>
              <w:bottom w:w="120" w:type="dxa"/>
              <w:right w:w="225" w:type="dxa"/>
            </w:tcMar>
          </w:tcPr>
          <w:p w14:paraId="48202DF2" w14:textId="2EFBD98F" w:rsidR="00CF7892" w:rsidRPr="00CF7892" w:rsidRDefault="00CF7892" w:rsidP="00CF7892">
            <w:pPr>
              <w:spacing w:after="0"/>
              <w:rPr>
                <w:sz w:val="20"/>
                <w:szCs w:val="20"/>
              </w:rPr>
            </w:pPr>
            <w:r w:rsidRPr="00CF7892">
              <w:rPr>
                <w:sz w:val="20"/>
                <w:szCs w:val="20"/>
              </w:rPr>
              <w:t>Profesionālās izglītības kompetences centrs „Rīgas Tehniskā koledža”</w:t>
            </w:r>
          </w:p>
        </w:tc>
        <w:tc>
          <w:tcPr>
            <w:tcW w:w="1638" w:type="dxa"/>
            <w:tcBorders>
              <w:top w:val="single" w:sz="6" w:space="0" w:color="DEDFE3"/>
              <w:left w:val="single" w:sz="6" w:space="0" w:color="DEDFE3"/>
              <w:bottom w:val="single" w:sz="6" w:space="0" w:color="DEDFE3"/>
              <w:right w:val="single" w:sz="6" w:space="0" w:color="DEDFE3"/>
            </w:tcBorders>
            <w:shd w:val="clear" w:color="auto" w:fill="auto"/>
            <w:tcMar>
              <w:top w:w="120" w:type="dxa"/>
              <w:left w:w="225" w:type="dxa"/>
              <w:bottom w:w="120" w:type="dxa"/>
              <w:right w:w="225" w:type="dxa"/>
            </w:tcMar>
          </w:tcPr>
          <w:p w14:paraId="158F8B5C" w14:textId="0ED6166C" w:rsidR="00CF7892" w:rsidRPr="00CF7892" w:rsidRDefault="00CF7892" w:rsidP="00CF7892">
            <w:pPr>
              <w:spacing w:after="0"/>
              <w:rPr>
                <w:sz w:val="20"/>
                <w:szCs w:val="20"/>
              </w:rPr>
            </w:pPr>
            <w:r w:rsidRPr="00CF7892">
              <w:rPr>
                <w:sz w:val="20"/>
                <w:szCs w:val="20"/>
              </w:rPr>
              <w:t>RTK</w:t>
            </w:r>
          </w:p>
        </w:tc>
      </w:tr>
      <w:tr w:rsidR="00CF7892" w:rsidRPr="00CF7892" w14:paraId="2C6A97F5" w14:textId="77777777" w:rsidTr="009D533D">
        <w:trPr>
          <w:gridAfter w:val="1"/>
          <w:wAfter w:w="14" w:type="dxa"/>
          <w:trHeight w:val="20"/>
          <w:jc w:val="center"/>
        </w:trPr>
        <w:tc>
          <w:tcPr>
            <w:tcW w:w="1508" w:type="dxa"/>
            <w:tcBorders>
              <w:top w:val="single" w:sz="6" w:space="0" w:color="DEDFE3"/>
              <w:left w:val="single" w:sz="6" w:space="0" w:color="DEDFE3"/>
              <w:bottom w:val="single" w:sz="6" w:space="0" w:color="DEDFE3"/>
              <w:right w:val="single" w:sz="6" w:space="0" w:color="DEDFE3"/>
            </w:tcBorders>
            <w:shd w:val="clear" w:color="auto" w:fill="F1EEF5"/>
            <w:tcMar>
              <w:top w:w="120" w:type="dxa"/>
              <w:left w:w="225" w:type="dxa"/>
              <w:bottom w:w="120" w:type="dxa"/>
              <w:right w:w="225" w:type="dxa"/>
            </w:tcMar>
          </w:tcPr>
          <w:p w14:paraId="02C80758" w14:textId="4626EE0C" w:rsidR="00CF7892" w:rsidRPr="00CF7892" w:rsidRDefault="00CF7892" w:rsidP="00CF7892">
            <w:pPr>
              <w:spacing w:after="0"/>
              <w:rPr>
                <w:sz w:val="20"/>
                <w:szCs w:val="20"/>
              </w:rPr>
            </w:pPr>
            <w:r w:rsidRPr="00CF7892">
              <w:rPr>
                <w:sz w:val="20"/>
                <w:szCs w:val="20"/>
              </w:rPr>
              <w:t>2</w:t>
            </w:r>
            <w:r>
              <w:rPr>
                <w:sz w:val="20"/>
                <w:szCs w:val="20"/>
              </w:rPr>
              <w:t>.</w:t>
            </w:r>
          </w:p>
        </w:tc>
        <w:tc>
          <w:tcPr>
            <w:tcW w:w="4885" w:type="dxa"/>
            <w:tcBorders>
              <w:top w:val="single" w:sz="6" w:space="0" w:color="DEDFE3"/>
              <w:left w:val="single" w:sz="6" w:space="0" w:color="DEDFE3"/>
              <w:bottom w:val="single" w:sz="6" w:space="0" w:color="DEDFE3"/>
              <w:right w:val="single" w:sz="6" w:space="0" w:color="DEDFE3"/>
            </w:tcBorders>
            <w:shd w:val="clear" w:color="auto" w:fill="F1EEF5"/>
            <w:tcMar>
              <w:top w:w="120" w:type="dxa"/>
              <w:left w:w="225" w:type="dxa"/>
              <w:bottom w:w="120" w:type="dxa"/>
              <w:right w:w="225" w:type="dxa"/>
            </w:tcMar>
          </w:tcPr>
          <w:p w14:paraId="4ECE7D21" w14:textId="5E8720C4" w:rsidR="00CF7892" w:rsidRPr="00CF7892" w:rsidRDefault="00CF7892" w:rsidP="00CF7892">
            <w:pPr>
              <w:spacing w:after="0"/>
              <w:rPr>
                <w:sz w:val="20"/>
                <w:szCs w:val="20"/>
              </w:rPr>
            </w:pPr>
            <w:r w:rsidRPr="00CF7892">
              <w:rPr>
                <w:sz w:val="20"/>
                <w:szCs w:val="20"/>
              </w:rPr>
              <w:t>Rīgas Celtniecības koledža</w:t>
            </w:r>
          </w:p>
        </w:tc>
        <w:tc>
          <w:tcPr>
            <w:tcW w:w="1638" w:type="dxa"/>
            <w:tcBorders>
              <w:top w:val="single" w:sz="6" w:space="0" w:color="DEDFE3"/>
              <w:left w:val="single" w:sz="6" w:space="0" w:color="DEDFE3"/>
              <w:bottom w:val="single" w:sz="6" w:space="0" w:color="DEDFE3"/>
              <w:right w:val="single" w:sz="6" w:space="0" w:color="DEDFE3"/>
            </w:tcBorders>
            <w:shd w:val="clear" w:color="auto" w:fill="F1EEF5"/>
            <w:tcMar>
              <w:top w:w="120" w:type="dxa"/>
              <w:left w:w="225" w:type="dxa"/>
              <w:bottom w:w="120" w:type="dxa"/>
              <w:right w:w="225" w:type="dxa"/>
            </w:tcMar>
          </w:tcPr>
          <w:p w14:paraId="62A343BD" w14:textId="0100FA51" w:rsidR="00CF7892" w:rsidRPr="00CF7892" w:rsidRDefault="00CF7892" w:rsidP="00CF7892">
            <w:pPr>
              <w:spacing w:after="0"/>
              <w:rPr>
                <w:sz w:val="20"/>
                <w:szCs w:val="20"/>
              </w:rPr>
            </w:pPr>
            <w:r w:rsidRPr="00CF7892">
              <w:rPr>
                <w:sz w:val="20"/>
                <w:szCs w:val="20"/>
              </w:rPr>
              <w:t>RCK</w:t>
            </w:r>
          </w:p>
        </w:tc>
      </w:tr>
      <w:tr w:rsidR="009D533D" w:rsidRPr="00CF7892" w14:paraId="7FB7D5EE" w14:textId="77777777" w:rsidTr="009D533D">
        <w:trPr>
          <w:gridAfter w:val="1"/>
          <w:wAfter w:w="14" w:type="dxa"/>
          <w:trHeight w:val="20"/>
          <w:jc w:val="center"/>
        </w:trPr>
        <w:tc>
          <w:tcPr>
            <w:tcW w:w="1508" w:type="dxa"/>
            <w:tcBorders>
              <w:top w:val="single" w:sz="6" w:space="0" w:color="DEDFE3"/>
              <w:left w:val="single" w:sz="6" w:space="0" w:color="DEDFE3"/>
              <w:bottom w:val="single" w:sz="6" w:space="0" w:color="DEDFE3"/>
              <w:right w:val="single" w:sz="6" w:space="0" w:color="DEDFE3"/>
            </w:tcBorders>
            <w:shd w:val="clear" w:color="auto" w:fill="auto"/>
            <w:tcMar>
              <w:top w:w="120" w:type="dxa"/>
              <w:left w:w="225" w:type="dxa"/>
              <w:bottom w:w="120" w:type="dxa"/>
              <w:right w:w="225" w:type="dxa"/>
            </w:tcMar>
          </w:tcPr>
          <w:p w14:paraId="105453DE" w14:textId="623B5AA1" w:rsidR="009D533D" w:rsidRPr="00CF7892" w:rsidRDefault="00191110" w:rsidP="00CF7892">
            <w:pPr>
              <w:spacing w:after="0"/>
              <w:rPr>
                <w:sz w:val="20"/>
                <w:szCs w:val="20"/>
              </w:rPr>
            </w:pPr>
            <w:r>
              <w:rPr>
                <w:sz w:val="20"/>
                <w:szCs w:val="20"/>
              </w:rPr>
              <w:t>3</w:t>
            </w:r>
            <w:r w:rsidR="009D533D">
              <w:rPr>
                <w:sz w:val="20"/>
                <w:szCs w:val="20"/>
              </w:rPr>
              <w:t>.</w:t>
            </w:r>
          </w:p>
        </w:tc>
        <w:tc>
          <w:tcPr>
            <w:tcW w:w="4885" w:type="dxa"/>
            <w:tcBorders>
              <w:top w:val="single" w:sz="6" w:space="0" w:color="DEDFE3"/>
              <w:left w:val="single" w:sz="6" w:space="0" w:color="DEDFE3"/>
              <w:bottom w:val="single" w:sz="6" w:space="0" w:color="DEDFE3"/>
              <w:right w:val="single" w:sz="6" w:space="0" w:color="DEDFE3"/>
            </w:tcBorders>
            <w:shd w:val="clear" w:color="auto" w:fill="auto"/>
            <w:tcMar>
              <w:top w:w="120" w:type="dxa"/>
              <w:left w:w="225" w:type="dxa"/>
              <w:bottom w:w="120" w:type="dxa"/>
              <w:right w:w="225" w:type="dxa"/>
            </w:tcMar>
          </w:tcPr>
          <w:p w14:paraId="0E223887" w14:textId="02DC4D34" w:rsidR="009D533D" w:rsidRPr="00CF7892" w:rsidRDefault="009D533D" w:rsidP="00CF7892">
            <w:pPr>
              <w:spacing w:after="0"/>
              <w:rPr>
                <w:sz w:val="20"/>
                <w:szCs w:val="20"/>
              </w:rPr>
            </w:pPr>
            <w:r w:rsidRPr="00CF7892">
              <w:rPr>
                <w:sz w:val="20"/>
                <w:szCs w:val="20"/>
              </w:rPr>
              <w:t>Liepājas Jūrniecības koledža</w:t>
            </w:r>
          </w:p>
        </w:tc>
        <w:tc>
          <w:tcPr>
            <w:tcW w:w="1638" w:type="dxa"/>
            <w:tcBorders>
              <w:top w:val="single" w:sz="6" w:space="0" w:color="DEDFE3"/>
              <w:left w:val="single" w:sz="6" w:space="0" w:color="DEDFE3"/>
              <w:bottom w:val="single" w:sz="6" w:space="0" w:color="DEDFE3"/>
              <w:right w:val="single" w:sz="6" w:space="0" w:color="DEDFE3"/>
            </w:tcBorders>
            <w:shd w:val="clear" w:color="auto" w:fill="auto"/>
            <w:tcMar>
              <w:top w:w="120" w:type="dxa"/>
              <w:left w:w="225" w:type="dxa"/>
              <w:bottom w:w="120" w:type="dxa"/>
              <w:right w:w="225" w:type="dxa"/>
            </w:tcMar>
          </w:tcPr>
          <w:p w14:paraId="51DF5474" w14:textId="53F8187A" w:rsidR="009D533D" w:rsidRPr="00CF7892" w:rsidRDefault="009D533D" w:rsidP="005D0A0F">
            <w:pPr>
              <w:spacing w:after="0"/>
              <w:rPr>
                <w:sz w:val="20"/>
                <w:szCs w:val="20"/>
              </w:rPr>
            </w:pPr>
            <w:r w:rsidRPr="00CF7892">
              <w:rPr>
                <w:sz w:val="20"/>
                <w:szCs w:val="20"/>
              </w:rPr>
              <w:t>LJK</w:t>
            </w:r>
          </w:p>
        </w:tc>
      </w:tr>
      <w:tr w:rsidR="009D533D" w:rsidRPr="00CF7892" w14:paraId="5110FF53" w14:textId="77777777" w:rsidTr="009D533D">
        <w:trPr>
          <w:gridAfter w:val="1"/>
          <w:wAfter w:w="14" w:type="dxa"/>
          <w:trHeight w:val="20"/>
          <w:jc w:val="center"/>
        </w:trPr>
        <w:tc>
          <w:tcPr>
            <w:tcW w:w="1508" w:type="dxa"/>
            <w:tcBorders>
              <w:top w:val="single" w:sz="6" w:space="0" w:color="DEDFE3"/>
              <w:left w:val="single" w:sz="6" w:space="0" w:color="DEDFE3"/>
              <w:bottom w:val="single" w:sz="6" w:space="0" w:color="DEDFE3"/>
              <w:right w:val="single" w:sz="6" w:space="0" w:color="DEDFE3"/>
            </w:tcBorders>
            <w:shd w:val="clear" w:color="auto" w:fill="F1EEF5"/>
            <w:tcMar>
              <w:top w:w="120" w:type="dxa"/>
              <w:left w:w="225" w:type="dxa"/>
              <w:bottom w:w="120" w:type="dxa"/>
              <w:right w:w="225" w:type="dxa"/>
            </w:tcMar>
          </w:tcPr>
          <w:p w14:paraId="37D1F97F" w14:textId="0FAF61A9" w:rsidR="009D533D" w:rsidRPr="00CF7892" w:rsidRDefault="00191110" w:rsidP="00CF7892">
            <w:pPr>
              <w:spacing w:after="0"/>
              <w:rPr>
                <w:sz w:val="20"/>
                <w:szCs w:val="20"/>
              </w:rPr>
            </w:pPr>
            <w:r>
              <w:rPr>
                <w:sz w:val="20"/>
                <w:szCs w:val="20"/>
              </w:rPr>
              <w:t>4</w:t>
            </w:r>
            <w:r w:rsidR="009D533D">
              <w:rPr>
                <w:sz w:val="20"/>
                <w:szCs w:val="20"/>
              </w:rPr>
              <w:t>.</w:t>
            </w:r>
          </w:p>
        </w:tc>
        <w:tc>
          <w:tcPr>
            <w:tcW w:w="4885" w:type="dxa"/>
            <w:tcBorders>
              <w:top w:val="single" w:sz="6" w:space="0" w:color="DEDFE3"/>
              <w:left w:val="single" w:sz="6" w:space="0" w:color="DEDFE3"/>
              <w:bottom w:val="single" w:sz="6" w:space="0" w:color="DEDFE3"/>
              <w:right w:val="single" w:sz="6" w:space="0" w:color="DEDFE3"/>
            </w:tcBorders>
            <w:shd w:val="clear" w:color="auto" w:fill="F1EEF5"/>
            <w:tcMar>
              <w:top w:w="120" w:type="dxa"/>
              <w:left w:w="225" w:type="dxa"/>
              <w:bottom w:w="120" w:type="dxa"/>
              <w:right w:w="225" w:type="dxa"/>
            </w:tcMar>
          </w:tcPr>
          <w:p w14:paraId="0D5D466C" w14:textId="199575AA" w:rsidR="009D533D" w:rsidRPr="00CF7892" w:rsidRDefault="009D533D" w:rsidP="00CF7892">
            <w:pPr>
              <w:spacing w:after="0"/>
              <w:rPr>
                <w:sz w:val="20"/>
                <w:szCs w:val="20"/>
              </w:rPr>
            </w:pPr>
            <w:r w:rsidRPr="00CF7892">
              <w:rPr>
                <w:sz w:val="20"/>
                <w:szCs w:val="20"/>
              </w:rPr>
              <w:t>Ugunsdrošības un civilās aizsardzības koledža</w:t>
            </w:r>
          </w:p>
        </w:tc>
        <w:tc>
          <w:tcPr>
            <w:tcW w:w="1638" w:type="dxa"/>
            <w:tcBorders>
              <w:top w:val="single" w:sz="6" w:space="0" w:color="DEDFE3"/>
              <w:left w:val="single" w:sz="6" w:space="0" w:color="DEDFE3"/>
              <w:bottom w:val="single" w:sz="6" w:space="0" w:color="DEDFE3"/>
              <w:right w:val="single" w:sz="6" w:space="0" w:color="DEDFE3"/>
            </w:tcBorders>
            <w:shd w:val="clear" w:color="auto" w:fill="F1EEF5"/>
            <w:tcMar>
              <w:top w:w="120" w:type="dxa"/>
              <w:left w:w="225" w:type="dxa"/>
              <w:bottom w:w="120" w:type="dxa"/>
              <w:right w:w="225" w:type="dxa"/>
            </w:tcMar>
          </w:tcPr>
          <w:p w14:paraId="4E634313" w14:textId="5FF69072" w:rsidR="009D533D" w:rsidRPr="00CF7892" w:rsidRDefault="009D533D" w:rsidP="00CF7892">
            <w:pPr>
              <w:spacing w:after="0"/>
              <w:rPr>
                <w:sz w:val="20"/>
                <w:szCs w:val="20"/>
              </w:rPr>
            </w:pPr>
            <w:r w:rsidRPr="00CF7892">
              <w:rPr>
                <w:sz w:val="20"/>
                <w:szCs w:val="20"/>
              </w:rPr>
              <w:t>UCAK</w:t>
            </w:r>
          </w:p>
        </w:tc>
      </w:tr>
      <w:tr w:rsidR="009D533D" w:rsidRPr="00CF7892" w14:paraId="7793C486" w14:textId="77777777" w:rsidTr="009D533D">
        <w:trPr>
          <w:gridAfter w:val="1"/>
          <w:wAfter w:w="14" w:type="dxa"/>
          <w:trHeight w:val="20"/>
          <w:jc w:val="center"/>
        </w:trPr>
        <w:tc>
          <w:tcPr>
            <w:tcW w:w="1508" w:type="dxa"/>
            <w:tcBorders>
              <w:top w:val="single" w:sz="6" w:space="0" w:color="DEDFE3"/>
              <w:left w:val="single" w:sz="6" w:space="0" w:color="DEDFE3"/>
              <w:bottom w:val="single" w:sz="6" w:space="0" w:color="DEDFE3"/>
              <w:right w:val="single" w:sz="6" w:space="0" w:color="DEDFE3"/>
            </w:tcBorders>
            <w:shd w:val="clear" w:color="auto" w:fill="auto"/>
            <w:tcMar>
              <w:top w:w="120" w:type="dxa"/>
              <w:left w:w="225" w:type="dxa"/>
              <w:bottom w:w="120" w:type="dxa"/>
              <w:right w:w="225" w:type="dxa"/>
            </w:tcMar>
          </w:tcPr>
          <w:p w14:paraId="142001AD" w14:textId="48F5DF61" w:rsidR="009D533D" w:rsidRPr="00CF7892" w:rsidRDefault="00191110" w:rsidP="00CF7892">
            <w:pPr>
              <w:spacing w:after="0"/>
              <w:rPr>
                <w:sz w:val="20"/>
                <w:szCs w:val="20"/>
              </w:rPr>
            </w:pPr>
            <w:r>
              <w:rPr>
                <w:sz w:val="20"/>
                <w:szCs w:val="20"/>
              </w:rPr>
              <w:t>5</w:t>
            </w:r>
            <w:r w:rsidR="009D533D">
              <w:rPr>
                <w:sz w:val="20"/>
                <w:szCs w:val="20"/>
              </w:rPr>
              <w:t>.</w:t>
            </w:r>
          </w:p>
        </w:tc>
        <w:tc>
          <w:tcPr>
            <w:tcW w:w="4885" w:type="dxa"/>
            <w:tcBorders>
              <w:top w:val="single" w:sz="6" w:space="0" w:color="DEDFE3"/>
              <w:left w:val="single" w:sz="6" w:space="0" w:color="DEDFE3"/>
              <w:bottom w:val="single" w:sz="6" w:space="0" w:color="DEDFE3"/>
              <w:right w:val="single" w:sz="6" w:space="0" w:color="DEDFE3"/>
            </w:tcBorders>
            <w:shd w:val="clear" w:color="auto" w:fill="auto"/>
            <w:tcMar>
              <w:top w:w="120" w:type="dxa"/>
              <w:left w:w="225" w:type="dxa"/>
              <w:bottom w:w="120" w:type="dxa"/>
              <w:right w:w="225" w:type="dxa"/>
            </w:tcMar>
          </w:tcPr>
          <w:p w14:paraId="2AECFA41" w14:textId="2F237A32" w:rsidR="009D533D" w:rsidRPr="00CF7892" w:rsidRDefault="009D533D" w:rsidP="00CF7892">
            <w:pPr>
              <w:spacing w:after="0"/>
              <w:rPr>
                <w:sz w:val="20"/>
                <w:szCs w:val="20"/>
              </w:rPr>
            </w:pPr>
            <w:r w:rsidRPr="00CF7892">
              <w:rPr>
                <w:sz w:val="20"/>
                <w:szCs w:val="20"/>
              </w:rPr>
              <w:t>Jēkabpils Agrobiznesa koledža</w:t>
            </w:r>
          </w:p>
        </w:tc>
        <w:tc>
          <w:tcPr>
            <w:tcW w:w="1638" w:type="dxa"/>
            <w:tcBorders>
              <w:top w:val="single" w:sz="6" w:space="0" w:color="DEDFE3"/>
              <w:left w:val="single" w:sz="6" w:space="0" w:color="DEDFE3"/>
              <w:bottom w:val="single" w:sz="6" w:space="0" w:color="DEDFE3"/>
              <w:right w:val="single" w:sz="6" w:space="0" w:color="DEDFE3"/>
            </w:tcBorders>
            <w:shd w:val="clear" w:color="auto" w:fill="auto"/>
            <w:tcMar>
              <w:top w:w="120" w:type="dxa"/>
              <w:left w:w="225" w:type="dxa"/>
              <w:bottom w:w="120" w:type="dxa"/>
              <w:right w:w="225" w:type="dxa"/>
            </w:tcMar>
          </w:tcPr>
          <w:p w14:paraId="60495020" w14:textId="2BD8EECD" w:rsidR="009D533D" w:rsidRPr="00CF7892" w:rsidRDefault="009D533D" w:rsidP="00CF7892">
            <w:pPr>
              <w:spacing w:after="0"/>
              <w:rPr>
                <w:sz w:val="20"/>
                <w:szCs w:val="20"/>
              </w:rPr>
            </w:pPr>
            <w:r w:rsidRPr="00CF7892">
              <w:rPr>
                <w:sz w:val="20"/>
                <w:szCs w:val="20"/>
              </w:rPr>
              <w:t>JAK</w:t>
            </w:r>
          </w:p>
        </w:tc>
      </w:tr>
      <w:tr w:rsidR="009D533D" w:rsidRPr="00CF7892" w14:paraId="62E0B8C7" w14:textId="77777777" w:rsidTr="009D533D">
        <w:trPr>
          <w:gridAfter w:val="1"/>
          <w:wAfter w:w="14" w:type="dxa"/>
          <w:trHeight w:val="20"/>
          <w:jc w:val="center"/>
        </w:trPr>
        <w:tc>
          <w:tcPr>
            <w:tcW w:w="1508" w:type="dxa"/>
            <w:tcBorders>
              <w:top w:val="single" w:sz="6" w:space="0" w:color="DEDFE3"/>
              <w:left w:val="single" w:sz="6" w:space="0" w:color="DEDFE3"/>
              <w:bottom w:val="single" w:sz="6" w:space="0" w:color="DEDFE3"/>
              <w:right w:val="single" w:sz="6" w:space="0" w:color="DEDFE3"/>
            </w:tcBorders>
            <w:shd w:val="clear" w:color="auto" w:fill="F1EEF5"/>
            <w:tcMar>
              <w:top w:w="120" w:type="dxa"/>
              <w:left w:w="225" w:type="dxa"/>
              <w:bottom w:w="120" w:type="dxa"/>
              <w:right w:w="225" w:type="dxa"/>
            </w:tcMar>
          </w:tcPr>
          <w:p w14:paraId="7AE72DE8" w14:textId="3518F6CA" w:rsidR="009D533D" w:rsidRPr="00CF7892" w:rsidRDefault="00191110" w:rsidP="00CF7892">
            <w:pPr>
              <w:spacing w:after="0"/>
              <w:rPr>
                <w:sz w:val="20"/>
                <w:szCs w:val="20"/>
              </w:rPr>
            </w:pPr>
            <w:r>
              <w:rPr>
                <w:sz w:val="20"/>
                <w:szCs w:val="20"/>
              </w:rPr>
              <w:t>6</w:t>
            </w:r>
            <w:r w:rsidR="009D533D">
              <w:rPr>
                <w:sz w:val="20"/>
                <w:szCs w:val="20"/>
              </w:rPr>
              <w:t>.</w:t>
            </w:r>
          </w:p>
        </w:tc>
        <w:tc>
          <w:tcPr>
            <w:tcW w:w="4885" w:type="dxa"/>
            <w:tcBorders>
              <w:top w:val="single" w:sz="6" w:space="0" w:color="DEDFE3"/>
              <w:left w:val="single" w:sz="6" w:space="0" w:color="DEDFE3"/>
              <w:bottom w:val="single" w:sz="6" w:space="0" w:color="DEDFE3"/>
              <w:right w:val="single" w:sz="6" w:space="0" w:color="DEDFE3"/>
            </w:tcBorders>
            <w:shd w:val="clear" w:color="auto" w:fill="F1EEF5"/>
            <w:tcMar>
              <w:top w:w="120" w:type="dxa"/>
              <w:left w:w="225" w:type="dxa"/>
              <w:bottom w:w="120" w:type="dxa"/>
              <w:right w:w="225" w:type="dxa"/>
            </w:tcMar>
          </w:tcPr>
          <w:p w14:paraId="11D90669" w14:textId="64B51282" w:rsidR="009D533D" w:rsidRPr="00CF7892" w:rsidRDefault="009D533D" w:rsidP="00CF7892">
            <w:pPr>
              <w:spacing w:after="0"/>
              <w:rPr>
                <w:sz w:val="20"/>
                <w:szCs w:val="20"/>
              </w:rPr>
            </w:pPr>
            <w:r w:rsidRPr="00CF7892">
              <w:rPr>
                <w:sz w:val="20"/>
                <w:szCs w:val="20"/>
              </w:rPr>
              <w:t>Sociālās integrācijas valsts aģentūras koledža</w:t>
            </w:r>
          </w:p>
        </w:tc>
        <w:tc>
          <w:tcPr>
            <w:tcW w:w="1638" w:type="dxa"/>
            <w:tcBorders>
              <w:top w:val="single" w:sz="6" w:space="0" w:color="DEDFE3"/>
              <w:left w:val="single" w:sz="6" w:space="0" w:color="DEDFE3"/>
              <w:bottom w:val="single" w:sz="6" w:space="0" w:color="DEDFE3"/>
              <w:right w:val="single" w:sz="6" w:space="0" w:color="DEDFE3"/>
            </w:tcBorders>
            <w:shd w:val="clear" w:color="auto" w:fill="F1EEF5"/>
            <w:tcMar>
              <w:top w:w="120" w:type="dxa"/>
              <w:left w:w="225" w:type="dxa"/>
              <w:bottom w:w="120" w:type="dxa"/>
              <w:right w:w="225" w:type="dxa"/>
            </w:tcMar>
          </w:tcPr>
          <w:p w14:paraId="4DD797A0" w14:textId="71545BAC" w:rsidR="009D533D" w:rsidRPr="00CF7892" w:rsidRDefault="009D533D" w:rsidP="00CF7892">
            <w:pPr>
              <w:spacing w:after="0"/>
              <w:rPr>
                <w:sz w:val="20"/>
                <w:szCs w:val="20"/>
              </w:rPr>
            </w:pPr>
            <w:r w:rsidRPr="00CF7892">
              <w:rPr>
                <w:sz w:val="20"/>
                <w:szCs w:val="20"/>
              </w:rPr>
              <w:t>SIVAK</w:t>
            </w:r>
          </w:p>
        </w:tc>
      </w:tr>
      <w:tr w:rsidR="009D533D" w:rsidRPr="00CF7892" w14:paraId="26D6BCB1" w14:textId="77777777" w:rsidTr="009D533D">
        <w:trPr>
          <w:gridAfter w:val="1"/>
          <w:wAfter w:w="14" w:type="dxa"/>
          <w:trHeight w:val="20"/>
          <w:jc w:val="center"/>
        </w:trPr>
        <w:tc>
          <w:tcPr>
            <w:tcW w:w="1508" w:type="dxa"/>
            <w:tcBorders>
              <w:top w:val="single" w:sz="6" w:space="0" w:color="DEDFE3"/>
              <w:left w:val="single" w:sz="6" w:space="0" w:color="DEDFE3"/>
              <w:bottom w:val="single" w:sz="6" w:space="0" w:color="DEDFE3"/>
              <w:right w:val="single" w:sz="6" w:space="0" w:color="DEDFE3"/>
            </w:tcBorders>
            <w:shd w:val="clear" w:color="auto" w:fill="auto"/>
            <w:tcMar>
              <w:top w:w="120" w:type="dxa"/>
              <w:left w:w="225" w:type="dxa"/>
              <w:bottom w:w="120" w:type="dxa"/>
              <w:right w:w="225" w:type="dxa"/>
            </w:tcMar>
          </w:tcPr>
          <w:p w14:paraId="621D9A75" w14:textId="09D596C5" w:rsidR="009D533D" w:rsidRPr="00CF7892" w:rsidRDefault="00191110" w:rsidP="00CF7892">
            <w:pPr>
              <w:spacing w:after="0"/>
              <w:rPr>
                <w:sz w:val="20"/>
                <w:szCs w:val="20"/>
              </w:rPr>
            </w:pPr>
            <w:r>
              <w:rPr>
                <w:sz w:val="20"/>
                <w:szCs w:val="20"/>
              </w:rPr>
              <w:t>7.</w:t>
            </w:r>
          </w:p>
        </w:tc>
        <w:tc>
          <w:tcPr>
            <w:tcW w:w="4885" w:type="dxa"/>
            <w:tcBorders>
              <w:top w:val="single" w:sz="6" w:space="0" w:color="DEDFE3"/>
              <w:left w:val="single" w:sz="6" w:space="0" w:color="DEDFE3"/>
              <w:bottom w:val="single" w:sz="6" w:space="0" w:color="DEDFE3"/>
              <w:right w:val="single" w:sz="6" w:space="0" w:color="DEDFE3"/>
            </w:tcBorders>
            <w:shd w:val="clear" w:color="auto" w:fill="auto"/>
            <w:tcMar>
              <w:top w:w="120" w:type="dxa"/>
              <w:left w:w="225" w:type="dxa"/>
              <w:bottom w:w="120" w:type="dxa"/>
              <w:right w:w="225" w:type="dxa"/>
            </w:tcMar>
          </w:tcPr>
          <w:p w14:paraId="24BB777C" w14:textId="67E0D1E4" w:rsidR="009D533D" w:rsidRPr="00CF7892" w:rsidRDefault="009D533D" w:rsidP="00CF7892">
            <w:pPr>
              <w:spacing w:after="0"/>
              <w:rPr>
                <w:sz w:val="20"/>
                <w:szCs w:val="20"/>
              </w:rPr>
            </w:pPr>
            <w:r w:rsidRPr="005D0A0F">
              <w:rPr>
                <w:sz w:val="20"/>
                <w:szCs w:val="20"/>
              </w:rPr>
              <w:t>Valsts Robežsardzes koledža</w:t>
            </w:r>
          </w:p>
        </w:tc>
        <w:tc>
          <w:tcPr>
            <w:tcW w:w="1638" w:type="dxa"/>
            <w:tcBorders>
              <w:top w:val="single" w:sz="6" w:space="0" w:color="DEDFE3"/>
              <w:left w:val="single" w:sz="6" w:space="0" w:color="DEDFE3"/>
              <w:bottom w:val="single" w:sz="6" w:space="0" w:color="DEDFE3"/>
              <w:right w:val="single" w:sz="6" w:space="0" w:color="DEDFE3"/>
            </w:tcBorders>
            <w:shd w:val="clear" w:color="auto" w:fill="auto"/>
            <w:tcMar>
              <w:top w:w="120" w:type="dxa"/>
              <w:left w:w="225" w:type="dxa"/>
              <w:bottom w:w="120" w:type="dxa"/>
              <w:right w:w="225" w:type="dxa"/>
            </w:tcMar>
          </w:tcPr>
          <w:p w14:paraId="46E3A8FD" w14:textId="6F7B9517" w:rsidR="009D533D" w:rsidRPr="00CF7892" w:rsidRDefault="009D533D" w:rsidP="00CF7892">
            <w:pPr>
              <w:spacing w:after="0"/>
              <w:rPr>
                <w:sz w:val="20"/>
                <w:szCs w:val="20"/>
              </w:rPr>
            </w:pPr>
            <w:r w:rsidRPr="005D0A0F">
              <w:rPr>
                <w:sz w:val="20"/>
                <w:szCs w:val="20"/>
              </w:rPr>
              <w:t>VRK</w:t>
            </w:r>
          </w:p>
        </w:tc>
      </w:tr>
      <w:tr w:rsidR="009D533D" w:rsidRPr="005D0A0F" w14:paraId="573B22E7" w14:textId="77777777" w:rsidTr="009D533D">
        <w:trPr>
          <w:gridAfter w:val="1"/>
          <w:wAfter w:w="14" w:type="dxa"/>
          <w:trHeight w:val="20"/>
          <w:jc w:val="center"/>
        </w:trPr>
        <w:tc>
          <w:tcPr>
            <w:tcW w:w="1508" w:type="dxa"/>
            <w:tcBorders>
              <w:top w:val="single" w:sz="6" w:space="0" w:color="DEDFE3"/>
              <w:left w:val="single" w:sz="6" w:space="0" w:color="DEDFE3"/>
              <w:bottom w:val="single" w:sz="6" w:space="0" w:color="DEDFE3"/>
              <w:right w:val="single" w:sz="6" w:space="0" w:color="DEDFE3"/>
            </w:tcBorders>
            <w:shd w:val="clear" w:color="auto" w:fill="F1EEF5"/>
            <w:tcMar>
              <w:top w:w="120" w:type="dxa"/>
              <w:left w:w="225" w:type="dxa"/>
              <w:bottom w:w="120" w:type="dxa"/>
              <w:right w:w="225" w:type="dxa"/>
            </w:tcMar>
          </w:tcPr>
          <w:p w14:paraId="1F2460AD" w14:textId="0F6E9CA1" w:rsidR="009D533D" w:rsidRPr="005D0A0F" w:rsidRDefault="00191110" w:rsidP="00191110">
            <w:pPr>
              <w:spacing w:after="0"/>
              <w:rPr>
                <w:sz w:val="20"/>
                <w:szCs w:val="20"/>
              </w:rPr>
            </w:pPr>
            <w:r>
              <w:rPr>
                <w:sz w:val="20"/>
                <w:szCs w:val="20"/>
              </w:rPr>
              <w:t>8.</w:t>
            </w:r>
          </w:p>
        </w:tc>
        <w:tc>
          <w:tcPr>
            <w:tcW w:w="4885" w:type="dxa"/>
            <w:tcBorders>
              <w:top w:val="single" w:sz="6" w:space="0" w:color="DEDFE3"/>
              <w:left w:val="single" w:sz="6" w:space="0" w:color="DEDFE3"/>
              <w:bottom w:val="single" w:sz="6" w:space="0" w:color="DEDFE3"/>
              <w:right w:val="single" w:sz="6" w:space="0" w:color="DEDFE3"/>
            </w:tcBorders>
            <w:shd w:val="clear" w:color="auto" w:fill="F1EEF5"/>
            <w:tcMar>
              <w:top w:w="120" w:type="dxa"/>
              <w:left w:w="225" w:type="dxa"/>
              <w:bottom w:w="120" w:type="dxa"/>
              <w:right w:w="225" w:type="dxa"/>
            </w:tcMar>
          </w:tcPr>
          <w:p w14:paraId="519D9FF1" w14:textId="4047BE2B" w:rsidR="009D533D" w:rsidRPr="005D0A0F" w:rsidRDefault="009D533D" w:rsidP="005D0A0F">
            <w:pPr>
              <w:spacing w:after="0"/>
              <w:rPr>
                <w:sz w:val="20"/>
                <w:szCs w:val="20"/>
              </w:rPr>
            </w:pPr>
            <w:r w:rsidRPr="005D0A0F">
              <w:rPr>
                <w:sz w:val="20"/>
                <w:szCs w:val="20"/>
              </w:rPr>
              <w:t>Malnavas koledža</w:t>
            </w:r>
          </w:p>
        </w:tc>
        <w:tc>
          <w:tcPr>
            <w:tcW w:w="1638" w:type="dxa"/>
            <w:tcBorders>
              <w:top w:val="single" w:sz="6" w:space="0" w:color="DEDFE3"/>
              <w:left w:val="single" w:sz="6" w:space="0" w:color="DEDFE3"/>
              <w:bottom w:val="single" w:sz="6" w:space="0" w:color="DEDFE3"/>
              <w:right w:val="single" w:sz="6" w:space="0" w:color="DEDFE3"/>
            </w:tcBorders>
            <w:shd w:val="clear" w:color="auto" w:fill="F1EEF5"/>
            <w:tcMar>
              <w:top w:w="120" w:type="dxa"/>
              <w:left w:w="225" w:type="dxa"/>
              <w:bottom w:w="120" w:type="dxa"/>
              <w:right w:w="225" w:type="dxa"/>
            </w:tcMar>
          </w:tcPr>
          <w:p w14:paraId="270DCB40" w14:textId="7E617E9B" w:rsidR="009D533D" w:rsidRPr="005D0A0F" w:rsidRDefault="009D533D" w:rsidP="005D0A0F">
            <w:pPr>
              <w:spacing w:after="0"/>
              <w:rPr>
                <w:sz w:val="20"/>
                <w:szCs w:val="20"/>
              </w:rPr>
            </w:pPr>
            <w:r w:rsidRPr="005D0A0F">
              <w:rPr>
                <w:sz w:val="20"/>
                <w:szCs w:val="20"/>
              </w:rPr>
              <w:t>MK</w:t>
            </w:r>
          </w:p>
        </w:tc>
      </w:tr>
      <w:tr w:rsidR="009D533D" w:rsidRPr="005D0A0F" w14:paraId="4FCBC188" w14:textId="77777777" w:rsidTr="009D533D">
        <w:trPr>
          <w:gridAfter w:val="1"/>
          <w:wAfter w:w="14" w:type="dxa"/>
          <w:trHeight w:val="20"/>
          <w:jc w:val="center"/>
        </w:trPr>
        <w:tc>
          <w:tcPr>
            <w:tcW w:w="1508" w:type="dxa"/>
            <w:tcBorders>
              <w:top w:val="single" w:sz="6" w:space="0" w:color="DEDFE3"/>
              <w:left w:val="single" w:sz="6" w:space="0" w:color="DEDFE3"/>
              <w:bottom w:val="single" w:sz="6" w:space="0" w:color="DEDFE3"/>
              <w:right w:val="single" w:sz="6" w:space="0" w:color="DEDFE3"/>
            </w:tcBorders>
            <w:shd w:val="clear" w:color="auto" w:fill="auto"/>
            <w:tcMar>
              <w:top w:w="120" w:type="dxa"/>
              <w:left w:w="225" w:type="dxa"/>
              <w:bottom w:w="120" w:type="dxa"/>
              <w:right w:w="225" w:type="dxa"/>
            </w:tcMar>
          </w:tcPr>
          <w:p w14:paraId="12B6CACB" w14:textId="1B674734" w:rsidR="009D533D" w:rsidRPr="005D0A0F" w:rsidRDefault="00191110" w:rsidP="00191110">
            <w:pPr>
              <w:spacing w:after="0"/>
              <w:rPr>
                <w:sz w:val="20"/>
                <w:szCs w:val="20"/>
              </w:rPr>
            </w:pPr>
            <w:r>
              <w:rPr>
                <w:sz w:val="20"/>
                <w:szCs w:val="20"/>
              </w:rPr>
              <w:t>9.</w:t>
            </w:r>
          </w:p>
        </w:tc>
        <w:tc>
          <w:tcPr>
            <w:tcW w:w="4885" w:type="dxa"/>
            <w:tcBorders>
              <w:top w:val="single" w:sz="6" w:space="0" w:color="DEDFE3"/>
              <w:left w:val="single" w:sz="6" w:space="0" w:color="DEDFE3"/>
              <w:bottom w:val="single" w:sz="6" w:space="0" w:color="DEDFE3"/>
              <w:right w:val="single" w:sz="6" w:space="0" w:color="DEDFE3"/>
            </w:tcBorders>
            <w:shd w:val="clear" w:color="auto" w:fill="auto"/>
            <w:tcMar>
              <w:top w:w="120" w:type="dxa"/>
              <w:left w:w="225" w:type="dxa"/>
              <w:bottom w:w="120" w:type="dxa"/>
              <w:right w:w="225" w:type="dxa"/>
            </w:tcMar>
          </w:tcPr>
          <w:p w14:paraId="098E7D2E" w14:textId="6920FE37" w:rsidR="009D533D" w:rsidRPr="005D0A0F" w:rsidRDefault="009D533D" w:rsidP="005D0A0F">
            <w:pPr>
              <w:spacing w:after="0"/>
              <w:rPr>
                <w:sz w:val="20"/>
                <w:szCs w:val="20"/>
              </w:rPr>
            </w:pPr>
            <w:r w:rsidRPr="005D0A0F">
              <w:rPr>
                <w:sz w:val="20"/>
                <w:szCs w:val="20"/>
              </w:rPr>
              <w:t>Valsts Policijas koledža</w:t>
            </w:r>
          </w:p>
        </w:tc>
        <w:tc>
          <w:tcPr>
            <w:tcW w:w="1638" w:type="dxa"/>
            <w:tcBorders>
              <w:top w:val="single" w:sz="6" w:space="0" w:color="DEDFE3"/>
              <w:left w:val="single" w:sz="6" w:space="0" w:color="DEDFE3"/>
              <w:bottom w:val="single" w:sz="6" w:space="0" w:color="DEDFE3"/>
              <w:right w:val="single" w:sz="6" w:space="0" w:color="DEDFE3"/>
            </w:tcBorders>
            <w:shd w:val="clear" w:color="auto" w:fill="auto"/>
            <w:tcMar>
              <w:top w:w="120" w:type="dxa"/>
              <w:left w:w="225" w:type="dxa"/>
              <w:bottom w:w="120" w:type="dxa"/>
              <w:right w:w="225" w:type="dxa"/>
            </w:tcMar>
          </w:tcPr>
          <w:p w14:paraId="3A65005D" w14:textId="0089BAF8" w:rsidR="009D533D" w:rsidRPr="005D0A0F" w:rsidRDefault="009D533D" w:rsidP="005D0A0F">
            <w:pPr>
              <w:spacing w:after="0"/>
              <w:rPr>
                <w:sz w:val="20"/>
                <w:szCs w:val="20"/>
              </w:rPr>
            </w:pPr>
            <w:r w:rsidRPr="005D0A0F">
              <w:rPr>
                <w:sz w:val="20"/>
                <w:szCs w:val="20"/>
              </w:rPr>
              <w:t>VPK</w:t>
            </w:r>
          </w:p>
        </w:tc>
      </w:tr>
    </w:tbl>
    <w:p w14:paraId="09A957CD" w14:textId="77777777" w:rsidR="00522B3B" w:rsidRPr="0029728A" w:rsidRDefault="00522B3B"/>
    <w:p w14:paraId="6EC4988F" w14:textId="2DCBE8C1" w:rsidR="00DB2250" w:rsidRPr="00045AA9" w:rsidRDefault="004D1F9A" w:rsidP="00631745">
      <w:pPr>
        <w:rPr>
          <w:sz w:val="20"/>
          <w:szCs w:val="20"/>
        </w:rPr>
      </w:pPr>
      <w:r>
        <w:rPr>
          <w:sz w:val="20"/>
          <w:szCs w:val="20"/>
        </w:rPr>
        <w:br w:type="page"/>
      </w:r>
    </w:p>
    <w:p w14:paraId="09C0AF64" w14:textId="7B4CEB89" w:rsidR="00CD5B6B" w:rsidRDefault="00115D73" w:rsidP="00115D73">
      <w:pPr>
        <w:pStyle w:val="Heading2"/>
      </w:pPr>
      <w:r>
        <w:lastRenderedPageBreak/>
        <w:t xml:space="preserve">Augstākās </w:t>
      </w:r>
      <w:r w:rsidR="00CC6C06">
        <w:t>izglītības finansējums 2019</w:t>
      </w:r>
      <w:r>
        <w:t>.</w:t>
      </w:r>
      <w:r w:rsidR="005D3F0C">
        <w:t xml:space="preserve"> </w:t>
      </w:r>
      <w:r>
        <w:t>gadā</w:t>
      </w:r>
    </w:p>
    <w:p w14:paraId="5467B4A1" w14:textId="77777777" w:rsidR="00115D73" w:rsidRPr="00115D73" w:rsidRDefault="00115D73" w:rsidP="00115D73"/>
    <w:p w14:paraId="40154F8B" w14:textId="698CDB64" w:rsidR="00CD5B6B" w:rsidRPr="00B34CF4" w:rsidRDefault="00CD5B6B" w:rsidP="00CD5B6B">
      <w:pPr>
        <w:rPr>
          <w:u w:val="single"/>
        </w:rPr>
      </w:pPr>
      <w:r w:rsidRPr="00E246B5">
        <w:rPr>
          <w:b/>
          <w:u w:val="single"/>
        </w:rPr>
        <w:t>Ieņēmum</w:t>
      </w:r>
      <w:r w:rsidR="000B14B4">
        <w:rPr>
          <w:b/>
          <w:u w:val="single"/>
        </w:rPr>
        <w:t>i</w:t>
      </w:r>
      <w:r w:rsidRPr="00E246B5">
        <w:rPr>
          <w:b/>
          <w:u w:val="single"/>
        </w:rPr>
        <w:t xml:space="preserve"> augstākās izglītības iestādēs </w:t>
      </w:r>
      <w:r w:rsidR="000B14B4">
        <w:rPr>
          <w:b/>
          <w:u w:val="single"/>
        </w:rPr>
        <w:t xml:space="preserve">iedalīti </w:t>
      </w:r>
      <w:r w:rsidRPr="00E246B5">
        <w:rPr>
          <w:b/>
          <w:u w:val="single"/>
        </w:rPr>
        <w:t>trīs galven</w:t>
      </w:r>
      <w:r w:rsidR="000B14B4">
        <w:rPr>
          <w:b/>
          <w:u w:val="single"/>
        </w:rPr>
        <w:t>ajās kategorijās</w:t>
      </w:r>
      <w:r w:rsidRPr="00B34CF4">
        <w:rPr>
          <w:u w:val="single"/>
        </w:rPr>
        <w:t>:</w:t>
      </w:r>
    </w:p>
    <w:p w14:paraId="0C995487" w14:textId="32164BFE" w:rsidR="00CD5B6B" w:rsidRDefault="00753965" w:rsidP="000B14B4">
      <w:pPr>
        <w:pStyle w:val="ListParagraph"/>
        <w:numPr>
          <w:ilvl w:val="0"/>
          <w:numId w:val="6"/>
        </w:numPr>
      </w:pPr>
      <w:r>
        <w:t>f</w:t>
      </w:r>
      <w:r w:rsidR="00CD5B6B">
        <w:t>inansējums studijām</w:t>
      </w:r>
      <w:r>
        <w:t xml:space="preserve"> (valsts budžeta dotāciju un ES struktūrfondu, studiju maksas u.c.)</w:t>
      </w:r>
      <w:r w:rsidR="00CD5B6B">
        <w:t>;</w:t>
      </w:r>
    </w:p>
    <w:p w14:paraId="714C6807" w14:textId="2A247BF5" w:rsidR="00CD5B6B" w:rsidRDefault="00CD5B6B" w:rsidP="000B14B4">
      <w:pPr>
        <w:pStyle w:val="ListParagraph"/>
        <w:numPr>
          <w:ilvl w:val="0"/>
          <w:numId w:val="6"/>
        </w:numPr>
      </w:pPr>
      <w:r>
        <w:t xml:space="preserve">finansējums zinātnei </w:t>
      </w:r>
      <w:r w:rsidR="00753965">
        <w:t>(</w:t>
      </w:r>
      <w:r>
        <w:t>valsts budžeta</w:t>
      </w:r>
      <w:r w:rsidR="002A03AD">
        <w:t xml:space="preserve"> un ES struktūrfondu</w:t>
      </w:r>
      <w:r>
        <w:t xml:space="preserve">, </w:t>
      </w:r>
      <w:r w:rsidR="00753965">
        <w:t>starptautiskais finansējums</w:t>
      </w:r>
      <w:r w:rsidR="002A25A1">
        <w:t>, ieņēmumi no līgumdarbiem</w:t>
      </w:r>
      <w:r w:rsidR="00753965">
        <w:t xml:space="preserve"> u.c.);</w:t>
      </w:r>
    </w:p>
    <w:p w14:paraId="5E9A86C5" w14:textId="0B51CFA2" w:rsidR="00753965" w:rsidRDefault="00CD5B6B" w:rsidP="00972CA2">
      <w:pPr>
        <w:pStyle w:val="ListParagraph"/>
        <w:numPr>
          <w:ilvl w:val="0"/>
          <w:numId w:val="6"/>
        </w:numPr>
      </w:pPr>
      <w:r>
        <w:t>cit</w:t>
      </w:r>
      <w:r w:rsidR="005D5515">
        <w:t>s finansējums</w:t>
      </w:r>
      <w:r>
        <w:t xml:space="preserve"> (ieņēmumi no kursiem, no telpu </w:t>
      </w:r>
      <w:r w:rsidR="002A25A1">
        <w:t xml:space="preserve">un inventāra </w:t>
      </w:r>
      <w:r>
        <w:t>nomas u.c.).</w:t>
      </w:r>
    </w:p>
    <w:p w14:paraId="6A1E7719" w14:textId="1CBC17E1" w:rsidR="00631745" w:rsidRDefault="00972CA2" w:rsidP="00A02C22">
      <w:pPr>
        <w:jc w:val="center"/>
      </w:pPr>
      <w:r>
        <w:rPr>
          <w:noProof/>
          <w:lang w:eastAsia="lv-LV"/>
        </w:rPr>
        <w:drawing>
          <wp:inline distT="0" distB="0" distL="0" distR="0" wp14:anchorId="76ECDC17" wp14:editId="42661CFD">
            <wp:extent cx="5448300" cy="2324100"/>
            <wp:effectExtent l="0" t="0" r="0" b="0"/>
            <wp:docPr id="14" name="Chart 14">
              <a:extLst xmlns:a="http://schemas.openxmlformats.org/drawingml/2006/main">
                <a:ext uri="{FF2B5EF4-FFF2-40B4-BE49-F238E27FC236}">
                  <a16:creationId xmlns:a16="http://schemas.microsoft.com/office/drawing/2014/main" id="{6C876680-1BA9-4BB6-BE2D-E4F47C6C525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9CFA46A" w14:textId="3F48688F" w:rsidR="002A588F" w:rsidRDefault="00CC6C06" w:rsidP="008B23A2">
      <w:pPr>
        <w:jc w:val="both"/>
      </w:pPr>
      <w:bookmarkStart w:id="0" w:name="_Hlk36652240"/>
      <w:r>
        <w:t>2019</w:t>
      </w:r>
      <w:r w:rsidR="008F579A">
        <w:t>.</w:t>
      </w:r>
      <w:r w:rsidR="000712C0">
        <w:t xml:space="preserve"> </w:t>
      </w:r>
      <w:r w:rsidR="008F579A">
        <w:t>gadā 6</w:t>
      </w:r>
      <w:r w:rsidR="00B11D6D">
        <w:t>1</w:t>
      </w:r>
      <w:r w:rsidR="008F579A">
        <w:t xml:space="preserve">% no kopējā </w:t>
      </w:r>
      <w:bookmarkEnd w:id="0"/>
      <w:r w:rsidR="008F579A">
        <w:t xml:space="preserve">finansējuma augstākajai izglītībai </w:t>
      </w:r>
      <w:r w:rsidR="00071D83">
        <w:t xml:space="preserve">bija </w:t>
      </w:r>
      <w:r w:rsidR="00B11D6D">
        <w:t>ieņēmumi studijām, 23</w:t>
      </w:r>
      <w:r>
        <w:t>% finan</w:t>
      </w:r>
      <w:r w:rsidR="00B11D6D">
        <w:t>sējums zinātnei un 16</w:t>
      </w:r>
      <w:r w:rsidR="008F579A">
        <w:t>% cits finansējums.</w:t>
      </w:r>
      <w:r w:rsidR="00D66F1E">
        <w:t xml:space="preserve"> Kopējais finansē</w:t>
      </w:r>
      <w:r>
        <w:t>jums augstākajai izglītībai 2019</w:t>
      </w:r>
      <w:r w:rsidR="00D66F1E">
        <w:t xml:space="preserve">. gadā bija </w:t>
      </w:r>
      <w:r>
        <w:t>436</w:t>
      </w:r>
      <w:r w:rsidR="00071D83">
        <w:t xml:space="preserve"> milj. e</w:t>
      </w:r>
      <w:r w:rsidR="002A588F">
        <w:t>i</w:t>
      </w:r>
      <w:r w:rsidR="00071D83">
        <w:t xml:space="preserve">ro, no kā </w:t>
      </w:r>
      <w:r w:rsidR="00B11D6D">
        <w:t>90</w:t>
      </w:r>
      <w:r w:rsidR="00071D83">
        <w:t>% veido valsts augstskol</w:t>
      </w:r>
      <w:r>
        <w:t>u</w:t>
      </w:r>
      <w:r w:rsidR="00B11D6D">
        <w:t xml:space="preserve"> un koledžu finansējums, bet 10</w:t>
      </w:r>
      <w:r w:rsidR="00071D83">
        <w:t>% privāto augstskolu un koledžu finansējums.</w:t>
      </w:r>
      <w:r>
        <w:t xml:space="preserve"> </w:t>
      </w:r>
    </w:p>
    <w:p w14:paraId="1BA2BC55" w14:textId="72ACA400" w:rsidR="00B510A5" w:rsidRDefault="00F771EF" w:rsidP="008F579A">
      <w:r>
        <w:rPr>
          <w:noProof/>
          <w:lang w:eastAsia="lv-LV"/>
        </w:rPr>
        <w:drawing>
          <wp:inline distT="0" distB="0" distL="0" distR="0" wp14:anchorId="041D61BD" wp14:editId="3F1AB1E6">
            <wp:extent cx="5848350" cy="2514600"/>
            <wp:effectExtent l="0" t="0" r="0" b="0"/>
            <wp:docPr id="24" name="Chart 24">
              <a:extLst xmlns:a="http://schemas.openxmlformats.org/drawingml/2006/main">
                <a:ext uri="{FF2B5EF4-FFF2-40B4-BE49-F238E27FC236}">
                  <a16:creationId xmlns:a16="http://schemas.microsoft.com/office/drawing/2014/main" id="{5F5D74E7-45A8-43C6-ABB2-09B13D08959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7F890A9" w14:textId="5C0294CD" w:rsidR="000B14B4" w:rsidRDefault="000B14B4" w:rsidP="000B14B4">
      <w:pPr>
        <w:rPr>
          <w:u w:val="single"/>
        </w:rPr>
      </w:pPr>
      <w:r w:rsidRPr="00E246B5">
        <w:rPr>
          <w:b/>
          <w:u w:val="single"/>
        </w:rPr>
        <w:t>I</w:t>
      </w:r>
      <w:r>
        <w:rPr>
          <w:b/>
          <w:u w:val="single"/>
        </w:rPr>
        <w:t>zdevumi</w:t>
      </w:r>
      <w:r w:rsidRPr="00E246B5">
        <w:rPr>
          <w:b/>
          <w:u w:val="single"/>
        </w:rPr>
        <w:t xml:space="preserve"> augstākās izglītības iestādēs </w:t>
      </w:r>
      <w:r>
        <w:rPr>
          <w:b/>
          <w:u w:val="single"/>
        </w:rPr>
        <w:t>iedalīti sešās kategorijās</w:t>
      </w:r>
      <w:r w:rsidRPr="00B34CF4">
        <w:rPr>
          <w:u w:val="single"/>
        </w:rPr>
        <w:t>:</w:t>
      </w:r>
    </w:p>
    <w:p w14:paraId="428ED8E5" w14:textId="6F32042D" w:rsidR="000B14B4" w:rsidRDefault="000B14B4" w:rsidP="000B14B4">
      <w:pPr>
        <w:pStyle w:val="ListParagraph"/>
        <w:numPr>
          <w:ilvl w:val="0"/>
          <w:numId w:val="4"/>
        </w:numPr>
      </w:pPr>
      <w:r w:rsidRPr="000B14B4">
        <w:t>izdevumi darba samaksai</w:t>
      </w:r>
      <w:r w:rsidR="000712C0">
        <w:t>;</w:t>
      </w:r>
    </w:p>
    <w:p w14:paraId="26A2325F" w14:textId="6CD7163A" w:rsidR="000B14B4" w:rsidRPr="000B14B4" w:rsidRDefault="000B14B4" w:rsidP="000B14B4">
      <w:pPr>
        <w:pStyle w:val="ListParagraph"/>
        <w:numPr>
          <w:ilvl w:val="0"/>
          <w:numId w:val="4"/>
        </w:numPr>
      </w:pPr>
      <w:r w:rsidRPr="000B14B4">
        <w:t>izdevumi soci</w:t>
      </w:r>
      <w:r>
        <w:t>ālās apdrošināšanas iemaksām</w:t>
      </w:r>
      <w:r w:rsidR="000712C0">
        <w:t>;</w:t>
      </w:r>
    </w:p>
    <w:p w14:paraId="6C47F231" w14:textId="2EBF4634" w:rsidR="000B14B4" w:rsidRDefault="000B14B4" w:rsidP="000B14B4">
      <w:pPr>
        <w:pStyle w:val="ListParagraph"/>
        <w:numPr>
          <w:ilvl w:val="0"/>
          <w:numId w:val="4"/>
        </w:numPr>
      </w:pPr>
      <w:r>
        <w:t>izdevumi precēm un pakalpojumiem</w:t>
      </w:r>
      <w:r w:rsidR="002A25A1">
        <w:t xml:space="preserve"> (komunālie pakalpojumi, inventārs, periodika u.c.)</w:t>
      </w:r>
      <w:r w:rsidR="000712C0">
        <w:t>;</w:t>
      </w:r>
    </w:p>
    <w:p w14:paraId="6768C8AA" w14:textId="4F5ADBDB" w:rsidR="000B14B4" w:rsidRDefault="000B14B4" w:rsidP="000B14B4">
      <w:pPr>
        <w:pStyle w:val="ListParagraph"/>
        <w:numPr>
          <w:ilvl w:val="0"/>
          <w:numId w:val="4"/>
        </w:numPr>
      </w:pPr>
      <w:r>
        <w:lastRenderedPageBreak/>
        <w:t>izdevumi pamatkapitāla veidošanai</w:t>
      </w:r>
      <w:r w:rsidR="000712C0">
        <w:t>;</w:t>
      </w:r>
    </w:p>
    <w:p w14:paraId="3E39FE48" w14:textId="0CF69C2B" w:rsidR="000B14B4" w:rsidRDefault="000B14B4" w:rsidP="000B14B4">
      <w:pPr>
        <w:pStyle w:val="ListParagraph"/>
        <w:numPr>
          <w:ilvl w:val="0"/>
          <w:numId w:val="4"/>
        </w:numPr>
      </w:pPr>
      <w:r>
        <w:t>izdevumi stipendijām</w:t>
      </w:r>
      <w:r w:rsidR="002A25A1">
        <w:t xml:space="preserve"> un transporta izdevumu </w:t>
      </w:r>
      <w:r w:rsidR="004379F9">
        <w:t>kompensācijām</w:t>
      </w:r>
      <w:r w:rsidR="000712C0">
        <w:t>;</w:t>
      </w:r>
    </w:p>
    <w:p w14:paraId="022FC925" w14:textId="21B46160" w:rsidR="006A59E7" w:rsidRDefault="000B14B4" w:rsidP="00071D83">
      <w:pPr>
        <w:pStyle w:val="ListParagraph"/>
        <w:numPr>
          <w:ilvl w:val="0"/>
          <w:numId w:val="4"/>
        </w:numPr>
      </w:pPr>
      <w:r>
        <w:t>citi izdevumi</w:t>
      </w:r>
      <w:r w:rsidR="002A25A1">
        <w:t xml:space="preserve"> (reprezentācijas materiāli, autoratlīdzības</w:t>
      </w:r>
      <w:r w:rsidR="00CC6C06">
        <w:t>, procentu maksājumi</w:t>
      </w:r>
      <w:r w:rsidR="002A25A1">
        <w:t xml:space="preserve"> u.c.)</w:t>
      </w:r>
      <w:r w:rsidR="00DB41F5">
        <w:t>.</w:t>
      </w:r>
    </w:p>
    <w:p w14:paraId="30E12296" w14:textId="54036B6F" w:rsidR="000B14B4" w:rsidRDefault="0074369F" w:rsidP="008B23A2">
      <w:pPr>
        <w:jc w:val="both"/>
      </w:pPr>
      <w:r>
        <w:t>2019</w:t>
      </w:r>
      <w:r w:rsidR="006A59E7" w:rsidRPr="00AD7A24">
        <w:t>.</w:t>
      </w:r>
      <w:r w:rsidR="001E1C03">
        <w:t xml:space="preserve"> </w:t>
      </w:r>
      <w:r w:rsidR="006A59E7" w:rsidRPr="00AD7A24">
        <w:t>gadā 4</w:t>
      </w:r>
      <w:r w:rsidR="00090A5D">
        <w:t>2</w:t>
      </w:r>
      <w:r w:rsidR="006A59E7" w:rsidRPr="00AD7A24">
        <w:t>% no kopējiem augstākās izglītības izdevumiem veidoja darba samaksa, 2</w:t>
      </w:r>
      <w:r w:rsidR="002A588F">
        <w:t>4</w:t>
      </w:r>
      <w:r w:rsidR="006A59E7" w:rsidRPr="00AD7A24">
        <w:t>%  izdevumi precēm un pakalpojumiem, 1</w:t>
      </w:r>
      <w:r w:rsidR="00090A5D">
        <w:t>4</w:t>
      </w:r>
      <w:r w:rsidR="006A59E7" w:rsidRPr="00AD7A24">
        <w:t xml:space="preserve">% pamatkapitāla veidošana, </w:t>
      </w:r>
      <w:r w:rsidR="00090A5D">
        <w:t>11</w:t>
      </w:r>
      <w:r w:rsidR="002A588F">
        <w:t xml:space="preserve">% sociālās apdrošināšanas iemaksas, </w:t>
      </w:r>
      <w:r>
        <w:t>3</w:t>
      </w:r>
      <w:r w:rsidR="00C046A1" w:rsidRPr="00AD7A24">
        <w:t xml:space="preserve">% stipendijas, 6% citi izdevumi. </w:t>
      </w:r>
      <w:r w:rsidR="005C3F9E" w:rsidRPr="00AD7A24">
        <w:t xml:space="preserve">Kopējie augstākās </w:t>
      </w:r>
      <w:r>
        <w:t>izglītības iestāžu izdevumi 2019</w:t>
      </w:r>
      <w:r w:rsidR="005C3F9E" w:rsidRPr="00AD7A24">
        <w:t>. gadā bija 3</w:t>
      </w:r>
      <w:r>
        <w:t>90</w:t>
      </w:r>
      <w:r w:rsidR="005C3F9E" w:rsidRPr="00AD7A24">
        <w:t xml:space="preserve"> milj. e</w:t>
      </w:r>
      <w:r w:rsidR="002A588F">
        <w:t>i</w:t>
      </w:r>
      <w:r w:rsidR="005C3F9E" w:rsidRPr="00AD7A24">
        <w:t>ro.</w:t>
      </w:r>
      <w:r w:rsidR="005C3F9E">
        <w:t xml:space="preserve"> </w:t>
      </w:r>
    </w:p>
    <w:p w14:paraId="36B44B92" w14:textId="77777777" w:rsidR="005D5515" w:rsidRDefault="005D5515" w:rsidP="00B34CF4"/>
    <w:p w14:paraId="180C438E" w14:textId="7FF86027" w:rsidR="00CC211A" w:rsidRPr="005D5515" w:rsidRDefault="00912A13" w:rsidP="008B23A2">
      <w:pPr>
        <w:pStyle w:val="Heading2"/>
      </w:pPr>
      <w:r>
        <w:t>A</w:t>
      </w:r>
      <w:r w:rsidR="004F7293" w:rsidRPr="005D5515">
        <w:t>ugstskolu finansējums 201</w:t>
      </w:r>
      <w:r w:rsidR="00985C4F">
        <w:t>9</w:t>
      </w:r>
      <w:r w:rsidR="00CC211A" w:rsidRPr="005D5515">
        <w:t>.</w:t>
      </w:r>
      <w:r w:rsidR="0093534E">
        <w:t xml:space="preserve"> </w:t>
      </w:r>
      <w:r w:rsidR="00CC211A" w:rsidRPr="005D5515">
        <w:t>gadā</w:t>
      </w:r>
    </w:p>
    <w:p w14:paraId="1B7E6902" w14:textId="56B7B9B6" w:rsidR="00334CD6" w:rsidRDefault="0001394A" w:rsidP="00147973">
      <w:pPr>
        <w:spacing w:before="240"/>
        <w:jc w:val="both"/>
      </w:pPr>
      <w:r>
        <w:t>2019</w:t>
      </w:r>
      <w:r w:rsidR="00943A99">
        <w:t>. gadā augstskolu ie</w:t>
      </w:r>
      <w:r w:rsidR="001C44D1">
        <w:t>ņēmumi</w:t>
      </w:r>
      <w:r w:rsidR="00943A99">
        <w:t xml:space="preserve"> </w:t>
      </w:r>
      <w:r w:rsidR="00EE193A">
        <w:t xml:space="preserve">bija </w:t>
      </w:r>
      <w:r>
        <w:t>400</w:t>
      </w:r>
      <w:r w:rsidR="00071D83">
        <w:t xml:space="preserve"> </w:t>
      </w:r>
      <w:r w:rsidR="001C44D1">
        <w:t>milj. e</w:t>
      </w:r>
      <w:r w:rsidR="007A2AC9">
        <w:t>i</w:t>
      </w:r>
      <w:r w:rsidR="001C44D1">
        <w:t xml:space="preserve">ro, no kā </w:t>
      </w:r>
      <w:r w:rsidR="000137E8">
        <w:t>9</w:t>
      </w:r>
      <w:r>
        <w:t>1</w:t>
      </w:r>
      <w:r w:rsidR="001C44D1" w:rsidRPr="00C22317">
        <w:t xml:space="preserve">% veido valsts augstskolu ieņēmumi, </w:t>
      </w:r>
      <w:r w:rsidR="00EE193A" w:rsidRPr="00C22317">
        <w:t xml:space="preserve">savukārt </w:t>
      </w:r>
      <w:r w:rsidR="00071D83">
        <w:t>9</w:t>
      </w:r>
      <w:r w:rsidR="001C44D1" w:rsidRPr="00C22317">
        <w:t>% ju</w:t>
      </w:r>
      <w:r w:rsidR="001C44D1">
        <w:t>ridisk</w:t>
      </w:r>
      <w:r w:rsidR="001725DC">
        <w:t>u</w:t>
      </w:r>
      <w:r w:rsidR="001C44D1">
        <w:t xml:space="preserve"> personu dibināto augstskolu ieņēmumi. </w:t>
      </w:r>
      <w:r>
        <w:t>Kopš 2016. gada auguši gan valsts augstskolu, gan privāto augstskolu ieņēmumi, kas lielā mērā saistīts ar ekonomisko</w:t>
      </w:r>
      <w:r w:rsidR="00344ED1">
        <w:t xml:space="preserve"> </w:t>
      </w:r>
      <w:r>
        <w:t>izaugsmi</w:t>
      </w:r>
      <w:r w:rsidR="00344ED1">
        <w:t xml:space="preserve"> un iekšzemes kopprodukta pieaugum</w:t>
      </w:r>
      <w:r>
        <w:t>u. Augstskolu ieņēmumi un izdevumi 2019.</w:t>
      </w:r>
      <w:r w:rsidR="00337B4B">
        <w:t xml:space="preserve"> </w:t>
      </w:r>
      <w:r>
        <w:t xml:space="preserve">gadā bijuši lielākie pēdējo desmit gadu periodā. </w:t>
      </w:r>
      <w:r w:rsidR="00C92B8D">
        <w:t>Valsts augs</w:t>
      </w:r>
      <w:r w:rsidR="00337B4B">
        <w:t>tskolu ieņēmumi 2019</w:t>
      </w:r>
      <w:r w:rsidR="00071D83">
        <w:t>.</w:t>
      </w:r>
      <w:r w:rsidR="00344ED1">
        <w:t xml:space="preserve"> </w:t>
      </w:r>
      <w:r w:rsidR="00337B4B">
        <w:t>gadā ir 365</w:t>
      </w:r>
      <w:r w:rsidR="00071D83">
        <w:t xml:space="preserve"> milj. e</w:t>
      </w:r>
      <w:r w:rsidR="00C73468">
        <w:t>i</w:t>
      </w:r>
      <w:r w:rsidR="00071D83">
        <w:t>ro, bet izdevumi</w:t>
      </w:r>
      <w:r w:rsidR="001F666F">
        <w:t xml:space="preserve"> –</w:t>
      </w:r>
      <w:r w:rsidR="00C73468">
        <w:t xml:space="preserve"> </w:t>
      </w:r>
      <w:r w:rsidR="00337B4B">
        <w:t>323</w:t>
      </w:r>
      <w:r w:rsidR="00C92B8D">
        <w:t xml:space="preserve"> milj. e</w:t>
      </w:r>
      <w:r w:rsidR="00C73468">
        <w:t>i</w:t>
      </w:r>
      <w:r w:rsidR="00C92B8D">
        <w:t xml:space="preserve">ro. </w:t>
      </w:r>
    </w:p>
    <w:p w14:paraId="392EFFE1" w14:textId="68F3FB11" w:rsidR="005C2FE3" w:rsidRDefault="005C2FE3" w:rsidP="00147973">
      <w:pPr>
        <w:spacing w:before="240"/>
        <w:jc w:val="both"/>
      </w:pPr>
      <w:r>
        <w:rPr>
          <w:noProof/>
          <w:lang w:eastAsia="lv-LV"/>
        </w:rPr>
        <w:drawing>
          <wp:inline distT="0" distB="0" distL="0" distR="0" wp14:anchorId="72F398E9" wp14:editId="638AD85E">
            <wp:extent cx="5305425" cy="2762250"/>
            <wp:effectExtent l="0" t="0" r="0" b="0"/>
            <wp:docPr id="2" name="Chart 2">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67E516E" w14:textId="3F63304E" w:rsidR="005F2CD3" w:rsidRDefault="00337B4B" w:rsidP="005151ED">
      <w:pPr>
        <w:spacing w:before="240"/>
        <w:jc w:val="both"/>
      </w:pPr>
      <w:r>
        <w:t>P</w:t>
      </w:r>
      <w:r w:rsidR="008B6939" w:rsidRPr="008B6939">
        <w:t>akāpeniska studējošo skaita samazināšanās tendence valsts augstskolās novēroj</w:t>
      </w:r>
      <w:r>
        <w:t xml:space="preserve">ama jau ilgstoši. Desmit gadu laikā studējošo skaits samazinājies par </w:t>
      </w:r>
      <w:r w:rsidR="00881350">
        <w:t>-</w:t>
      </w:r>
      <w:r>
        <w:t xml:space="preserve">24% </w:t>
      </w:r>
      <w:r w:rsidR="00AB1152">
        <w:t xml:space="preserve">un studējošo skaits, kas studē par personīgajiem līdzekļiem samazinājies par </w:t>
      </w:r>
      <w:r w:rsidR="00881350">
        <w:t xml:space="preserve"> -</w:t>
      </w:r>
      <w:r w:rsidR="00AB1152">
        <w:t xml:space="preserve">7%. </w:t>
      </w:r>
      <w:r>
        <w:t xml:space="preserve">Tomēr </w:t>
      </w:r>
      <w:r w:rsidR="00AB1152">
        <w:t xml:space="preserve">kopš 2014. gada </w:t>
      </w:r>
      <w:r w:rsidR="008B6939" w:rsidRPr="008B6939">
        <w:t>ieņēmumi no studiju maksas ir pieauguši</w:t>
      </w:r>
      <w:r>
        <w:t xml:space="preserve"> gan valsts, gan privātajās augstskolās</w:t>
      </w:r>
      <w:r w:rsidR="008B6939" w:rsidRPr="008B6939">
        <w:t xml:space="preserve">. </w:t>
      </w:r>
      <w:r w:rsidR="00AB1152">
        <w:t>2019</w:t>
      </w:r>
      <w:r w:rsidR="008B6939" w:rsidRPr="008B6939">
        <w:t>. gadā studējošo skaits valsts</w:t>
      </w:r>
      <w:r w:rsidR="00AB1152">
        <w:t xml:space="preserve"> augstskolās, salīdzinot ar 2015. gadu, samazinājies par -4</w:t>
      </w:r>
      <w:r w:rsidR="008B6939" w:rsidRPr="008B6939">
        <w:t>%, bet ienākumi no studiju maksas valst</w:t>
      </w:r>
      <w:r w:rsidR="00B06419">
        <w:t>s augstskolās pieauguši par 36</w:t>
      </w:r>
      <w:r w:rsidR="008B6939" w:rsidRPr="008B6939">
        <w:t xml:space="preserve">%. </w:t>
      </w:r>
      <w:r w:rsidR="00B06419">
        <w:t xml:space="preserve">Privātajās augstskolās kopš 2015. gada studējošo skaits samazinājies par -8%, bet ienākumi no studiju maksas pieauguši par 7%. </w:t>
      </w:r>
      <w:r w:rsidR="00717665" w:rsidRPr="008B6939">
        <w:t xml:space="preserve">Tas atspoguļo studiju maksas pieaugumu daudzās augstākās izglītības iestādēs, ko veicinājis </w:t>
      </w:r>
      <w:r w:rsidR="00717665" w:rsidRPr="008B6939">
        <w:lastRenderedPageBreak/>
        <w:t>kopējais ekonomiskās aktivitātes</w:t>
      </w:r>
      <w:r w:rsidR="00717665">
        <w:rPr>
          <w:rStyle w:val="FootnoteReference"/>
        </w:rPr>
        <w:footnoteReference w:id="1"/>
      </w:r>
      <w:r w:rsidR="00717665" w:rsidRPr="008B6939">
        <w:t xml:space="preserve"> un strādājošo pirktspējas</w:t>
      </w:r>
      <w:r w:rsidR="00717665">
        <w:rPr>
          <w:rStyle w:val="FootnoteReference"/>
        </w:rPr>
        <w:footnoteReference w:id="2"/>
      </w:r>
      <w:r w:rsidR="00717665">
        <w:t xml:space="preserve"> pieaugums, kā arī ārvalstu studentu piesaisti, kuriem daudzās augstākās izglītības iestādēs noteikta paaugstināta studiju maksa. Studiju programmām angļu valodā raksturīga augstāka studiju maksa, nekā saturiski līdzīgām programmām latviešu valodā. Kopš 2015. gada kopējais ārvalstu studējošo skaits augstākās izglītības iestādēs pieaudzis par 40% un to īpatsvars no kopējo studējošo skaita 2019. gadā ir 14% (ieskaitot apmaiņas programmās esošos studentus).</w:t>
      </w:r>
    </w:p>
    <w:p w14:paraId="13B00976" w14:textId="7C634A6C" w:rsidR="00841B8A" w:rsidRDefault="00606217" w:rsidP="005151ED">
      <w:pPr>
        <w:spacing w:before="240"/>
        <w:jc w:val="both"/>
      </w:pPr>
      <w:r>
        <w:rPr>
          <w:noProof/>
        </w:rPr>
        <w:drawing>
          <wp:inline distT="0" distB="0" distL="0" distR="0" wp14:anchorId="082B133D" wp14:editId="3BF56FAF">
            <wp:extent cx="5248275" cy="2532380"/>
            <wp:effectExtent l="0" t="0" r="0" b="1270"/>
            <wp:docPr id="19" name="Chart 19">
              <a:extLst xmlns:a="http://schemas.openxmlformats.org/drawingml/2006/main">
                <a:ext uri="{FF2B5EF4-FFF2-40B4-BE49-F238E27FC236}">
                  <a16:creationId xmlns:a16="http://schemas.microsoft.com/office/drawing/2014/main" id="{00000000-0008-0000-0000-00000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2F840B9" w14:textId="1EF3E73A" w:rsidR="00985C4F" w:rsidRPr="000B3922" w:rsidRDefault="000D05B2" w:rsidP="005151ED">
      <w:pPr>
        <w:spacing w:before="240"/>
        <w:jc w:val="both"/>
        <w:rPr>
          <w:color w:val="FF0000"/>
        </w:rPr>
      </w:pPr>
      <w:r w:rsidRPr="00A1065A">
        <w:t>2019. gadā v</w:t>
      </w:r>
      <w:r w:rsidR="00EC41F8" w:rsidRPr="00A1065A">
        <w:t>idēji vienas valsts augstskola</w:t>
      </w:r>
      <w:r w:rsidRPr="00A1065A">
        <w:t xml:space="preserve">s ieņēmumi salīdzinājumā ar </w:t>
      </w:r>
      <w:r w:rsidR="00985C4F">
        <w:t xml:space="preserve">vidējo ieņēmumu vērtību 2014. – 2018. gadā </w:t>
      </w:r>
      <w:r w:rsidR="00EC41F8" w:rsidRPr="00A1065A">
        <w:t xml:space="preserve">pieauguši par </w:t>
      </w:r>
      <w:r w:rsidR="00985C4F">
        <w:t>35</w:t>
      </w:r>
      <w:r w:rsidR="00EC41F8" w:rsidRPr="00A1065A">
        <w:t xml:space="preserve">%. </w:t>
      </w:r>
      <w:r w:rsidRPr="00A1065A">
        <w:t>Tomēr šo tendenci</w:t>
      </w:r>
      <w:r w:rsidR="00C607A2" w:rsidRPr="00A1065A">
        <w:t xml:space="preserve"> viennozīmīgi nevar attiecināt uz visām augstskolām. </w:t>
      </w:r>
      <w:r w:rsidR="002C48C8" w:rsidRPr="00A1065A">
        <w:t>Straujākais ienākumu kāpums</w:t>
      </w:r>
      <w:r w:rsidR="00985C4F">
        <w:t xml:space="preserve"> bijis DU, LSPA un RTU</w:t>
      </w:r>
      <w:r w:rsidR="00774A50">
        <w:t xml:space="preserve"> (attiecīgi 76%, 60</w:t>
      </w:r>
      <w:r w:rsidR="002C48C8" w:rsidRPr="00A1065A">
        <w:t>%</w:t>
      </w:r>
      <w:r w:rsidR="00DB26BA" w:rsidRPr="00A1065A">
        <w:t xml:space="preserve"> un </w:t>
      </w:r>
      <w:r w:rsidR="00774A50">
        <w:t xml:space="preserve">42%). </w:t>
      </w:r>
      <w:r w:rsidR="001B0F47">
        <w:t xml:space="preserve">Piecu gadu laikā Valsts budžeta dotācija (ieskaitot ES struktūrfondu finansējumu) DU trīskāršojusies, būtiski audzis arī finansējums zinātnei, kas par spīti ieņēmumu samazinājumam no studiju maksas veidojis straujo ieņēmumu pieaugumu. </w:t>
      </w:r>
      <w:r w:rsidR="00844F5D">
        <w:t>LSPA 2019. gadā sa</w:t>
      </w:r>
      <w:r w:rsidR="006847DF">
        <w:t>ņēma lielu apjomu ES struktūrfondu finansējuma</w:t>
      </w:r>
      <w:r w:rsidR="00862E68">
        <w:t xml:space="preserve">, kas atspoguļojas straujā ieņēmumu pieaugumā salīdzinot ar iepriekšējo piecu gadu posmu. </w:t>
      </w:r>
      <w:r w:rsidR="00DD5DE3">
        <w:t xml:space="preserve">RTU piecu gadu laika samērā strauji auguši ieņēmumi gan no valsts budžeta dotācija (ieskaitot ES struktūrfondu finansējumu), gan studiju maksas, gan finansējuma zinātnei. </w:t>
      </w:r>
      <w:r w:rsidR="00EC41F8" w:rsidRPr="00A1065A">
        <w:t>Apskatītajā laika periodā ieņēm</w:t>
      </w:r>
      <w:r w:rsidR="00286FE0">
        <w:t xml:space="preserve">umi samazinājušies vienā valsts augstskolā -  </w:t>
      </w:r>
      <w:r w:rsidRPr="00A1065A">
        <w:t>V</w:t>
      </w:r>
      <w:r w:rsidR="00985C4F">
        <w:t>eA</w:t>
      </w:r>
      <w:r w:rsidR="00286FE0">
        <w:t xml:space="preserve"> par</w:t>
      </w:r>
      <w:r w:rsidR="00985C4F">
        <w:t xml:space="preserve"> -1</w:t>
      </w:r>
      <w:r w:rsidR="00A1065A" w:rsidRPr="00A1065A">
        <w:t>%</w:t>
      </w:r>
      <w:r w:rsidR="00822B56">
        <w:t>, salīdzinot ar iepriekšējo 5 gadu posmu</w:t>
      </w:r>
      <w:r w:rsidR="00A1065A" w:rsidRPr="00A1065A">
        <w:t>.</w:t>
      </w:r>
    </w:p>
    <w:p w14:paraId="2A81172C" w14:textId="003D1D14" w:rsidR="000B3922" w:rsidRDefault="000B3922" w:rsidP="005151ED">
      <w:pPr>
        <w:spacing w:before="240"/>
        <w:jc w:val="both"/>
      </w:pPr>
      <w:r>
        <w:rPr>
          <w:noProof/>
          <w:lang w:eastAsia="lv-LV"/>
        </w:rPr>
        <w:lastRenderedPageBreak/>
        <w:drawing>
          <wp:inline distT="0" distB="0" distL="0" distR="0" wp14:anchorId="43913F7D" wp14:editId="33CCC361">
            <wp:extent cx="5248275" cy="2381250"/>
            <wp:effectExtent l="0" t="0" r="0" b="0"/>
            <wp:docPr id="15" name="Chart 15">
              <a:extLst xmlns:a="http://schemas.openxmlformats.org/drawingml/2006/main">
                <a:ext uri="{FF2B5EF4-FFF2-40B4-BE49-F238E27FC236}">
                  <a16:creationId xmlns:a16="http://schemas.microsoft.com/office/drawing/2014/main" id="{3BC53AA4-136B-4B62-A8AA-53D7400DFC0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F48E7A8" w14:textId="75400DDE" w:rsidR="00FC6C74" w:rsidRDefault="00652D8E" w:rsidP="005151ED">
      <w:pPr>
        <w:spacing w:before="240"/>
        <w:jc w:val="both"/>
      </w:pPr>
      <w:r>
        <w:t xml:space="preserve">2019. gadā starp valsts un privātajām augstskolām lielākie ieņēmumi ir LU, kur finansējums kopā sasniedz </w:t>
      </w:r>
      <w:r w:rsidRPr="005B606D">
        <w:t>115</w:t>
      </w:r>
      <w:r>
        <w:t xml:space="preserve"> milj. eiro. Trīs pēc studējošo skaita lielāko valsts augstskolu (LU, RTU un RSU) finansējums veido 72% no kopējā valsts augstskolu finansējuma, attiecīgi arī trīs lielāko augstskolu izdevumi veido 61% no valsts augstskolu izdevumiem. </w:t>
      </w:r>
      <w:r w:rsidR="002F05F3">
        <w:t>LU, RTU un RSU studē 71% no visiem valsts augstskolās studējošajiem.</w:t>
      </w:r>
      <w:r w:rsidR="004379F9">
        <w:rPr>
          <w:noProof/>
          <w:lang w:eastAsia="lv-LV"/>
        </w:rPr>
        <w:drawing>
          <wp:inline distT="0" distB="0" distL="0" distR="0" wp14:anchorId="472975CE" wp14:editId="192894DC">
            <wp:extent cx="5324475" cy="3182934"/>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41019" cy="3192824"/>
                    </a:xfrm>
                    <a:prstGeom prst="rect">
                      <a:avLst/>
                    </a:prstGeom>
                    <a:noFill/>
                  </pic:spPr>
                </pic:pic>
              </a:graphicData>
            </a:graphic>
          </wp:inline>
        </w:drawing>
      </w:r>
      <w:r w:rsidR="00FC6C74">
        <w:t>Ieņēmumu struktūras valsts augstskolās un privātajās augstskol</w:t>
      </w:r>
      <w:r w:rsidR="00ED6CBF">
        <w:t>ās</w:t>
      </w:r>
      <w:r w:rsidR="00FC6C74">
        <w:t xml:space="preserve"> </w:t>
      </w:r>
      <w:r w:rsidR="004379F9">
        <w:t>atšķiras</w:t>
      </w:r>
      <w:r w:rsidR="00FC6C74">
        <w:t xml:space="preserve">. Valsts </w:t>
      </w:r>
      <w:r w:rsidR="004379F9">
        <w:t>augstskolās</w:t>
      </w:r>
      <w:r w:rsidR="00FC6C74">
        <w:t xml:space="preserve"> galvenie finansējuma avoti ir valsts budžeta dotācijas studijām un finansējums zinātnei, ko arī lielā mērā veido valsts budžeta dotācijas. </w:t>
      </w:r>
      <w:r w:rsidR="004B5AEC">
        <w:t xml:space="preserve">Valsts augstskolās </w:t>
      </w:r>
      <w:r w:rsidR="004379F9">
        <w:t>kopsummā</w:t>
      </w:r>
      <w:r w:rsidR="004B5AEC">
        <w:t xml:space="preserve"> ieņēmumi gan no studiju maksas, gan citi ieņēmumi (ieņēmumi no kursiem, dienesta viesnīcām u.c.) veido līdzvērtīgu apjomu no kopējiem ienākumiem, kas norāda uz ienākumu gūšanas veidu diversifikācijas nozīmi augstskolas darbībā. </w:t>
      </w:r>
      <w:r w:rsidR="00FC6C74">
        <w:t>Savukārt privātajās augstskolās galvenais ieņēmumu avots ir studiju maksa un dažādi maksas pakalpojumi – kursi, telpu un inventāra noma u.c.</w:t>
      </w:r>
    </w:p>
    <w:p w14:paraId="5D332A41" w14:textId="426982AD" w:rsidR="00DF15ED" w:rsidRDefault="00DF15ED" w:rsidP="005151ED">
      <w:pPr>
        <w:spacing w:before="240"/>
        <w:jc w:val="both"/>
      </w:pPr>
      <w:r>
        <w:rPr>
          <w:noProof/>
          <w:lang w:eastAsia="lv-LV"/>
        </w:rPr>
        <w:lastRenderedPageBreak/>
        <w:drawing>
          <wp:inline distT="0" distB="0" distL="0" distR="0" wp14:anchorId="64C701E2" wp14:editId="717355D4">
            <wp:extent cx="5248275" cy="3219450"/>
            <wp:effectExtent l="0" t="0" r="0" b="0"/>
            <wp:docPr id="4" name="Chart 4">
              <a:extLst xmlns:a="http://schemas.openxmlformats.org/drawingml/2006/main">
                <a:ext uri="{FF2B5EF4-FFF2-40B4-BE49-F238E27FC236}">
                  <a16:creationId xmlns:a16="http://schemas.microsoft.com/office/drawing/2014/main" id="{00000000-0008-0000-01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033BB33" w14:textId="2E31B262" w:rsidR="00822B56" w:rsidRDefault="00822B56" w:rsidP="005151ED">
      <w:pPr>
        <w:spacing w:before="240"/>
        <w:jc w:val="both"/>
      </w:pPr>
      <w:r>
        <w:t>Lielākajā daļā valsts augstskolu apjomīgākais finansējuma avots studijām ir valsts budžeta dotācija (ieskaitot ES struktūrfondu finansējumu). 2019. gadā v</w:t>
      </w:r>
      <w:r w:rsidR="00F0528F">
        <w:t>alsts budžeta dotācijas veido 67</w:t>
      </w:r>
      <w:r>
        <w:t>% no augs</w:t>
      </w:r>
      <w:r w:rsidR="00F0528F">
        <w:t>tskolu ieņēmumiem studijām un 36</w:t>
      </w:r>
      <w:r>
        <w:t xml:space="preserve">% no kopējiem ieņēmumiem. Atsevišķu augstskolu līmenī proporcijas, ko veido katra ieņēmumu kategorija, būtiski variē. </w:t>
      </w:r>
      <w:r w:rsidR="003618E5">
        <w:t xml:space="preserve">Piemēram, </w:t>
      </w:r>
      <w:r w:rsidR="00CC5A47">
        <w:t xml:space="preserve">ieņēmumu no studiju maksas īpatsvars no kopējiem ieņēmumiem variē no 1% LMA līdz 46% BA, un </w:t>
      </w:r>
      <w:r w:rsidR="003618E5">
        <w:t xml:space="preserve">finansējuma zinātnei īpatsvars kopējos ieņēmumos variē no 0,3% LSPA līdz pat </w:t>
      </w:r>
      <w:r w:rsidR="00CC5A47">
        <w:t xml:space="preserve">44% RTU un </w:t>
      </w:r>
      <w:r w:rsidR="003618E5">
        <w:t>60% VeA</w:t>
      </w:r>
      <w:r w:rsidR="00CC5A47">
        <w:t xml:space="preserve">. </w:t>
      </w:r>
      <w:r w:rsidR="0067375D">
        <w:t xml:space="preserve">Lielu daļu no VeA finansējuma zinātnei 2019. gadā veido </w:t>
      </w:r>
      <w:r w:rsidR="0067375D" w:rsidRPr="0067375D">
        <w:t>valsts budžeta dotācija sensoru programmējamā LOFAR radioteleskopa izveidei.</w:t>
      </w:r>
      <w:r w:rsidR="0067375D">
        <w:t xml:space="preserve"> </w:t>
      </w:r>
    </w:p>
    <w:p w14:paraId="5EC23069" w14:textId="6DDA7E1C" w:rsidR="004B5AEC" w:rsidRDefault="00F0528F" w:rsidP="005151ED">
      <w:pPr>
        <w:spacing w:before="240"/>
        <w:jc w:val="both"/>
      </w:pPr>
      <w:r>
        <w:rPr>
          <w:noProof/>
          <w:lang w:eastAsia="lv-LV"/>
        </w:rPr>
        <w:lastRenderedPageBreak/>
        <w:drawing>
          <wp:inline distT="0" distB="0" distL="0" distR="0" wp14:anchorId="440CDD0B" wp14:editId="0CF14739">
            <wp:extent cx="5324475" cy="4200525"/>
            <wp:effectExtent l="0" t="0" r="0" b="0"/>
            <wp:docPr id="6" name="Chart 6">
              <a:extLst xmlns:a="http://schemas.openxmlformats.org/drawingml/2006/main">
                <a:ext uri="{FF2B5EF4-FFF2-40B4-BE49-F238E27FC236}">
                  <a16:creationId xmlns:a16="http://schemas.microsoft.com/office/drawing/2014/main" id="{00000000-0008-0000-01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0D23D9D" w14:textId="4A51A3FA" w:rsidR="0025503E" w:rsidRDefault="00ED6CBF" w:rsidP="005151ED">
      <w:pPr>
        <w:spacing w:before="240"/>
        <w:jc w:val="both"/>
      </w:pPr>
      <w:r>
        <w:t xml:space="preserve">Izdalot atsevišķi valsts augstskolu ieņēmumus studijām, redzama lielāka valsts budžeta dotāciju nozīme. </w:t>
      </w:r>
      <w:r w:rsidR="007C20E9">
        <w:t xml:space="preserve">Salīdzinot ar 2014. gadu valsts budžeta dotācijas īpatsvars no ieņēmumiem studijām pieaudzis par 7.5%. </w:t>
      </w:r>
      <w:r w:rsidR="008F5B90">
        <w:t xml:space="preserve">Augstskolās kā LMA, DU, VeA, kur vairāk kā 90% no ieņēmumiem studijām veido valsts budžeta dotācija, ieņēmumi no studiju maksas attiecīgi veido mazu daļu no ieņēmumiem. </w:t>
      </w:r>
      <w:r w:rsidR="009C32FB">
        <w:t>Savukārt augstskolās, kur ieņēmumi no valsts budžeta dotācijām ir proporcionāli mazāki, lielāku daļu veido ieņ</w:t>
      </w:r>
      <w:r w:rsidR="004B5AEC">
        <w:t>ēmu</w:t>
      </w:r>
      <w:r w:rsidR="009C32FB">
        <w:t>mi no studiju maksas. RSU ieņēmumi no studiju maksas veido 48% no ieņēmumiem studijām, LJA 35% un BA 66%.</w:t>
      </w:r>
    </w:p>
    <w:p w14:paraId="3C927412" w14:textId="37CD0DB7" w:rsidR="0025503E" w:rsidRDefault="00326D04" w:rsidP="005151ED">
      <w:pPr>
        <w:spacing w:before="240"/>
        <w:jc w:val="both"/>
      </w:pPr>
      <w:r>
        <w:rPr>
          <w:noProof/>
          <w:lang w:eastAsia="lv-LV"/>
        </w:rPr>
        <w:drawing>
          <wp:inline distT="0" distB="0" distL="0" distR="0" wp14:anchorId="50940829" wp14:editId="26B4DFF8">
            <wp:extent cx="5248275" cy="2752725"/>
            <wp:effectExtent l="0" t="0" r="0" b="0"/>
            <wp:docPr id="17" name="Chart 17">
              <a:extLst xmlns:a="http://schemas.openxmlformats.org/drawingml/2006/main">
                <a:ext uri="{FF2B5EF4-FFF2-40B4-BE49-F238E27FC236}">
                  <a16:creationId xmlns:a16="http://schemas.microsoft.com/office/drawing/2014/main" id="{00000000-0008-0000-01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C01AD42" w14:textId="78BC6005" w:rsidR="008F7618" w:rsidRDefault="00ED6CBF" w:rsidP="00BF6262">
      <w:pPr>
        <w:spacing w:before="240"/>
        <w:jc w:val="both"/>
      </w:pPr>
      <w:r>
        <w:lastRenderedPageBreak/>
        <w:t xml:space="preserve">Tāpat kā ieņēmumu, arī izdevumu struktūras valsts augstskolās un privātajās augstskolās atšķiras. </w:t>
      </w:r>
      <w:r w:rsidR="00BF6262">
        <w:t>2019. gadā l</w:t>
      </w:r>
      <w:r w:rsidR="00AE5146">
        <w:t>ielākās atšķir</w:t>
      </w:r>
      <w:r w:rsidR="00BF6262">
        <w:t xml:space="preserve">ības redzamas proporcionālajos izdevumos precēm un pakalpojumiem, kur privātās augstskolas tērē par 12% vairāk, un proporcionālajos izdevumos pamatkapitāla veidošanai, kur valsts augstskolas tērē par 10% vairāk. Izdevumi darba samaksai kopā ar izdevumiem sociālās apdrošināšanas iemaksām valsts augstskolās veido 51% no izdevumiem, bet privātajās augstskolās </w:t>
      </w:r>
      <w:r w:rsidR="00AC27AE">
        <w:t>45.5</w:t>
      </w:r>
      <w:r w:rsidR="00BF6262">
        <w:t xml:space="preserve">% no izdevumiem. Valsts augstskolās izdevumu daļa, ko tērē darba samaksai akadēmiskajam personālam, 2019. gadā ir par 6% lielāka nekā privātajās augstskolās. </w:t>
      </w:r>
    </w:p>
    <w:p w14:paraId="0F6AC84B" w14:textId="740FFA6A" w:rsidR="00D060DA" w:rsidRDefault="00B350ED" w:rsidP="005151ED">
      <w:pPr>
        <w:spacing w:before="240"/>
        <w:jc w:val="both"/>
      </w:pPr>
      <w:r>
        <w:rPr>
          <w:noProof/>
          <w:lang w:eastAsia="lv-LV"/>
        </w:rPr>
        <w:drawing>
          <wp:inline distT="0" distB="0" distL="0" distR="0" wp14:anchorId="5011F9C9" wp14:editId="5D7CA575">
            <wp:extent cx="5248275" cy="3854450"/>
            <wp:effectExtent l="0" t="0" r="0" b="0"/>
            <wp:docPr id="5" name="Chart 5">
              <a:extLst xmlns:a="http://schemas.openxmlformats.org/drawingml/2006/main">
                <a:ext uri="{FF2B5EF4-FFF2-40B4-BE49-F238E27FC236}">
                  <a16:creationId xmlns:a16="http://schemas.microsoft.com/office/drawing/2014/main" id="{FE7D1649-3772-4D82-BD0C-75EE858B469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C6ED29D" w14:textId="017BEEAA" w:rsidR="00AE0573" w:rsidRDefault="00AD2461" w:rsidP="00AA4BC4">
      <w:pPr>
        <w:jc w:val="both"/>
      </w:pPr>
      <w:r>
        <w:t xml:space="preserve">Starp valsts augstskolām krasi atšķiras arī izdevumu apjoms, kas tiek atvēlēts pamatkapitāla veidošanai. 2019. gadā tas variē no 0.8% LKA līdz 27% DU. Izdevumu apjoms, kas tiek tērēts precēm un pakalpojumiem valsts augstskolās variē no 13% DU un RTA līdz 34% RSU. </w:t>
      </w:r>
      <w:r w:rsidR="0015406C">
        <w:t>Izdevumi darba samaksai, ko veido darba samaksa akadēmiskajam, administratīvajam un vispārējam personālam, ir proporcionāli lielākā izdevumu pozīcija valsts augstskolās.</w:t>
      </w:r>
      <w:r w:rsidR="00AA4BC4">
        <w:t xml:space="preserve"> 2019. gadā i</w:t>
      </w:r>
      <w:r w:rsidR="0015406C">
        <w:t>zdevumi darba samaksai un sociālās apdrošināšanas iemaksām summāri lielākajā daļā augstskolu veido vi</w:t>
      </w:r>
      <w:r w:rsidR="00AA4BC4">
        <w:t xml:space="preserve">smaz pusi no visiem izdevumiem. Salīdzinoši lielāko daļu izdevumu darba samaksa un sociālās apdrošināšanas iemaksas veido JVLMA (71%), LJA (71%) un LiepU (68%), bet mazāko RTA (46%), LLU (44%), DU (44%). </w:t>
      </w:r>
    </w:p>
    <w:p w14:paraId="56BBF81D" w14:textId="77777777" w:rsidR="0041331B" w:rsidRDefault="008447B0">
      <w:pPr>
        <w:rPr>
          <w:szCs w:val="20"/>
        </w:rPr>
      </w:pPr>
      <w:r>
        <w:rPr>
          <w:noProof/>
          <w:lang w:eastAsia="lv-LV"/>
        </w:rPr>
        <w:lastRenderedPageBreak/>
        <w:drawing>
          <wp:inline distT="0" distB="0" distL="0" distR="0" wp14:anchorId="23D34323" wp14:editId="3BDD7429">
            <wp:extent cx="5524500" cy="4470400"/>
            <wp:effectExtent l="0" t="0" r="0" b="6350"/>
            <wp:docPr id="3" name="Chart 3">
              <a:extLst xmlns:a="http://schemas.openxmlformats.org/drawingml/2006/main">
                <a:ext uri="{FF2B5EF4-FFF2-40B4-BE49-F238E27FC236}">
                  <a16:creationId xmlns:a16="http://schemas.microsoft.com/office/drawing/2014/main" id="{0911CCC9-396B-41F9-9C8B-6997E55CD48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5FED1250" w14:textId="3E39FADA" w:rsidR="0041331B" w:rsidRDefault="0041331B" w:rsidP="00103A16">
      <w:pPr>
        <w:jc w:val="both"/>
      </w:pPr>
      <w:r w:rsidRPr="00103A16">
        <w:t xml:space="preserve">Izdevumi darba samaksai augstskolās izdalīti trīs kategorijās: darba samaksa akadēmiskajam personālam, darba samaksa administratīvajam personālam, darba samaksa vispārējam personālam. Akadēmiskais personāls piedalās studējošo izglītošanā, veic zinātniskos pētījumus un mākslinieciskās jaunrades darbu. </w:t>
      </w:r>
      <w:r w:rsidR="00103A16">
        <w:t xml:space="preserve">Vispārējais personāls ir mācību palīgpersonāls, tehniskais un saimnieciskais personāls, kā arī administratīvais personāls, kas šī pārskata ietvaros izdalīts atsevišķi. </w:t>
      </w:r>
      <w:r w:rsidRPr="00103A16">
        <w:t xml:space="preserve">Augstskolas administratīvais personālu veido </w:t>
      </w:r>
      <w:r w:rsidR="00103A16" w:rsidRPr="00103A16">
        <w:t xml:space="preserve">amatpersonas, kuru pamata darba pienākumi </w:t>
      </w:r>
      <w:r w:rsidR="00103A16">
        <w:t>ir</w:t>
      </w:r>
      <w:r w:rsidR="00103A16" w:rsidRPr="00103A16">
        <w:t xml:space="preserve"> administratīvais darbs (vadīšana, tai nepieciešamās informācijas nodrošināšana). </w:t>
      </w:r>
    </w:p>
    <w:p w14:paraId="666EA1BF" w14:textId="19487B05" w:rsidR="00DD1935" w:rsidRPr="00DD1935" w:rsidRDefault="00103A16" w:rsidP="00DD1935">
      <w:pPr>
        <w:jc w:val="both"/>
      </w:pPr>
      <w:r>
        <w:t xml:space="preserve">2019. gadā izdevumu apjoms no </w:t>
      </w:r>
      <w:r w:rsidR="007E487E">
        <w:t xml:space="preserve">kopējiem </w:t>
      </w:r>
      <w:r>
        <w:t xml:space="preserve">izdevumiem darba samaksai, ko augstskolas tērējušas administratīvā un vispārējā personāla darba samaksai ir vidēji 39%. </w:t>
      </w:r>
      <w:r w:rsidR="00A55CBC">
        <w:t>N</w:t>
      </w:r>
      <w:r>
        <w:t xml:space="preserve">o izdevumiem darba samaksai vismazāk administratīvajam un vispārējam personālam tērējusi VeA </w:t>
      </w:r>
      <w:r w:rsidR="001D6CBE">
        <w:t>(26%)</w:t>
      </w:r>
      <w:r>
        <w:t>un ViA</w:t>
      </w:r>
      <w:r w:rsidR="001D6CBE">
        <w:t xml:space="preserve"> (28%)</w:t>
      </w:r>
      <w:r>
        <w:t xml:space="preserve">, attiecīgi šajās augstskolās proporcionāli </w:t>
      </w:r>
      <w:r w:rsidR="00A55CBC">
        <w:t xml:space="preserve">no kopējiem izdevumiem darba samaksai lielāku daļu veido </w:t>
      </w:r>
      <w:r>
        <w:t>akadēmiskā person</w:t>
      </w:r>
      <w:r w:rsidR="00A55CBC">
        <w:t>āla darba samaksa</w:t>
      </w:r>
      <w:r w:rsidR="001D6CBE">
        <w:t xml:space="preserve"> (attiecīgi 74% un 72%)</w:t>
      </w:r>
      <w:r>
        <w:t>.</w:t>
      </w:r>
      <w:r w:rsidR="00A55CBC">
        <w:t xml:space="preserve"> Pretēji  - augstskolās, kur lielu daļu no kopējiem </w:t>
      </w:r>
      <w:r w:rsidR="007E487E">
        <w:t>izdevumiem darba sama</w:t>
      </w:r>
      <w:r w:rsidR="00A55CBC">
        <w:t>ksai veido administratīvā un vispārējā personāla atalgojums, mazāka daļa tērēta akadēmiskā personāla atalgojumam.</w:t>
      </w:r>
      <w:r>
        <w:t xml:space="preserve">  </w:t>
      </w:r>
    </w:p>
    <w:p w14:paraId="1EDBF68B" w14:textId="19A419AB" w:rsidR="002161DC" w:rsidRDefault="00DD1935">
      <w:pPr>
        <w:rPr>
          <w:szCs w:val="20"/>
        </w:rPr>
      </w:pPr>
      <w:r>
        <w:rPr>
          <w:noProof/>
        </w:rPr>
        <w:drawing>
          <wp:inline distT="0" distB="0" distL="0" distR="0" wp14:anchorId="477966B9" wp14:editId="1766AA7D">
            <wp:extent cx="5162549" cy="3206750"/>
            <wp:effectExtent l="0" t="0" r="635" b="0"/>
            <wp:docPr id="21" name="Chart 21">
              <a:extLst xmlns:a="http://schemas.openxmlformats.org/drawingml/2006/main">
                <a:ext uri="{FF2B5EF4-FFF2-40B4-BE49-F238E27FC236}">
                  <a16:creationId xmlns:a16="http://schemas.microsoft.com/office/drawing/2014/main" id="{00000000-0008-0000-06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002161DC">
        <w:rPr>
          <w:szCs w:val="20"/>
        </w:rPr>
        <w:br w:type="page"/>
      </w:r>
    </w:p>
    <w:p w14:paraId="778DE43F" w14:textId="77777777" w:rsidR="002161DC" w:rsidRDefault="002161DC" w:rsidP="00FF7011">
      <w:pPr>
        <w:jc w:val="both"/>
        <w:rPr>
          <w:szCs w:val="20"/>
        </w:rPr>
      </w:pPr>
    </w:p>
    <w:p w14:paraId="197A361B" w14:textId="0FA1EA79" w:rsidR="00D94419" w:rsidRPr="00260F96" w:rsidRDefault="002C29B2" w:rsidP="00D94419">
      <w:pPr>
        <w:pStyle w:val="Heading2"/>
        <w:spacing w:after="240"/>
        <w:rPr>
          <w:sz w:val="28"/>
        </w:rPr>
      </w:pPr>
      <w:r w:rsidRPr="00260F96">
        <w:rPr>
          <w:sz w:val="28"/>
        </w:rPr>
        <w:t>Koledžu finansējums</w:t>
      </w:r>
      <w:r w:rsidR="00D966A2" w:rsidRPr="00260F96">
        <w:rPr>
          <w:sz w:val="28"/>
        </w:rPr>
        <w:t xml:space="preserve"> </w:t>
      </w:r>
      <w:r w:rsidR="00B94EC5" w:rsidRPr="00260F96">
        <w:rPr>
          <w:sz w:val="28"/>
        </w:rPr>
        <w:t>201</w:t>
      </w:r>
      <w:r w:rsidR="00B94EC5">
        <w:rPr>
          <w:sz w:val="28"/>
        </w:rPr>
        <w:t>9</w:t>
      </w:r>
      <w:r w:rsidRPr="00260F96">
        <w:rPr>
          <w:sz w:val="28"/>
        </w:rPr>
        <w:t>. gadā</w:t>
      </w:r>
    </w:p>
    <w:p w14:paraId="1189D907" w14:textId="51ACE212" w:rsidR="007B11ED" w:rsidRDefault="006A012E" w:rsidP="006F5F7D">
      <w:pPr>
        <w:jc w:val="both"/>
        <w:rPr>
          <w:color w:val="000000" w:themeColor="text1"/>
          <w:szCs w:val="20"/>
        </w:rPr>
      </w:pPr>
      <w:r>
        <w:rPr>
          <w:color w:val="000000" w:themeColor="text1"/>
          <w:szCs w:val="20"/>
        </w:rPr>
        <w:t>2019</w:t>
      </w:r>
      <w:r w:rsidR="00CD6C0A">
        <w:rPr>
          <w:color w:val="000000" w:themeColor="text1"/>
          <w:szCs w:val="20"/>
        </w:rPr>
        <w:t>.</w:t>
      </w:r>
      <w:r w:rsidR="00394998">
        <w:rPr>
          <w:color w:val="000000" w:themeColor="text1"/>
          <w:szCs w:val="20"/>
        </w:rPr>
        <w:t xml:space="preserve"> </w:t>
      </w:r>
      <w:r w:rsidR="00CD6C0A">
        <w:rPr>
          <w:color w:val="000000" w:themeColor="text1"/>
          <w:szCs w:val="20"/>
        </w:rPr>
        <w:t>gadā koledžu kopējie ieņēmumi bija 3</w:t>
      </w:r>
      <w:r w:rsidR="00CE5877">
        <w:rPr>
          <w:color w:val="000000" w:themeColor="text1"/>
          <w:szCs w:val="20"/>
        </w:rPr>
        <w:t>6</w:t>
      </w:r>
      <w:r w:rsidR="00CD6C0A">
        <w:rPr>
          <w:color w:val="000000" w:themeColor="text1"/>
          <w:szCs w:val="20"/>
        </w:rPr>
        <w:t xml:space="preserve"> milj. e</w:t>
      </w:r>
      <w:r w:rsidR="00732B06">
        <w:rPr>
          <w:color w:val="000000" w:themeColor="text1"/>
          <w:szCs w:val="20"/>
        </w:rPr>
        <w:t>i</w:t>
      </w:r>
      <w:r>
        <w:rPr>
          <w:color w:val="000000" w:themeColor="text1"/>
          <w:szCs w:val="20"/>
        </w:rPr>
        <w:t>ro, no kā 79</w:t>
      </w:r>
      <w:r w:rsidR="00CD6C0A">
        <w:rPr>
          <w:color w:val="000000" w:themeColor="text1"/>
          <w:szCs w:val="20"/>
        </w:rPr>
        <w:t xml:space="preserve">% veido valsts koledžu un augstskolu </w:t>
      </w:r>
      <w:r w:rsidR="00394998">
        <w:rPr>
          <w:color w:val="000000" w:themeColor="text1"/>
          <w:szCs w:val="20"/>
        </w:rPr>
        <w:t xml:space="preserve">aģentūru </w:t>
      </w:r>
      <w:r w:rsidR="00CE5877">
        <w:rPr>
          <w:color w:val="000000" w:themeColor="text1"/>
          <w:szCs w:val="20"/>
        </w:rPr>
        <w:t>ieņēmumi</w:t>
      </w:r>
      <w:r w:rsidR="00732B06">
        <w:rPr>
          <w:color w:val="000000" w:themeColor="text1"/>
          <w:szCs w:val="20"/>
        </w:rPr>
        <w:t xml:space="preserve"> un</w:t>
      </w:r>
      <w:r>
        <w:rPr>
          <w:color w:val="000000" w:themeColor="text1"/>
          <w:szCs w:val="20"/>
        </w:rPr>
        <w:t xml:space="preserve"> 21</w:t>
      </w:r>
      <w:r w:rsidR="00CD6C0A">
        <w:rPr>
          <w:color w:val="000000" w:themeColor="text1"/>
          <w:szCs w:val="20"/>
        </w:rPr>
        <w:t xml:space="preserve">% juridisko personu dibināto koledžu ieņēmumi. </w:t>
      </w:r>
      <w:r w:rsidR="00CE5877">
        <w:rPr>
          <w:color w:val="000000" w:themeColor="text1"/>
          <w:szCs w:val="20"/>
        </w:rPr>
        <w:t>Līdzīgi kā augstskolu ieņēmumi, arī k</w:t>
      </w:r>
      <w:r w:rsidR="00394998">
        <w:rPr>
          <w:color w:val="000000" w:themeColor="text1"/>
          <w:szCs w:val="20"/>
        </w:rPr>
        <w:t>ole</w:t>
      </w:r>
      <w:r>
        <w:rPr>
          <w:color w:val="000000" w:themeColor="text1"/>
          <w:szCs w:val="20"/>
        </w:rPr>
        <w:t xml:space="preserve">džu ieņēmumi pakāpeniski pieaug, tomēr 2019. gadā, salīdzinot ar 2018. gadu, bijis neliels ieņēmumu kritums </w:t>
      </w:r>
      <w:r w:rsidR="00201CC0">
        <w:rPr>
          <w:color w:val="000000" w:themeColor="text1"/>
          <w:szCs w:val="20"/>
        </w:rPr>
        <w:t xml:space="preserve">-1% </w:t>
      </w:r>
      <w:r>
        <w:rPr>
          <w:color w:val="000000" w:themeColor="text1"/>
          <w:szCs w:val="20"/>
        </w:rPr>
        <w:t>un izdevumi samazinājušies par</w:t>
      </w:r>
      <w:r w:rsidR="00394998">
        <w:rPr>
          <w:color w:val="000000" w:themeColor="text1"/>
          <w:szCs w:val="20"/>
        </w:rPr>
        <w:t xml:space="preserve"> </w:t>
      </w:r>
      <w:r w:rsidR="00201CC0">
        <w:rPr>
          <w:color w:val="000000" w:themeColor="text1"/>
          <w:szCs w:val="20"/>
        </w:rPr>
        <w:t>-14%</w:t>
      </w:r>
      <w:r>
        <w:rPr>
          <w:color w:val="000000" w:themeColor="text1"/>
          <w:szCs w:val="20"/>
        </w:rPr>
        <w:t xml:space="preserve">. </w:t>
      </w:r>
      <w:r w:rsidR="00201CC0">
        <w:rPr>
          <w:color w:val="000000" w:themeColor="text1"/>
          <w:szCs w:val="20"/>
        </w:rPr>
        <w:t xml:space="preserve">Attiecībā pret 2018. gadu valsts koledžu ieņēmumi samazinājušies par -5%, bet privāto </w:t>
      </w:r>
      <w:r w:rsidR="005009F7">
        <w:rPr>
          <w:color w:val="000000" w:themeColor="text1"/>
          <w:szCs w:val="20"/>
        </w:rPr>
        <w:t xml:space="preserve">koledžu </w:t>
      </w:r>
      <w:r w:rsidR="00201CC0">
        <w:rPr>
          <w:color w:val="000000" w:themeColor="text1"/>
          <w:szCs w:val="20"/>
        </w:rPr>
        <w:t xml:space="preserve">ieņēmumi pieauguši par 15%. Izdevumi valsts koledžās samazinājušies par </w:t>
      </w:r>
      <w:r w:rsidR="00D17E7E">
        <w:rPr>
          <w:color w:val="000000" w:themeColor="text1"/>
          <w:szCs w:val="20"/>
        </w:rPr>
        <w:t>-</w:t>
      </w:r>
      <w:r w:rsidR="00201CC0">
        <w:rPr>
          <w:color w:val="000000" w:themeColor="text1"/>
          <w:szCs w:val="20"/>
        </w:rPr>
        <w:t xml:space="preserve">20%, bet privātajās koledžās pieauguši par 28%. </w:t>
      </w:r>
    </w:p>
    <w:p w14:paraId="5C9C6B47" w14:textId="26DEEDE9" w:rsidR="00841B8A" w:rsidRDefault="00201CC0" w:rsidP="006F5F7D">
      <w:pPr>
        <w:jc w:val="both"/>
        <w:rPr>
          <w:color w:val="000000" w:themeColor="text1"/>
          <w:szCs w:val="20"/>
        </w:rPr>
      </w:pPr>
      <w:r w:rsidRPr="00201CC0">
        <w:rPr>
          <w:color w:val="000000" w:themeColor="text1"/>
          <w:szCs w:val="20"/>
        </w:rPr>
        <w:t>2019. gadā valsts koledžu un augstskolu aģentūru ieņēmumi bija 28 milj. eiro un izdevumi  28 milj. eiro.</w:t>
      </w:r>
      <w:r>
        <w:rPr>
          <w:color w:val="000000" w:themeColor="text1"/>
          <w:szCs w:val="20"/>
        </w:rPr>
        <w:t xml:space="preserve"> </w:t>
      </w:r>
      <w:r w:rsidR="00BD0B87">
        <w:rPr>
          <w:color w:val="000000" w:themeColor="text1"/>
          <w:szCs w:val="20"/>
        </w:rPr>
        <w:t xml:space="preserve">Lai gan attiecībā pret 2018. gadu ieņēmumi un izdevumi valsts koledžās ir samazinājušies, tie joprojām ir augstāki nekā 2017. gadā. </w:t>
      </w:r>
    </w:p>
    <w:p w14:paraId="08646672" w14:textId="0F195207" w:rsidR="00DE1C08" w:rsidRDefault="006A012E" w:rsidP="006F5F7D">
      <w:pPr>
        <w:jc w:val="both"/>
        <w:rPr>
          <w:color w:val="000000" w:themeColor="text1"/>
          <w:szCs w:val="20"/>
        </w:rPr>
      </w:pPr>
      <w:r>
        <w:rPr>
          <w:noProof/>
          <w:lang w:eastAsia="lv-LV"/>
        </w:rPr>
        <w:drawing>
          <wp:inline distT="0" distB="0" distL="0" distR="0" wp14:anchorId="79B8DBB7" wp14:editId="7790CB22">
            <wp:extent cx="5248275" cy="2583180"/>
            <wp:effectExtent l="0" t="0" r="0" b="7620"/>
            <wp:docPr id="16" name="Chart 16">
              <a:extLst xmlns:a="http://schemas.openxmlformats.org/drawingml/2006/main">
                <a:ext uri="{FF2B5EF4-FFF2-40B4-BE49-F238E27FC236}">
                  <a16:creationId xmlns:a16="http://schemas.microsoft.com/office/drawing/2014/main" id="{6EB37819-F60E-4A5F-87D1-536A739A2C2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522035FE" w14:textId="1514BF80" w:rsidR="004F14A6" w:rsidRDefault="00992337" w:rsidP="006F5F7D">
      <w:pPr>
        <w:jc w:val="both"/>
        <w:rPr>
          <w:color w:val="000000" w:themeColor="text1"/>
          <w:szCs w:val="20"/>
        </w:rPr>
      </w:pPr>
      <w:r>
        <w:rPr>
          <w:color w:val="000000" w:themeColor="text1"/>
          <w:szCs w:val="20"/>
        </w:rPr>
        <w:t xml:space="preserve">Salīdzinot ar 2014. gadu, studējošo skaits valsts koledžās un </w:t>
      </w:r>
      <w:r w:rsidR="00735F72">
        <w:rPr>
          <w:color w:val="000000" w:themeColor="text1"/>
          <w:szCs w:val="20"/>
        </w:rPr>
        <w:t xml:space="preserve">valsts </w:t>
      </w:r>
      <w:r>
        <w:rPr>
          <w:color w:val="000000" w:themeColor="text1"/>
          <w:szCs w:val="20"/>
        </w:rPr>
        <w:t>augstskolu aģentūrās</w:t>
      </w:r>
      <w:r w:rsidR="00735F72">
        <w:rPr>
          <w:color w:val="000000" w:themeColor="text1"/>
          <w:szCs w:val="20"/>
        </w:rPr>
        <w:t>- koledžās</w:t>
      </w:r>
      <w:r>
        <w:rPr>
          <w:color w:val="000000" w:themeColor="text1"/>
          <w:szCs w:val="20"/>
        </w:rPr>
        <w:t xml:space="preserve"> ir samazinājies</w:t>
      </w:r>
      <w:r w:rsidR="00D17E7E">
        <w:rPr>
          <w:color w:val="000000" w:themeColor="text1"/>
          <w:szCs w:val="20"/>
        </w:rPr>
        <w:t xml:space="preserve"> par -6</w:t>
      </w:r>
      <w:r w:rsidR="00FE0F42">
        <w:rPr>
          <w:color w:val="000000" w:themeColor="text1"/>
          <w:szCs w:val="20"/>
        </w:rPr>
        <w:t>%</w:t>
      </w:r>
      <w:r>
        <w:rPr>
          <w:color w:val="000000" w:themeColor="text1"/>
          <w:szCs w:val="20"/>
        </w:rPr>
        <w:t>, tomēr ienākum</w:t>
      </w:r>
      <w:r w:rsidR="00FE0F42">
        <w:rPr>
          <w:color w:val="000000" w:themeColor="text1"/>
          <w:szCs w:val="20"/>
        </w:rPr>
        <w:t>i</w:t>
      </w:r>
      <w:r>
        <w:rPr>
          <w:color w:val="000000" w:themeColor="text1"/>
          <w:szCs w:val="20"/>
        </w:rPr>
        <w:t xml:space="preserve"> no studiju maksas ir pieauguši</w:t>
      </w:r>
      <w:r w:rsidR="00D17E7E">
        <w:rPr>
          <w:color w:val="000000" w:themeColor="text1"/>
          <w:szCs w:val="20"/>
        </w:rPr>
        <w:t xml:space="preserve"> par 55</w:t>
      </w:r>
      <w:r w:rsidR="00FE0F42">
        <w:rPr>
          <w:color w:val="000000" w:themeColor="text1"/>
          <w:szCs w:val="20"/>
        </w:rPr>
        <w:t>%.</w:t>
      </w:r>
      <w:r w:rsidR="008B6939">
        <w:rPr>
          <w:color w:val="000000" w:themeColor="text1"/>
          <w:szCs w:val="20"/>
        </w:rPr>
        <w:t xml:space="preserve"> Tāpat kā augstskolās, arī valsts koledžās ieņēmumu no studiju maksas pieaugums atspoguļo studiju maksas palielināšanos, ko veicinājusi kopējā ekonomiskā attīstība.</w:t>
      </w:r>
    </w:p>
    <w:p w14:paraId="0526FDE0" w14:textId="493A635D" w:rsidR="004F14A6" w:rsidRDefault="004F14A6" w:rsidP="006F5F7D">
      <w:pPr>
        <w:jc w:val="both"/>
        <w:rPr>
          <w:color w:val="000000" w:themeColor="text1"/>
          <w:szCs w:val="20"/>
        </w:rPr>
      </w:pPr>
      <w:r>
        <w:rPr>
          <w:noProof/>
        </w:rPr>
        <w:drawing>
          <wp:inline distT="0" distB="0" distL="0" distR="0" wp14:anchorId="38807211" wp14:editId="5E464FC9">
            <wp:extent cx="5105400" cy="2495550"/>
            <wp:effectExtent l="0" t="0" r="0" b="0"/>
            <wp:docPr id="26" name="Chart 26">
              <a:extLst xmlns:a="http://schemas.openxmlformats.org/drawingml/2006/main">
                <a:ext uri="{FF2B5EF4-FFF2-40B4-BE49-F238E27FC236}">
                  <a16:creationId xmlns:a16="http://schemas.microsoft.com/office/drawing/2014/main" id="{00000000-0008-0000-07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701BD892" w14:textId="7B8CE535" w:rsidR="008A31D0" w:rsidRDefault="00CD68A4" w:rsidP="006F5F7D">
      <w:pPr>
        <w:jc w:val="both"/>
        <w:rPr>
          <w:color w:val="000000" w:themeColor="text1"/>
          <w:szCs w:val="20"/>
        </w:rPr>
      </w:pPr>
      <w:r>
        <w:rPr>
          <w:color w:val="000000" w:themeColor="text1"/>
          <w:szCs w:val="20"/>
        </w:rPr>
        <w:t>2019</w:t>
      </w:r>
      <w:r w:rsidR="00F617AC">
        <w:rPr>
          <w:color w:val="000000" w:themeColor="text1"/>
          <w:szCs w:val="20"/>
        </w:rPr>
        <w:t>. gadā starp valsts koledžām, augstskolu aģentūrām un privātajām kol</w:t>
      </w:r>
      <w:r>
        <w:rPr>
          <w:color w:val="000000" w:themeColor="text1"/>
          <w:szCs w:val="20"/>
        </w:rPr>
        <w:t>edžām lielākie ieņēmumi bija VRK (5 milj. eiro), VPK (4 milj. eiro)</w:t>
      </w:r>
      <w:r w:rsidR="00301E60">
        <w:rPr>
          <w:color w:val="000000" w:themeColor="text1"/>
          <w:szCs w:val="20"/>
        </w:rPr>
        <w:t xml:space="preserve">, LU PSK (3 milj. eiro) un LU R1MK (3 milj. </w:t>
      </w:r>
      <w:r w:rsidR="00301E60">
        <w:rPr>
          <w:color w:val="000000" w:themeColor="text1"/>
          <w:szCs w:val="20"/>
        </w:rPr>
        <w:lastRenderedPageBreak/>
        <w:t>eiro)</w:t>
      </w:r>
      <w:r w:rsidR="00F617AC">
        <w:rPr>
          <w:color w:val="000000" w:themeColor="text1"/>
          <w:szCs w:val="20"/>
        </w:rPr>
        <w:t xml:space="preserve">. </w:t>
      </w:r>
      <w:r w:rsidR="00301E60">
        <w:rPr>
          <w:color w:val="000000" w:themeColor="text1"/>
          <w:szCs w:val="20"/>
        </w:rPr>
        <w:t>2019. gadā 55</w:t>
      </w:r>
      <w:r w:rsidR="00F617AC">
        <w:rPr>
          <w:color w:val="000000" w:themeColor="text1"/>
          <w:szCs w:val="20"/>
        </w:rPr>
        <w:t xml:space="preserve">% no kopējiem valsts koledžu un augstskolu aģentūru ieņēmumiem veido </w:t>
      </w:r>
      <w:r w:rsidR="00301E60">
        <w:rPr>
          <w:color w:val="000000" w:themeColor="text1"/>
          <w:szCs w:val="20"/>
        </w:rPr>
        <w:t xml:space="preserve">minēto </w:t>
      </w:r>
      <w:r w:rsidR="00F617AC">
        <w:rPr>
          <w:color w:val="000000" w:themeColor="text1"/>
          <w:szCs w:val="20"/>
        </w:rPr>
        <w:t>koledžu ieņēmumi.</w:t>
      </w:r>
      <w:r w:rsidR="00D67ACC">
        <w:rPr>
          <w:color w:val="000000" w:themeColor="text1"/>
          <w:szCs w:val="20"/>
        </w:rPr>
        <w:t xml:space="preserve">  </w:t>
      </w:r>
    </w:p>
    <w:p w14:paraId="631C1CFA" w14:textId="23120C74" w:rsidR="004379F9" w:rsidRDefault="004379F9" w:rsidP="006F5F7D">
      <w:pPr>
        <w:jc w:val="both"/>
        <w:rPr>
          <w:color w:val="000000" w:themeColor="text1"/>
          <w:szCs w:val="20"/>
        </w:rPr>
      </w:pPr>
      <w:r>
        <w:rPr>
          <w:noProof/>
          <w:color w:val="000000" w:themeColor="text1"/>
          <w:szCs w:val="20"/>
          <w:lang w:eastAsia="lv-LV"/>
        </w:rPr>
        <w:drawing>
          <wp:inline distT="0" distB="0" distL="0" distR="0" wp14:anchorId="6AE8871B" wp14:editId="57D8174D">
            <wp:extent cx="5425507" cy="3076575"/>
            <wp:effectExtent l="0" t="0" r="381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52708" cy="3092000"/>
                    </a:xfrm>
                    <a:prstGeom prst="rect">
                      <a:avLst/>
                    </a:prstGeom>
                    <a:noFill/>
                  </pic:spPr>
                </pic:pic>
              </a:graphicData>
            </a:graphic>
          </wp:inline>
        </w:drawing>
      </w:r>
    </w:p>
    <w:p w14:paraId="49091441" w14:textId="3D1E3A28" w:rsidR="002059B9" w:rsidRDefault="001D129B" w:rsidP="00AA5730">
      <w:pPr>
        <w:jc w:val="both"/>
        <w:rPr>
          <w:color w:val="000000" w:themeColor="text1"/>
          <w:szCs w:val="20"/>
        </w:rPr>
      </w:pPr>
      <w:r>
        <w:rPr>
          <w:color w:val="000000" w:themeColor="text1"/>
          <w:szCs w:val="20"/>
        </w:rPr>
        <w:t>Valsts koledžu</w:t>
      </w:r>
      <w:r w:rsidR="002B41C8">
        <w:rPr>
          <w:color w:val="000000" w:themeColor="text1"/>
          <w:szCs w:val="20"/>
        </w:rPr>
        <w:t xml:space="preserve"> un augstskolu aģentūru</w:t>
      </w:r>
      <w:r>
        <w:rPr>
          <w:color w:val="000000" w:themeColor="text1"/>
          <w:szCs w:val="20"/>
        </w:rPr>
        <w:t xml:space="preserve"> ieņēmumus pamatā veido valsts bud</w:t>
      </w:r>
      <w:r w:rsidR="002B41C8">
        <w:rPr>
          <w:color w:val="000000" w:themeColor="text1"/>
          <w:szCs w:val="20"/>
        </w:rPr>
        <w:t>žeta dotācijas</w:t>
      </w:r>
      <w:r w:rsidR="00754DB1">
        <w:rPr>
          <w:color w:val="000000" w:themeColor="text1"/>
          <w:szCs w:val="20"/>
        </w:rPr>
        <w:t>, kas 2019. gadā veidoja 86% no valsts koledžu ieņēmumiem.</w:t>
      </w:r>
      <w:r w:rsidR="00E73D03">
        <w:rPr>
          <w:color w:val="000000" w:themeColor="text1"/>
          <w:szCs w:val="20"/>
        </w:rPr>
        <w:t xml:space="preserve"> </w:t>
      </w:r>
      <w:r w:rsidR="00754DB1">
        <w:rPr>
          <w:color w:val="000000" w:themeColor="text1"/>
          <w:szCs w:val="20"/>
        </w:rPr>
        <w:t xml:space="preserve">Privātajās koledžās 84% no ieņēmumiem </w:t>
      </w:r>
      <w:r w:rsidR="004379F9">
        <w:rPr>
          <w:color w:val="000000" w:themeColor="text1"/>
          <w:szCs w:val="20"/>
        </w:rPr>
        <w:t>veidoja</w:t>
      </w:r>
      <w:r w:rsidR="00754DB1">
        <w:rPr>
          <w:color w:val="000000" w:themeColor="text1"/>
          <w:szCs w:val="20"/>
        </w:rPr>
        <w:t xml:space="preserve"> studiju maksa, kas ir galvenais ieņēmumu avots privātajās koledžās. Salīdzinot ar augstskolām, koledžu ieņēmumi ir mazāk diversificēti - valsts koledžās izteikti </w:t>
      </w:r>
      <w:r w:rsidR="004379F9">
        <w:rPr>
          <w:color w:val="000000" w:themeColor="text1"/>
          <w:szCs w:val="20"/>
        </w:rPr>
        <w:t>atkarīgi</w:t>
      </w:r>
      <w:r w:rsidR="00754DB1">
        <w:rPr>
          <w:color w:val="000000" w:themeColor="text1"/>
          <w:szCs w:val="20"/>
        </w:rPr>
        <w:t xml:space="preserve"> no valsts budžeta dotācijas studijām, privātajās koledžās no studiju maksas. </w:t>
      </w:r>
      <w:r w:rsidR="00E73D03" w:rsidRPr="00E73D03">
        <w:rPr>
          <w:color w:val="000000" w:themeColor="text1"/>
          <w:szCs w:val="20"/>
        </w:rPr>
        <w:t>Valsts budžeta dotācijas studijām īpatsvars kopējos ieņēmumos valsts koledžās variē no 35% LJK līdz 99% UCAK</w:t>
      </w:r>
      <w:r w:rsidR="00E73D03">
        <w:rPr>
          <w:color w:val="000000" w:themeColor="text1"/>
          <w:szCs w:val="20"/>
        </w:rPr>
        <w:t xml:space="preserve"> un SIVA</w:t>
      </w:r>
      <w:r w:rsidR="00E73D03" w:rsidRPr="00E73D03">
        <w:rPr>
          <w:color w:val="000000" w:themeColor="text1"/>
          <w:szCs w:val="20"/>
        </w:rPr>
        <w:t>.</w:t>
      </w:r>
      <w:r w:rsidR="00E73D03">
        <w:rPr>
          <w:color w:val="000000" w:themeColor="text1"/>
          <w:szCs w:val="20"/>
        </w:rPr>
        <w:t xml:space="preserve"> </w:t>
      </w:r>
      <w:r w:rsidR="00DC1A6D">
        <w:rPr>
          <w:color w:val="000000" w:themeColor="text1"/>
          <w:szCs w:val="20"/>
        </w:rPr>
        <w:t xml:space="preserve"> Ieņēmumi zinātniskajai darbībai koledžās veido 0.4% no visiem ieņēmumiem. </w:t>
      </w:r>
      <w:r w:rsidR="00E73D03">
        <w:rPr>
          <w:color w:val="000000" w:themeColor="text1"/>
          <w:szCs w:val="20"/>
        </w:rPr>
        <w:t>Finansējums zinātnei valsts koledžās kopā</w:t>
      </w:r>
      <w:r w:rsidR="00DC1A6D">
        <w:rPr>
          <w:color w:val="000000" w:themeColor="text1"/>
          <w:szCs w:val="20"/>
        </w:rPr>
        <w:t xml:space="preserve"> laika posmā no 2015. gada līdz 2019.gadam</w:t>
      </w:r>
      <w:r w:rsidR="00E73D03">
        <w:rPr>
          <w:color w:val="000000" w:themeColor="text1"/>
          <w:szCs w:val="20"/>
        </w:rPr>
        <w:t xml:space="preserve"> nesasniedz 1% no kopējiem ieņēmumiem. Arī privātajās koledžās kopā finansējums zinātnei nepārsniedz 1% no kopējiem ieņēmumiem, tomēr kaut gan monetāri finansējums zinātnei privātajās koledžās ir mazāks nekā valsts koledžās, proporcionāli tas ir nedaudz lielāks.</w:t>
      </w:r>
    </w:p>
    <w:p w14:paraId="2BA97132" w14:textId="5DB4B3CC" w:rsidR="00D26007" w:rsidRDefault="00D26007" w:rsidP="00AA5730">
      <w:pPr>
        <w:jc w:val="both"/>
        <w:rPr>
          <w:color w:val="000000" w:themeColor="text1"/>
          <w:szCs w:val="20"/>
        </w:rPr>
      </w:pPr>
      <w:r>
        <w:rPr>
          <w:noProof/>
          <w:lang w:eastAsia="lv-LV"/>
        </w:rPr>
        <w:lastRenderedPageBreak/>
        <w:drawing>
          <wp:inline distT="0" distB="0" distL="0" distR="0" wp14:anchorId="78627D96" wp14:editId="07C02198">
            <wp:extent cx="5248275" cy="3152775"/>
            <wp:effectExtent l="0" t="0" r="0" b="0"/>
            <wp:docPr id="20" name="Chart 20">
              <a:extLst xmlns:a="http://schemas.openxmlformats.org/drawingml/2006/main">
                <a:ext uri="{FF2B5EF4-FFF2-40B4-BE49-F238E27FC236}">
                  <a16:creationId xmlns:a16="http://schemas.microsoft.com/office/drawing/2014/main" id="{4253ED52-2227-4F10-9C9A-141C5811CBB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19B17B77" w14:textId="66ACD463" w:rsidR="006E6551" w:rsidRDefault="0002177D" w:rsidP="00AA5730">
      <w:pPr>
        <w:jc w:val="both"/>
        <w:rPr>
          <w:color w:val="000000" w:themeColor="text1"/>
          <w:szCs w:val="20"/>
        </w:rPr>
      </w:pPr>
      <w:r>
        <w:rPr>
          <w:color w:val="000000" w:themeColor="text1"/>
          <w:szCs w:val="20"/>
        </w:rPr>
        <w:t>Valsts koledžās un valsts augstskolu aģentūrās 78% izdevumu veido darba samaksa</w:t>
      </w:r>
      <w:r w:rsidR="001D6CBE">
        <w:rPr>
          <w:color w:val="000000" w:themeColor="text1"/>
          <w:szCs w:val="20"/>
        </w:rPr>
        <w:t>s</w:t>
      </w:r>
      <w:r>
        <w:rPr>
          <w:color w:val="000000" w:themeColor="text1"/>
          <w:szCs w:val="20"/>
        </w:rPr>
        <w:t xml:space="preserve"> un sociālās apdrošināšanas iemaksas</w:t>
      </w:r>
      <w:r w:rsidR="001D6CBE">
        <w:rPr>
          <w:color w:val="000000" w:themeColor="text1"/>
          <w:szCs w:val="20"/>
        </w:rPr>
        <w:t xml:space="preserve"> summa</w:t>
      </w:r>
      <w:r>
        <w:rPr>
          <w:color w:val="000000" w:themeColor="text1"/>
          <w:szCs w:val="20"/>
        </w:rPr>
        <w:t xml:space="preserve">, privātajās koledžās proporcija no izdevumiem </w:t>
      </w:r>
      <w:r w:rsidR="001D6CBE">
        <w:rPr>
          <w:color w:val="000000" w:themeColor="text1"/>
          <w:szCs w:val="20"/>
        </w:rPr>
        <w:t xml:space="preserve">ko veido darba samaksas un sociālās apdrošināšanas iemaksas summa </w:t>
      </w:r>
      <w:r>
        <w:rPr>
          <w:color w:val="000000" w:themeColor="text1"/>
          <w:szCs w:val="20"/>
        </w:rPr>
        <w:t xml:space="preserve">ir 36%. </w:t>
      </w:r>
      <w:r w:rsidR="0014188C" w:rsidRPr="0014188C">
        <w:rPr>
          <w:color w:val="000000" w:themeColor="text1"/>
          <w:szCs w:val="20"/>
        </w:rPr>
        <w:t xml:space="preserve">Valsts </w:t>
      </w:r>
      <w:r w:rsidR="00735F72">
        <w:rPr>
          <w:color w:val="000000" w:themeColor="text1"/>
          <w:szCs w:val="20"/>
        </w:rPr>
        <w:t>koledžās</w:t>
      </w:r>
      <w:r w:rsidR="00735F72" w:rsidRPr="0014188C">
        <w:rPr>
          <w:color w:val="000000" w:themeColor="text1"/>
          <w:szCs w:val="20"/>
        </w:rPr>
        <w:t xml:space="preserve"> </w:t>
      </w:r>
      <w:r w:rsidR="0014188C" w:rsidRPr="0014188C">
        <w:rPr>
          <w:color w:val="000000" w:themeColor="text1"/>
          <w:szCs w:val="20"/>
        </w:rPr>
        <w:t xml:space="preserve">25% no izdevumiem veido darba samaksa akadēmiskajam personālam, kas ir gandrīz divas reizes vairāk nekā privātajās </w:t>
      </w:r>
      <w:bookmarkStart w:id="1" w:name="_GoBack"/>
      <w:bookmarkEnd w:id="1"/>
      <w:r w:rsidR="00735F72">
        <w:rPr>
          <w:color w:val="000000" w:themeColor="text1"/>
          <w:szCs w:val="20"/>
        </w:rPr>
        <w:t>koledžās</w:t>
      </w:r>
      <w:r w:rsidR="0014188C" w:rsidRPr="0014188C">
        <w:rPr>
          <w:color w:val="000000" w:themeColor="text1"/>
          <w:szCs w:val="20"/>
        </w:rPr>
        <w:t xml:space="preserve">. </w:t>
      </w:r>
      <w:r>
        <w:rPr>
          <w:color w:val="000000" w:themeColor="text1"/>
          <w:szCs w:val="20"/>
        </w:rPr>
        <w:t>Privāto koledžu izdevumu struktūrā nozīmīgu daļu veido preces un pakalpojumi, kā arī izdevumi pamatkapitāl</w:t>
      </w:r>
      <w:r w:rsidR="00DC1A6D">
        <w:rPr>
          <w:color w:val="000000" w:themeColor="text1"/>
          <w:szCs w:val="20"/>
        </w:rPr>
        <w:t>a veidošanai. Valsts koledžās</w:t>
      </w:r>
      <w:r>
        <w:rPr>
          <w:color w:val="000000" w:themeColor="text1"/>
          <w:szCs w:val="20"/>
        </w:rPr>
        <w:t xml:space="preserve"> izdevumi pamatkapitāla veido</w:t>
      </w:r>
      <w:r w:rsidR="00C827FB">
        <w:rPr>
          <w:color w:val="000000" w:themeColor="text1"/>
          <w:szCs w:val="20"/>
        </w:rPr>
        <w:t xml:space="preserve">šanai 2019. gadā sasniedz </w:t>
      </w:r>
      <w:r>
        <w:rPr>
          <w:color w:val="000000" w:themeColor="text1"/>
          <w:szCs w:val="20"/>
        </w:rPr>
        <w:t xml:space="preserve">tikai 3% no kopējiem izdevumiem. </w:t>
      </w:r>
    </w:p>
    <w:p w14:paraId="7C4A3E3C" w14:textId="0E79B707" w:rsidR="00C05085" w:rsidRDefault="00E7284F" w:rsidP="006F5F7D">
      <w:pPr>
        <w:jc w:val="both"/>
        <w:rPr>
          <w:color w:val="000000" w:themeColor="text1"/>
          <w:szCs w:val="20"/>
        </w:rPr>
      </w:pPr>
      <w:r>
        <w:rPr>
          <w:noProof/>
          <w:lang w:eastAsia="lv-LV"/>
        </w:rPr>
        <w:drawing>
          <wp:inline distT="0" distB="0" distL="0" distR="0" wp14:anchorId="6E6F3FBD" wp14:editId="43F0F4E0">
            <wp:extent cx="5248275" cy="3810000"/>
            <wp:effectExtent l="0" t="0" r="0" b="0"/>
            <wp:docPr id="1" name="Chart 1">
              <a:extLst xmlns:a="http://schemas.openxmlformats.org/drawingml/2006/main">
                <a:ext uri="{FF2B5EF4-FFF2-40B4-BE49-F238E27FC236}">
                  <a16:creationId xmlns:a16="http://schemas.microsoft.com/office/drawing/2014/main" id="{00000000-0008-0000-02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5BC5217B" w14:textId="072FA84A" w:rsidR="00392645" w:rsidRPr="006F5F7D" w:rsidRDefault="00392645" w:rsidP="006F5F7D">
      <w:pPr>
        <w:jc w:val="both"/>
        <w:rPr>
          <w:color w:val="000000" w:themeColor="text1"/>
          <w:szCs w:val="20"/>
        </w:rPr>
      </w:pPr>
    </w:p>
    <w:sectPr w:rsidR="00392645" w:rsidRPr="006F5F7D" w:rsidSect="00113B8B">
      <w:footerReference w:type="default" r:id="rId27"/>
      <w:pgSz w:w="11906" w:h="16838"/>
      <w:pgMar w:top="1440" w:right="1841" w:bottom="1440" w:left="180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A64236" w14:textId="77777777" w:rsidR="009600DA" w:rsidRDefault="009600DA" w:rsidP="0055401D">
      <w:pPr>
        <w:spacing w:after="0" w:line="240" w:lineRule="auto"/>
      </w:pPr>
      <w:r>
        <w:separator/>
      </w:r>
    </w:p>
  </w:endnote>
  <w:endnote w:type="continuationSeparator" w:id="0">
    <w:p w14:paraId="4B87B2E9" w14:textId="77777777" w:rsidR="009600DA" w:rsidRDefault="009600DA" w:rsidP="005540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5C4A52" w14:textId="77777777" w:rsidR="00ED6CBF" w:rsidRDefault="00ED6CBF">
    <w:pPr>
      <w:pStyle w:val="Footer"/>
      <w:jc w:val="center"/>
    </w:pPr>
  </w:p>
  <w:p w14:paraId="509C05B4" w14:textId="77777777" w:rsidR="00ED6CBF" w:rsidRDefault="00ED6C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45238"/>
      <w:docPartObj>
        <w:docPartGallery w:val="Page Numbers (Bottom of Page)"/>
        <w:docPartUnique/>
      </w:docPartObj>
    </w:sdtPr>
    <w:sdtEndPr>
      <w:rPr>
        <w:noProof/>
      </w:rPr>
    </w:sdtEndPr>
    <w:sdtContent>
      <w:p w14:paraId="16E23F2D" w14:textId="77777777" w:rsidR="00ED6CBF" w:rsidRDefault="00ED6CBF">
        <w:pPr>
          <w:pStyle w:val="Footer"/>
          <w:jc w:val="center"/>
        </w:pPr>
        <w:r>
          <w:fldChar w:fldCharType="begin"/>
        </w:r>
        <w:r>
          <w:instrText xml:space="preserve"> PAGE   \* MERGEFORMAT </w:instrText>
        </w:r>
        <w:r>
          <w:fldChar w:fldCharType="separate"/>
        </w:r>
        <w:r w:rsidR="00B94EC5">
          <w:rPr>
            <w:noProof/>
          </w:rPr>
          <w:t>15</w:t>
        </w:r>
        <w:r>
          <w:rPr>
            <w:noProof/>
          </w:rPr>
          <w:fldChar w:fldCharType="end"/>
        </w:r>
      </w:p>
    </w:sdtContent>
  </w:sdt>
  <w:p w14:paraId="009E6FF4" w14:textId="77777777" w:rsidR="00ED6CBF" w:rsidRDefault="00ED6C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5F7B43" w14:textId="77777777" w:rsidR="009600DA" w:rsidRDefault="009600DA" w:rsidP="0055401D">
      <w:pPr>
        <w:spacing w:after="0" w:line="240" w:lineRule="auto"/>
      </w:pPr>
      <w:r>
        <w:separator/>
      </w:r>
    </w:p>
  </w:footnote>
  <w:footnote w:type="continuationSeparator" w:id="0">
    <w:p w14:paraId="016A21AA" w14:textId="77777777" w:rsidR="009600DA" w:rsidRDefault="009600DA" w:rsidP="0055401D">
      <w:pPr>
        <w:spacing w:after="0" w:line="240" w:lineRule="auto"/>
      </w:pPr>
      <w:r>
        <w:continuationSeparator/>
      </w:r>
    </w:p>
  </w:footnote>
  <w:footnote w:id="1">
    <w:p w14:paraId="434F913B" w14:textId="77777777" w:rsidR="00717665" w:rsidRPr="008B6939" w:rsidRDefault="00717665" w:rsidP="00717665">
      <w:pPr>
        <w:pStyle w:val="FootnoteText"/>
        <w:rPr>
          <w:lang w:val="en-US"/>
        </w:rPr>
      </w:pPr>
      <w:r>
        <w:rPr>
          <w:rStyle w:val="FootnoteReference"/>
        </w:rPr>
        <w:footnoteRef/>
      </w:r>
      <w:r>
        <w:t xml:space="preserve"> </w:t>
      </w:r>
      <w:r>
        <w:rPr>
          <w:lang w:val="en-US"/>
        </w:rPr>
        <w:t xml:space="preserve">Centrālās statistikas pārvaldes dati par iekšzemes kopproduktu: </w:t>
      </w:r>
      <w:hyperlink r:id="rId1" w:history="1">
        <w:r w:rsidRPr="008B6939">
          <w:rPr>
            <w:color w:val="0000FF"/>
            <w:sz w:val="18"/>
            <w:szCs w:val="18"/>
            <w:u w:val="single"/>
          </w:rPr>
          <w:t>https://www.csb.gov.lv/lv/statistika/statistikas-temas/ekonomika/ikp/galvenie-raditaji/iekszemes-kopprodukts-un-kopeja-pievienota-vertiba</w:t>
        </w:r>
      </w:hyperlink>
    </w:p>
  </w:footnote>
  <w:footnote w:id="2">
    <w:p w14:paraId="5E8365C4" w14:textId="77777777" w:rsidR="00717665" w:rsidRPr="008B6939" w:rsidRDefault="00717665" w:rsidP="00717665">
      <w:pPr>
        <w:pStyle w:val="FootnoteText"/>
        <w:rPr>
          <w:lang w:val="en-US"/>
        </w:rPr>
      </w:pPr>
      <w:r>
        <w:rPr>
          <w:rStyle w:val="FootnoteReference"/>
        </w:rPr>
        <w:footnoteRef/>
      </w:r>
      <w:r>
        <w:t xml:space="preserve"> </w:t>
      </w:r>
      <w:r>
        <w:rPr>
          <w:lang w:val="en-US"/>
        </w:rPr>
        <w:t xml:space="preserve">Centrālās statistikas pārvaldes dati par strādājošo pirktspēju: </w:t>
      </w:r>
      <w:hyperlink r:id="rId2" w:history="1">
        <w:r w:rsidRPr="008B6939">
          <w:rPr>
            <w:color w:val="0000FF"/>
            <w:sz w:val="16"/>
            <w:szCs w:val="16"/>
            <w:u w:val="single"/>
          </w:rPr>
          <w:t>https://www.csb.gov.lv/lv/statistika/statistikas-temas/socialie-procesi/pirktspeja/tabulas/ppg010/stradajoso-pirktspeja</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4C00151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C9E4780"/>
    <w:multiLevelType w:val="hybridMultilevel"/>
    <w:tmpl w:val="A984A90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F4E63C0"/>
    <w:multiLevelType w:val="hybridMultilevel"/>
    <w:tmpl w:val="FCC84F5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C6D4714"/>
    <w:multiLevelType w:val="hybridMultilevel"/>
    <w:tmpl w:val="842293E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F516DB1"/>
    <w:multiLevelType w:val="hybridMultilevel"/>
    <w:tmpl w:val="D9CE34A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599768D"/>
    <w:multiLevelType w:val="hybridMultilevel"/>
    <w:tmpl w:val="DEF01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AD12180"/>
    <w:multiLevelType w:val="hybridMultilevel"/>
    <w:tmpl w:val="CBB8EC2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2"/>
  </w:num>
  <w:num w:numId="5">
    <w:abstractNumId w:val="6"/>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7FC3"/>
    <w:rsid w:val="00000038"/>
    <w:rsid w:val="00001DA8"/>
    <w:rsid w:val="000043A0"/>
    <w:rsid w:val="00005FCB"/>
    <w:rsid w:val="0000744E"/>
    <w:rsid w:val="00007555"/>
    <w:rsid w:val="0001036D"/>
    <w:rsid w:val="000121A4"/>
    <w:rsid w:val="000137E8"/>
    <w:rsid w:val="0001394A"/>
    <w:rsid w:val="00014974"/>
    <w:rsid w:val="00020FC7"/>
    <w:rsid w:val="0002177D"/>
    <w:rsid w:val="00022392"/>
    <w:rsid w:val="00024068"/>
    <w:rsid w:val="00026166"/>
    <w:rsid w:val="000354BF"/>
    <w:rsid w:val="00035992"/>
    <w:rsid w:val="00037046"/>
    <w:rsid w:val="00037981"/>
    <w:rsid w:val="00037DA0"/>
    <w:rsid w:val="0004074F"/>
    <w:rsid w:val="0004153B"/>
    <w:rsid w:val="000418B1"/>
    <w:rsid w:val="000420AA"/>
    <w:rsid w:val="00042E0B"/>
    <w:rsid w:val="00043F54"/>
    <w:rsid w:val="00045AA9"/>
    <w:rsid w:val="0005020B"/>
    <w:rsid w:val="00052C1C"/>
    <w:rsid w:val="0005662E"/>
    <w:rsid w:val="000576C8"/>
    <w:rsid w:val="00062DA7"/>
    <w:rsid w:val="0006620C"/>
    <w:rsid w:val="00070942"/>
    <w:rsid w:val="00070B73"/>
    <w:rsid w:val="000712C0"/>
    <w:rsid w:val="00071924"/>
    <w:rsid w:val="00071C3B"/>
    <w:rsid w:val="00071D83"/>
    <w:rsid w:val="00073372"/>
    <w:rsid w:val="000741CC"/>
    <w:rsid w:val="00075045"/>
    <w:rsid w:val="000767AE"/>
    <w:rsid w:val="00076CD3"/>
    <w:rsid w:val="00077FD2"/>
    <w:rsid w:val="00082C98"/>
    <w:rsid w:val="0008353C"/>
    <w:rsid w:val="000877DF"/>
    <w:rsid w:val="00090A5D"/>
    <w:rsid w:val="00090A76"/>
    <w:rsid w:val="000945D0"/>
    <w:rsid w:val="000962E2"/>
    <w:rsid w:val="000A2023"/>
    <w:rsid w:val="000A3095"/>
    <w:rsid w:val="000A31EE"/>
    <w:rsid w:val="000A354C"/>
    <w:rsid w:val="000A3BBB"/>
    <w:rsid w:val="000A4E78"/>
    <w:rsid w:val="000A6DDA"/>
    <w:rsid w:val="000B046A"/>
    <w:rsid w:val="000B14B4"/>
    <w:rsid w:val="000B1C51"/>
    <w:rsid w:val="000B3922"/>
    <w:rsid w:val="000B4D98"/>
    <w:rsid w:val="000C1B53"/>
    <w:rsid w:val="000C21B8"/>
    <w:rsid w:val="000C3281"/>
    <w:rsid w:val="000C39EB"/>
    <w:rsid w:val="000C669B"/>
    <w:rsid w:val="000C7C6F"/>
    <w:rsid w:val="000D0369"/>
    <w:rsid w:val="000D0589"/>
    <w:rsid w:val="000D05B2"/>
    <w:rsid w:val="000D21C5"/>
    <w:rsid w:val="000D7728"/>
    <w:rsid w:val="000E0B5A"/>
    <w:rsid w:val="000E287B"/>
    <w:rsid w:val="000E2E10"/>
    <w:rsid w:val="000E5606"/>
    <w:rsid w:val="000E5B99"/>
    <w:rsid w:val="000E5D20"/>
    <w:rsid w:val="000E6A53"/>
    <w:rsid w:val="000F0B26"/>
    <w:rsid w:val="000F12A4"/>
    <w:rsid w:val="000F1624"/>
    <w:rsid w:val="00103A16"/>
    <w:rsid w:val="00104BDA"/>
    <w:rsid w:val="00104E18"/>
    <w:rsid w:val="0010760F"/>
    <w:rsid w:val="00113172"/>
    <w:rsid w:val="00113B8B"/>
    <w:rsid w:val="001150C4"/>
    <w:rsid w:val="00115D73"/>
    <w:rsid w:val="00120007"/>
    <w:rsid w:val="0012217F"/>
    <w:rsid w:val="0012261B"/>
    <w:rsid w:val="00122C85"/>
    <w:rsid w:val="00123A60"/>
    <w:rsid w:val="0013167E"/>
    <w:rsid w:val="0013370C"/>
    <w:rsid w:val="001345D9"/>
    <w:rsid w:val="00140B3A"/>
    <w:rsid w:val="0014188C"/>
    <w:rsid w:val="00147973"/>
    <w:rsid w:val="00150E24"/>
    <w:rsid w:val="00151131"/>
    <w:rsid w:val="0015406C"/>
    <w:rsid w:val="00156736"/>
    <w:rsid w:val="00164060"/>
    <w:rsid w:val="00166CE0"/>
    <w:rsid w:val="001725DC"/>
    <w:rsid w:val="00177F9D"/>
    <w:rsid w:val="001803F9"/>
    <w:rsid w:val="001811AA"/>
    <w:rsid w:val="00191110"/>
    <w:rsid w:val="001951EB"/>
    <w:rsid w:val="00195901"/>
    <w:rsid w:val="00196447"/>
    <w:rsid w:val="001A2414"/>
    <w:rsid w:val="001B0F47"/>
    <w:rsid w:val="001B1812"/>
    <w:rsid w:val="001B3646"/>
    <w:rsid w:val="001B43AA"/>
    <w:rsid w:val="001B4CD8"/>
    <w:rsid w:val="001B57ED"/>
    <w:rsid w:val="001C0234"/>
    <w:rsid w:val="001C0A3E"/>
    <w:rsid w:val="001C2E8B"/>
    <w:rsid w:val="001C3145"/>
    <w:rsid w:val="001C3681"/>
    <w:rsid w:val="001C3CDE"/>
    <w:rsid w:val="001C44D1"/>
    <w:rsid w:val="001C63AA"/>
    <w:rsid w:val="001D0B6A"/>
    <w:rsid w:val="001D129B"/>
    <w:rsid w:val="001D3267"/>
    <w:rsid w:val="001D6CBE"/>
    <w:rsid w:val="001E0BDD"/>
    <w:rsid w:val="001E1C03"/>
    <w:rsid w:val="001E44C2"/>
    <w:rsid w:val="001E677D"/>
    <w:rsid w:val="001E6D9B"/>
    <w:rsid w:val="001E7831"/>
    <w:rsid w:val="001F2E98"/>
    <w:rsid w:val="001F344A"/>
    <w:rsid w:val="001F666F"/>
    <w:rsid w:val="00201CC0"/>
    <w:rsid w:val="00201F66"/>
    <w:rsid w:val="00203D74"/>
    <w:rsid w:val="002059B9"/>
    <w:rsid w:val="00205E62"/>
    <w:rsid w:val="0020685C"/>
    <w:rsid w:val="002075A2"/>
    <w:rsid w:val="00211316"/>
    <w:rsid w:val="002128EC"/>
    <w:rsid w:val="002151E1"/>
    <w:rsid w:val="002161DC"/>
    <w:rsid w:val="00216931"/>
    <w:rsid w:val="00220173"/>
    <w:rsid w:val="00220ED7"/>
    <w:rsid w:val="002211E6"/>
    <w:rsid w:val="00224BED"/>
    <w:rsid w:val="00231023"/>
    <w:rsid w:val="00231B98"/>
    <w:rsid w:val="00235427"/>
    <w:rsid w:val="0023562E"/>
    <w:rsid w:val="00237C94"/>
    <w:rsid w:val="00240C4D"/>
    <w:rsid w:val="00241570"/>
    <w:rsid w:val="00242854"/>
    <w:rsid w:val="002436AD"/>
    <w:rsid w:val="002442F8"/>
    <w:rsid w:val="00246C0B"/>
    <w:rsid w:val="00247BA3"/>
    <w:rsid w:val="00247C1B"/>
    <w:rsid w:val="002548AF"/>
    <w:rsid w:val="0025503E"/>
    <w:rsid w:val="00255783"/>
    <w:rsid w:val="00256036"/>
    <w:rsid w:val="0025636A"/>
    <w:rsid w:val="00260F96"/>
    <w:rsid w:val="00261916"/>
    <w:rsid w:val="00261C72"/>
    <w:rsid w:val="0026210A"/>
    <w:rsid w:val="0026589F"/>
    <w:rsid w:val="00265912"/>
    <w:rsid w:val="002659B9"/>
    <w:rsid w:val="002659D1"/>
    <w:rsid w:val="00265FEB"/>
    <w:rsid w:val="002710CF"/>
    <w:rsid w:val="00271EFF"/>
    <w:rsid w:val="00273459"/>
    <w:rsid w:val="00274698"/>
    <w:rsid w:val="00276EA6"/>
    <w:rsid w:val="00280108"/>
    <w:rsid w:val="002807D2"/>
    <w:rsid w:val="002809E5"/>
    <w:rsid w:val="00280B74"/>
    <w:rsid w:val="00283FB4"/>
    <w:rsid w:val="0028526A"/>
    <w:rsid w:val="00285930"/>
    <w:rsid w:val="00286FE0"/>
    <w:rsid w:val="002876F1"/>
    <w:rsid w:val="00290969"/>
    <w:rsid w:val="002923A8"/>
    <w:rsid w:val="002945B6"/>
    <w:rsid w:val="00294702"/>
    <w:rsid w:val="0029728A"/>
    <w:rsid w:val="002A03AD"/>
    <w:rsid w:val="002A1677"/>
    <w:rsid w:val="002A1998"/>
    <w:rsid w:val="002A25A1"/>
    <w:rsid w:val="002A3093"/>
    <w:rsid w:val="002A588F"/>
    <w:rsid w:val="002A5F73"/>
    <w:rsid w:val="002A6218"/>
    <w:rsid w:val="002A6DC3"/>
    <w:rsid w:val="002B3D78"/>
    <w:rsid w:val="002B41C8"/>
    <w:rsid w:val="002B4693"/>
    <w:rsid w:val="002B682E"/>
    <w:rsid w:val="002C0084"/>
    <w:rsid w:val="002C15B9"/>
    <w:rsid w:val="002C29B2"/>
    <w:rsid w:val="002C48C8"/>
    <w:rsid w:val="002D08D4"/>
    <w:rsid w:val="002D50FC"/>
    <w:rsid w:val="002E08A4"/>
    <w:rsid w:val="002E09C4"/>
    <w:rsid w:val="002E1966"/>
    <w:rsid w:val="002E1F9E"/>
    <w:rsid w:val="002E2CD1"/>
    <w:rsid w:val="002E7E8A"/>
    <w:rsid w:val="002F05F3"/>
    <w:rsid w:val="002F21D1"/>
    <w:rsid w:val="002F3BAC"/>
    <w:rsid w:val="002F48E0"/>
    <w:rsid w:val="00300182"/>
    <w:rsid w:val="00301E60"/>
    <w:rsid w:val="00302236"/>
    <w:rsid w:val="00303F61"/>
    <w:rsid w:val="00304075"/>
    <w:rsid w:val="003064A3"/>
    <w:rsid w:val="00307096"/>
    <w:rsid w:val="00310A0F"/>
    <w:rsid w:val="0031387E"/>
    <w:rsid w:val="0031433E"/>
    <w:rsid w:val="00317579"/>
    <w:rsid w:val="003251FD"/>
    <w:rsid w:val="00326D04"/>
    <w:rsid w:val="00327EF6"/>
    <w:rsid w:val="00331D5A"/>
    <w:rsid w:val="003320A4"/>
    <w:rsid w:val="0033215F"/>
    <w:rsid w:val="0033238A"/>
    <w:rsid w:val="00334CD6"/>
    <w:rsid w:val="00335469"/>
    <w:rsid w:val="00335EE4"/>
    <w:rsid w:val="00337A0E"/>
    <w:rsid w:val="00337B4B"/>
    <w:rsid w:val="00340548"/>
    <w:rsid w:val="00343C8C"/>
    <w:rsid w:val="00344ED1"/>
    <w:rsid w:val="00346FB4"/>
    <w:rsid w:val="0034779F"/>
    <w:rsid w:val="00350F4E"/>
    <w:rsid w:val="00357FC3"/>
    <w:rsid w:val="003602C3"/>
    <w:rsid w:val="003618E5"/>
    <w:rsid w:val="00361F35"/>
    <w:rsid w:val="00363D09"/>
    <w:rsid w:val="003648A8"/>
    <w:rsid w:val="00365AE9"/>
    <w:rsid w:val="00370027"/>
    <w:rsid w:val="003712B9"/>
    <w:rsid w:val="0037724D"/>
    <w:rsid w:val="0038024D"/>
    <w:rsid w:val="003844F4"/>
    <w:rsid w:val="00391574"/>
    <w:rsid w:val="00392645"/>
    <w:rsid w:val="00393771"/>
    <w:rsid w:val="00394998"/>
    <w:rsid w:val="00395C84"/>
    <w:rsid w:val="0039738A"/>
    <w:rsid w:val="003B49FC"/>
    <w:rsid w:val="003B67F6"/>
    <w:rsid w:val="003B74B3"/>
    <w:rsid w:val="003C111F"/>
    <w:rsid w:val="003C1E51"/>
    <w:rsid w:val="003C252A"/>
    <w:rsid w:val="003C33DF"/>
    <w:rsid w:val="003C43BE"/>
    <w:rsid w:val="003D182B"/>
    <w:rsid w:val="003D1E85"/>
    <w:rsid w:val="003E04BE"/>
    <w:rsid w:val="003E3AFE"/>
    <w:rsid w:val="003E73B3"/>
    <w:rsid w:val="003F1B63"/>
    <w:rsid w:val="003F2E30"/>
    <w:rsid w:val="003F3205"/>
    <w:rsid w:val="00400046"/>
    <w:rsid w:val="00401E24"/>
    <w:rsid w:val="00402776"/>
    <w:rsid w:val="00402B11"/>
    <w:rsid w:val="004058B2"/>
    <w:rsid w:val="0040685D"/>
    <w:rsid w:val="0041288B"/>
    <w:rsid w:val="0041331B"/>
    <w:rsid w:val="00414371"/>
    <w:rsid w:val="00417D31"/>
    <w:rsid w:val="00421402"/>
    <w:rsid w:val="00421889"/>
    <w:rsid w:val="00421D93"/>
    <w:rsid w:val="00432961"/>
    <w:rsid w:val="00433487"/>
    <w:rsid w:val="004335F9"/>
    <w:rsid w:val="004379F9"/>
    <w:rsid w:val="00441C28"/>
    <w:rsid w:val="00444028"/>
    <w:rsid w:val="00444D22"/>
    <w:rsid w:val="0044736A"/>
    <w:rsid w:val="00447891"/>
    <w:rsid w:val="00451847"/>
    <w:rsid w:val="0045409B"/>
    <w:rsid w:val="00455D6F"/>
    <w:rsid w:val="00465F32"/>
    <w:rsid w:val="004669C6"/>
    <w:rsid w:val="004676AB"/>
    <w:rsid w:val="004706A0"/>
    <w:rsid w:val="00470AC7"/>
    <w:rsid w:val="0047163E"/>
    <w:rsid w:val="00471D05"/>
    <w:rsid w:val="00474EE8"/>
    <w:rsid w:val="004801BE"/>
    <w:rsid w:val="00481A8C"/>
    <w:rsid w:val="0048203E"/>
    <w:rsid w:val="00484A41"/>
    <w:rsid w:val="00487FD6"/>
    <w:rsid w:val="004925BE"/>
    <w:rsid w:val="00492920"/>
    <w:rsid w:val="00493B11"/>
    <w:rsid w:val="00493C43"/>
    <w:rsid w:val="00495464"/>
    <w:rsid w:val="004A1CED"/>
    <w:rsid w:val="004A2E83"/>
    <w:rsid w:val="004A40D8"/>
    <w:rsid w:val="004A66D9"/>
    <w:rsid w:val="004B36B7"/>
    <w:rsid w:val="004B46B9"/>
    <w:rsid w:val="004B5AEC"/>
    <w:rsid w:val="004B6818"/>
    <w:rsid w:val="004B7188"/>
    <w:rsid w:val="004C160E"/>
    <w:rsid w:val="004C3118"/>
    <w:rsid w:val="004C3AC7"/>
    <w:rsid w:val="004C45E4"/>
    <w:rsid w:val="004D007C"/>
    <w:rsid w:val="004D137C"/>
    <w:rsid w:val="004D1F9A"/>
    <w:rsid w:val="004D6DCB"/>
    <w:rsid w:val="004F06E7"/>
    <w:rsid w:val="004F14A6"/>
    <w:rsid w:val="004F7293"/>
    <w:rsid w:val="004F792E"/>
    <w:rsid w:val="005009F7"/>
    <w:rsid w:val="00502300"/>
    <w:rsid w:val="005033AD"/>
    <w:rsid w:val="00503ADD"/>
    <w:rsid w:val="0050511B"/>
    <w:rsid w:val="00505692"/>
    <w:rsid w:val="00511FD2"/>
    <w:rsid w:val="00513490"/>
    <w:rsid w:val="005151ED"/>
    <w:rsid w:val="005152B3"/>
    <w:rsid w:val="00520517"/>
    <w:rsid w:val="00521F31"/>
    <w:rsid w:val="00522B3B"/>
    <w:rsid w:val="0052373A"/>
    <w:rsid w:val="00524743"/>
    <w:rsid w:val="0052757C"/>
    <w:rsid w:val="005310A1"/>
    <w:rsid w:val="0053175C"/>
    <w:rsid w:val="005333E6"/>
    <w:rsid w:val="005364B0"/>
    <w:rsid w:val="005402F3"/>
    <w:rsid w:val="00541062"/>
    <w:rsid w:val="005432BC"/>
    <w:rsid w:val="0055401D"/>
    <w:rsid w:val="00556D3B"/>
    <w:rsid w:val="005572C0"/>
    <w:rsid w:val="0056315B"/>
    <w:rsid w:val="00563439"/>
    <w:rsid w:val="00563DA3"/>
    <w:rsid w:val="00564DE1"/>
    <w:rsid w:val="00576220"/>
    <w:rsid w:val="00576F69"/>
    <w:rsid w:val="00582C3E"/>
    <w:rsid w:val="00586511"/>
    <w:rsid w:val="00586DBA"/>
    <w:rsid w:val="005879E3"/>
    <w:rsid w:val="00591DC7"/>
    <w:rsid w:val="00593FD9"/>
    <w:rsid w:val="00594541"/>
    <w:rsid w:val="00594E6E"/>
    <w:rsid w:val="005A166A"/>
    <w:rsid w:val="005A1A53"/>
    <w:rsid w:val="005A3099"/>
    <w:rsid w:val="005B32BF"/>
    <w:rsid w:val="005B606D"/>
    <w:rsid w:val="005B7FDD"/>
    <w:rsid w:val="005C115B"/>
    <w:rsid w:val="005C1DC4"/>
    <w:rsid w:val="005C2167"/>
    <w:rsid w:val="005C2FE3"/>
    <w:rsid w:val="005C3F9E"/>
    <w:rsid w:val="005C5878"/>
    <w:rsid w:val="005C7EBA"/>
    <w:rsid w:val="005D0A0F"/>
    <w:rsid w:val="005D325D"/>
    <w:rsid w:val="005D3F0C"/>
    <w:rsid w:val="005D5515"/>
    <w:rsid w:val="005D6475"/>
    <w:rsid w:val="005E5DB2"/>
    <w:rsid w:val="005F2CD3"/>
    <w:rsid w:val="005F32AD"/>
    <w:rsid w:val="005F34D4"/>
    <w:rsid w:val="005F5088"/>
    <w:rsid w:val="005F6D2F"/>
    <w:rsid w:val="005F7CF8"/>
    <w:rsid w:val="00606217"/>
    <w:rsid w:val="0060659B"/>
    <w:rsid w:val="00611DAD"/>
    <w:rsid w:val="00617B19"/>
    <w:rsid w:val="00617F13"/>
    <w:rsid w:val="006206F9"/>
    <w:rsid w:val="006220F1"/>
    <w:rsid w:val="00624007"/>
    <w:rsid w:val="00631745"/>
    <w:rsid w:val="0063234C"/>
    <w:rsid w:val="006333C4"/>
    <w:rsid w:val="00635CB9"/>
    <w:rsid w:val="00636C23"/>
    <w:rsid w:val="00637910"/>
    <w:rsid w:val="00637AFB"/>
    <w:rsid w:val="00637D6B"/>
    <w:rsid w:val="006434E7"/>
    <w:rsid w:val="006469CD"/>
    <w:rsid w:val="00652D88"/>
    <w:rsid w:val="00652D8E"/>
    <w:rsid w:val="00657BB1"/>
    <w:rsid w:val="00657CDC"/>
    <w:rsid w:val="00662426"/>
    <w:rsid w:val="00663C3C"/>
    <w:rsid w:val="00667081"/>
    <w:rsid w:val="0067010A"/>
    <w:rsid w:val="0067375D"/>
    <w:rsid w:val="00675475"/>
    <w:rsid w:val="006759C0"/>
    <w:rsid w:val="00682F91"/>
    <w:rsid w:val="006847DF"/>
    <w:rsid w:val="00691757"/>
    <w:rsid w:val="00693AAF"/>
    <w:rsid w:val="006951D9"/>
    <w:rsid w:val="00696146"/>
    <w:rsid w:val="006A012E"/>
    <w:rsid w:val="006A0F26"/>
    <w:rsid w:val="006A3C14"/>
    <w:rsid w:val="006A4EBD"/>
    <w:rsid w:val="006A59E7"/>
    <w:rsid w:val="006B18EB"/>
    <w:rsid w:val="006B1CE9"/>
    <w:rsid w:val="006B48B1"/>
    <w:rsid w:val="006B76FF"/>
    <w:rsid w:val="006C0AD8"/>
    <w:rsid w:val="006C2CD7"/>
    <w:rsid w:val="006C4878"/>
    <w:rsid w:val="006D0979"/>
    <w:rsid w:val="006D0C4A"/>
    <w:rsid w:val="006D1A8E"/>
    <w:rsid w:val="006D1DBB"/>
    <w:rsid w:val="006D5B8A"/>
    <w:rsid w:val="006D7CC8"/>
    <w:rsid w:val="006E2379"/>
    <w:rsid w:val="006E6551"/>
    <w:rsid w:val="006E680D"/>
    <w:rsid w:val="006E7254"/>
    <w:rsid w:val="006E7B06"/>
    <w:rsid w:val="006F398A"/>
    <w:rsid w:val="006F53FF"/>
    <w:rsid w:val="006F5F7D"/>
    <w:rsid w:val="006F6B1E"/>
    <w:rsid w:val="00702CD1"/>
    <w:rsid w:val="007064B0"/>
    <w:rsid w:val="0070653A"/>
    <w:rsid w:val="00706B0E"/>
    <w:rsid w:val="00707636"/>
    <w:rsid w:val="00710805"/>
    <w:rsid w:val="00713143"/>
    <w:rsid w:val="00715476"/>
    <w:rsid w:val="00715CBA"/>
    <w:rsid w:val="00715D5A"/>
    <w:rsid w:val="00716A16"/>
    <w:rsid w:val="00717665"/>
    <w:rsid w:val="0072096F"/>
    <w:rsid w:val="0072236F"/>
    <w:rsid w:val="00723810"/>
    <w:rsid w:val="00725CB7"/>
    <w:rsid w:val="007318DE"/>
    <w:rsid w:val="00732B06"/>
    <w:rsid w:val="00735F72"/>
    <w:rsid w:val="007376A8"/>
    <w:rsid w:val="0074369F"/>
    <w:rsid w:val="00743CBA"/>
    <w:rsid w:val="00751014"/>
    <w:rsid w:val="0075366F"/>
    <w:rsid w:val="00753965"/>
    <w:rsid w:val="00754789"/>
    <w:rsid w:val="00754A25"/>
    <w:rsid w:val="00754DB1"/>
    <w:rsid w:val="007604A7"/>
    <w:rsid w:val="00763C62"/>
    <w:rsid w:val="00766773"/>
    <w:rsid w:val="00767447"/>
    <w:rsid w:val="00772644"/>
    <w:rsid w:val="00772CBD"/>
    <w:rsid w:val="00774A50"/>
    <w:rsid w:val="00781396"/>
    <w:rsid w:val="007814CE"/>
    <w:rsid w:val="00781AD9"/>
    <w:rsid w:val="00785B25"/>
    <w:rsid w:val="00787FC3"/>
    <w:rsid w:val="007911A3"/>
    <w:rsid w:val="0079362D"/>
    <w:rsid w:val="00793B94"/>
    <w:rsid w:val="00796E92"/>
    <w:rsid w:val="007A2AC9"/>
    <w:rsid w:val="007A4F1F"/>
    <w:rsid w:val="007B11ED"/>
    <w:rsid w:val="007B23BA"/>
    <w:rsid w:val="007B2D54"/>
    <w:rsid w:val="007B363B"/>
    <w:rsid w:val="007B3ED2"/>
    <w:rsid w:val="007C20E9"/>
    <w:rsid w:val="007C3302"/>
    <w:rsid w:val="007C5C94"/>
    <w:rsid w:val="007D0AD0"/>
    <w:rsid w:val="007D1DF9"/>
    <w:rsid w:val="007D3B2A"/>
    <w:rsid w:val="007E3705"/>
    <w:rsid w:val="007E487E"/>
    <w:rsid w:val="007F2CF5"/>
    <w:rsid w:val="007F3694"/>
    <w:rsid w:val="007F391F"/>
    <w:rsid w:val="007F450E"/>
    <w:rsid w:val="007F5380"/>
    <w:rsid w:val="007F7123"/>
    <w:rsid w:val="00801FC5"/>
    <w:rsid w:val="00802F5E"/>
    <w:rsid w:val="00812A38"/>
    <w:rsid w:val="0081366E"/>
    <w:rsid w:val="00813CFD"/>
    <w:rsid w:val="00814F64"/>
    <w:rsid w:val="00815594"/>
    <w:rsid w:val="0081586C"/>
    <w:rsid w:val="00817178"/>
    <w:rsid w:val="00820C38"/>
    <w:rsid w:val="00822798"/>
    <w:rsid w:val="00822B56"/>
    <w:rsid w:val="0082572B"/>
    <w:rsid w:val="008260FC"/>
    <w:rsid w:val="0082702C"/>
    <w:rsid w:val="00834764"/>
    <w:rsid w:val="00841B8A"/>
    <w:rsid w:val="00841C73"/>
    <w:rsid w:val="008447B0"/>
    <w:rsid w:val="00844F5D"/>
    <w:rsid w:val="00845653"/>
    <w:rsid w:val="00847E84"/>
    <w:rsid w:val="0085097D"/>
    <w:rsid w:val="0085155A"/>
    <w:rsid w:val="00851D2D"/>
    <w:rsid w:val="00852220"/>
    <w:rsid w:val="00856540"/>
    <w:rsid w:val="00857EFC"/>
    <w:rsid w:val="0086222D"/>
    <w:rsid w:val="00862E68"/>
    <w:rsid w:val="008630DF"/>
    <w:rsid w:val="00866655"/>
    <w:rsid w:val="008718D2"/>
    <w:rsid w:val="008735DE"/>
    <w:rsid w:val="008747BA"/>
    <w:rsid w:val="00875BDE"/>
    <w:rsid w:val="00875D55"/>
    <w:rsid w:val="008776D4"/>
    <w:rsid w:val="008803BA"/>
    <w:rsid w:val="00881350"/>
    <w:rsid w:val="00883A00"/>
    <w:rsid w:val="00883A99"/>
    <w:rsid w:val="008878FA"/>
    <w:rsid w:val="00890A68"/>
    <w:rsid w:val="008951E5"/>
    <w:rsid w:val="008952C6"/>
    <w:rsid w:val="00895DDD"/>
    <w:rsid w:val="008965DF"/>
    <w:rsid w:val="008A230F"/>
    <w:rsid w:val="008A31D0"/>
    <w:rsid w:val="008A4C94"/>
    <w:rsid w:val="008A7C28"/>
    <w:rsid w:val="008A7DC6"/>
    <w:rsid w:val="008B1047"/>
    <w:rsid w:val="008B23A2"/>
    <w:rsid w:val="008B372A"/>
    <w:rsid w:val="008B37D8"/>
    <w:rsid w:val="008B4C05"/>
    <w:rsid w:val="008B6939"/>
    <w:rsid w:val="008C2051"/>
    <w:rsid w:val="008C48FE"/>
    <w:rsid w:val="008C4BC3"/>
    <w:rsid w:val="008C63FD"/>
    <w:rsid w:val="008C7655"/>
    <w:rsid w:val="008C7E5A"/>
    <w:rsid w:val="008D047C"/>
    <w:rsid w:val="008D352B"/>
    <w:rsid w:val="008D50AF"/>
    <w:rsid w:val="008D6E6B"/>
    <w:rsid w:val="008E0B05"/>
    <w:rsid w:val="008E0C45"/>
    <w:rsid w:val="008E407A"/>
    <w:rsid w:val="008E55BD"/>
    <w:rsid w:val="008F356C"/>
    <w:rsid w:val="008F4C81"/>
    <w:rsid w:val="008F579A"/>
    <w:rsid w:val="008F5B90"/>
    <w:rsid w:val="008F7618"/>
    <w:rsid w:val="009015BB"/>
    <w:rsid w:val="009054F7"/>
    <w:rsid w:val="00912A13"/>
    <w:rsid w:val="00913A11"/>
    <w:rsid w:val="00914E77"/>
    <w:rsid w:val="009165E1"/>
    <w:rsid w:val="0092203F"/>
    <w:rsid w:val="009222CE"/>
    <w:rsid w:val="00922621"/>
    <w:rsid w:val="009272E5"/>
    <w:rsid w:val="00934071"/>
    <w:rsid w:val="009343FE"/>
    <w:rsid w:val="0093534E"/>
    <w:rsid w:val="00935EC3"/>
    <w:rsid w:val="00940E73"/>
    <w:rsid w:val="00942B54"/>
    <w:rsid w:val="00943A99"/>
    <w:rsid w:val="0094591B"/>
    <w:rsid w:val="00945C37"/>
    <w:rsid w:val="00946620"/>
    <w:rsid w:val="009536F8"/>
    <w:rsid w:val="0095392D"/>
    <w:rsid w:val="00957111"/>
    <w:rsid w:val="00960096"/>
    <w:rsid w:val="009600DA"/>
    <w:rsid w:val="009635D8"/>
    <w:rsid w:val="00966F0F"/>
    <w:rsid w:val="00971BFB"/>
    <w:rsid w:val="00972595"/>
    <w:rsid w:val="00972CA2"/>
    <w:rsid w:val="009732E1"/>
    <w:rsid w:val="009752BB"/>
    <w:rsid w:val="009766EE"/>
    <w:rsid w:val="009807BC"/>
    <w:rsid w:val="00981F16"/>
    <w:rsid w:val="00984A40"/>
    <w:rsid w:val="00985C4F"/>
    <w:rsid w:val="00991642"/>
    <w:rsid w:val="00992337"/>
    <w:rsid w:val="009971AD"/>
    <w:rsid w:val="009A0F47"/>
    <w:rsid w:val="009A4BB2"/>
    <w:rsid w:val="009A4D4E"/>
    <w:rsid w:val="009A518A"/>
    <w:rsid w:val="009B1DEC"/>
    <w:rsid w:val="009B248E"/>
    <w:rsid w:val="009B3691"/>
    <w:rsid w:val="009B4F59"/>
    <w:rsid w:val="009B51E8"/>
    <w:rsid w:val="009B7823"/>
    <w:rsid w:val="009B7B63"/>
    <w:rsid w:val="009C24E7"/>
    <w:rsid w:val="009C32FB"/>
    <w:rsid w:val="009C3D5D"/>
    <w:rsid w:val="009D027C"/>
    <w:rsid w:val="009D533D"/>
    <w:rsid w:val="009D5858"/>
    <w:rsid w:val="009D59B7"/>
    <w:rsid w:val="009D7336"/>
    <w:rsid w:val="009E066C"/>
    <w:rsid w:val="009E0677"/>
    <w:rsid w:val="009E5729"/>
    <w:rsid w:val="009E681F"/>
    <w:rsid w:val="009F11D1"/>
    <w:rsid w:val="009F1C6C"/>
    <w:rsid w:val="009F1FB9"/>
    <w:rsid w:val="009F22A6"/>
    <w:rsid w:val="009F5084"/>
    <w:rsid w:val="009F7EF4"/>
    <w:rsid w:val="00A01626"/>
    <w:rsid w:val="00A02C22"/>
    <w:rsid w:val="00A05E5E"/>
    <w:rsid w:val="00A06FA0"/>
    <w:rsid w:val="00A1065A"/>
    <w:rsid w:val="00A146E3"/>
    <w:rsid w:val="00A238F3"/>
    <w:rsid w:val="00A31730"/>
    <w:rsid w:val="00A3422F"/>
    <w:rsid w:val="00A34831"/>
    <w:rsid w:val="00A37EA2"/>
    <w:rsid w:val="00A402E3"/>
    <w:rsid w:val="00A4545C"/>
    <w:rsid w:val="00A47EC4"/>
    <w:rsid w:val="00A52858"/>
    <w:rsid w:val="00A532D9"/>
    <w:rsid w:val="00A55CBC"/>
    <w:rsid w:val="00A60607"/>
    <w:rsid w:val="00A62CA5"/>
    <w:rsid w:val="00A62D1E"/>
    <w:rsid w:val="00A66FC7"/>
    <w:rsid w:val="00A7517B"/>
    <w:rsid w:val="00A76BAE"/>
    <w:rsid w:val="00A773F9"/>
    <w:rsid w:val="00A806AD"/>
    <w:rsid w:val="00A832D4"/>
    <w:rsid w:val="00A83426"/>
    <w:rsid w:val="00A837E5"/>
    <w:rsid w:val="00A91399"/>
    <w:rsid w:val="00A9498B"/>
    <w:rsid w:val="00A94A38"/>
    <w:rsid w:val="00A95CBD"/>
    <w:rsid w:val="00A9704E"/>
    <w:rsid w:val="00AA4BC4"/>
    <w:rsid w:val="00AA53C2"/>
    <w:rsid w:val="00AA5730"/>
    <w:rsid w:val="00AA5CFC"/>
    <w:rsid w:val="00AA7FEE"/>
    <w:rsid w:val="00AB1152"/>
    <w:rsid w:val="00AB1591"/>
    <w:rsid w:val="00AB5C9F"/>
    <w:rsid w:val="00AB770A"/>
    <w:rsid w:val="00AC104A"/>
    <w:rsid w:val="00AC27AE"/>
    <w:rsid w:val="00AC410D"/>
    <w:rsid w:val="00AC5FE0"/>
    <w:rsid w:val="00AC69D8"/>
    <w:rsid w:val="00AC6FD4"/>
    <w:rsid w:val="00AC789C"/>
    <w:rsid w:val="00AC7D8B"/>
    <w:rsid w:val="00AD1343"/>
    <w:rsid w:val="00AD2461"/>
    <w:rsid w:val="00AD3F65"/>
    <w:rsid w:val="00AD44DB"/>
    <w:rsid w:val="00AD7A24"/>
    <w:rsid w:val="00AE0573"/>
    <w:rsid w:val="00AE062E"/>
    <w:rsid w:val="00AE0E1C"/>
    <w:rsid w:val="00AE4DEC"/>
    <w:rsid w:val="00AE5146"/>
    <w:rsid w:val="00B04E46"/>
    <w:rsid w:val="00B06419"/>
    <w:rsid w:val="00B11D6D"/>
    <w:rsid w:val="00B11E36"/>
    <w:rsid w:val="00B12A72"/>
    <w:rsid w:val="00B14A62"/>
    <w:rsid w:val="00B1531A"/>
    <w:rsid w:val="00B15A00"/>
    <w:rsid w:val="00B17868"/>
    <w:rsid w:val="00B2294C"/>
    <w:rsid w:val="00B259A6"/>
    <w:rsid w:val="00B34CF4"/>
    <w:rsid w:val="00B350ED"/>
    <w:rsid w:val="00B40220"/>
    <w:rsid w:val="00B40DE6"/>
    <w:rsid w:val="00B42373"/>
    <w:rsid w:val="00B44C22"/>
    <w:rsid w:val="00B46B2C"/>
    <w:rsid w:val="00B47BB7"/>
    <w:rsid w:val="00B509C4"/>
    <w:rsid w:val="00B510A5"/>
    <w:rsid w:val="00B53C59"/>
    <w:rsid w:val="00B54667"/>
    <w:rsid w:val="00B548DF"/>
    <w:rsid w:val="00B5497F"/>
    <w:rsid w:val="00B55EC7"/>
    <w:rsid w:val="00B56705"/>
    <w:rsid w:val="00B61170"/>
    <w:rsid w:val="00B63ACD"/>
    <w:rsid w:val="00B63E37"/>
    <w:rsid w:val="00B64738"/>
    <w:rsid w:val="00B665F6"/>
    <w:rsid w:val="00B718E2"/>
    <w:rsid w:val="00B735C6"/>
    <w:rsid w:val="00B81328"/>
    <w:rsid w:val="00B8471F"/>
    <w:rsid w:val="00B85FDF"/>
    <w:rsid w:val="00B94EC5"/>
    <w:rsid w:val="00B94FF1"/>
    <w:rsid w:val="00B967BB"/>
    <w:rsid w:val="00BA29D0"/>
    <w:rsid w:val="00BB0C5F"/>
    <w:rsid w:val="00BC0574"/>
    <w:rsid w:val="00BC0749"/>
    <w:rsid w:val="00BC1868"/>
    <w:rsid w:val="00BC239B"/>
    <w:rsid w:val="00BC3898"/>
    <w:rsid w:val="00BC500E"/>
    <w:rsid w:val="00BC5D2A"/>
    <w:rsid w:val="00BC5ED6"/>
    <w:rsid w:val="00BC61A6"/>
    <w:rsid w:val="00BC65FD"/>
    <w:rsid w:val="00BC694D"/>
    <w:rsid w:val="00BC7E82"/>
    <w:rsid w:val="00BD030E"/>
    <w:rsid w:val="00BD0B87"/>
    <w:rsid w:val="00BD1147"/>
    <w:rsid w:val="00BE02E1"/>
    <w:rsid w:val="00BE5C5D"/>
    <w:rsid w:val="00BF2E8E"/>
    <w:rsid w:val="00BF474B"/>
    <w:rsid w:val="00BF5BC8"/>
    <w:rsid w:val="00BF6262"/>
    <w:rsid w:val="00BF7F10"/>
    <w:rsid w:val="00C029F4"/>
    <w:rsid w:val="00C046A1"/>
    <w:rsid w:val="00C04EB4"/>
    <w:rsid w:val="00C05085"/>
    <w:rsid w:val="00C126AE"/>
    <w:rsid w:val="00C14212"/>
    <w:rsid w:val="00C163CC"/>
    <w:rsid w:val="00C22317"/>
    <w:rsid w:val="00C23883"/>
    <w:rsid w:val="00C361AD"/>
    <w:rsid w:val="00C427D6"/>
    <w:rsid w:val="00C44D6F"/>
    <w:rsid w:val="00C45F4B"/>
    <w:rsid w:val="00C46716"/>
    <w:rsid w:val="00C47167"/>
    <w:rsid w:val="00C53ECC"/>
    <w:rsid w:val="00C55A3F"/>
    <w:rsid w:val="00C5647E"/>
    <w:rsid w:val="00C57830"/>
    <w:rsid w:val="00C57F02"/>
    <w:rsid w:val="00C607A2"/>
    <w:rsid w:val="00C61B79"/>
    <w:rsid w:val="00C638D0"/>
    <w:rsid w:val="00C7283D"/>
    <w:rsid w:val="00C72F59"/>
    <w:rsid w:val="00C73468"/>
    <w:rsid w:val="00C75142"/>
    <w:rsid w:val="00C768C9"/>
    <w:rsid w:val="00C827FB"/>
    <w:rsid w:val="00C836A5"/>
    <w:rsid w:val="00C8434A"/>
    <w:rsid w:val="00C8459A"/>
    <w:rsid w:val="00C85CC8"/>
    <w:rsid w:val="00C92B8D"/>
    <w:rsid w:val="00C94018"/>
    <w:rsid w:val="00C95798"/>
    <w:rsid w:val="00CA2F66"/>
    <w:rsid w:val="00CA3CF1"/>
    <w:rsid w:val="00CA755F"/>
    <w:rsid w:val="00CB33E2"/>
    <w:rsid w:val="00CB3A67"/>
    <w:rsid w:val="00CB3CB2"/>
    <w:rsid w:val="00CC211A"/>
    <w:rsid w:val="00CC2417"/>
    <w:rsid w:val="00CC47F3"/>
    <w:rsid w:val="00CC5A47"/>
    <w:rsid w:val="00CC6288"/>
    <w:rsid w:val="00CC6364"/>
    <w:rsid w:val="00CC6C06"/>
    <w:rsid w:val="00CC6E37"/>
    <w:rsid w:val="00CD0BA3"/>
    <w:rsid w:val="00CD15B9"/>
    <w:rsid w:val="00CD3A12"/>
    <w:rsid w:val="00CD4314"/>
    <w:rsid w:val="00CD5368"/>
    <w:rsid w:val="00CD5B6B"/>
    <w:rsid w:val="00CD5E00"/>
    <w:rsid w:val="00CD68A4"/>
    <w:rsid w:val="00CD6914"/>
    <w:rsid w:val="00CD6C0A"/>
    <w:rsid w:val="00CE1002"/>
    <w:rsid w:val="00CE5877"/>
    <w:rsid w:val="00CF0552"/>
    <w:rsid w:val="00CF18F4"/>
    <w:rsid w:val="00CF410A"/>
    <w:rsid w:val="00CF4D88"/>
    <w:rsid w:val="00CF7892"/>
    <w:rsid w:val="00D01127"/>
    <w:rsid w:val="00D02258"/>
    <w:rsid w:val="00D02D57"/>
    <w:rsid w:val="00D060DA"/>
    <w:rsid w:val="00D17E7E"/>
    <w:rsid w:val="00D23588"/>
    <w:rsid w:val="00D245A8"/>
    <w:rsid w:val="00D26007"/>
    <w:rsid w:val="00D27640"/>
    <w:rsid w:val="00D30CDC"/>
    <w:rsid w:val="00D36C31"/>
    <w:rsid w:val="00D40294"/>
    <w:rsid w:val="00D451DC"/>
    <w:rsid w:val="00D455A2"/>
    <w:rsid w:val="00D46C13"/>
    <w:rsid w:val="00D473B3"/>
    <w:rsid w:val="00D51C5A"/>
    <w:rsid w:val="00D5409B"/>
    <w:rsid w:val="00D56597"/>
    <w:rsid w:val="00D60135"/>
    <w:rsid w:val="00D61397"/>
    <w:rsid w:val="00D6504A"/>
    <w:rsid w:val="00D66F1E"/>
    <w:rsid w:val="00D67ACC"/>
    <w:rsid w:val="00D71745"/>
    <w:rsid w:val="00D71E1C"/>
    <w:rsid w:val="00D775CC"/>
    <w:rsid w:val="00D81ABC"/>
    <w:rsid w:val="00D82B26"/>
    <w:rsid w:val="00D83339"/>
    <w:rsid w:val="00D83A7F"/>
    <w:rsid w:val="00D87CAE"/>
    <w:rsid w:val="00D9045D"/>
    <w:rsid w:val="00D9111F"/>
    <w:rsid w:val="00D93272"/>
    <w:rsid w:val="00D94419"/>
    <w:rsid w:val="00D9448A"/>
    <w:rsid w:val="00D964DE"/>
    <w:rsid w:val="00D966A2"/>
    <w:rsid w:val="00DA3D99"/>
    <w:rsid w:val="00DA3DD8"/>
    <w:rsid w:val="00DA7E90"/>
    <w:rsid w:val="00DB2250"/>
    <w:rsid w:val="00DB26BA"/>
    <w:rsid w:val="00DB297D"/>
    <w:rsid w:val="00DB3F23"/>
    <w:rsid w:val="00DB41F5"/>
    <w:rsid w:val="00DB46DA"/>
    <w:rsid w:val="00DB6676"/>
    <w:rsid w:val="00DB6907"/>
    <w:rsid w:val="00DB6B01"/>
    <w:rsid w:val="00DC1540"/>
    <w:rsid w:val="00DC1A6D"/>
    <w:rsid w:val="00DC37C8"/>
    <w:rsid w:val="00DC3C43"/>
    <w:rsid w:val="00DC3C96"/>
    <w:rsid w:val="00DC4A17"/>
    <w:rsid w:val="00DC54AA"/>
    <w:rsid w:val="00DC610D"/>
    <w:rsid w:val="00DD1935"/>
    <w:rsid w:val="00DD5DE3"/>
    <w:rsid w:val="00DD7F8C"/>
    <w:rsid w:val="00DE01B1"/>
    <w:rsid w:val="00DE1608"/>
    <w:rsid w:val="00DE1C08"/>
    <w:rsid w:val="00DE3C2F"/>
    <w:rsid w:val="00DF048F"/>
    <w:rsid w:val="00DF15ED"/>
    <w:rsid w:val="00DF3A4A"/>
    <w:rsid w:val="00DF4162"/>
    <w:rsid w:val="00DF4E02"/>
    <w:rsid w:val="00E00BD2"/>
    <w:rsid w:val="00E020BD"/>
    <w:rsid w:val="00E02B20"/>
    <w:rsid w:val="00E03CB3"/>
    <w:rsid w:val="00E046CD"/>
    <w:rsid w:val="00E04B40"/>
    <w:rsid w:val="00E07D5D"/>
    <w:rsid w:val="00E111EF"/>
    <w:rsid w:val="00E175D3"/>
    <w:rsid w:val="00E2088C"/>
    <w:rsid w:val="00E2318D"/>
    <w:rsid w:val="00E233ED"/>
    <w:rsid w:val="00E2393E"/>
    <w:rsid w:val="00E246B5"/>
    <w:rsid w:val="00E25B34"/>
    <w:rsid w:val="00E269D7"/>
    <w:rsid w:val="00E308DE"/>
    <w:rsid w:val="00E32E4C"/>
    <w:rsid w:val="00E35286"/>
    <w:rsid w:val="00E35A4C"/>
    <w:rsid w:val="00E37ACB"/>
    <w:rsid w:val="00E37B84"/>
    <w:rsid w:val="00E4044E"/>
    <w:rsid w:val="00E43165"/>
    <w:rsid w:val="00E53061"/>
    <w:rsid w:val="00E54BE1"/>
    <w:rsid w:val="00E56DE2"/>
    <w:rsid w:val="00E62B15"/>
    <w:rsid w:val="00E66FB8"/>
    <w:rsid w:val="00E71029"/>
    <w:rsid w:val="00E71FA3"/>
    <w:rsid w:val="00E7284F"/>
    <w:rsid w:val="00E73D03"/>
    <w:rsid w:val="00E74806"/>
    <w:rsid w:val="00E766E0"/>
    <w:rsid w:val="00E80555"/>
    <w:rsid w:val="00E80DDF"/>
    <w:rsid w:val="00E81C92"/>
    <w:rsid w:val="00E8200A"/>
    <w:rsid w:val="00E8360D"/>
    <w:rsid w:val="00E92347"/>
    <w:rsid w:val="00E92D1C"/>
    <w:rsid w:val="00E93D77"/>
    <w:rsid w:val="00E95FBB"/>
    <w:rsid w:val="00E96CF7"/>
    <w:rsid w:val="00EA24C5"/>
    <w:rsid w:val="00EA3104"/>
    <w:rsid w:val="00EA46F1"/>
    <w:rsid w:val="00EA4752"/>
    <w:rsid w:val="00EB0156"/>
    <w:rsid w:val="00EB7824"/>
    <w:rsid w:val="00EC41F8"/>
    <w:rsid w:val="00ED1C90"/>
    <w:rsid w:val="00ED44A8"/>
    <w:rsid w:val="00ED53DF"/>
    <w:rsid w:val="00ED6CBF"/>
    <w:rsid w:val="00EE0F94"/>
    <w:rsid w:val="00EE193A"/>
    <w:rsid w:val="00EE3D60"/>
    <w:rsid w:val="00EE4541"/>
    <w:rsid w:val="00EE59AF"/>
    <w:rsid w:val="00EE7A6B"/>
    <w:rsid w:val="00EF2325"/>
    <w:rsid w:val="00EF3449"/>
    <w:rsid w:val="00EF5185"/>
    <w:rsid w:val="00EF572A"/>
    <w:rsid w:val="00EF5D72"/>
    <w:rsid w:val="00F0042B"/>
    <w:rsid w:val="00F004F3"/>
    <w:rsid w:val="00F015FE"/>
    <w:rsid w:val="00F0528F"/>
    <w:rsid w:val="00F06E24"/>
    <w:rsid w:val="00F1034F"/>
    <w:rsid w:val="00F10FB3"/>
    <w:rsid w:val="00F11D58"/>
    <w:rsid w:val="00F13924"/>
    <w:rsid w:val="00F140A8"/>
    <w:rsid w:val="00F1680C"/>
    <w:rsid w:val="00F16AD4"/>
    <w:rsid w:val="00F16F10"/>
    <w:rsid w:val="00F21448"/>
    <w:rsid w:val="00F23EDB"/>
    <w:rsid w:val="00F25E2F"/>
    <w:rsid w:val="00F30B0E"/>
    <w:rsid w:val="00F3296D"/>
    <w:rsid w:val="00F352EA"/>
    <w:rsid w:val="00F35FB7"/>
    <w:rsid w:val="00F3715C"/>
    <w:rsid w:val="00F378DC"/>
    <w:rsid w:val="00F42A2D"/>
    <w:rsid w:val="00F43151"/>
    <w:rsid w:val="00F505CB"/>
    <w:rsid w:val="00F5071F"/>
    <w:rsid w:val="00F5401E"/>
    <w:rsid w:val="00F561C2"/>
    <w:rsid w:val="00F561D8"/>
    <w:rsid w:val="00F57F95"/>
    <w:rsid w:val="00F60A7F"/>
    <w:rsid w:val="00F60D0B"/>
    <w:rsid w:val="00F60ECD"/>
    <w:rsid w:val="00F617AC"/>
    <w:rsid w:val="00F62C30"/>
    <w:rsid w:val="00F73065"/>
    <w:rsid w:val="00F74E7D"/>
    <w:rsid w:val="00F771EF"/>
    <w:rsid w:val="00F802E5"/>
    <w:rsid w:val="00F81385"/>
    <w:rsid w:val="00F82BC4"/>
    <w:rsid w:val="00F835F4"/>
    <w:rsid w:val="00F836AC"/>
    <w:rsid w:val="00F83F09"/>
    <w:rsid w:val="00F83F57"/>
    <w:rsid w:val="00F85AEF"/>
    <w:rsid w:val="00F91E64"/>
    <w:rsid w:val="00FA2717"/>
    <w:rsid w:val="00FA5033"/>
    <w:rsid w:val="00FB193C"/>
    <w:rsid w:val="00FB2CA9"/>
    <w:rsid w:val="00FB2E1C"/>
    <w:rsid w:val="00FB324C"/>
    <w:rsid w:val="00FB6EB8"/>
    <w:rsid w:val="00FC0F01"/>
    <w:rsid w:val="00FC1471"/>
    <w:rsid w:val="00FC52D3"/>
    <w:rsid w:val="00FC6C74"/>
    <w:rsid w:val="00FD0D69"/>
    <w:rsid w:val="00FD1826"/>
    <w:rsid w:val="00FD2467"/>
    <w:rsid w:val="00FD4D5D"/>
    <w:rsid w:val="00FD5D54"/>
    <w:rsid w:val="00FD6A92"/>
    <w:rsid w:val="00FD7E1D"/>
    <w:rsid w:val="00FE0F42"/>
    <w:rsid w:val="00FE1ABA"/>
    <w:rsid w:val="00FE38A4"/>
    <w:rsid w:val="00FE506C"/>
    <w:rsid w:val="00FE681B"/>
    <w:rsid w:val="00FF42E2"/>
    <w:rsid w:val="00FF5327"/>
    <w:rsid w:val="00FF6085"/>
    <w:rsid w:val="00FF701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CAFD606"/>
  <w15:chartTrackingRefBased/>
  <w15:docId w15:val="{60DA9A3D-23A6-465D-9A83-8474467D6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A4BB2"/>
    <w:pPr>
      <w:keepNext/>
      <w:keepLines/>
      <w:spacing w:before="240" w:after="0"/>
      <w:jc w:val="center"/>
      <w:outlineLvl w:val="0"/>
    </w:pPr>
    <w:rPr>
      <w:rFonts w:ascii="Verdana" w:eastAsiaTheme="majorEastAsia" w:hAnsi="Verdana" w:cstheme="majorBidi"/>
      <w:sz w:val="24"/>
      <w:szCs w:val="32"/>
    </w:rPr>
  </w:style>
  <w:style w:type="paragraph" w:styleId="Heading2">
    <w:name w:val="heading 2"/>
    <w:basedOn w:val="Normal"/>
    <w:next w:val="Normal"/>
    <w:link w:val="Heading2Char"/>
    <w:uiPriority w:val="9"/>
    <w:unhideWhenUsed/>
    <w:qFormat/>
    <w:rsid w:val="00691757"/>
    <w:pPr>
      <w:keepNext/>
      <w:keepLines/>
      <w:spacing w:before="40" w:after="0"/>
      <w:ind w:left="113" w:firstLine="720"/>
      <w:outlineLvl w:val="1"/>
    </w:pPr>
    <w:rPr>
      <w:rFonts w:eastAsiaTheme="majorEastAsia" w:cstheme="majorBidi"/>
      <w:b/>
      <w:caps/>
      <w:color w:val="6A4884"/>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4BB2"/>
    <w:rPr>
      <w:rFonts w:ascii="Verdana" w:eastAsiaTheme="majorEastAsia" w:hAnsi="Verdana" w:cstheme="majorBidi"/>
      <w:sz w:val="24"/>
      <w:szCs w:val="32"/>
    </w:rPr>
  </w:style>
  <w:style w:type="paragraph" w:styleId="ListParagraph">
    <w:name w:val="List Paragraph"/>
    <w:basedOn w:val="Normal"/>
    <w:uiPriority w:val="34"/>
    <w:qFormat/>
    <w:rsid w:val="002151E1"/>
    <w:pPr>
      <w:ind w:left="720"/>
      <w:contextualSpacing/>
    </w:pPr>
  </w:style>
  <w:style w:type="table" w:styleId="TableGrid">
    <w:name w:val="Table Grid"/>
    <w:basedOn w:val="TableNormal"/>
    <w:uiPriority w:val="39"/>
    <w:rsid w:val="000A20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unhideWhenUsed/>
    <w:rsid w:val="009343FE"/>
    <w:pPr>
      <w:numPr>
        <w:numId w:val="2"/>
      </w:numPr>
      <w:contextualSpacing/>
    </w:pPr>
  </w:style>
  <w:style w:type="paragraph" w:styleId="BalloonText">
    <w:name w:val="Balloon Text"/>
    <w:basedOn w:val="Normal"/>
    <w:link w:val="BalloonTextChar"/>
    <w:uiPriority w:val="99"/>
    <w:semiHidden/>
    <w:unhideWhenUsed/>
    <w:rsid w:val="000502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020B"/>
    <w:rPr>
      <w:rFonts w:ascii="Segoe UI" w:hAnsi="Segoe UI" w:cs="Segoe UI"/>
      <w:sz w:val="18"/>
      <w:szCs w:val="18"/>
    </w:rPr>
  </w:style>
  <w:style w:type="paragraph" w:styleId="FootnoteText">
    <w:name w:val="footnote text"/>
    <w:basedOn w:val="Normal"/>
    <w:link w:val="FootnoteTextChar"/>
    <w:uiPriority w:val="99"/>
    <w:semiHidden/>
    <w:unhideWhenUsed/>
    <w:rsid w:val="0055401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5401D"/>
    <w:rPr>
      <w:sz w:val="20"/>
      <w:szCs w:val="20"/>
    </w:rPr>
  </w:style>
  <w:style w:type="character" w:styleId="FootnoteReference">
    <w:name w:val="footnote reference"/>
    <w:basedOn w:val="DefaultParagraphFont"/>
    <w:uiPriority w:val="99"/>
    <w:semiHidden/>
    <w:unhideWhenUsed/>
    <w:rsid w:val="0055401D"/>
    <w:rPr>
      <w:vertAlign w:val="superscript"/>
    </w:rPr>
  </w:style>
  <w:style w:type="character" w:customStyle="1" w:styleId="Heading2Char">
    <w:name w:val="Heading 2 Char"/>
    <w:basedOn w:val="DefaultParagraphFont"/>
    <w:link w:val="Heading2"/>
    <w:uiPriority w:val="9"/>
    <w:rsid w:val="00691757"/>
    <w:rPr>
      <w:rFonts w:eastAsiaTheme="majorEastAsia" w:cstheme="majorBidi"/>
      <w:b/>
      <w:caps/>
      <w:color w:val="6A4884"/>
      <w:sz w:val="26"/>
      <w:szCs w:val="26"/>
    </w:rPr>
  </w:style>
  <w:style w:type="paragraph" w:styleId="Header">
    <w:name w:val="header"/>
    <w:basedOn w:val="Normal"/>
    <w:link w:val="HeaderChar"/>
    <w:uiPriority w:val="99"/>
    <w:unhideWhenUsed/>
    <w:rsid w:val="000576C8"/>
    <w:pPr>
      <w:tabs>
        <w:tab w:val="center" w:pos="4153"/>
        <w:tab w:val="right" w:pos="8306"/>
      </w:tabs>
      <w:spacing w:after="0" w:line="240" w:lineRule="auto"/>
    </w:pPr>
  </w:style>
  <w:style w:type="character" w:customStyle="1" w:styleId="HeaderChar">
    <w:name w:val="Header Char"/>
    <w:basedOn w:val="DefaultParagraphFont"/>
    <w:link w:val="Header"/>
    <w:uiPriority w:val="99"/>
    <w:rsid w:val="000576C8"/>
  </w:style>
  <w:style w:type="paragraph" w:styleId="Footer">
    <w:name w:val="footer"/>
    <w:basedOn w:val="Normal"/>
    <w:link w:val="FooterChar"/>
    <w:uiPriority w:val="99"/>
    <w:unhideWhenUsed/>
    <w:rsid w:val="000576C8"/>
    <w:pPr>
      <w:tabs>
        <w:tab w:val="center" w:pos="4153"/>
        <w:tab w:val="right" w:pos="8306"/>
      </w:tabs>
      <w:spacing w:after="0" w:line="240" w:lineRule="auto"/>
    </w:pPr>
  </w:style>
  <w:style w:type="character" w:customStyle="1" w:styleId="FooterChar">
    <w:name w:val="Footer Char"/>
    <w:basedOn w:val="DefaultParagraphFont"/>
    <w:link w:val="Footer"/>
    <w:uiPriority w:val="99"/>
    <w:rsid w:val="000576C8"/>
  </w:style>
  <w:style w:type="character" w:styleId="Hyperlink">
    <w:name w:val="Hyperlink"/>
    <w:basedOn w:val="DefaultParagraphFont"/>
    <w:uiPriority w:val="99"/>
    <w:unhideWhenUsed/>
    <w:rsid w:val="0029728A"/>
    <w:rPr>
      <w:color w:val="0563C1" w:themeColor="hyperlink"/>
      <w:u w:val="single"/>
    </w:rPr>
  </w:style>
  <w:style w:type="character" w:styleId="CommentReference">
    <w:name w:val="annotation reference"/>
    <w:basedOn w:val="DefaultParagraphFont"/>
    <w:uiPriority w:val="99"/>
    <w:semiHidden/>
    <w:unhideWhenUsed/>
    <w:rsid w:val="00EE193A"/>
    <w:rPr>
      <w:sz w:val="16"/>
      <w:szCs w:val="16"/>
    </w:rPr>
  </w:style>
  <w:style w:type="paragraph" w:styleId="CommentText">
    <w:name w:val="annotation text"/>
    <w:basedOn w:val="Normal"/>
    <w:link w:val="CommentTextChar"/>
    <w:uiPriority w:val="99"/>
    <w:semiHidden/>
    <w:unhideWhenUsed/>
    <w:rsid w:val="00EE193A"/>
    <w:pPr>
      <w:spacing w:line="240" w:lineRule="auto"/>
    </w:pPr>
    <w:rPr>
      <w:sz w:val="20"/>
      <w:szCs w:val="20"/>
    </w:rPr>
  </w:style>
  <w:style w:type="character" w:customStyle="1" w:styleId="CommentTextChar">
    <w:name w:val="Comment Text Char"/>
    <w:basedOn w:val="DefaultParagraphFont"/>
    <w:link w:val="CommentText"/>
    <w:uiPriority w:val="99"/>
    <w:semiHidden/>
    <w:rsid w:val="00EE193A"/>
    <w:rPr>
      <w:sz w:val="20"/>
      <w:szCs w:val="20"/>
    </w:rPr>
  </w:style>
  <w:style w:type="paragraph" w:styleId="CommentSubject">
    <w:name w:val="annotation subject"/>
    <w:basedOn w:val="CommentText"/>
    <w:next w:val="CommentText"/>
    <w:link w:val="CommentSubjectChar"/>
    <w:uiPriority w:val="99"/>
    <w:semiHidden/>
    <w:unhideWhenUsed/>
    <w:rsid w:val="00EE193A"/>
    <w:rPr>
      <w:b/>
      <w:bCs/>
    </w:rPr>
  </w:style>
  <w:style w:type="character" w:customStyle="1" w:styleId="CommentSubjectChar">
    <w:name w:val="Comment Subject Char"/>
    <w:basedOn w:val="CommentTextChar"/>
    <w:link w:val="CommentSubject"/>
    <w:uiPriority w:val="99"/>
    <w:semiHidden/>
    <w:rsid w:val="00EE193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8099774">
      <w:bodyDiv w:val="1"/>
      <w:marLeft w:val="0"/>
      <w:marRight w:val="0"/>
      <w:marTop w:val="0"/>
      <w:marBottom w:val="0"/>
      <w:divBdr>
        <w:top w:val="none" w:sz="0" w:space="0" w:color="auto"/>
        <w:left w:val="none" w:sz="0" w:space="0" w:color="auto"/>
        <w:bottom w:val="none" w:sz="0" w:space="0" w:color="auto"/>
        <w:right w:val="none" w:sz="0" w:space="0" w:color="auto"/>
      </w:divBdr>
    </w:div>
    <w:div w:id="371997700">
      <w:bodyDiv w:val="1"/>
      <w:marLeft w:val="0"/>
      <w:marRight w:val="0"/>
      <w:marTop w:val="0"/>
      <w:marBottom w:val="0"/>
      <w:divBdr>
        <w:top w:val="none" w:sz="0" w:space="0" w:color="auto"/>
        <w:left w:val="none" w:sz="0" w:space="0" w:color="auto"/>
        <w:bottom w:val="none" w:sz="0" w:space="0" w:color="auto"/>
        <w:right w:val="none" w:sz="0" w:space="0" w:color="auto"/>
      </w:divBdr>
    </w:div>
    <w:div w:id="1060591793">
      <w:bodyDiv w:val="1"/>
      <w:marLeft w:val="0"/>
      <w:marRight w:val="0"/>
      <w:marTop w:val="0"/>
      <w:marBottom w:val="0"/>
      <w:divBdr>
        <w:top w:val="none" w:sz="0" w:space="0" w:color="auto"/>
        <w:left w:val="none" w:sz="0" w:space="0" w:color="auto"/>
        <w:bottom w:val="none" w:sz="0" w:space="0" w:color="auto"/>
        <w:right w:val="none" w:sz="0" w:space="0" w:color="auto"/>
      </w:divBdr>
    </w:div>
    <w:div w:id="1147431652">
      <w:bodyDiv w:val="1"/>
      <w:marLeft w:val="0"/>
      <w:marRight w:val="0"/>
      <w:marTop w:val="0"/>
      <w:marBottom w:val="0"/>
      <w:divBdr>
        <w:top w:val="none" w:sz="0" w:space="0" w:color="auto"/>
        <w:left w:val="none" w:sz="0" w:space="0" w:color="auto"/>
        <w:bottom w:val="none" w:sz="0" w:space="0" w:color="auto"/>
        <w:right w:val="none" w:sz="0" w:space="0" w:color="auto"/>
      </w:divBdr>
    </w:div>
    <w:div w:id="1948803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4.xml"/><Relationship Id="rId18" Type="http://schemas.openxmlformats.org/officeDocument/2006/relationships/chart" Target="charts/chart8.xml"/><Relationship Id="rId26" Type="http://schemas.openxmlformats.org/officeDocument/2006/relationships/chart" Target="charts/chart15.xml"/><Relationship Id="rId3" Type="http://schemas.openxmlformats.org/officeDocument/2006/relationships/styles" Target="styles.xml"/><Relationship Id="rId21" Type="http://schemas.openxmlformats.org/officeDocument/2006/relationships/chart" Target="charts/chart11.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chart" Target="charts/chart7.xml"/><Relationship Id="rId25" Type="http://schemas.openxmlformats.org/officeDocument/2006/relationships/chart" Target="charts/chart14.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chart" Target="charts/chart10.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chart" Target="charts/chart13.xml"/><Relationship Id="rId28" Type="http://schemas.openxmlformats.org/officeDocument/2006/relationships/fontTable" Target="fontTable.xml"/><Relationship Id="rId10" Type="http://schemas.openxmlformats.org/officeDocument/2006/relationships/chart" Target="charts/chart1.xml"/><Relationship Id="rId19" Type="http://schemas.openxmlformats.org/officeDocument/2006/relationships/chart" Target="charts/chart9.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5.xml"/><Relationship Id="rId22" Type="http://schemas.openxmlformats.org/officeDocument/2006/relationships/chart" Target="charts/chart12.xml"/><Relationship Id="rId27"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www.csb.gov.lv/lv/statistika/statistikas-temas/socialie-procesi/pirktspeja/tabulas/ppg010/stradajoso-pirktspeja" TargetMode="External"/><Relationship Id="rId1" Type="http://schemas.openxmlformats.org/officeDocument/2006/relationships/hyperlink" Target="https://www.csb.gov.lv/lv/statistika/statistikas-temas/ekonomika/ikp/galvenie-raditaji/iekszemes-kopprodukts-un-kopeja-pievienota-vertiba"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oleObject" Target="../embeddings/oleObject1.bin"/></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package" Target="../embeddings/Microsoft_Excel_Worksheet10.xlsx"/></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package" Target="../embeddings/Microsoft_Excel_Worksheet11.xlsx"/></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package" Target="../embeddings/Microsoft_Excel_Worksheet12.xlsx"/></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package" Target="../embeddings/Microsoft_Excel_Worksheet13.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Calibri" panose="020F0502020204030204" pitchFamily="34" charset="0"/>
                <a:ea typeface="+mn-ea"/>
                <a:cs typeface="+mn-cs"/>
              </a:defRPr>
            </a:pPr>
            <a:r>
              <a:rPr lang="en-US" sz="1400" baseline="0">
                <a:latin typeface="Calibri" panose="020F0502020204030204" pitchFamily="34" charset="0"/>
              </a:rPr>
              <a:t>Augstākās izglītības</a:t>
            </a:r>
          </a:p>
          <a:p>
            <a:pPr>
              <a:defRPr>
                <a:latin typeface="Calibri" panose="020F0502020204030204" pitchFamily="34" charset="0"/>
              </a:defRPr>
            </a:pPr>
            <a:r>
              <a:rPr lang="en-US" sz="1400" baseline="0">
                <a:latin typeface="Calibri" panose="020F0502020204030204" pitchFamily="34" charset="0"/>
              </a:rPr>
              <a:t> finansējums</a:t>
            </a:r>
            <a:endParaRPr lang="lv-LV" sz="1400" baseline="0">
              <a:latin typeface="Calibri" panose="020F0502020204030204" pitchFamily="34" charset="0"/>
            </a:endParaRPr>
          </a:p>
        </c:rich>
      </c:tx>
      <c:layout>
        <c:manualLayout>
          <c:xMode val="edge"/>
          <c:yMode val="edge"/>
          <c:x val="0.29448268267165906"/>
          <c:y val="0.39814810033991654"/>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Calibri" panose="020F0502020204030204" pitchFamily="34" charset="0"/>
              <a:ea typeface="+mn-ea"/>
              <a:cs typeface="+mn-cs"/>
            </a:defRPr>
          </a:pPr>
          <a:endParaRPr lang="lv-LV"/>
        </a:p>
      </c:txPr>
    </c:title>
    <c:autoTitleDeleted val="0"/>
    <c:plotArea>
      <c:layout>
        <c:manualLayout>
          <c:layoutTarget val="inner"/>
          <c:xMode val="edge"/>
          <c:yMode val="edge"/>
          <c:x val="0.24394893820090666"/>
          <c:y val="9.9676003614302303E-2"/>
          <c:w val="0.37724317677073582"/>
          <c:h val="0.88435695538057746"/>
        </c:manualLayout>
      </c:layout>
      <c:doughnutChart>
        <c:varyColors val="1"/>
        <c:ser>
          <c:idx val="0"/>
          <c:order val="0"/>
          <c:dPt>
            <c:idx val="0"/>
            <c:bubble3D val="0"/>
            <c:spPr>
              <a:solidFill>
                <a:srgbClr val="584470"/>
              </a:solidFill>
              <a:ln w="19050">
                <a:solidFill>
                  <a:schemeClr val="lt1"/>
                </a:solidFill>
              </a:ln>
              <a:effectLst/>
            </c:spPr>
            <c:extLst>
              <c:ext xmlns:c16="http://schemas.microsoft.com/office/drawing/2014/chart" uri="{C3380CC4-5D6E-409C-BE32-E72D297353CC}">
                <c16:uniqueId val="{00000001-1257-4535-8BA8-2102F8EB07A1}"/>
              </c:ext>
            </c:extLst>
          </c:dPt>
          <c:dPt>
            <c:idx val="1"/>
            <c:bubble3D val="0"/>
            <c:spPr>
              <a:solidFill>
                <a:srgbClr val="B3A2C7"/>
              </a:solidFill>
              <a:ln w="19050">
                <a:solidFill>
                  <a:schemeClr val="lt1"/>
                </a:solidFill>
              </a:ln>
              <a:effectLst/>
            </c:spPr>
            <c:extLst>
              <c:ext xmlns:c16="http://schemas.microsoft.com/office/drawing/2014/chart" uri="{C3380CC4-5D6E-409C-BE32-E72D297353CC}">
                <c16:uniqueId val="{00000003-1257-4535-8BA8-2102F8EB07A1}"/>
              </c:ext>
            </c:extLst>
          </c:dPt>
          <c:dPt>
            <c:idx val="2"/>
            <c:bubble3D val="0"/>
            <c:spPr>
              <a:solidFill>
                <a:schemeClr val="bg1">
                  <a:lumMod val="65000"/>
                </a:schemeClr>
              </a:solidFill>
              <a:ln w="19050">
                <a:solidFill>
                  <a:schemeClr val="lt1"/>
                </a:solidFill>
              </a:ln>
              <a:effectLst/>
            </c:spPr>
            <c:extLst>
              <c:ext xmlns:c16="http://schemas.microsoft.com/office/drawing/2014/chart" uri="{C3380CC4-5D6E-409C-BE32-E72D297353CC}">
                <c16:uniqueId val="{00000005-1257-4535-8BA8-2102F8EB07A1}"/>
              </c:ext>
            </c:extLst>
          </c:dPt>
          <c:dLbls>
            <c:dLbl>
              <c:idx val="0"/>
              <c:layout>
                <c:manualLayout>
                  <c:x val="5.5348579469991693E-2"/>
                  <c:y val="6.944444444444453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257-4535-8BA8-2102F8EB07A1}"/>
                </c:ext>
              </c:extLst>
            </c:dLbl>
            <c:dLbl>
              <c:idx val="1"/>
              <c:layout>
                <c:manualLayout>
                  <c:x val="-7.4720582284488649E-2"/>
                  <c:y val="3.24074074074074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257-4535-8BA8-2102F8EB07A1}"/>
                </c:ext>
              </c:extLst>
            </c:dLbl>
            <c:dLbl>
              <c:idx val="2"/>
              <c:layout>
                <c:manualLayout>
                  <c:x val="-9.9627443045984865E-2"/>
                  <c:y val="-2.31481481481481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257-4535-8BA8-2102F8EB07A1}"/>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extLst>
          </c:dLbls>
          <c:cat>
            <c:strRef>
              <c:f>ienakumiizdevumi!$A$74:$A$76</c:f>
              <c:strCache>
                <c:ptCount val="3"/>
                <c:pt idx="0">
                  <c:v>Finansējums studijām</c:v>
                </c:pt>
                <c:pt idx="1">
                  <c:v>Finansējums zinātnei </c:v>
                </c:pt>
                <c:pt idx="2">
                  <c:v>Cits finansējums</c:v>
                </c:pt>
              </c:strCache>
            </c:strRef>
          </c:cat>
          <c:val>
            <c:numRef>
              <c:f>ienakumiizdevumi!$B$74:$B$76</c:f>
              <c:numCache>
                <c:formatCode>0%</c:formatCode>
                <c:ptCount val="3"/>
                <c:pt idx="0">
                  <c:v>0.61</c:v>
                </c:pt>
                <c:pt idx="1">
                  <c:v>0.23</c:v>
                </c:pt>
                <c:pt idx="2">
                  <c:v>0.16</c:v>
                </c:pt>
              </c:numCache>
            </c:numRef>
          </c:val>
          <c:extLst>
            <c:ext xmlns:c16="http://schemas.microsoft.com/office/drawing/2014/chart" uri="{C3380CC4-5D6E-409C-BE32-E72D297353CC}">
              <c16:uniqueId val="{00000006-1257-4535-8BA8-2102F8EB07A1}"/>
            </c:ext>
          </c:extLst>
        </c:ser>
        <c:dLbls>
          <c:showLegendKey val="0"/>
          <c:showVal val="0"/>
          <c:showCatName val="0"/>
          <c:showSerName val="0"/>
          <c:showPercent val="0"/>
          <c:showBubbleSize val="0"/>
          <c:showLeaderLines val="0"/>
        </c:dLbls>
        <c:firstSliceAng val="0"/>
        <c:holeSize val="75"/>
      </c:doughnutChart>
      <c:spPr>
        <a:noFill/>
        <a:ln>
          <a:noFill/>
        </a:ln>
        <a:effectLst/>
      </c:spPr>
    </c:plotArea>
    <c:legend>
      <c:legendPos val="r"/>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Calibri" panose="020F0502020204030204" pitchFamily="34" charset="0"/>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320" b="0" i="0" u="none" strike="noStrike" kern="1200" spc="0" baseline="0">
                <a:solidFill>
                  <a:schemeClr val="tx1">
                    <a:lumMod val="65000"/>
                    <a:lumOff val="35000"/>
                  </a:schemeClr>
                </a:solidFill>
                <a:latin typeface="Calibri" panose="020F0502020204030204" pitchFamily="34" charset="0"/>
                <a:ea typeface="+mn-ea"/>
                <a:cs typeface="+mn-cs"/>
              </a:defRPr>
            </a:pPr>
            <a:r>
              <a:rPr lang="en-US" baseline="0">
                <a:latin typeface="Calibri" panose="020F0502020204030204" pitchFamily="34" charset="0"/>
              </a:rPr>
              <a:t>Valsts a</a:t>
            </a:r>
            <a:r>
              <a:rPr lang="lv-LV" baseline="0">
                <a:latin typeface="Calibri" panose="020F0502020204030204" pitchFamily="34" charset="0"/>
              </a:rPr>
              <a:t>ugstskolu izdevumu struktūr</a:t>
            </a:r>
            <a:r>
              <a:rPr lang="en-US" baseline="0">
                <a:latin typeface="Calibri" panose="020F0502020204030204" pitchFamily="34" charset="0"/>
              </a:rPr>
              <a:t>a</a:t>
            </a:r>
            <a:endParaRPr lang="lv-LV" baseline="0">
              <a:latin typeface="Calibri" panose="020F0502020204030204" pitchFamily="34" charset="0"/>
            </a:endParaRPr>
          </a:p>
        </c:rich>
      </c:tx>
      <c:overlay val="0"/>
      <c:spPr>
        <a:noFill/>
        <a:ln>
          <a:noFill/>
        </a:ln>
        <a:effectLst/>
      </c:spPr>
      <c:txPr>
        <a:bodyPr rot="0" spcFirstLastPara="1" vertOverflow="ellipsis" vert="horz" wrap="square" anchor="ctr" anchorCtr="1"/>
        <a:lstStyle/>
        <a:p>
          <a:pPr>
            <a:defRPr sz="1320" b="0" i="0" u="none" strike="noStrike" kern="1200" spc="0" baseline="0">
              <a:solidFill>
                <a:schemeClr val="tx1">
                  <a:lumMod val="65000"/>
                  <a:lumOff val="35000"/>
                </a:schemeClr>
              </a:solidFill>
              <a:latin typeface="Calibri" panose="020F0502020204030204" pitchFamily="34" charset="0"/>
              <a:ea typeface="+mn-ea"/>
              <a:cs typeface="+mn-cs"/>
            </a:defRPr>
          </a:pPr>
          <a:endParaRPr lang="lv-LV"/>
        </a:p>
      </c:txPr>
    </c:title>
    <c:autoTitleDeleted val="0"/>
    <c:plotArea>
      <c:layout/>
      <c:barChart>
        <c:barDir val="bar"/>
        <c:grouping val="percentStacked"/>
        <c:varyColors val="0"/>
        <c:ser>
          <c:idx val="0"/>
          <c:order val="0"/>
          <c:tx>
            <c:strRef>
              <c:f>'izd2019'!$B$7</c:f>
              <c:strCache>
                <c:ptCount val="1"/>
                <c:pt idx="0">
                  <c:v>Darba samaksa akad. pers.</c:v>
                </c:pt>
              </c:strCache>
            </c:strRef>
          </c:tx>
          <c:spPr>
            <a:solidFill>
              <a:srgbClr val="7A5E9C">
                <a:alpha val="90000"/>
              </a:srgbClr>
            </a:solidFill>
            <a:ln>
              <a:solidFill>
                <a:schemeClr val="accent4">
                  <a:lumMod val="60000"/>
                  <a:lumOff val="40000"/>
                </a:schemeClr>
              </a:solidFill>
            </a:ln>
            <a:effectLst/>
          </c:spPr>
          <c:invertIfNegative val="0"/>
          <c:cat>
            <c:strRef>
              <c:f>'izd2019'!$A$8:$A$22</c:f>
              <c:strCache>
                <c:ptCount val="15"/>
                <c:pt idx="0">
                  <c:v>LU</c:v>
                </c:pt>
                <c:pt idx="1">
                  <c:v>RTU</c:v>
                </c:pt>
                <c:pt idx="2">
                  <c:v>LLU</c:v>
                </c:pt>
                <c:pt idx="3">
                  <c:v>DU</c:v>
                </c:pt>
                <c:pt idx="4">
                  <c:v>RSU</c:v>
                </c:pt>
                <c:pt idx="5">
                  <c:v>LiepU</c:v>
                </c:pt>
                <c:pt idx="6">
                  <c:v>LKA</c:v>
                </c:pt>
                <c:pt idx="7">
                  <c:v>LMA</c:v>
                </c:pt>
                <c:pt idx="8">
                  <c:v>JVLMA</c:v>
                </c:pt>
                <c:pt idx="9">
                  <c:v>LSPA</c:v>
                </c:pt>
                <c:pt idx="10">
                  <c:v>LJA</c:v>
                </c:pt>
                <c:pt idx="11">
                  <c:v>RTA</c:v>
                </c:pt>
                <c:pt idx="12">
                  <c:v>VeA</c:v>
                </c:pt>
                <c:pt idx="13">
                  <c:v>ViA</c:v>
                </c:pt>
                <c:pt idx="14">
                  <c:v>BA</c:v>
                </c:pt>
              </c:strCache>
            </c:strRef>
          </c:cat>
          <c:val>
            <c:numRef>
              <c:f>'izd2019'!$B$8:$B$22</c:f>
              <c:numCache>
                <c:formatCode>0%</c:formatCode>
                <c:ptCount val="15"/>
                <c:pt idx="0">
                  <c:v>0.21054052486571845</c:v>
                </c:pt>
                <c:pt idx="1">
                  <c:v>0.25657777175785235</c:v>
                </c:pt>
                <c:pt idx="2">
                  <c:v>0.1879816340853929</c:v>
                </c:pt>
                <c:pt idx="3">
                  <c:v>0.20748116131588887</c:v>
                </c:pt>
                <c:pt idx="4">
                  <c:v>0.24059540137110555</c:v>
                </c:pt>
                <c:pt idx="5">
                  <c:v>0.38359319923891078</c:v>
                </c:pt>
                <c:pt idx="6">
                  <c:v>0.25051847213392991</c:v>
                </c:pt>
                <c:pt idx="7">
                  <c:v>0.34621670770034269</c:v>
                </c:pt>
                <c:pt idx="8">
                  <c:v>0.35567437946211983</c:v>
                </c:pt>
                <c:pt idx="9">
                  <c:v>0.23379170059663767</c:v>
                </c:pt>
                <c:pt idx="10">
                  <c:v>0.37163844148392688</c:v>
                </c:pt>
                <c:pt idx="11">
                  <c:v>0.22915394991725527</c:v>
                </c:pt>
                <c:pt idx="12">
                  <c:v>0.35439097138203335</c:v>
                </c:pt>
                <c:pt idx="13">
                  <c:v>0.33081550616280042</c:v>
                </c:pt>
                <c:pt idx="14">
                  <c:v>0.28681571509532228</c:v>
                </c:pt>
              </c:numCache>
            </c:numRef>
          </c:val>
          <c:extLst>
            <c:ext xmlns:c16="http://schemas.microsoft.com/office/drawing/2014/chart" uri="{C3380CC4-5D6E-409C-BE32-E72D297353CC}">
              <c16:uniqueId val="{00000001-CBA1-446A-909E-A008C588EE75}"/>
            </c:ext>
          </c:extLst>
        </c:ser>
        <c:ser>
          <c:idx val="1"/>
          <c:order val="1"/>
          <c:tx>
            <c:strRef>
              <c:f>'izd2019'!$C$7</c:f>
              <c:strCache>
                <c:ptCount val="1"/>
                <c:pt idx="0">
                  <c:v>Darba samaksa admin. pers.</c:v>
                </c:pt>
              </c:strCache>
            </c:strRef>
          </c:tx>
          <c:spPr>
            <a:solidFill>
              <a:srgbClr val="8064A2">
                <a:lumMod val="60000"/>
                <a:lumOff val="40000"/>
                <a:alpha val="90000"/>
              </a:srgbClr>
            </a:solidFill>
            <a:ln>
              <a:noFill/>
            </a:ln>
            <a:effectLst/>
          </c:spPr>
          <c:invertIfNegative val="0"/>
          <c:cat>
            <c:strRef>
              <c:f>'izd2019'!$A$8:$A$22</c:f>
              <c:strCache>
                <c:ptCount val="15"/>
                <c:pt idx="0">
                  <c:v>LU</c:v>
                </c:pt>
                <c:pt idx="1">
                  <c:v>RTU</c:v>
                </c:pt>
                <c:pt idx="2">
                  <c:v>LLU</c:v>
                </c:pt>
                <c:pt idx="3">
                  <c:v>DU</c:v>
                </c:pt>
                <c:pt idx="4">
                  <c:v>RSU</c:v>
                </c:pt>
                <c:pt idx="5">
                  <c:v>LiepU</c:v>
                </c:pt>
                <c:pt idx="6">
                  <c:v>LKA</c:v>
                </c:pt>
                <c:pt idx="7">
                  <c:v>LMA</c:v>
                </c:pt>
                <c:pt idx="8">
                  <c:v>JVLMA</c:v>
                </c:pt>
                <c:pt idx="9">
                  <c:v>LSPA</c:v>
                </c:pt>
                <c:pt idx="10">
                  <c:v>LJA</c:v>
                </c:pt>
                <c:pt idx="11">
                  <c:v>RTA</c:v>
                </c:pt>
                <c:pt idx="12">
                  <c:v>VeA</c:v>
                </c:pt>
                <c:pt idx="13">
                  <c:v>ViA</c:v>
                </c:pt>
                <c:pt idx="14">
                  <c:v>BA</c:v>
                </c:pt>
              </c:strCache>
            </c:strRef>
          </c:cat>
          <c:val>
            <c:numRef>
              <c:f>'izd2019'!$C$8:$C$22</c:f>
              <c:numCache>
                <c:formatCode>0%</c:formatCode>
                <c:ptCount val="15"/>
                <c:pt idx="0">
                  <c:v>4.3310953408492323E-2</c:v>
                </c:pt>
                <c:pt idx="1">
                  <c:v>0.11466164461129248</c:v>
                </c:pt>
                <c:pt idx="2">
                  <c:v>2.8548767932873319E-2</c:v>
                </c:pt>
                <c:pt idx="3">
                  <c:v>3.3068955423214925E-2</c:v>
                </c:pt>
                <c:pt idx="4">
                  <c:v>6.8595329782289535E-2</c:v>
                </c:pt>
                <c:pt idx="5">
                  <c:v>3.1269695341239613E-2</c:v>
                </c:pt>
                <c:pt idx="6">
                  <c:v>2.7022515063250374E-2</c:v>
                </c:pt>
                <c:pt idx="7">
                  <c:v>2.9101070412146095E-2</c:v>
                </c:pt>
                <c:pt idx="8">
                  <c:v>3.4728283878118396E-2</c:v>
                </c:pt>
                <c:pt idx="9">
                  <c:v>5.6005429288215433E-2</c:v>
                </c:pt>
                <c:pt idx="10">
                  <c:v>9.088792512391837E-2</c:v>
                </c:pt>
                <c:pt idx="11">
                  <c:v>2.5565294293931378E-2</c:v>
                </c:pt>
                <c:pt idx="12">
                  <c:v>3.8076738434382223E-2</c:v>
                </c:pt>
                <c:pt idx="13">
                  <c:v>1.4006633881659463E-2</c:v>
                </c:pt>
                <c:pt idx="14">
                  <c:v>8.8509487518140653E-2</c:v>
                </c:pt>
              </c:numCache>
            </c:numRef>
          </c:val>
          <c:extLst>
            <c:ext xmlns:c16="http://schemas.microsoft.com/office/drawing/2014/chart" uri="{C3380CC4-5D6E-409C-BE32-E72D297353CC}">
              <c16:uniqueId val="{00000002-CBA1-446A-909E-A008C588EE75}"/>
            </c:ext>
          </c:extLst>
        </c:ser>
        <c:ser>
          <c:idx val="2"/>
          <c:order val="2"/>
          <c:tx>
            <c:strRef>
              <c:f>'izd2019'!$D$7</c:f>
              <c:strCache>
                <c:ptCount val="1"/>
                <c:pt idx="0">
                  <c:v>Darba samaksa vispār. pers.</c:v>
                </c:pt>
              </c:strCache>
            </c:strRef>
          </c:tx>
          <c:spPr>
            <a:solidFill>
              <a:srgbClr val="8064A2">
                <a:lumMod val="20000"/>
                <a:lumOff val="80000"/>
                <a:alpha val="90000"/>
              </a:srgbClr>
            </a:solidFill>
            <a:ln>
              <a:noFill/>
            </a:ln>
            <a:effectLst/>
          </c:spPr>
          <c:invertIfNegative val="0"/>
          <c:cat>
            <c:strRef>
              <c:f>'izd2019'!$A$8:$A$22</c:f>
              <c:strCache>
                <c:ptCount val="15"/>
                <c:pt idx="0">
                  <c:v>LU</c:v>
                </c:pt>
                <c:pt idx="1">
                  <c:v>RTU</c:v>
                </c:pt>
                <c:pt idx="2">
                  <c:v>LLU</c:v>
                </c:pt>
                <c:pt idx="3">
                  <c:v>DU</c:v>
                </c:pt>
                <c:pt idx="4">
                  <c:v>RSU</c:v>
                </c:pt>
                <c:pt idx="5">
                  <c:v>LiepU</c:v>
                </c:pt>
                <c:pt idx="6">
                  <c:v>LKA</c:v>
                </c:pt>
                <c:pt idx="7">
                  <c:v>LMA</c:v>
                </c:pt>
                <c:pt idx="8">
                  <c:v>JVLMA</c:v>
                </c:pt>
                <c:pt idx="9">
                  <c:v>LSPA</c:v>
                </c:pt>
                <c:pt idx="10">
                  <c:v>LJA</c:v>
                </c:pt>
                <c:pt idx="11">
                  <c:v>RTA</c:v>
                </c:pt>
                <c:pt idx="12">
                  <c:v>VeA</c:v>
                </c:pt>
                <c:pt idx="13">
                  <c:v>ViA</c:v>
                </c:pt>
                <c:pt idx="14">
                  <c:v>BA</c:v>
                </c:pt>
              </c:strCache>
            </c:strRef>
          </c:cat>
          <c:val>
            <c:numRef>
              <c:f>'izd2019'!$D$8:$D$22</c:f>
              <c:numCache>
                <c:formatCode>0%</c:formatCode>
                <c:ptCount val="15"/>
                <c:pt idx="0">
                  <c:v>0.13577845866647303</c:v>
                </c:pt>
                <c:pt idx="1">
                  <c:v>4.4015048844762497E-2</c:v>
                </c:pt>
                <c:pt idx="2">
                  <c:v>0.13322243177052176</c:v>
                </c:pt>
                <c:pt idx="3">
                  <c:v>0.11474654867144378</c:v>
                </c:pt>
                <c:pt idx="4">
                  <c:v>0.1052127772851813</c:v>
                </c:pt>
                <c:pt idx="5">
                  <c:v>0.13000689013883113</c:v>
                </c:pt>
                <c:pt idx="6">
                  <c:v>0.26604128888130263</c:v>
                </c:pt>
                <c:pt idx="7">
                  <c:v>0.11675478092058791</c:v>
                </c:pt>
                <c:pt idx="8">
                  <c:v>0.18840041985515205</c:v>
                </c:pt>
                <c:pt idx="9">
                  <c:v>0.11255275240294427</c:v>
                </c:pt>
                <c:pt idx="10">
                  <c:v>0.11555384996630748</c:v>
                </c:pt>
                <c:pt idx="11">
                  <c:v>0.1197221676955329</c:v>
                </c:pt>
                <c:pt idx="12">
                  <c:v>8.8889303474547737E-2</c:v>
                </c:pt>
                <c:pt idx="13">
                  <c:v>0.11446796077650237</c:v>
                </c:pt>
                <c:pt idx="14">
                  <c:v>0.11639383682894675</c:v>
                </c:pt>
              </c:numCache>
            </c:numRef>
          </c:val>
          <c:extLst>
            <c:ext xmlns:c16="http://schemas.microsoft.com/office/drawing/2014/chart" uri="{C3380CC4-5D6E-409C-BE32-E72D297353CC}">
              <c16:uniqueId val="{00000003-CBA1-446A-909E-A008C588EE75}"/>
            </c:ext>
          </c:extLst>
        </c:ser>
        <c:ser>
          <c:idx val="3"/>
          <c:order val="3"/>
          <c:tx>
            <c:strRef>
              <c:f>'izd2019'!$E$7</c:f>
              <c:strCache>
                <c:ptCount val="1"/>
                <c:pt idx="0">
                  <c:v>Sociālās apdrošināšanas iemaksas</c:v>
                </c:pt>
              </c:strCache>
            </c:strRef>
          </c:tx>
          <c:spPr>
            <a:solidFill>
              <a:sysClr val="window" lastClr="FFFFFF">
                <a:lumMod val="65000"/>
                <a:alpha val="90000"/>
              </a:sysClr>
            </a:solidFill>
            <a:ln>
              <a:noFill/>
            </a:ln>
            <a:effectLst/>
          </c:spPr>
          <c:invertIfNegative val="0"/>
          <c:cat>
            <c:strRef>
              <c:f>'izd2019'!$A$8:$A$22</c:f>
              <c:strCache>
                <c:ptCount val="15"/>
                <c:pt idx="0">
                  <c:v>LU</c:v>
                </c:pt>
                <c:pt idx="1">
                  <c:v>RTU</c:v>
                </c:pt>
                <c:pt idx="2">
                  <c:v>LLU</c:v>
                </c:pt>
                <c:pt idx="3">
                  <c:v>DU</c:v>
                </c:pt>
                <c:pt idx="4">
                  <c:v>RSU</c:v>
                </c:pt>
                <c:pt idx="5">
                  <c:v>LiepU</c:v>
                </c:pt>
                <c:pt idx="6">
                  <c:v>LKA</c:v>
                </c:pt>
                <c:pt idx="7">
                  <c:v>LMA</c:v>
                </c:pt>
                <c:pt idx="8">
                  <c:v>JVLMA</c:v>
                </c:pt>
                <c:pt idx="9">
                  <c:v>LSPA</c:v>
                </c:pt>
                <c:pt idx="10">
                  <c:v>LJA</c:v>
                </c:pt>
                <c:pt idx="11">
                  <c:v>RTA</c:v>
                </c:pt>
                <c:pt idx="12">
                  <c:v>VeA</c:v>
                </c:pt>
                <c:pt idx="13">
                  <c:v>ViA</c:v>
                </c:pt>
                <c:pt idx="14">
                  <c:v>BA</c:v>
                </c:pt>
              </c:strCache>
            </c:strRef>
          </c:cat>
          <c:val>
            <c:numRef>
              <c:f>'izd2019'!$E$8:$E$22</c:f>
              <c:numCache>
                <c:formatCode>0%</c:formatCode>
                <c:ptCount val="15"/>
                <c:pt idx="0">
                  <c:v>9.8408587815481688E-2</c:v>
                </c:pt>
                <c:pt idx="1">
                  <c:v>0.10649786372838269</c:v>
                </c:pt>
                <c:pt idx="2">
                  <c:v>9.1449785893938235E-2</c:v>
                </c:pt>
                <c:pt idx="3">
                  <c:v>8.5300759173013108E-2</c:v>
                </c:pt>
                <c:pt idx="4">
                  <c:v>0.10623968725003034</c:v>
                </c:pt>
                <c:pt idx="5">
                  <c:v>0.13862709041534352</c:v>
                </c:pt>
                <c:pt idx="6">
                  <c:v>0.10153104129584038</c:v>
                </c:pt>
                <c:pt idx="7">
                  <c:v>0.11175653499577348</c:v>
                </c:pt>
                <c:pt idx="8">
                  <c:v>0.12854963530491517</c:v>
                </c:pt>
                <c:pt idx="9">
                  <c:v>9.410729275980316E-2</c:v>
                </c:pt>
                <c:pt idx="10">
                  <c:v>0.13634259222090736</c:v>
                </c:pt>
                <c:pt idx="11">
                  <c:v>8.539480311363308E-2</c:v>
                </c:pt>
                <c:pt idx="12">
                  <c:v>0.10335693925314646</c:v>
                </c:pt>
                <c:pt idx="13">
                  <c:v>0.10934691773375954</c:v>
                </c:pt>
                <c:pt idx="14">
                  <c:v>0.12951794490073842</c:v>
                </c:pt>
              </c:numCache>
            </c:numRef>
          </c:val>
          <c:extLst>
            <c:ext xmlns:c16="http://schemas.microsoft.com/office/drawing/2014/chart" uri="{C3380CC4-5D6E-409C-BE32-E72D297353CC}">
              <c16:uniqueId val="{00000004-CBA1-446A-909E-A008C588EE75}"/>
            </c:ext>
          </c:extLst>
        </c:ser>
        <c:ser>
          <c:idx val="4"/>
          <c:order val="4"/>
          <c:tx>
            <c:strRef>
              <c:f>'izd2019'!$F$7</c:f>
              <c:strCache>
                <c:ptCount val="1"/>
                <c:pt idx="0">
                  <c:v>Preces un pakalpojumi</c:v>
                </c:pt>
              </c:strCache>
            </c:strRef>
          </c:tx>
          <c:spPr>
            <a:solidFill>
              <a:srgbClr val="4F81BD">
                <a:lumMod val="40000"/>
                <a:lumOff val="60000"/>
                <a:alpha val="90000"/>
              </a:srgbClr>
            </a:solidFill>
            <a:ln>
              <a:noFill/>
            </a:ln>
            <a:effectLst/>
          </c:spPr>
          <c:invertIfNegative val="0"/>
          <c:cat>
            <c:strRef>
              <c:f>'izd2019'!$A$8:$A$22</c:f>
              <c:strCache>
                <c:ptCount val="15"/>
                <c:pt idx="0">
                  <c:v>LU</c:v>
                </c:pt>
                <c:pt idx="1">
                  <c:v>RTU</c:v>
                </c:pt>
                <c:pt idx="2">
                  <c:v>LLU</c:v>
                </c:pt>
                <c:pt idx="3">
                  <c:v>DU</c:v>
                </c:pt>
                <c:pt idx="4">
                  <c:v>RSU</c:v>
                </c:pt>
                <c:pt idx="5">
                  <c:v>LiepU</c:v>
                </c:pt>
                <c:pt idx="6">
                  <c:v>LKA</c:v>
                </c:pt>
                <c:pt idx="7">
                  <c:v>LMA</c:v>
                </c:pt>
                <c:pt idx="8">
                  <c:v>JVLMA</c:v>
                </c:pt>
                <c:pt idx="9">
                  <c:v>LSPA</c:v>
                </c:pt>
                <c:pt idx="10">
                  <c:v>LJA</c:v>
                </c:pt>
                <c:pt idx="11">
                  <c:v>RTA</c:v>
                </c:pt>
                <c:pt idx="12">
                  <c:v>VeA</c:v>
                </c:pt>
                <c:pt idx="13">
                  <c:v>ViA</c:v>
                </c:pt>
                <c:pt idx="14">
                  <c:v>BA</c:v>
                </c:pt>
              </c:strCache>
            </c:strRef>
          </c:cat>
          <c:val>
            <c:numRef>
              <c:f>'izd2019'!$F$8:$F$22</c:f>
              <c:numCache>
                <c:formatCode>0%</c:formatCode>
                <c:ptCount val="15"/>
                <c:pt idx="0">
                  <c:v>0.23399019497871174</c:v>
                </c:pt>
                <c:pt idx="1">
                  <c:v>0.21972454559856877</c:v>
                </c:pt>
                <c:pt idx="2">
                  <c:v>0.22363204577956386</c:v>
                </c:pt>
                <c:pt idx="3">
                  <c:v>0.13023238754872976</c:v>
                </c:pt>
                <c:pt idx="4">
                  <c:v>0.34257223898886396</c:v>
                </c:pt>
                <c:pt idx="5">
                  <c:v>0.18792685897269645</c:v>
                </c:pt>
                <c:pt idx="6">
                  <c:v>0.17268426996685873</c:v>
                </c:pt>
                <c:pt idx="7">
                  <c:v>0.17783922566816687</c:v>
                </c:pt>
                <c:pt idx="8">
                  <c:v>0.15745639470504558</c:v>
                </c:pt>
                <c:pt idx="9">
                  <c:v>0.13631919542443482</c:v>
                </c:pt>
                <c:pt idx="10">
                  <c:v>0.17482593087974685</c:v>
                </c:pt>
                <c:pt idx="11">
                  <c:v>0.13031265564847214</c:v>
                </c:pt>
                <c:pt idx="12">
                  <c:v>0.20511281071644516</c:v>
                </c:pt>
                <c:pt idx="13">
                  <c:v>0.20452561638259731</c:v>
                </c:pt>
                <c:pt idx="14">
                  <c:v>0.24121152398433468</c:v>
                </c:pt>
              </c:numCache>
            </c:numRef>
          </c:val>
          <c:extLst>
            <c:ext xmlns:c16="http://schemas.microsoft.com/office/drawing/2014/chart" uri="{C3380CC4-5D6E-409C-BE32-E72D297353CC}">
              <c16:uniqueId val="{00000005-CBA1-446A-909E-A008C588EE75}"/>
            </c:ext>
          </c:extLst>
        </c:ser>
        <c:ser>
          <c:idx val="5"/>
          <c:order val="5"/>
          <c:tx>
            <c:strRef>
              <c:f>'izd2019'!$G$7</c:f>
              <c:strCache>
                <c:ptCount val="1"/>
                <c:pt idx="0">
                  <c:v>Pamatkapitāla veidošana</c:v>
                </c:pt>
              </c:strCache>
            </c:strRef>
          </c:tx>
          <c:spPr>
            <a:solidFill>
              <a:srgbClr val="467AB8">
                <a:alpha val="90000"/>
              </a:srgbClr>
            </a:solidFill>
            <a:ln>
              <a:noFill/>
            </a:ln>
            <a:effectLst/>
          </c:spPr>
          <c:invertIfNegative val="0"/>
          <c:cat>
            <c:strRef>
              <c:f>'izd2019'!$A$8:$A$22</c:f>
              <c:strCache>
                <c:ptCount val="15"/>
                <c:pt idx="0">
                  <c:v>LU</c:v>
                </c:pt>
                <c:pt idx="1">
                  <c:v>RTU</c:v>
                </c:pt>
                <c:pt idx="2">
                  <c:v>LLU</c:v>
                </c:pt>
                <c:pt idx="3">
                  <c:v>DU</c:v>
                </c:pt>
                <c:pt idx="4">
                  <c:v>RSU</c:v>
                </c:pt>
                <c:pt idx="5">
                  <c:v>LiepU</c:v>
                </c:pt>
                <c:pt idx="6">
                  <c:v>LKA</c:v>
                </c:pt>
                <c:pt idx="7">
                  <c:v>LMA</c:v>
                </c:pt>
                <c:pt idx="8">
                  <c:v>JVLMA</c:v>
                </c:pt>
                <c:pt idx="9">
                  <c:v>LSPA</c:v>
                </c:pt>
                <c:pt idx="10">
                  <c:v>LJA</c:v>
                </c:pt>
                <c:pt idx="11">
                  <c:v>RTA</c:v>
                </c:pt>
                <c:pt idx="12">
                  <c:v>VeA</c:v>
                </c:pt>
                <c:pt idx="13">
                  <c:v>ViA</c:v>
                </c:pt>
                <c:pt idx="14">
                  <c:v>BA</c:v>
                </c:pt>
              </c:strCache>
            </c:strRef>
          </c:cat>
          <c:val>
            <c:numRef>
              <c:f>'izd2019'!$G$8:$G$22</c:f>
              <c:numCache>
                <c:formatCode>0%</c:formatCode>
                <c:ptCount val="15"/>
                <c:pt idx="0">
                  <c:v>0.16445507643347421</c:v>
                </c:pt>
                <c:pt idx="1">
                  <c:v>0.17336395482707126</c:v>
                </c:pt>
                <c:pt idx="2">
                  <c:v>0.21667562544490207</c:v>
                </c:pt>
                <c:pt idx="3">
                  <c:v>0.26814316503681423</c:v>
                </c:pt>
                <c:pt idx="4">
                  <c:v>8.604561387239737E-2</c:v>
                </c:pt>
                <c:pt idx="5">
                  <c:v>1.136682471606516E-2</c:v>
                </c:pt>
                <c:pt idx="6">
                  <c:v>7.8502648831278426E-3</c:v>
                </c:pt>
                <c:pt idx="7">
                  <c:v>0.12546863489374976</c:v>
                </c:pt>
                <c:pt idx="8">
                  <c:v>3.2270338922818137E-2</c:v>
                </c:pt>
                <c:pt idx="9">
                  <c:v>0.25649394694245836</c:v>
                </c:pt>
                <c:pt idx="10">
                  <c:v>7.1447419056320308E-3</c:v>
                </c:pt>
                <c:pt idx="11">
                  <c:v>0.22406142879796243</c:v>
                </c:pt>
                <c:pt idx="12">
                  <c:v>0.12593773889682477</c:v>
                </c:pt>
                <c:pt idx="13">
                  <c:v>6.0893235710648988E-2</c:v>
                </c:pt>
                <c:pt idx="14">
                  <c:v>1.7630120317414669E-3</c:v>
                </c:pt>
              </c:numCache>
            </c:numRef>
          </c:val>
          <c:extLst>
            <c:ext xmlns:c16="http://schemas.microsoft.com/office/drawing/2014/chart" uri="{C3380CC4-5D6E-409C-BE32-E72D297353CC}">
              <c16:uniqueId val="{00000006-CBA1-446A-909E-A008C588EE75}"/>
            </c:ext>
          </c:extLst>
        </c:ser>
        <c:ser>
          <c:idx val="6"/>
          <c:order val="6"/>
          <c:tx>
            <c:strRef>
              <c:f>'izd2019'!$H$7</c:f>
              <c:strCache>
                <c:ptCount val="1"/>
                <c:pt idx="0">
                  <c:v>Stipendijas (sociālie pabalsti)</c:v>
                </c:pt>
              </c:strCache>
            </c:strRef>
          </c:tx>
          <c:spPr>
            <a:solidFill>
              <a:schemeClr val="accent1">
                <a:lumMod val="60000"/>
              </a:schemeClr>
            </a:solidFill>
            <a:ln>
              <a:noFill/>
            </a:ln>
            <a:effectLst/>
          </c:spPr>
          <c:invertIfNegative val="0"/>
          <c:cat>
            <c:strRef>
              <c:f>'izd2019'!$A$8:$A$22</c:f>
              <c:strCache>
                <c:ptCount val="15"/>
                <c:pt idx="0">
                  <c:v>LU</c:v>
                </c:pt>
                <c:pt idx="1">
                  <c:v>RTU</c:v>
                </c:pt>
                <c:pt idx="2">
                  <c:v>LLU</c:v>
                </c:pt>
                <c:pt idx="3">
                  <c:v>DU</c:v>
                </c:pt>
                <c:pt idx="4">
                  <c:v>RSU</c:v>
                </c:pt>
                <c:pt idx="5">
                  <c:v>LiepU</c:v>
                </c:pt>
                <c:pt idx="6">
                  <c:v>LKA</c:v>
                </c:pt>
                <c:pt idx="7">
                  <c:v>LMA</c:v>
                </c:pt>
                <c:pt idx="8">
                  <c:v>JVLMA</c:v>
                </c:pt>
                <c:pt idx="9">
                  <c:v>LSPA</c:v>
                </c:pt>
                <c:pt idx="10">
                  <c:v>LJA</c:v>
                </c:pt>
                <c:pt idx="11">
                  <c:v>RTA</c:v>
                </c:pt>
                <c:pt idx="12">
                  <c:v>VeA</c:v>
                </c:pt>
                <c:pt idx="13">
                  <c:v>ViA</c:v>
                </c:pt>
                <c:pt idx="14">
                  <c:v>BA</c:v>
                </c:pt>
              </c:strCache>
            </c:strRef>
          </c:cat>
          <c:val>
            <c:numRef>
              <c:f>'izd2019'!$H$8:$H$22</c:f>
              <c:numCache>
                <c:formatCode>0%</c:formatCode>
                <c:ptCount val="15"/>
                <c:pt idx="0">
                  <c:v>2.0393987544744085E-2</c:v>
                </c:pt>
                <c:pt idx="1">
                  <c:v>4.3012869711616442E-2</c:v>
                </c:pt>
                <c:pt idx="2">
                  <c:v>3.8542697460296226E-2</c:v>
                </c:pt>
                <c:pt idx="3">
                  <c:v>6.1260556191888117E-2</c:v>
                </c:pt>
                <c:pt idx="4">
                  <c:v>1.8957562740255441E-2</c:v>
                </c:pt>
                <c:pt idx="5">
                  <c:v>0.10816701812601645</c:v>
                </c:pt>
                <c:pt idx="6">
                  <c:v>6.0283035452637995E-2</c:v>
                </c:pt>
                <c:pt idx="7">
                  <c:v>8.3976941568613711E-2</c:v>
                </c:pt>
                <c:pt idx="8">
                  <c:v>0.10210164491337655</c:v>
                </c:pt>
                <c:pt idx="9">
                  <c:v>2.8105290044419768E-2</c:v>
                </c:pt>
                <c:pt idx="10">
                  <c:v>0.10360651841956103</c:v>
                </c:pt>
                <c:pt idx="11">
                  <c:v>7.0943220135926299E-2</c:v>
                </c:pt>
                <c:pt idx="12">
                  <c:v>4.1671979565562546E-2</c:v>
                </c:pt>
                <c:pt idx="13">
                  <c:v>8.1532155911260784E-2</c:v>
                </c:pt>
                <c:pt idx="14">
                  <c:v>9.3915735516777621E-2</c:v>
                </c:pt>
              </c:numCache>
            </c:numRef>
          </c:val>
          <c:extLst>
            <c:ext xmlns:c16="http://schemas.microsoft.com/office/drawing/2014/chart" uri="{C3380CC4-5D6E-409C-BE32-E72D297353CC}">
              <c16:uniqueId val="{00000000-3000-486B-A5DA-2A084EDCDA83}"/>
            </c:ext>
          </c:extLst>
        </c:ser>
        <c:ser>
          <c:idx val="7"/>
          <c:order val="7"/>
          <c:tx>
            <c:strRef>
              <c:f>'izd2019'!$I$7</c:f>
              <c:strCache>
                <c:ptCount val="1"/>
                <c:pt idx="0">
                  <c:v>Citi izdevumi</c:v>
                </c:pt>
              </c:strCache>
            </c:strRef>
          </c:tx>
          <c:spPr>
            <a:solidFill>
              <a:srgbClr val="4D1C1B">
                <a:alpha val="90000"/>
              </a:srgbClr>
            </a:solidFill>
            <a:ln>
              <a:noFill/>
            </a:ln>
            <a:effectLst/>
          </c:spPr>
          <c:invertIfNegative val="0"/>
          <c:cat>
            <c:strRef>
              <c:f>'izd2019'!$A$8:$A$22</c:f>
              <c:strCache>
                <c:ptCount val="15"/>
                <c:pt idx="0">
                  <c:v>LU</c:v>
                </c:pt>
                <c:pt idx="1">
                  <c:v>RTU</c:v>
                </c:pt>
                <c:pt idx="2">
                  <c:v>LLU</c:v>
                </c:pt>
                <c:pt idx="3">
                  <c:v>DU</c:v>
                </c:pt>
                <c:pt idx="4">
                  <c:v>RSU</c:v>
                </c:pt>
                <c:pt idx="5">
                  <c:v>LiepU</c:v>
                </c:pt>
                <c:pt idx="6">
                  <c:v>LKA</c:v>
                </c:pt>
                <c:pt idx="7">
                  <c:v>LMA</c:v>
                </c:pt>
                <c:pt idx="8">
                  <c:v>JVLMA</c:v>
                </c:pt>
                <c:pt idx="9">
                  <c:v>LSPA</c:v>
                </c:pt>
                <c:pt idx="10">
                  <c:v>LJA</c:v>
                </c:pt>
                <c:pt idx="11">
                  <c:v>RTA</c:v>
                </c:pt>
                <c:pt idx="12">
                  <c:v>VeA</c:v>
                </c:pt>
                <c:pt idx="13">
                  <c:v>ViA</c:v>
                </c:pt>
                <c:pt idx="14">
                  <c:v>BA</c:v>
                </c:pt>
              </c:strCache>
            </c:strRef>
          </c:cat>
          <c:val>
            <c:numRef>
              <c:f>'izd2019'!$I$8:$I$22</c:f>
              <c:numCache>
                <c:formatCode>0%</c:formatCode>
                <c:ptCount val="15"/>
                <c:pt idx="0">
                  <c:v>9.3122216286904466E-2</c:v>
                </c:pt>
                <c:pt idx="1">
                  <c:v>4.2146300920453537E-2</c:v>
                </c:pt>
                <c:pt idx="2">
                  <c:v>7.9947011632511639E-2</c:v>
                </c:pt>
                <c:pt idx="3">
                  <c:v>9.9766466639007234E-2</c:v>
                </c:pt>
                <c:pt idx="4">
                  <c:v>3.178138870987654E-2</c:v>
                </c:pt>
                <c:pt idx="5">
                  <c:v>9.0424230508968882E-3</c:v>
                </c:pt>
                <c:pt idx="6">
                  <c:v>0.11406911232305209</c:v>
                </c:pt>
                <c:pt idx="7">
                  <c:v>8.8861038406194554E-3</c:v>
                </c:pt>
                <c:pt idx="8">
                  <c:v>8.1890295845432322E-4</c:v>
                </c:pt>
                <c:pt idx="9">
                  <c:v>8.2624392541086528E-2</c:v>
                </c:pt>
                <c:pt idx="10">
                  <c:v>0</c:v>
                </c:pt>
                <c:pt idx="11">
                  <c:v>0.11484648039728651</c:v>
                </c:pt>
                <c:pt idx="12">
                  <c:v>4.2563518277057739E-2</c:v>
                </c:pt>
                <c:pt idx="13">
                  <c:v>8.4411973440771157E-2</c:v>
                </c:pt>
                <c:pt idx="14">
                  <c:v>4.1872744123998107E-2</c:v>
                </c:pt>
              </c:numCache>
            </c:numRef>
          </c:val>
          <c:extLst>
            <c:ext xmlns:c16="http://schemas.microsoft.com/office/drawing/2014/chart" uri="{C3380CC4-5D6E-409C-BE32-E72D297353CC}">
              <c16:uniqueId val="{00000001-3000-486B-A5DA-2A084EDCDA83}"/>
            </c:ext>
          </c:extLst>
        </c:ser>
        <c:dLbls>
          <c:showLegendKey val="0"/>
          <c:showVal val="0"/>
          <c:showCatName val="0"/>
          <c:showSerName val="0"/>
          <c:showPercent val="0"/>
          <c:showBubbleSize val="0"/>
        </c:dLbls>
        <c:gapWidth val="50"/>
        <c:overlap val="100"/>
        <c:axId val="450821656"/>
        <c:axId val="450824008"/>
      </c:barChart>
      <c:catAx>
        <c:axId val="450821656"/>
        <c:scaling>
          <c:orientation val="maxMin"/>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Calibri" panose="020F0502020204030204" pitchFamily="34" charset="0"/>
                <a:ea typeface="+mn-ea"/>
                <a:cs typeface="+mn-cs"/>
              </a:defRPr>
            </a:pPr>
            <a:endParaRPr lang="lv-LV"/>
          </a:p>
        </c:txPr>
        <c:crossAx val="450824008"/>
        <c:crosses val="autoZero"/>
        <c:auto val="1"/>
        <c:lblAlgn val="ctr"/>
        <c:lblOffset val="1"/>
        <c:noMultiLvlLbl val="0"/>
      </c:catAx>
      <c:valAx>
        <c:axId val="450824008"/>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Calibri" panose="020F0502020204030204" pitchFamily="34" charset="0"/>
                <a:ea typeface="+mn-ea"/>
                <a:cs typeface="+mn-cs"/>
              </a:defRPr>
            </a:pPr>
            <a:endParaRPr lang="lv-LV"/>
          </a:p>
        </c:txPr>
        <c:crossAx val="4508216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Calibri" panose="020F0502020204030204" pitchFamily="34" charset="0"/>
              <a:ea typeface="+mn-ea"/>
              <a:cs typeface="+mn-cs"/>
            </a:defRPr>
          </a:pPr>
          <a:endParaRPr lang="lv-LV"/>
        </a:p>
      </c:txPr>
    </c:legend>
    <c:plotVisOnly val="1"/>
    <c:dispBlanksAs val="gap"/>
    <c:showDLblsOverMax val="0"/>
  </c:chart>
  <c:spPr>
    <a:solidFill>
      <a:schemeClr val="bg1"/>
    </a:solidFill>
    <a:ln w="9525" cap="flat" cmpd="sng" algn="ctr">
      <a:noFill/>
      <a:round/>
    </a:ln>
    <a:effectLst/>
  </c:spPr>
  <c:txPr>
    <a:bodyPr/>
    <a:lstStyle/>
    <a:p>
      <a:pPr>
        <a:defRPr sz="1100" baseline="0">
          <a:latin typeface="Times New Roman" panose="02020603050405020304" pitchFamily="18" charset="0"/>
        </a:defRPr>
      </a:pPr>
      <a:endParaRPr lang="lv-LV"/>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320" b="0" i="0" u="none" strike="noStrike" kern="1200" spc="0" baseline="0">
                <a:solidFill>
                  <a:schemeClr val="tx1">
                    <a:lumMod val="65000"/>
                    <a:lumOff val="35000"/>
                  </a:schemeClr>
                </a:solidFill>
                <a:latin typeface="Calibri" panose="020F0502020204030204" pitchFamily="34" charset="0"/>
                <a:ea typeface="+mn-ea"/>
                <a:cs typeface="+mn-cs"/>
              </a:defRPr>
            </a:pPr>
            <a:r>
              <a:rPr lang="en-US" sz="1320" b="0" baseline="0"/>
              <a:t>Darba samaksa administratīvajam un vispārējam personālam % no  izdevumiem darba samaksai 2019. gadā</a:t>
            </a:r>
          </a:p>
        </c:rich>
      </c:tx>
      <c:overlay val="0"/>
      <c:spPr>
        <a:noFill/>
        <a:ln>
          <a:noFill/>
        </a:ln>
        <a:effectLst/>
      </c:spPr>
      <c:txPr>
        <a:bodyPr rot="0" spcFirstLastPara="1" vertOverflow="ellipsis" vert="horz" wrap="square" anchor="ctr" anchorCtr="1"/>
        <a:lstStyle/>
        <a:p>
          <a:pPr>
            <a:defRPr sz="1320" b="0" i="0" u="none" strike="noStrike" kern="1200" spc="0" baseline="0">
              <a:solidFill>
                <a:schemeClr val="tx1">
                  <a:lumMod val="65000"/>
                  <a:lumOff val="35000"/>
                </a:schemeClr>
              </a:solidFill>
              <a:latin typeface="Calibri" panose="020F0502020204030204" pitchFamily="34" charset="0"/>
              <a:ea typeface="+mn-ea"/>
              <a:cs typeface="+mn-cs"/>
            </a:defRPr>
          </a:pPr>
          <a:endParaRPr lang="lv-LV"/>
        </a:p>
      </c:txPr>
    </c:title>
    <c:autoTitleDeleted val="0"/>
    <c:plotArea>
      <c:layout/>
      <c:barChart>
        <c:barDir val="col"/>
        <c:grouping val="clustered"/>
        <c:varyColors val="0"/>
        <c:ser>
          <c:idx val="0"/>
          <c:order val="0"/>
          <c:tx>
            <c:strRef>
              <c:f>'[Chart in Microsoft Word]Sheet2'!$B$20</c:f>
              <c:strCache>
                <c:ptCount val="1"/>
                <c:pt idx="0">
                  <c:v>t. sk. Administratīvais un vispārējais</c:v>
                </c:pt>
              </c:strCache>
            </c:strRef>
          </c:tx>
          <c:spPr>
            <a:solidFill>
              <a:srgbClr val="7A6098">
                <a:alpha val="89804"/>
              </a:srgbClr>
            </a:solidFill>
            <a:ln>
              <a:noFill/>
            </a:ln>
            <a:effectLst/>
          </c:spPr>
          <c:invertIfNegative val="0"/>
          <c:dPt>
            <c:idx val="6"/>
            <c:invertIfNegative val="0"/>
            <c:bubble3D val="0"/>
            <c:spPr>
              <a:solidFill>
                <a:schemeClr val="accent4">
                  <a:lumMod val="60000"/>
                  <a:lumOff val="40000"/>
                  <a:alpha val="90000"/>
                </a:schemeClr>
              </a:solidFill>
              <a:ln>
                <a:noFill/>
              </a:ln>
              <a:effectLst/>
            </c:spPr>
            <c:extLst>
              <c:ext xmlns:c16="http://schemas.microsoft.com/office/drawing/2014/chart" uri="{C3380CC4-5D6E-409C-BE32-E72D297353CC}">
                <c16:uniqueId val="{00000001-A727-4115-B21B-EC9CF229985C}"/>
              </c:ext>
            </c:extLst>
          </c:dPt>
          <c:dLbls>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Calibri" panose="020F0502020204030204" pitchFamily="34" charset="0"/>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'[Chart in Microsoft Word]Sheet2'!$A$21:$A$36</c:f>
              <c:strCache>
                <c:ptCount val="16"/>
                <c:pt idx="0">
                  <c:v>LKA</c:v>
                </c:pt>
                <c:pt idx="1">
                  <c:v>LLU</c:v>
                </c:pt>
                <c:pt idx="2">
                  <c:v>LU</c:v>
                </c:pt>
                <c:pt idx="3">
                  <c:v>RSU</c:v>
                </c:pt>
                <c:pt idx="4">
                  <c:v>LSPA</c:v>
                </c:pt>
                <c:pt idx="5">
                  <c:v>BA</c:v>
                </c:pt>
                <c:pt idx="6">
                  <c:v>DU</c:v>
                </c:pt>
                <c:pt idx="7">
                  <c:v>Vidēji</c:v>
                </c:pt>
                <c:pt idx="8">
                  <c:v>RTA</c:v>
                </c:pt>
                <c:pt idx="9">
                  <c:v>JVLMA</c:v>
                </c:pt>
                <c:pt idx="10">
                  <c:v>RTU</c:v>
                </c:pt>
                <c:pt idx="11">
                  <c:v>LJA</c:v>
                </c:pt>
                <c:pt idx="12">
                  <c:v>LMA</c:v>
                </c:pt>
                <c:pt idx="13">
                  <c:v>LiepU</c:v>
                </c:pt>
                <c:pt idx="14">
                  <c:v>ViA</c:v>
                </c:pt>
                <c:pt idx="15">
                  <c:v>VeA</c:v>
                </c:pt>
              </c:strCache>
            </c:strRef>
          </c:cat>
          <c:val>
            <c:numRef>
              <c:f>'[Chart in Microsoft Word]Sheet2'!$B$21:$B$36</c:f>
              <c:numCache>
                <c:formatCode>0%</c:formatCode>
                <c:ptCount val="16"/>
                <c:pt idx="0">
                  <c:v>0.5391343051759262</c:v>
                </c:pt>
                <c:pt idx="1">
                  <c:v>0.46253006144644132</c:v>
                </c:pt>
                <c:pt idx="2">
                  <c:v>0.45963976536090467</c:v>
                </c:pt>
                <c:pt idx="3">
                  <c:v>0.41941754520239372</c:v>
                </c:pt>
                <c:pt idx="4">
                  <c:v>0.41893433827474441</c:v>
                </c:pt>
                <c:pt idx="5">
                  <c:v>0.4167081359701667</c:v>
                </c:pt>
                <c:pt idx="6">
                  <c:v>0.41603403151520424</c:v>
                </c:pt>
                <c:pt idx="7">
                  <c:v>0.39</c:v>
                </c:pt>
                <c:pt idx="8">
                  <c:v>0.38801120113727738</c:v>
                </c:pt>
                <c:pt idx="9">
                  <c:v>0.38550019896481347</c:v>
                </c:pt>
                <c:pt idx="10">
                  <c:v>0.38211917450259542</c:v>
                </c:pt>
                <c:pt idx="11">
                  <c:v>0.35711613919890078</c:v>
                </c:pt>
                <c:pt idx="12">
                  <c:v>0.29641126832868103</c:v>
                </c:pt>
                <c:pt idx="13">
                  <c:v>0.29599106062240121</c:v>
                </c:pt>
                <c:pt idx="14">
                  <c:v>0.27972428412569472</c:v>
                </c:pt>
                <c:pt idx="15">
                  <c:v>0.2637668890308314</c:v>
                </c:pt>
              </c:numCache>
            </c:numRef>
          </c:val>
          <c:extLst>
            <c:ext xmlns:c16="http://schemas.microsoft.com/office/drawing/2014/chart" uri="{C3380CC4-5D6E-409C-BE32-E72D297353CC}">
              <c16:uniqueId val="{00000002-A727-4115-B21B-EC9CF229985C}"/>
            </c:ext>
          </c:extLst>
        </c:ser>
        <c:dLbls>
          <c:showLegendKey val="0"/>
          <c:showVal val="0"/>
          <c:showCatName val="0"/>
          <c:showSerName val="0"/>
          <c:showPercent val="0"/>
          <c:showBubbleSize val="0"/>
        </c:dLbls>
        <c:gapWidth val="35"/>
        <c:overlap val="-27"/>
        <c:axId val="2003139104"/>
        <c:axId val="2003135840"/>
      </c:barChart>
      <c:catAx>
        <c:axId val="20031391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1200" b="0" i="0" u="none" strike="noStrike" kern="1200" baseline="0">
                <a:solidFill>
                  <a:schemeClr val="tx1">
                    <a:lumMod val="65000"/>
                    <a:lumOff val="35000"/>
                  </a:schemeClr>
                </a:solidFill>
                <a:latin typeface="Calibri" panose="020F0502020204030204" pitchFamily="34" charset="0"/>
                <a:ea typeface="+mn-ea"/>
                <a:cs typeface="+mn-cs"/>
              </a:defRPr>
            </a:pPr>
            <a:endParaRPr lang="lv-LV"/>
          </a:p>
        </c:txPr>
        <c:crossAx val="2003135840"/>
        <c:crosses val="autoZero"/>
        <c:auto val="1"/>
        <c:lblAlgn val="ctr"/>
        <c:lblOffset val="100"/>
        <c:noMultiLvlLbl val="0"/>
      </c:catAx>
      <c:valAx>
        <c:axId val="2003135840"/>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Calibri" panose="020F0502020204030204" pitchFamily="34" charset="0"/>
                <a:ea typeface="+mn-ea"/>
                <a:cs typeface="+mn-cs"/>
              </a:defRPr>
            </a:pPr>
            <a:endParaRPr lang="lv-LV"/>
          </a:p>
        </c:txPr>
        <c:crossAx val="200313910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100" baseline="0">
          <a:latin typeface="Calibri" panose="020F0502020204030204" pitchFamily="34" charset="0"/>
        </a:defRPr>
      </a:pPr>
      <a:endParaRPr lang="lv-LV"/>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Calibri" panose="020F0502020204030204" pitchFamily="34" charset="0"/>
                <a:ea typeface="+mn-ea"/>
                <a:cs typeface="+mn-cs"/>
              </a:defRPr>
            </a:pPr>
            <a:r>
              <a:rPr lang="lv-LV" sz="1200" baseline="0">
                <a:latin typeface="Calibri" panose="020F0502020204030204" pitchFamily="34" charset="0"/>
              </a:rPr>
              <a:t>Ieņēmumi un izdevumi valsts </a:t>
            </a:r>
            <a:r>
              <a:rPr lang="en-US" sz="1200" baseline="0">
                <a:latin typeface="Calibri" panose="020F0502020204030204" pitchFamily="34" charset="0"/>
              </a:rPr>
              <a:t>koledžās</a:t>
            </a:r>
            <a:r>
              <a:rPr lang="lv-LV" sz="1200" baseline="0">
                <a:latin typeface="Calibri" panose="020F0502020204030204" pitchFamily="34" charset="0"/>
              </a:rPr>
              <a:t> </a:t>
            </a:r>
            <a:endParaRPr lang="en-US" sz="1200" baseline="0">
              <a:latin typeface="Calibri" panose="020F050202020403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Calibri" panose="020F0502020204030204" pitchFamily="34" charset="0"/>
              <a:ea typeface="+mn-ea"/>
              <a:cs typeface="+mn-cs"/>
            </a:defRPr>
          </a:pPr>
          <a:endParaRPr lang="lv-LV"/>
        </a:p>
      </c:txPr>
    </c:title>
    <c:autoTitleDeleted val="0"/>
    <c:plotArea>
      <c:layout/>
      <c:areaChart>
        <c:grouping val="standard"/>
        <c:varyColors val="0"/>
        <c:ser>
          <c:idx val="2"/>
          <c:order val="2"/>
          <c:tx>
            <c:strRef>
              <c:f>koledzu_izd!$A$20</c:f>
              <c:strCache>
                <c:ptCount val="1"/>
                <c:pt idx="0">
                  <c:v>Iekšzemes kopprodukts (milj. eiro)</c:v>
                </c:pt>
              </c:strCache>
            </c:strRef>
          </c:tx>
          <c:spPr>
            <a:solidFill>
              <a:sysClr val="window" lastClr="FFFFFF">
                <a:lumMod val="85000"/>
                <a:alpha val="65000"/>
              </a:sysClr>
            </a:solidFill>
            <a:ln>
              <a:solidFill>
                <a:sysClr val="window" lastClr="FFFFFF">
                  <a:lumMod val="85000"/>
                  <a:alpha val="70000"/>
                </a:sysClr>
              </a:solidFill>
            </a:ln>
            <a:effectLst/>
          </c:spPr>
          <c:cat>
            <c:numRef>
              <c:f>koledzu_izd!$B$17:$G$17</c:f>
              <c:numCache>
                <c:formatCode>General</c:formatCode>
                <c:ptCount val="6"/>
                <c:pt idx="0">
                  <c:v>2014</c:v>
                </c:pt>
                <c:pt idx="1">
                  <c:v>2015</c:v>
                </c:pt>
                <c:pt idx="2">
                  <c:v>2016</c:v>
                </c:pt>
                <c:pt idx="3">
                  <c:v>2017</c:v>
                </c:pt>
                <c:pt idx="4">
                  <c:v>2018</c:v>
                </c:pt>
                <c:pt idx="5">
                  <c:v>2019</c:v>
                </c:pt>
              </c:numCache>
            </c:numRef>
          </c:cat>
          <c:val>
            <c:numRef>
              <c:f>koledzu_izd!$B$20:$G$20</c:f>
              <c:numCache>
                <c:formatCode>0.0</c:formatCode>
                <c:ptCount val="6"/>
                <c:pt idx="0">
                  <c:v>23.654166</c:v>
                </c:pt>
                <c:pt idx="1">
                  <c:v>24.425958999999999</c:v>
                </c:pt>
                <c:pt idx="2">
                  <c:v>25.072638000000001</c:v>
                </c:pt>
                <c:pt idx="3">
                  <c:v>26.797833000000001</c:v>
                </c:pt>
                <c:pt idx="4">
                  <c:v>29.056049999999999</c:v>
                </c:pt>
                <c:pt idx="5">
                  <c:v>30.476087</c:v>
                </c:pt>
              </c:numCache>
            </c:numRef>
          </c:val>
          <c:extLst>
            <c:ext xmlns:c16="http://schemas.microsoft.com/office/drawing/2014/chart" uri="{C3380CC4-5D6E-409C-BE32-E72D297353CC}">
              <c16:uniqueId val="{00000029-5CC7-42AD-A6E3-7E4B065ACBAA}"/>
            </c:ext>
          </c:extLst>
        </c:ser>
        <c:dLbls>
          <c:showLegendKey val="0"/>
          <c:showVal val="0"/>
          <c:showCatName val="0"/>
          <c:showSerName val="0"/>
          <c:showPercent val="0"/>
          <c:showBubbleSize val="0"/>
        </c:dLbls>
        <c:axId val="450818912"/>
        <c:axId val="450826360"/>
      </c:areaChart>
      <c:lineChart>
        <c:grouping val="standard"/>
        <c:varyColors val="0"/>
        <c:ser>
          <c:idx val="0"/>
          <c:order val="0"/>
          <c:tx>
            <c:strRef>
              <c:f>koledzu_izd!$A$18</c:f>
              <c:strCache>
                <c:ptCount val="1"/>
                <c:pt idx="0">
                  <c:v>Valsts koledžu kopējie ieņēmumi (milj. eiro)</c:v>
                </c:pt>
              </c:strCache>
            </c:strRef>
          </c:tx>
          <c:spPr>
            <a:ln w="28575" cap="rnd">
              <a:solidFill>
                <a:srgbClr val="584470">
                  <a:alpha val="80000"/>
                </a:srgbClr>
              </a:solidFill>
              <a:round/>
            </a:ln>
            <a:effectLst/>
          </c:spPr>
          <c:marker>
            <c:symbol val="none"/>
          </c:marker>
          <c:dLbls>
            <c:dLbl>
              <c:idx val="0"/>
              <c:layout>
                <c:manualLayout>
                  <c:x val="-9.5117583564003058E-2"/>
                  <c:y val="9.101251422070492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CC7-42AD-A6E3-7E4B065ACBAA}"/>
                </c:ext>
              </c:extLst>
            </c:dLbl>
            <c:dLbl>
              <c:idx val="1"/>
              <c:delete val="1"/>
              <c:extLst>
                <c:ext xmlns:c15="http://schemas.microsoft.com/office/drawing/2012/chart" uri="{CE6537A1-D6FC-4f65-9D91-7224C49458BB}"/>
                <c:ext xmlns:c16="http://schemas.microsoft.com/office/drawing/2014/chart" uri="{C3380CC4-5D6E-409C-BE32-E72D297353CC}">
                  <c16:uniqueId val="{00000001-5CC7-42AD-A6E3-7E4B065ACBAA}"/>
                </c:ext>
              </c:extLst>
            </c:dLbl>
            <c:dLbl>
              <c:idx val="2"/>
              <c:layout>
                <c:manualLayout>
                  <c:x val="-5.1038703375806523E-2"/>
                  <c:y val="-6.370875995449377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CC7-42AD-A6E3-7E4B065ACBAA}"/>
                </c:ext>
              </c:extLst>
            </c:dLbl>
            <c:dLbl>
              <c:idx val="3"/>
              <c:layout>
                <c:manualLayout>
                  <c:x val="-3.9438998063123225E-2"/>
                  <c:y val="-6.825938566552901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CC7-42AD-A6E3-7E4B065ACBAA}"/>
                </c:ext>
              </c:extLst>
            </c:dLbl>
            <c:dLbl>
              <c:idx val="4"/>
              <c:layout>
                <c:manualLayout>
                  <c:x val="1.1599705312683129E-2"/>
                  <c:y val="-2.73037542662116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CC7-42AD-A6E3-7E4B065ACBAA}"/>
                </c:ext>
              </c:extLst>
            </c:dLbl>
            <c:dLbl>
              <c:idx val="5"/>
              <c:delete val="1"/>
              <c:extLst>
                <c:ext xmlns:c15="http://schemas.microsoft.com/office/drawing/2012/chart" uri="{CE6537A1-D6FC-4f65-9D91-7224C49458BB}"/>
                <c:ext xmlns:c16="http://schemas.microsoft.com/office/drawing/2014/chart" uri="{C3380CC4-5D6E-409C-BE32-E72D297353CC}">
                  <c16:uniqueId val="{00000005-5CC7-42AD-A6E3-7E4B065ACBAA}"/>
                </c:ext>
              </c:extLst>
            </c:dLbl>
            <c:dLbl>
              <c:idx val="6"/>
              <c:layout>
                <c:manualLayout>
                  <c:x val="-5.1038703375806523E-2"/>
                  <c:y val="-5.4607508532423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CC7-42AD-A6E3-7E4B065ACBAA}"/>
                </c:ext>
              </c:extLst>
            </c:dLbl>
            <c:dLbl>
              <c:idx val="7"/>
              <c:delete val="1"/>
              <c:extLst>
                <c:ext xmlns:c15="http://schemas.microsoft.com/office/drawing/2012/chart" uri="{CE6537A1-D6FC-4f65-9D91-7224C49458BB}"/>
                <c:ext xmlns:c16="http://schemas.microsoft.com/office/drawing/2014/chart" uri="{C3380CC4-5D6E-409C-BE32-E72D297353CC}">
                  <c16:uniqueId val="{00000007-5CC7-42AD-A6E3-7E4B065ACBAA}"/>
                </c:ext>
              </c:extLst>
            </c:dLbl>
            <c:dLbl>
              <c:idx val="8"/>
              <c:delete val="1"/>
              <c:extLst>
                <c:ext xmlns:c15="http://schemas.microsoft.com/office/drawing/2012/chart" uri="{CE6537A1-D6FC-4f65-9D91-7224C49458BB}"/>
                <c:ext xmlns:c16="http://schemas.microsoft.com/office/drawing/2014/chart" uri="{C3380CC4-5D6E-409C-BE32-E72D297353CC}">
                  <c16:uniqueId val="{00000008-5CC7-42AD-A6E3-7E4B065ACBAA}"/>
                </c:ext>
              </c:extLst>
            </c:dLbl>
            <c:dLbl>
              <c:idx val="9"/>
              <c:layout>
                <c:manualLayout>
                  <c:x val="-4.6398821250733205E-2"/>
                  <c:y val="-6.825938566552905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5CC7-42AD-A6E3-7E4B065ACBAA}"/>
                </c:ext>
              </c:extLst>
            </c:dLbl>
            <c:dLbl>
              <c:idx val="10"/>
              <c:layout>
                <c:manualLayout>
                  <c:x val="-4.175893912565988E-2"/>
                  <c:y val="-7.281001137656427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5CC7-42AD-A6E3-7E4B065ACBAA}"/>
                </c:ext>
              </c:extLst>
            </c:dLbl>
            <c:dLbl>
              <c:idx val="11"/>
              <c:delete val="1"/>
              <c:extLst>
                <c:ext xmlns:c15="http://schemas.microsoft.com/office/drawing/2012/chart" uri="{CE6537A1-D6FC-4f65-9D91-7224C49458BB}"/>
                <c:ext xmlns:c16="http://schemas.microsoft.com/office/drawing/2014/chart" uri="{C3380CC4-5D6E-409C-BE32-E72D297353CC}">
                  <c16:uniqueId val="{0000000B-5CC7-42AD-A6E3-7E4B065ACBAA}"/>
                </c:ext>
              </c:extLst>
            </c:dLbl>
            <c:dLbl>
              <c:idx val="12"/>
              <c:layout>
                <c:manualLayout>
                  <c:x val="-4.871876231326986E-2"/>
                  <c:y val="-5.4607508532423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5CC7-42AD-A6E3-7E4B065ACBAA}"/>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Calibri" panose="020F0502020204030204" pitchFamily="34" charset="0"/>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koledzu_izd!$B$17:$G$17</c:f>
              <c:numCache>
                <c:formatCode>General</c:formatCode>
                <c:ptCount val="6"/>
                <c:pt idx="0">
                  <c:v>2014</c:v>
                </c:pt>
                <c:pt idx="1">
                  <c:v>2015</c:v>
                </c:pt>
                <c:pt idx="2">
                  <c:v>2016</c:v>
                </c:pt>
                <c:pt idx="3">
                  <c:v>2017</c:v>
                </c:pt>
                <c:pt idx="4">
                  <c:v>2018</c:v>
                </c:pt>
                <c:pt idx="5">
                  <c:v>2019</c:v>
                </c:pt>
              </c:numCache>
            </c:numRef>
          </c:cat>
          <c:val>
            <c:numRef>
              <c:f>koledzu_izd!$B$18:$G$18</c:f>
              <c:numCache>
                <c:formatCode>0.0</c:formatCode>
                <c:ptCount val="6"/>
                <c:pt idx="0">
                  <c:v>21.398</c:v>
                </c:pt>
                <c:pt idx="1">
                  <c:v>21.237632000000001</c:v>
                </c:pt>
                <c:pt idx="2">
                  <c:v>21.99600985</c:v>
                </c:pt>
                <c:pt idx="3">
                  <c:v>24.030125200000001</c:v>
                </c:pt>
                <c:pt idx="4">
                  <c:v>29.755050000000001</c:v>
                </c:pt>
                <c:pt idx="5">
                  <c:v>28.282722</c:v>
                </c:pt>
              </c:numCache>
            </c:numRef>
          </c:val>
          <c:smooth val="0"/>
          <c:extLst>
            <c:ext xmlns:c16="http://schemas.microsoft.com/office/drawing/2014/chart" uri="{C3380CC4-5D6E-409C-BE32-E72D297353CC}">
              <c16:uniqueId val="{0000000D-5CC7-42AD-A6E3-7E4B065ACBAA}"/>
            </c:ext>
          </c:extLst>
        </c:ser>
        <c:ser>
          <c:idx val="1"/>
          <c:order val="1"/>
          <c:tx>
            <c:strRef>
              <c:f>koledzu_izd!$A$19</c:f>
              <c:strCache>
                <c:ptCount val="1"/>
                <c:pt idx="0">
                  <c:v>Valsts koledžu kopējie izdevumi (milj. eiro)</c:v>
                </c:pt>
              </c:strCache>
            </c:strRef>
          </c:tx>
          <c:spPr>
            <a:ln w="28575" cap="rnd">
              <a:solidFill>
                <a:srgbClr val="A27CBE">
                  <a:alpha val="75000"/>
                </a:srgbClr>
              </a:solidFill>
              <a:round/>
            </a:ln>
            <a:effectLst/>
          </c:spPr>
          <c:marker>
            <c:symbol val="none"/>
          </c:marker>
          <c:dLbls>
            <c:dLbl>
              <c:idx val="0"/>
              <c:layout>
                <c:manualLayout>
                  <c:x val="-9.2271545630592377E-3"/>
                  <c:y val="5.005688282138794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5CC7-42AD-A6E3-7E4B065ACBAA}"/>
                </c:ext>
              </c:extLst>
            </c:dLbl>
            <c:dLbl>
              <c:idx val="1"/>
              <c:delete val="1"/>
              <c:extLst>
                <c:ext xmlns:c15="http://schemas.microsoft.com/office/drawing/2012/chart" uri="{CE6537A1-D6FC-4f65-9D91-7224C49458BB}"/>
                <c:ext xmlns:c16="http://schemas.microsoft.com/office/drawing/2014/chart" uri="{C3380CC4-5D6E-409C-BE32-E72D297353CC}">
                  <c16:uniqueId val="{0000000F-5CC7-42AD-A6E3-7E4B065ACBAA}"/>
                </c:ext>
              </c:extLst>
            </c:dLbl>
            <c:dLbl>
              <c:idx val="2"/>
              <c:layout>
                <c:manualLayout>
                  <c:x val="-6.2402030441645537E-2"/>
                  <c:y val="6.825938566552892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5CC7-42AD-A6E3-7E4B065ACBAA}"/>
                </c:ext>
              </c:extLst>
            </c:dLbl>
            <c:dLbl>
              <c:idx val="3"/>
              <c:layout>
                <c:manualLayout>
                  <c:x val="-5.5520939112142155E-2"/>
                  <c:y val="5.46075085324231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5CC7-42AD-A6E3-7E4B065ACBAA}"/>
                </c:ext>
              </c:extLst>
            </c:dLbl>
            <c:dLbl>
              <c:idx val="4"/>
              <c:layout>
                <c:manualLayout>
                  <c:x val="-2.087946956282994E-2"/>
                  <c:y val="-5.460750853242320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5CC7-42AD-A6E3-7E4B065ACBAA}"/>
                </c:ext>
              </c:extLst>
            </c:dLbl>
            <c:dLbl>
              <c:idx val="5"/>
              <c:layout>
                <c:manualLayout>
                  <c:x val="-6.4958349751026476E-2"/>
                  <c:y val="5.653710247349823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7A9-4EC0-9F4F-FCCE90087F66}"/>
                </c:ext>
              </c:extLst>
            </c:dLbl>
            <c:dLbl>
              <c:idx val="6"/>
              <c:layout>
                <c:manualLayout>
                  <c:x val="-4.4078880188196543E-2"/>
                  <c:y val="7.28100113765641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5CC7-42AD-A6E3-7E4B065ACBAA}"/>
                </c:ext>
              </c:extLst>
            </c:dLbl>
            <c:dLbl>
              <c:idx val="7"/>
              <c:delete val="1"/>
              <c:extLst>
                <c:ext xmlns:c15="http://schemas.microsoft.com/office/drawing/2012/chart" uri="{CE6537A1-D6FC-4f65-9D91-7224C49458BB}"/>
                <c:ext xmlns:c16="http://schemas.microsoft.com/office/drawing/2014/chart" uri="{C3380CC4-5D6E-409C-BE32-E72D297353CC}">
                  <c16:uniqueId val="{00000015-5CC7-42AD-A6E3-7E4B065ACBAA}"/>
                </c:ext>
              </c:extLst>
            </c:dLbl>
            <c:dLbl>
              <c:idx val="8"/>
              <c:delete val="1"/>
              <c:extLst>
                <c:ext xmlns:c15="http://schemas.microsoft.com/office/drawing/2012/chart" uri="{CE6537A1-D6FC-4f65-9D91-7224C49458BB}"/>
                <c:ext xmlns:c16="http://schemas.microsoft.com/office/drawing/2014/chart" uri="{C3380CC4-5D6E-409C-BE32-E72D297353CC}">
                  <c16:uniqueId val="{00000016-5CC7-42AD-A6E3-7E4B065ACBAA}"/>
                </c:ext>
              </c:extLst>
            </c:dLbl>
            <c:dLbl>
              <c:idx val="9"/>
              <c:layout>
                <c:manualLayout>
                  <c:x val="-5.1038703375806439E-2"/>
                  <c:y val="9.101251422070526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5CC7-42AD-A6E3-7E4B065ACBAA}"/>
                </c:ext>
              </c:extLst>
            </c:dLbl>
            <c:dLbl>
              <c:idx val="10"/>
              <c:layout>
                <c:manualLayout>
                  <c:x val="-4.175893912565988E-2"/>
                  <c:y val="4.55062571103525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5CC7-42AD-A6E3-7E4B065ACBAA}"/>
                </c:ext>
              </c:extLst>
            </c:dLbl>
            <c:dLbl>
              <c:idx val="11"/>
              <c:delete val="1"/>
              <c:extLst>
                <c:ext xmlns:c15="http://schemas.microsoft.com/office/drawing/2012/chart" uri="{CE6537A1-D6FC-4f65-9D91-7224C49458BB}"/>
                <c:ext xmlns:c16="http://schemas.microsoft.com/office/drawing/2014/chart" uri="{C3380CC4-5D6E-409C-BE32-E72D297353CC}">
                  <c16:uniqueId val="{00000019-5CC7-42AD-A6E3-7E4B065ACBAA}"/>
                </c:ext>
              </c:extLst>
            </c:dLbl>
            <c:dLbl>
              <c:idx val="12"/>
              <c:layout>
                <c:manualLayout>
                  <c:x val="0"/>
                  <c:y val="5.00568828213879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A-5CC7-42AD-A6E3-7E4B065ACBAA}"/>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Calibri" panose="020F0502020204030204" pitchFamily="34" charset="0"/>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koledzu_izd!$B$17:$G$17</c:f>
              <c:numCache>
                <c:formatCode>General</c:formatCode>
                <c:ptCount val="6"/>
                <c:pt idx="0">
                  <c:v>2014</c:v>
                </c:pt>
                <c:pt idx="1">
                  <c:v>2015</c:v>
                </c:pt>
                <c:pt idx="2">
                  <c:v>2016</c:v>
                </c:pt>
                <c:pt idx="3">
                  <c:v>2017</c:v>
                </c:pt>
                <c:pt idx="4">
                  <c:v>2018</c:v>
                </c:pt>
                <c:pt idx="5">
                  <c:v>2019</c:v>
                </c:pt>
              </c:numCache>
            </c:numRef>
          </c:cat>
          <c:val>
            <c:numRef>
              <c:f>koledzu_izd!$B$19:$G$19</c:f>
              <c:numCache>
                <c:formatCode>0.0</c:formatCode>
                <c:ptCount val="6"/>
                <c:pt idx="0">
                  <c:v>20.727</c:v>
                </c:pt>
                <c:pt idx="1">
                  <c:v>20.955023000000001</c:v>
                </c:pt>
                <c:pt idx="2">
                  <c:v>16.778323</c:v>
                </c:pt>
                <c:pt idx="3">
                  <c:v>23.562950650000001</c:v>
                </c:pt>
                <c:pt idx="4">
                  <c:v>34.701504999999997</c:v>
                </c:pt>
                <c:pt idx="5">
                  <c:v>27.716229999999999</c:v>
                </c:pt>
              </c:numCache>
            </c:numRef>
          </c:val>
          <c:smooth val="0"/>
          <c:extLst>
            <c:ext xmlns:c16="http://schemas.microsoft.com/office/drawing/2014/chart" uri="{C3380CC4-5D6E-409C-BE32-E72D297353CC}">
              <c16:uniqueId val="{0000001B-5CC7-42AD-A6E3-7E4B065ACBAA}"/>
            </c:ext>
          </c:extLst>
        </c:ser>
        <c:dLbls>
          <c:showLegendKey val="0"/>
          <c:showVal val="0"/>
          <c:showCatName val="0"/>
          <c:showSerName val="0"/>
          <c:showPercent val="0"/>
          <c:showBubbleSize val="0"/>
        </c:dLbls>
        <c:marker val="1"/>
        <c:smooth val="0"/>
        <c:axId val="450824792"/>
        <c:axId val="450829104"/>
      </c:lineChart>
      <c:catAx>
        <c:axId val="450824792"/>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Calibri" panose="020F0502020204030204" pitchFamily="34" charset="0"/>
                <a:ea typeface="+mn-ea"/>
                <a:cs typeface="+mn-cs"/>
              </a:defRPr>
            </a:pPr>
            <a:endParaRPr lang="lv-LV"/>
          </a:p>
        </c:txPr>
        <c:crossAx val="450829104"/>
        <c:crosses val="autoZero"/>
        <c:auto val="1"/>
        <c:lblAlgn val="ctr"/>
        <c:lblOffset val="1"/>
        <c:noMultiLvlLbl val="0"/>
      </c:catAx>
      <c:valAx>
        <c:axId val="45082910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Calibri" panose="020F0502020204030204" pitchFamily="34" charset="0"/>
                <a:ea typeface="+mn-ea"/>
                <a:cs typeface="+mn-cs"/>
              </a:defRPr>
            </a:pPr>
            <a:endParaRPr lang="lv-LV"/>
          </a:p>
        </c:txPr>
        <c:crossAx val="450824792"/>
        <c:crosses val="autoZero"/>
        <c:crossBetween val="between"/>
      </c:valAx>
      <c:valAx>
        <c:axId val="450826360"/>
        <c:scaling>
          <c:orientation val="minMax"/>
        </c:scaling>
        <c:delete val="0"/>
        <c:axPos val="r"/>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Calibri" panose="020F0502020204030204" pitchFamily="34" charset="0"/>
                <a:ea typeface="+mn-ea"/>
                <a:cs typeface="+mn-cs"/>
              </a:defRPr>
            </a:pPr>
            <a:endParaRPr lang="lv-LV"/>
          </a:p>
        </c:txPr>
        <c:crossAx val="450818912"/>
        <c:crosses val="max"/>
        <c:crossBetween val="between"/>
      </c:valAx>
      <c:catAx>
        <c:axId val="450818912"/>
        <c:scaling>
          <c:orientation val="minMax"/>
        </c:scaling>
        <c:delete val="1"/>
        <c:axPos val="b"/>
        <c:numFmt formatCode="General" sourceLinked="1"/>
        <c:majorTickMark val="out"/>
        <c:minorTickMark val="none"/>
        <c:tickLblPos val="nextTo"/>
        <c:crossAx val="450826360"/>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Calibri" panose="020F0502020204030204" pitchFamily="34" charset="0"/>
              <a:ea typeface="+mn-ea"/>
              <a:cs typeface="+mn-cs"/>
            </a:defRPr>
          </a:pPr>
          <a:endParaRPr lang="lv-LV"/>
        </a:p>
      </c:txPr>
    </c:legend>
    <c:plotVisOnly val="1"/>
    <c:dispBlanksAs val="gap"/>
    <c:showDLblsOverMax val="0"/>
  </c:chart>
  <c:spPr>
    <a:solidFill>
      <a:schemeClr val="bg1"/>
    </a:solidFill>
    <a:ln w="9525" cap="flat" cmpd="sng" algn="ctr">
      <a:noFill/>
      <a:round/>
    </a:ln>
    <a:effectLst/>
  </c:spPr>
  <c:txPr>
    <a:bodyPr/>
    <a:lstStyle/>
    <a:p>
      <a:pPr>
        <a:defRPr sz="1100" baseline="0">
          <a:latin typeface="Times New Roman" panose="02020603050405020304" pitchFamily="18" charset="0"/>
        </a:defRPr>
      </a:pPr>
      <a:endParaRPr lang="lv-LV"/>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Calibri" panose="020F0502020204030204" pitchFamily="34" charset="0"/>
                <a:ea typeface="+mn-ea"/>
                <a:cs typeface="+mn-cs"/>
              </a:defRPr>
            </a:pPr>
            <a:r>
              <a:rPr lang="lv-LV" sz="1200" baseline="0">
                <a:latin typeface="Calibri" panose="020F0502020204030204" pitchFamily="34" charset="0"/>
              </a:rPr>
              <a:t>Ieņēmumi </a:t>
            </a:r>
            <a:r>
              <a:rPr lang="en-US" sz="1200" baseline="0">
                <a:latin typeface="Calibri" panose="020F0502020204030204" pitchFamily="34" charset="0"/>
              </a:rPr>
              <a:t>no studiju maksas </a:t>
            </a:r>
            <a:r>
              <a:rPr lang="lv-LV" sz="1200" baseline="0">
                <a:latin typeface="Calibri" panose="020F0502020204030204" pitchFamily="34" charset="0"/>
              </a:rPr>
              <a:t>valsts </a:t>
            </a:r>
            <a:r>
              <a:rPr lang="en-US" sz="1200" baseline="0">
                <a:latin typeface="Calibri" panose="020F0502020204030204" pitchFamily="34" charset="0"/>
              </a:rPr>
              <a:t>koledžās</a:t>
            </a:r>
            <a:r>
              <a:rPr lang="lv-LV" sz="1200" baseline="0">
                <a:latin typeface="Calibri" panose="020F0502020204030204" pitchFamily="34" charset="0"/>
              </a:rPr>
              <a:t> </a:t>
            </a:r>
            <a:endParaRPr lang="en-US" sz="1200" baseline="0">
              <a:latin typeface="Calibri" panose="020F050202020403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Calibri" panose="020F0502020204030204" pitchFamily="34" charset="0"/>
              <a:ea typeface="+mn-ea"/>
              <a:cs typeface="+mn-cs"/>
            </a:defRPr>
          </a:pPr>
          <a:endParaRPr lang="lv-LV"/>
        </a:p>
      </c:txPr>
    </c:title>
    <c:autoTitleDeleted val="0"/>
    <c:plotArea>
      <c:layout/>
      <c:lineChart>
        <c:grouping val="standard"/>
        <c:varyColors val="0"/>
        <c:ser>
          <c:idx val="0"/>
          <c:order val="0"/>
          <c:tx>
            <c:strRef>
              <c:f>koledzi_ienemumi!$A$3</c:f>
              <c:strCache>
                <c:ptCount val="1"/>
                <c:pt idx="0">
                  <c:v>Valsts koledžu ieņēmumi no studiju maksas</c:v>
                </c:pt>
              </c:strCache>
            </c:strRef>
          </c:tx>
          <c:spPr>
            <a:ln w="28575" cap="rnd">
              <a:solidFill>
                <a:schemeClr val="accent4">
                  <a:lumMod val="75000"/>
                  <a:alpha val="90000"/>
                </a:schemeClr>
              </a:solidFill>
              <a:round/>
            </a:ln>
            <a:effectLst/>
          </c:spPr>
          <c:marker>
            <c:symbol val="none"/>
          </c:marker>
          <c:dLbls>
            <c:dLbl>
              <c:idx val="0"/>
              <c:layout>
                <c:manualLayout>
                  <c:x val="-5.1690679857198545E-2"/>
                  <c:y val="5.4421768707482991E-2"/>
                </c:manualLayout>
              </c:layout>
              <c:tx>
                <c:rich>
                  <a:bodyPr/>
                  <a:lstStyle/>
                  <a:p>
                    <a:fld id="{CE46B3F7-DE6B-4F39-A508-203E73A9A472}" type="CELLRANGE">
                      <a:rPr lang="en-US"/>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0-5612-4AF3-8BC9-D0BB38DD0E19}"/>
                </c:ext>
              </c:extLst>
            </c:dLbl>
            <c:dLbl>
              <c:idx val="1"/>
              <c:delete val="1"/>
              <c:extLst>
                <c:ext xmlns:c15="http://schemas.microsoft.com/office/drawing/2012/chart" uri="{CE6537A1-D6FC-4f65-9D91-7224C49458BB}"/>
                <c:ext xmlns:c16="http://schemas.microsoft.com/office/drawing/2014/chart" uri="{C3380CC4-5D6E-409C-BE32-E72D297353CC}">
                  <c16:uniqueId val="{00000001-5612-4AF3-8BC9-D0BB38DD0E19}"/>
                </c:ext>
              </c:extLst>
            </c:dLbl>
            <c:dLbl>
              <c:idx val="2"/>
              <c:delete val="1"/>
              <c:extLst>
                <c:ext xmlns:c15="http://schemas.microsoft.com/office/drawing/2012/chart" uri="{CE6537A1-D6FC-4f65-9D91-7224C49458BB}"/>
                <c:ext xmlns:c16="http://schemas.microsoft.com/office/drawing/2014/chart" uri="{C3380CC4-5D6E-409C-BE32-E72D297353CC}">
                  <c16:uniqueId val="{00000002-5612-4AF3-8BC9-D0BB38DD0E19}"/>
                </c:ext>
              </c:extLst>
            </c:dLbl>
            <c:dLbl>
              <c:idx val="3"/>
              <c:layout>
                <c:manualLayout>
                  <c:x val="-7.6412309354119634E-2"/>
                  <c:y val="-4.9886621315192746E-2"/>
                </c:manualLayout>
              </c:layout>
              <c:tx>
                <c:rich>
                  <a:bodyPr/>
                  <a:lstStyle/>
                  <a:p>
                    <a:fld id="{5D0FD22E-7C9E-4B28-A4D9-BCC3B8898335}" type="CELLRANGE">
                      <a:rPr lang="en-US"/>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3-5612-4AF3-8BC9-D0BB38DD0E19}"/>
                </c:ext>
              </c:extLst>
            </c:dLbl>
            <c:dLbl>
              <c:idx val="4"/>
              <c:delete val="1"/>
              <c:extLst>
                <c:ext xmlns:c15="http://schemas.microsoft.com/office/drawing/2012/chart" uri="{CE6537A1-D6FC-4f65-9D91-7224C49458BB}"/>
                <c:ext xmlns:c16="http://schemas.microsoft.com/office/drawing/2014/chart" uri="{C3380CC4-5D6E-409C-BE32-E72D297353CC}">
                  <c16:uniqueId val="{00000004-5612-4AF3-8BC9-D0BB38DD0E19}"/>
                </c:ext>
              </c:extLst>
            </c:dLbl>
            <c:dLbl>
              <c:idx val="5"/>
              <c:layout>
                <c:manualLayout>
                  <c:x val="-8.3154571944188932E-2"/>
                  <c:y val="-4.5351473922902494E-2"/>
                </c:manualLayout>
              </c:layout>
              <c:tx>
                <c:rich>
                  <a:bodyPr/>
                  <a:lstStyle/>
                  <a:p>
                    <a:fld id="{F4271025-74F6-4902-95DB-8C07D62C404C}" type="CELLRANGE">
                      <a:rPr lang="en-US"/>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5-5612-4AF3-8BC9-D0BB38DD0E19}"/>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Calibri" panose="020F0502020204030204" pitchFamily="34" charset="0"/>
                    <a:ea typeface="+mn-ea"/>
                    <a:cs typeface="+mn-cs"/>
                  </a:defRPr>
                </a:pPr>
                <a:endParaRPr lang="lv-LV"/>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numRef>
              <c:f>koledzi_ienemumi!$B$2:$G$2</c:f>
              <c:numCache>
                <c:formatCode>General</c:formatCode>
                <c:ptCount val="6"/>
                <c:pt idx="0">
                  <c:v>2014</c:v>
                </c:pt>
                <c:pt idx="1">
                  <c:v>2015</c:v>
                </c:pt>
                <c:pt idx="2">
                  <c:v>2016</c:v>
                </c:pt>
                <c:pt idx="3">
                  <c:v>2017</c:v>
                </c:pt>
                <c:pt idx="4">
                  <c:v>2018</c:v>
                </c:pt>
                <c:pt idx="5">
                  <c:v>2019</c:v>
                </c:pt>
              </c:numCache>
            </c:numRef>
          </c:cat>
          <c:val>
            <c:numRef>
              <c:f>koledzi_ienemumi!$B$3:$G$3</c:f>
              <c:numCache>
                <c:formatCode>_-* #,##0_-;\-* #,##0_-;_-* "-"??_-;_-@_-</c:formatCode>
                <c:ptCount val="6"/>
                <c:pt idx="0">
                  <c:v>1210000</c:v>
                </c:pt>
                <c:pt idx="1">
                  <c:v>1204746</c:v>
                </c:pt>
                <c:pt idx="2">
                  <c:v>1218020.5900000001</c:v>
                </c:pt>
                <c:pt idx="3">
                  <c:v>1859901.55</c:v>
                </c:pt>
                <c:pt idx="4">
                  <c:v>1894187</c:v>
                </c:pt>
                <c:pt idx="5">
                  <c:v>1874571</c:v>
                </c:pt>
              </c:numCache>
            </c:numRef>
          </c:val>
          <c:smooth val="0"/>
          <c:extLst>
            <c:ext xmlns:c15="http://schemas.microsoft.com/office/drawing/2012/chart" uri="{02D57815-91ED-43cb-92C2-25804820EDAC}">
              <c15:datalabelsRange>
                <c15:f>koledzi_ienemumi!$B$3:$G$3</c15:f>
                <c15:dlblRangeCache>
                  <c:ptCount val="6"/>
                  <c:pt idx="0">
                    <c:v> 1 210 000 </c:v>
                  </c:pt>
                  <c:pt idx="1">
                    <c:v> 1 204 746 </c:v>
                  </c:pt>
                  <c:pt idx="2">
                    <c:v> 1 218 021 </c:v>
                  </c:pt>
                  <c:pt idx="3">
                    <c:v> 1 859 902 </c:v>
                  </c:pt>
                  <c:pt idx="4">
                    <c:v> 1 894 187 </c:v>
                  </c:pt>
                  <c:pt idx="5">
                    <c:v> 1 874 571 </c:v>
                  </c:pt>
                </c15:dlblRangeCache>
              </c15:datalabelsRange>
            </c:ext>
            <c:ext xmlns:c16="http://schemas.microsoft.com/office/drawing/2014/chart" uri="{C3380CC4-5D6E-409C-BE32-E72D297353CC}">
              <c16:uniqueId val="{00000006-5612-4AF3-8BC9-D0BB38DD0E19}"/>
            </c:ext>
          </c:extLst>
        </c:ser>
        <c:dLbls>
          <c:showLegendKey val="0"/>
          <c:showVal val="0"/>
          <c:showCatName val="0"/>
          <c:showSerName val="0"/>
          <c:showPercent val="0"/>
          <c:showBubbleSize val="0"/>
        </c:dLbls>
        <c:marker val="1"/>
        <c:smooth val="0"/>
        <c:axId val="278989792"/>
        <c:axId val="278986656"/>
      </c:lineChart>
      <c:lineChart>
        <c:grouping val="standard"/>
        <c:varyColors val="0"/>
        <c:ser>
          <c:idx val="1"/>
          <c:order val="1"/>
          <c:tx>
            <c:strRef>
              <c:f>koledzi_ienemumi!$A$4</c:f>
              <c:strCache>
                <c:ptCount val="1"/>
                <c:pt idx="0">
                  <c:v>Studējošo skaits valsts koledžās</c:v>
                </c:pt>
              </c:strCache>
            </c:strRef>
          </c:tx>
          <c:spPr>
            <a:ln w="28575" cap="rnd">
              <a:solidFill>
                <a:schemeClr val="bg1">
                  <a:lumMod val="50000"/>
                  <a:alpha val="65000"/>
                </a:schemeClr>
              </a:solidFill>
              <a:round/>
            </a:ln>
            <a:effectLst/>
          </c:spPr>
          <c:marker>
            <c:symbol val="none"/>
          </c:marker>
          <c:dLbls>
            <c:dLbl>
              <c:idx val="0"/>
              <c:layout>
                <c:manualLayout>
                  <c:x val="-4.9443258993842089E-2"/>
                  <c:y val="-4.988662131519276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612-4AF3-8BC9-D0BB38DD0E19}"/>
                </c:ext>
              </c:extLst>
            </c:dLbl>
            <c:dLbl>
              <c:idx val="1"/>
              <c:delete val="1"/>
              <c:extLst>
                <c:ext xmlns:c15="http://schemas.microsoft.com/office/drawing/2012/chart" uri="{CE6537A1-D6FC-4f65-9D91-7224C49458BB}"/>
                <c:ext xmlns:c16="http://schemas.microsoft.com/office/drawing/2014/chart" uri="{C3380CC4-5D6E-409C-BE32-E72D297353CC}">
                  <c16:uniqueId val="{00000008-5612-4AF3-8BC9-D0BB38DD0E19}"/>
                </c:ext>
              </c:extLst>
            </c:dLbl>
            <c:dLbl>
              <c:idx val="2"/>
              <c:delete val="1"/>
              <c:extLst>
                <c:ext xmlns:c15="http://schemas.microsoft.com/office/drawing/2012/chart" uri="{CE6537A1-D6FC-4f65-9D91-7224C49458BB}"/>
                <c:ext xmlns:c16="http://schemas.microsoft.com/office/drawing/2014/chart" uri="{C3380CC4-5D6E-409C-BE32-E72D297353CC}">
                  <c16:uniqueId val="{00000009-5612-4AF3-8BC9-D0BB38DD0E19}"/>
                </c:ext>
              </c:extLst>
            </c:dLbl>
            <c:dLbl>
              <c:idx val="3"/>
              <c:layout>
                <c:manualLayout>
                  <c:x val="-5.1690679857198524E-2"/>
                  <c:y val="8.616780045351474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5612-4AF3-8BC9-D0BB38DD0E19}"/>
                </c:ext>
              </c:extLst>
            </c:dLbl>
            <c:dLbl>
              <c:idx val="4"/>
              <c:delete val="1"/>
              <c:extLst>
                <c:ext xmlns:c15="http://schemas.microsoft.com/office/drawing/2012/chart" uri="{CE6537A1-D6FC-4f65-9D91-7224C49458BB}"/>
                <c:ext xmlns:c16="http://schemas.microsoft.com/office/drawing/2014/chart" uri="{C3380CC4-5D6E-409C-BE32-E72D297353CC}">
                  <c16:uniqueId val="{0000000B-5612-4AF3-8BC9-D0BB38DD0E19}"/>
                </c:ext>
              </c:extLst>
            </c:dLbl>
            <c:dLbl>
              <c:idx val="5"/>
              <c:layout>
                <c:manualLayout>
                  <c:x val="-5.169067985719869E-2"/>
                  <c:y val="6.349206349206340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5612-4AF3-8BC9-D0BB38DD0E19}"/>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Calibri" panose="020F0502020204030204" pitchFamily="34" charset="0"/>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koledzi_ienemumi!$B$2:$G$2</c:f>
              <c:numCache>
                <c:formatCode>General</c:formatCode>
                <c:ptCount val="6"/>
                <c:pt idx="0">
                  <c:v>2014</c:v>
                </c:pt>
                <c:pt idx="1">
                  <c:v>2015</c:v>
                </c:pt>
                <c:pt idx="2">
                  <c:v>2016</c:v>
                </c:pt>
                <c:pt idx="3">
                  <c:v>2017</c:v>
                </c:pt>
                <c:pt idx="4">
                  <c:v>2018</c:v>
                </c:pt>
                <c:pt idx="5">
                  <c:v>2019</c:v>
                </c:pt>
              </c:numCache>
            </c:numRef>
          </c:cat>
          <c:val>
            <c:numRef>
              <c:f>koledzi_ienemumi!$B$4:$G$4</c:f>
              <c:numCache>
                <c:formatCode>_-* #,##0_-;\-* #,##0_-;_-* "-"??_-;_-@_-</c:formatCode>
                <c:ptCount val="6"/>
                <c:pt idx="0">
                  <c:v>6733</c:v>
                </c:pt>
                <c:pt idx="1">
                  <c:v>6599</c:v>
                </c:pt>
                <c:pt idx="2">
                  <c:v>6569</c:v>
                </c:pt>
                <c:pt idx="3">
                  <c:v>6771</c:v>
                </c:pt>
                <c:pt idx="4">
                  <c:v>6481</c:v>
                </c:pt>
                <c:pt idx="5">
                  <c:v>6341</c:v>
                </c:pt>
              </c:numCache>
            </c:numRef>
          </c:val>
          <c:smooth val="0"/>
          <c:extLst>
            <c:ext xmlns:c16="http://schemas.microsoft.com/office/drawing/2014/chart" uri="{C3380CC4-5D6E-409C-BE32-E72D297353CC}">
              <c16:uniqueId val="{0000000D-5612-4AF3-8BC9-D0BB38DD0E19}"/>
            </c:ext>
          </c:extLst>
        </c:ser>
        <c:dLbls>
          <c:showLegendKey val="0"/>
          <c:showVal val="0"/>
          <c:showCatName val="0"/>
          <c:showSerName val="0"/>
          <c:showPercent val="0"/>
          <c:showBubbleSize val="0"/>
        </c:dLbls>
        <c:marker val="1"/>
        <c:smooth val="0"/>
        <c:axId val="586286440"/>
        <c:axId val="586288080"/>
      </c:lineChart>
      <c:catAx>
        <c:axId val="278989792"/>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Calibri" panose="020F0502020204030204" pitchFamily="34" charset="0"/>
                <a:ea typeface="+mn-ea"/>
                <a:cs typeface="+mn-cs"/>
              </a:defRPr>
            </a:pPr>
            <a:endParaRPr lang="lv-LV"/>
          </a:p>
        </c:txPr>
        <c:crossAx val="278986656"/>
        <c:crosses val="autoZero"/>
        <c:auto val="1"/>
        <c:lblAlgn val="ctr"/>
        <c:lblOffset val="1"/>
        <c:noMultiLvlLbl val="0"/>
      </c:catAx>
      <c:valAx>
        <c:axId val="278986656"/>
        <c:scaling>
          <c:orientation val="minMax"/>
        </c:scaling>
        <c:delete val="0"/>
        <c:axPos val="l"/>
        <c:majorGridlines>
          <c:spPr>
            <a:ln w="9525" cap="flat" cmpd="sng" algn="ctr">
              <a:solidFill>
                <a:schemeClr val="tx1">
                  <a:lumMod val="15000"/>
                  <a:lumOff val="85000"/>
                </a:schemeClr>
              </a:solidFill>
              <a:round/>
            </a:ln>
            <a:effectLst/>
          </c:spPr>
        </c:majorGridlines>
        <c:numFmt formatCode="_-* #,##0_-;\-*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Calibri" panose="020F0502020204030204" pitchFamily="34" charset="0"/>
                <a:ea typeface="+mn-ea"/>
                <a:cs typeface="+mn-cs"/>
              </a:defRPr>
            </a:pPr>
            <a:endParaRPr lang="lv-LV"/>
          </a:p>
        </c:txPr>
        <c:crossAx val="278989792"/>
        <c:crosses val="autoZero"/>
        <c:crossBetween val="between"/>
      </c:valAx>
      <c:valAx>
        <c:axId val="586288080"/>
        <c:scaling>
          <c:orientation val="minMax"/>
        </c:scaling>
        <c:delete val="0"/>
        <c:axPos val="r"/>
        <c:numFmt formatCode="_-* #,##0_-;\-* #,##0_-;_-* &quot;-&quot;??_-;_-@_-" sourceLinked="1"/>
        <c:majorTickMark val="out"/>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Calibri" panose="020F0502020204030204" pitchFamily="34" charset="0"/>
                <a:ea typeface="+mn-ea"/>
                <a:cs typeface="+mn-cs"/>
              </a:defRPr>
            </a:pPr>
            <a:endParaRPr lang="lv-LV"/>
          </a:p>
        </c:txPr>
        <c:crossAx val="586286440"/>
        <c:crosses val="max"/>
        <c:crossBetween val="between"/>
      </c:valAx>
      <c:catAx>
        <c:axId val="586286440"/>
        <c:scaling>
          <c:orientation val="minMax"/>
        </c:scaling>
        <c:delete val="1"/>
        <c:axPos val="b"/>
        <c:numFmt formatCode="General" sourceLinked="1"/>
        <c:majorTickMark val="out"/>
        <c:minorTickMark val="none"/>
        <c:tickLblPos val="nextTo"/>
        <c:crossAx val="586288080"/>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Calibri" panose="020F0502020204030204" pitchFamily="34" charset="0"/>
              <a:ea typeface="+mn-ea"/>
              <a:cs typeface="+mn-cs"/>
            </a:defRPr>
          </a:pPr>
          <a:endParaRPr lang="lv-LV"/>
        </a:p>
      </c:txPr>
    </c:legend>
    <c:plotVisOnly val="1"/>
    <c:dispBlanksAs val="gap"/>
    <c:showDLblsOverMax val="0"/>
  </c:chart>
  <c:spPr>
    <a:solidFill>
      <a:schemeClr val="bg1"/>
    </a:solidFill>
    <a:ln w="9525" cap="flat" cmpd="sng" algn="ctr">
      <a:noFill/>
      <a:round/>
    </a:ln>
    <a:effectLst/>
  </c:spPr>
  <c:txPr>
    <a:bodyPr/>
    <a:lstStyle/>
    <a:p>
      <a:pPr>
        <a:defRPr sz="1100" baseline="0">
          <a:latin typeface="Times New Roman" panose="02020603050405020304" pitchFamily="18" charset="0"/>
        </a:defRPr>
      </a:pPr>
      <a:endParaRPr lang="lv-LV"/>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320" b="0" i="0" u="none" strike="noStrike" kern="1200" spc="0" baseline="0">
                <a:solidFill>
                  <a:schemeClr val="tx1">
                    <a:lumMod val="65000"/>
                    <a:lumOff val="35000"/>
                  </a:schemeClr>
                </a:solidFill>
                <a:latin typeface="Calibri" panose="020F0502020204030204" pitchFamily="34" charset="0"/>
                <a:ea typeface="+mn-ea"/>
                <a:cs typeface="+mn-cs"/>
              </a:defRPr>
            </a:pPr>
            <a:r>
              <a:rPr lang="en-US" baseline="0">
                <a:latin typeface="Calibri" panose="020F0502020204030204" pitchFamily="34" charset="0"/>
              </a:rPr>
              <a:t>Koledžu </a:t>
            </a:r>
            <a:r>
              <a:rPr lang="lv-LV" baseline="0">
                <a:latin typeface="Calibri" panose="020F0502020204030204" pitchFamily="34" charset="0"/>
              </a:rPr>
              <a:t>i</a:t>
            </a:r>
            <a:r>
              <a:rPr lang="en-US" baseline="0">
                <a:latin typeface="Calibri" panose="020F0502020204030204" pitchFamily="34" charset="0"/>
              </a:rPr>
              <a:t>eņēmumu</a:t>
            </a:r>
            <a:r>
              <a:rPr lang="lv-LV" baseline="0">
                <a:latin typeface="Calibri" panose="020F0502020204030204" pitchFamily="34" charset="0"/>
              </a:rPr>
              <a:t> struktūr</a:t>
            </a:r>
            <a:r>
              <a:rPr lang="en-US" baseline="0">
                <a:latin typeface="Calibri" panose="020F0502020204030204" pitchFamily="34" charset="0"/>
              </a:rPr>
              <a:t>a 2019. gadā</a:t>
            </a:r>
            <a:endParaRPr lang="lv-LV" baseline="0">
              <a:latin typeface="Calibri" panose="020F0502020204030204" pitchFamily="34" charset="0"/>
            </a:endParaRPr>
          </a:p>
        </c:rich>
      </c:tx>
      <c:overlay val="0"/>
      <c:spPr>
        <a:noFill/>
        <a:ln>
          <a:noFill/>
        </a:ln>
        <a:effectLst/>
      </c:spPr>
      <c:txPr>
        <a:bodyPr rot="0" spcFirstLastPara="1" vertOverflow="ellipsis" vert="horz" wrap="square" anchor="ctr" anchorCtr="1"/>
        <a:lstStyle/>
        <a:p>
          <a:pPr>
            <a:defRPr sz="1320" b="0" i="0" u="none" strike="noStrike" kern="1200" spc="0" baseline="0">
              <a:solidFill>
                <a:schemeClr val="tx1">
                  <a:lumMod val="65000"/>
                  <a:lumOff val="35000"/>
                </a:schemeClr>
              </a:solidFill>
              <a:latin typeface="Calibri" panose="020F0502020204030204" pitchFamily="34" charset="0"/>
              <a:ea typeface="+mn-ea"/>
              <a:cs typeface="+mn-cs"/>
            </a:defRPr>
          </a:pPr>
          <a:endParaRPr lang="lv-LV"/>
        </a:p>
      </c:txPr>
    </c:title>
    <c:autoTitleDeleted val="0"/>
    <c:plotArea>
      <c:layout/>
      <c:barChart>
        <c:barDir val="col"/>
        <c:grouping val="percentStacked"/>
        <c:varyColors val="0"/>
        <c:ser>
          <c:idx val="0"/>
          <c:order val="0"/>
          <c:tx>
            <c:strRef>
              <c:f>koledzi_ienemumi!$B$72</c:f>
              <c:strCache>
                <c:ptCount val="1"/>
                <c:pt idx="0">
                  <c:v>Valsts budžeta dotācija studijām</c:v>
                </c:pt>
              </c:strCache>
            </c:strRef>
          </c:tx>
          <c:spPr>
            <a:solidFill>
              <a:srgbClr val="7A5E9C"/>
            </a:solidFill>
            <a:ln>
              <a:solidFill>
                <a:schemeClr val="accent4">
                  <a:lumMod val="60000"/>
                  <a:lumOff val="40000"/>
                </a:schemeClr>
              </a:solidFill>
            </a:ln>
            <a:effectLst/>
          </c:spPr>
          <c:invertIfNegative val="0"/>
          <c:dLbls>
            <c:dLbl>
              <c:idx val="1"/>
              <c:layout>
                <c:manualLayout>
                  <c:x val="0.13023136576299438"/>
                  <c:y val="-2.8915684595909E-2"/>
                </c:manualLayout>
              </c:layout>
              <c:spPr>
                <a:noFill/>
                <a:ln>
                  <a:noFill/>
                </a:ln>
                <a:effectLst/>
              </c:spPr>
              <c:txPr>
                <a:bodyPr rot="0" spcFirstLastPara="1" vertOverflow="ellipsis" vert="horz" wrap="square" lIns="38100" tIns="19050" rIns="38100" bIns="19050" anchor="ctr" anchorCtr="0">
                  <a:spAutoFit/>
                </a:bodyPr>
                <a:lstStyle/>
                <a:p>
                  <a:pPr algn="ctr">
                    <a:defRPr lang="en-US" sz="1000" b="0" i="0" u="none" strike="noStrike" kern="1200" baseline="0">
                      <a:solidFill>
                        <a:schemeClr val="tx1">
                          <a:lumMod val="75000"/>
                          <a:lumOff val="25000"/>
                        </a:schemeClr>
                      </a:solidFill>
                      <a:latin typeface="Calibri" panose="020F0502020204030204" pitchFamily="34" charset="0"/>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1FA-49C4-9CB2-47437FDB5ECD}"/>
                </c:ext>
              </c:extLst>
            </c:dLbl>
            <c:dLbl>
              <c:idx val="3"/>
              <c:layout>
                <c:manualLayout>
                  <c:x val="8.6281168053210511E-2"/>
                  <c:y val="-1.50943396226415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EDA-427F-A2E4-BBF6AAB1516B}"/>
                </c:ext>
              </c:extLst>
            </c:dLbl>
            <c:spPr>
              <a:noFill/>
              <a:ln>
                <a:noFill/>
              </a:ln>
              <a:effectLst/>
            </c:spPr>
            <c:txPr>
              <a:bodyPr rot="0" spcFirstLastPara="1" vertOverflow="ellipsis" horzOverflow="clip" vert="horz" wrap="square" lIns="36576" tIns="18288" rIns="36576" bIns="18288" anchor="ctr" anchorCtr="0">
                <a:spAutoFit/>
              </a:bodyPr>
              <a:lstStyle/>
              <a:p>
                <a:pPr algn="ctr">
                  <a:defRPr lang="en-US" sz="1000" b="0" i="0" u="none" strike="noStrike" kern="1200" baseline="0">
                    <a:solidFill>
                      <a:schemeClr val="tx1">
                        <a:lumMod val="75000"/>
                        <a:lumOff val="25000"/>
                      </a:schemeClr>
                    </a:solidFill>
                    <a:latin typeface="Calibri" panose="020F0502020204030204" pitchFamily="34" charset="0"/>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a:noFill/>
                  <a:ln>
                    <a:noFill/>
                  </a:ln>
                </c15:spPr>
                <c15:showLeaderLines val="1"/>
                <c15:leaderLines>
                  <c:spPr>
                    <a:ln w="9525" cap="flat" cmpd="sng" algn="ctr">
                      <a:solidFill>
                        <a:schemeClr val="tx1">
                          <a:lumMod val="35000"/>
                          <a:lumOff val="65000"/>
                        </a:schemeClr>
                      </a:solidFill>
                      <a:round/>
                    </a:ln>
                    <a:effectLst/>
                  </c:spPr>
                </c15:leaderLines>
              </c:ext>
            </c:extLst>
          </c:dLbls>
          <c:cat>
            <c:strRef>
              <c:f>koledzi_ienemumi!$A$73:$A$74</c:f>
              <c:strCache>
                <c:ptCount val="2"/>
                <c:pt idx="0">
                  <c:v>Valsts koledžas </c:v>
                </c:pt>
                <c:pt idx="1">
                  <c:v>Privātās koledžas</c:v>
                </c:pt>
              </c:strCache>
            </c:strRef>
          </c:cat>
          <c:val>
            <c:numRef>
              <c:f>koledzi_ienemumi!$B$73:$B$74</c:f>
              <c:numCache>
                <c:formatCode>0%</c:formatCode>
                <c:ptCount val="2"/>
                <c:pt idx="0">
                  <c:v>0.86052626793619325</c:v>
                </c:pt>
                <c:pt idx="1">
                  <c:v>2.2787412974440053E-2</c:v>
                </c:pt>
              </c:numCache>
            </c:numRef>
          </c:val>
          <c:extLst>
            <c:ext xmlns:c16="http://schemas.microsoft.com/office/drawing/2014/chart" uri="{C3380CC4-5D6E-409C-BE32-E72D297353CC}">
              <c16:uniqueId val="{00000002-5EDA-427F-A2E4-BBF6AAB1516B}"/>
            </c:ext>
          </c:extLst>
        </c:ser>
        <c:ser>
          <c:idx val="1"/>
          <c:order val="1"/>
          <c:tx>
            <c:strRef>
              <c:f>koledzi_ienemumi!$C$72</c:f>
              <c:strCache>
                <c:ptCount val="1"/>
                <c:pt idx="0">
                  <c:v>Studiju maksa</c:v>
                </c:pt>
              </c:strCache>
            </c:strRef>
          </c:tx>
          <c:spPr>
            <a:solidFill>
              <a:srgbClr val="B3A2C7"/>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Calibri" panose="020F0502020204030204" pitchFamily="34" charset="0"/>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koledzi_ienemumi!$A$73:$A$74</c:f>
              <c:strCache>
                <c:ptCount val="2"/>
                <c:pt idx="0">
                  <c:v>Valsts koledžas </c:v>
                </c:pt>
                <c:pt idx="1">
                  <c:v>Privātās koledžas</c:v>
                </c:pt>
              </c:strCache>
            </c:strRef>
          </c:cat>
          <c:val>
            <c:numRef>
              <c:f>koledzi_ienemumi!$C$73:$C$74</c:f>
              <c:numCache>
                <c:formatCode>0%</c:formatCode>
                <c:ptCount val="2"/>
                <c:pt idx="0" formatCode="0.0%">
                  <c:v>6.5000000000000002E-2</c:v>
                </c:pt>
                <c:pt idx="1">
                  <c:v>0.8413219438299151</c:v>
                </c:pt>
              </c:numCache>
            </c:numRef>
          </c:val>
          <c:extLst>
            <c:ext xmlns:c16="http://schemas.microsoft.com/office/drawing/2014/chart" uri="{C3380CC4-5D6E-409C-BE32-E72D297353CC}">
              <c16:uniqueId val="{0000000E-5EDA-427F-A2E4-BBF6AAB1516B}"/>
            </c:ext>
          </c:extLst>
        </c:ser>
        <c:ser>
          <c:idx val="2"/>
          <c:order val="2"/>
          <c:tx>
            <c:strRef>
              <c:f>koledzi_ienemumi!$D$72</c:f>
              <c:strCache>
                <c:ptCount val="1"/>
                <c:pt idx="0">
                  <c:v>Starptaut. finans. studijām</c:v>
                </c:pt>
              </c:strCache>
            </c:strRef>
          </c:tx>
          <c:spPr>
            <a:solidFill>
              <a:srgbClr val="E6E0EC"/>
            </a:solidFill>
            <a:ln>
              <a:noFill/>
            </a:ln>
            <a:effectLst/>
          </c:spPr>
          <c:invertIfNegative val="0"/>
          <c:dLbls>
            <c:dLbl>
              <c:idx val="0"/>
              <c:layout>
                <c:manualLayout>
                  <c:x val="0.12764541617454514"/>
                  <c:y val="1.942652618869809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C-5EDA-427F-A2E4-BBF6AAB1516B}"/>
                </c:ext>
              </c:extLst>
            </c:dLbl>
            <c:dLbl>
              <c:idx val="2"/>
              <c:layout>
                <c:manualLayout>
                  <c:x val="6.7180862629272461E-2"/>
                  <c:y val="7.16981132075471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B-5EDA-427F-A2E4-BBF6AAB1516B}"/>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Calibri" panose="020F0502020204030204" pitchFamily="34" charset="0"/>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koledzi_ienemumi!$A$73:$A$74</c:f>
              <c:strCache>
                <c:ptCount val="2"/>
                <c:pt idx="0">
                  <c:v>Valsts koledžas </c:v>
                </c:pt>
                <c:pt idx="1">
                  <c:v>Privātās koledžas</c:v>
                </c:pt>
              </c:strCache>
            </c:strRef>
          </c:cat>
          <c:val>
            <c:numRef>
              <c:f>koledzi_ienemumi!$D$73:$D$74</c:f>
              <c:numCache>
                <c:formatCode>0%</c:formatCode>
                <c:ptCount val="2"/>
                <c:pt idx="0">
                  <c:v>1.9504381164154195E-2</c:v>
                </c:pt>
                <c:pt idx="1">
                  <c:v>0</c:v>
                </c:pt>
              </c:numCache>
            </c:numRef>
          </c:val>
          <c:extLst>
            <c:ext xmlns:c16="http://schemas.microsoft.com/office/drawing/2014/chart" uri="{C3380CC4-5D6E-409C-BE32-E72D297353CC}">
              <c16:uniqueId val="{0000000F-5EDA-427F-A2E4-BBF6AAB1516B}"/>
            </c:ext>
          </c:extLst>
        </c:ser>
        <c:ser>
          <c:idx val="3"/>
          <c:order val="3"/>
          <c:tx>
            <c:strRef>
              <c:f>koledzi_ienemumi!$E$72</c:f>
              <c:strCache>
                <c:ptCount val="1"/>
                <c:pt idx="0">
                  <c:v>Citi ieņēmumi studijām</c:v>
                </c:pt>
              </c:strCache>
            </c:strRef>
          </c:tx>
          <c:spPr>
            <a:solidFill>
              <a:sysClr val="window" lastClr="FFFFFF">
                <a:lumMod val="50000"/>
              </a:sysClr>
            </a:solidFill>
            <a:ln>
              <a:noFill/>
            </a:ln>
            <a:effectLst/>
          </c:spPr>
          <c:invertIfNegative val="0"/>
          <c:dLbls>
            <c:dLbl>
              <c:idx val="0"/>
              <c:layout>
                <c:manualLayout>
                  <c:x val="0.12762747090760926"/>
                  <c:y val="-5.283015922166393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5EDA-427F-A2E4-BBF6AAB1516B}"/>
                </c:ext>
              </c:extLst>
            </c:dLbl>
            <c:dLbl>
              <c:idx val="1"/>
              <c:layout>
                <c:manualLayout>
                  <c:x val="0.13462209648327694"/>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5EDA-427F-A2E4-BBF6AAB1516B}"/>
                </c:ext>
              </c:extLst>
            </c:dLbl>
            <c:dLbl>
              <c:idx val="2"/>
              <c:layout>
                <c:manualLayout>
                  <c:x val="6.9497444099247463E-2"/>
                  <c:y val="-4.905660377358490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A-5EDA-427F-A2E4-BBF6AAB1516B}"/>
                </c:ext>
              </c:extLst>
            </c:dLbl>
            <c:dLbl>
              <c:idx val="3"/>
              <c:layout>
                <c:manualLayout>
                  <c:x val="2.3165814699749152E-3"/>
                  <c:y val="3.773584905660377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8CA-4910-A551-8E75B89B68A0}"/>
                </c:ext>
              </c:extLst>
            </c:dLbl>
            <c:spPr>
              <a:noFill/>
              <a:ln>
                <a:noFill/>
              </a:ln>
              <a:effectLst/>
            </c:spPr>
            <c:txPr>
              <a:bodyPr rot="0" spcFirstLastPara="1" vertOverflow="ellipsis" vert="horz" wrap="square" lIns="38100" tIns="19050" rIns="38100" bIns="19050" anchor="ctr" anchorCtr="0">
                <a:spAutoFit/>
              </a:bodyPr>
              <a:lstStyle/>
              <a:p>
                <a:pPr algn="ctr">
                  <a:defRPr lang="en-US" sz="1000" b="0" i="0" u="none" strike="noStrike" kern="1200" baseline="0">
                    <a:solidFill>
                      <a:schemeClr val="tx1">
                        <a:lumMod val="75000"/>
                        <a:lumOff val="25000"/>
                      </a:schemeClr>
                    </a:solidFill>
                    <a:latin typeface="Calibri" panose="020F0502020204030204" pitchFamily="34" charset="0"/>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koledzi_ienemumi!$A$73:$A$74</c:f>
              <c:strCache>
                <c:ptCount val="2"/>
                <c:pt idx="0">
                  <c:v>Valsts koledžas </c:v>
                </c:pt>
                <c:pt idx="1">
                  <c:v>Privātās koledžas</c:v>
                </c:pt>
              </c:strCache>
            </c:strRef>
          </c:cat>
          <c:val>
            <c:numRef>
              <c:f>koledzi_ienemumi!$E$73:$E$74</c:f>
              <c:numCache>
                <c:formatCode>0%</c:formatCode>
                <c:ptCount val="2"/>
                <c:pt idx="0" formatCode="0.0%">
                  <c:v>1.4999999999999999E-2</c:v>
                </c:pt>
                <c:pt idx="1">
                  <c:v>5.1252087467763476E-2</c:v>
                </c:pt>
              </c:numCache>
            </c:numRef>
          </c:val>
          <c:extLst>
            <c:ext xmlns:c16="http://schemas.microsoft.com/office/drawing/2014/chart" uri="{C3380CC4-5D6E-409C-BE32-E72D297353CC}">
              <c16:uniqueId val="{00000010-5EDA-427F-A2E4-BBF6AAB1516B}"/>
            </c:ext>
          </c:extLst>
        </c:ser>
        <c:ser>
          <c:idx val="4"/>
          <c:order val="4"/>
          <c:tx>
            <c:strRef>
              <c:f>koledzi_ienemumi!$F$72</c:f>
              <c:strCache>
                <c:ptCount val="1"/>
                <c:pt idx="0">
                  <c:v>Citi ieņēmumi (t. sk. ieņēmumi zinātniskajai darbībai)</c:v>
                </c:pt>
              </c:strCache>
            </c:strRef>
          </c:tx>
          <c:spPr>
            <a:solidFill>
              <a:sysClr val="window" lastClr="FFFFFF">
                <a:lumMod val="75000"/>
              </a:sysClr>
            </a:solidFill>
            <a:ln>
              <a:noFill/>
            </a:ln>
            <a:effectLst/>
          </c:spPr>
          <c:invertIfNegative val="0"/>
          <c:dLbls>
            <c:dLbl>
              <c:idx val="0"/>
              <c:layout>
                <c:manualLayout>
                  <c:x val="4.6331629399498303E-3"/>
                  <c:y val="-7.547169811320772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5EDA-427F-A2E4-BBF6AAB1516B}"/>
                </c:ext>
              </c:extLst>
            </c:dLbl>
            <c:dLbl>
              <c:idx val="2"/>
              <c:layout>
                <c:manualLayout>
                  <c:x val="2.3165814699748302E-3"/>
                  <c:y val="-7.547169811320772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D-5EDA-427F-A2E4-BBF6AAB1516B}"/>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Calibri" panose="020F0502020204030204" pitchFamily="34" charset="0"/>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koledzi_ienemumi!$A$73:$A$74</c:f>
              <c:strCache>
                <c:ptCount val="2"/>
                <c:pt idx="0">
                  <c:v>Valsts koledžas </c:v>
                </c:pt>
                <c:pt idx="1">
                  <c:v>Privātās koledžas</c:v>
                </c:pt>
              </c:strCache>
            </c:strRef>
          </c:cat>
          <c:val>
            <c:numRef>
              <c:f>koledzi_ienemumi!$F$73:$F$74</c:f>
              <c:numCache>
                <c:formatCode>0%</c:formatCode>
                <c:ptCount val="2"/>
                <c:pt idx="0">
                  <c:v>3.7885072768365918E-2</c:v>
                </c:pt>
                <c:pt idx="1">
                  <c:v>0.09</c:v>
                </c:pt>
              </c:numCache>
            </c:numRef>
          </c:val>
          <c:extLst>
            <c:ext xmlns:c16="http://schemas.microsoft.com/office/drawing/2014/chart" uri="{C3380CC4-5D6E-409C-BE32-E72D297353CC}">
              <c16:uniqueId val="{00000011-5EDA-427F-A2E4-BBF6AAB1516B}"/>
            </c:ext>
          </c:extLst>
        </c:ser>
        <c:dLbls>
          <c:showLegendKey val="0"/>
          <c:showVal val="0"/>
          <c:showCatName val="0"/>
          <c:showSerName val="0"/>
          <c:showPercent val="0"/>
          <c:showBubbleSize val="0"/>
        </c:dLbls>
        <c:gapWidth val="50"/>
        <c:overlap val="100"/>
        <c:axId val="450819304"/>
        <c:axId val="450820088"/>
      </c:barChart>
      <c:catAx>
        <c:axId val="45081930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Calibri" panose="020F0502020204030204" pitchFamily="34" charset="0"/>
                <a:ea typeface="+mn-ea"/>
                <a:cs typeface="+mn-cs"/>
              </a:defRPr>
            </a:pPr>
            <a:endParaRPr lang="lv-LV"/>
          </a:p>
        </c:txPr>
        <c:crossAx val="450820088"/>
        <c:crosses val="autoZero"/>
        <c:auto val="1"/>
        <c:lblAlgn val="ctr"/>
        <c:lblOffset val="1"/>
        <c:noMultiLvlLbl val="0"/>
      </c:catAx>
      <c:valAx>
        <c:axId val="45082008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Calibri" panose="020F0502020204030204" pitchFamily="34" charset="0"/>
                <a:ea typeface="+mn-ea"/>
                <a:cs typeface="+mn-cs"/>
              </a:defRPr>
            </a:pPr>
            <a:endParaRPr lang="lv-LV"/>
          </a:p>
        </c:txPr>
        <c:crossAx val="450819304"/>
        <c:crosses val="autoZero"/>
        <c:crossBetween val="between"/>
      </c:valAx>
      <c:spPr>
        <a:noFill/>
        <a:ln>
          <a:noFill/>
        </a:ln>
        <a:effectLst/>
      </c:spPr>
    </c:plotArea>
    <c:legend>
      <c:legendPos val="r"/>
      <c:layout>
        <c:manualLayout>
          <c:xMode val="edge"/>
          <c:yMode val="edge"/>
          <c:x val="0.6553719079125998"/>
          <c:y val="0.1181419543100919"/>
          <c:w val="0.33010903582605711"/>
          <c:h val="0.86323318346535993"/>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Calibri" panose="020F0502020204030204" pitchFamily="34" charset="0"/>
              <a:ea typeface="+mn-ea"/>
              <a:cs typeface="+mn-cs"/>
            </a:defRPr>
          </a:pPr>
          <a:endParaRPr lang="lv-LV"/>
        </a:p>
      </c:txPr>
    </c:legend>
    <c:plotVisOnly val="1"/>
    <c:dispBlanksAs val="gap"/>
    <c:showDLblsOverMax val="0"/>
  </c:chart>
  <c:spPr>
    <a:solidFill>
      <a:schemeClr val="bg1"/>
    </a:solidFill>
    <a:ln w="9525" cap="flat" cmpd="sng" algn="ctr">
      <a:noFill/>
      <a:round/>
    </a:ln>
    <a:effectLst/>
  </c:spPr>
  <c:txPr>
    <a:bodyPr/>
    <a:lstStyle/>
    <a:p>
      <a:pPr>
        <a:defRPr sz="1100" baseline="0">
          <a:latin typeface="Times New Roman" panose="02020603050405020304" pitchFamily="18" charset="0"/>
        </a:defRPr>
      </a:pPr>
      <a:endParaRPr lang="lv-LV"/>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320" b="0" i="0" u="none" strike="noStrike" kern="1200" spc="0" baseline="0">
                <a:solidFill>
                  <a:schemeClr val="tx1">
                    <a:lumMod val="65000"/>
                    <a:lumOff val="35000"/>
                  </a:schemeClr>
                </a:solidFill>
                <a:latin typeface="Calibri" panose="020F0502020204030204" pitchFamily="34" charset="0"/>
                <a:ea typeface="+mn-ea"/>
                <a:cs typeface="+mn-cs"/>
              </a:defRPr>
            </a:pPr>
            <a:r>
              <a:rPr lang="en-US"/>
              <a:t>K</a:t>
            </a:r>
            <a:r>
              <a:rPr lang="lv-LV"/>
              <a:t>oledžu izdevumu struktūr</a:t>
            </a:r>
            <a:r>
              <a:rPr lang="en-US"/>
              <a:t>a</a:t>
            </a:r>
            <a:r>
              <a:rPr lang="en-US" baseline="0"/>
              <a:t> 2019. gadā</a:t>
            </a:r>
            <a:endParaRPr lang="lv-LV"/>
          </a:p>
        </c:rich>
      </c:tx>
      <c:overlay val="0"/>
      <c:spPr>
        <a:noFill/>
        <a:ln>
          <a:noFill/>
        </a:ln>
        <a:effectLst/>
      </c:spPr>
      <c:txPr>
        <a:bodyPr rot="0" spcFirstLastPara="1" vertOverflow="ellipsis" vert="horz" wrap="square" anchor="ctr" anchorCtr="1"/>
        <a:lstStyle/>
        <a:p>
          <a:pPr>
            <a:defRPr sz="1320" b="0" i="0" u="none" strike="noStrike" kern="1200" spc="0" baseline="0">
              <a:solidFill>
                <a:schemeClr val="tx1">
                  <a:lumMod val="65000"/>
                  <a:lumOff val="35000"/>
                </a:schemeClr>
              </a:solidFill>
              <a:latin typeface="Calibri" panose="020F0502020204030204" pitchFamily="34" charset="0"/>
              <a:ea typeface="+mn-ea"/>
              <a:cs typeface="+mn-cs"/>
            </a:defRPr>
          </a:pPr>
          <a:endParaRPr lang="lv-LV"/>
        </a:p>
      </c:txPr>
    </c:title>
    <c:autoTitleDeleted val="0"/>
    <c:plotArea>
      <c:layout/>
      <c:barChart>
        <c:barDir val="col"/>
        <c:grouping val="percentStacked"/>
        <c:varyColors val="0"/>
        <c:ser>
          <c:idx val="0"/>
          <c:order val="0"/>
          <c:tx>
            <c:strRef>
              <c:f>koledzu_izd!$B$7</c:f>
              <c:strCache>
                <c:ptCount val="1"/>
                <c:pt idx="0">
                  <c:v>Darba samaksa akad. pers.</c:v>
                </c:pt>
              </c:strCache>
            </c:strRef>
          </c:tx>
          <c:spPr>
            <a:solidFill>
              <a:srgbClr val="8166A2"/>
            </a:solidFill>
            <a:ln>
              <a:solidFill>
                <a:schemeClr val="accent4">
                  <a:lumMod val="60000"/>
                  <a:lumOff val="40000"/>
                </a:schemeClr>
              </a:solidFill>
            </a:ln>
            <a:effectLst/>
          </c:spPr>
          <c:invertIfNegative val="0"/>
          <c:dLbls>
            <c:dLbl>
              <c:idx val="0"/>
              <c:layout>
                <c:manualLayout>
                  <c:x val="6.9264062968123052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A15-416A-BFA7-E60AF1380512}"/>
                </c:ext>
              </c:extLst>
            </c:dLbl>
            <c:dLbl>
              <c:idx val="1"/>
              <c:layout>
                <c:manualLayout>
                  <c:x val="-2.7769253591550728E-3"/>
                  <c:y val="4.481911287284878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ED1-4E50-8F5F-5AAF7BF2031E}"/>
                </c:ext>
              </c:extLst>
            </c:dLbl>
            <c:spPr>
              <a:noFill/>
              <a:ln>
                <a:noFill/>
              </a:ln>
              <a:effectLst/>
            </c:spPr>
            <c:txPr>
              <a:bodyPr rot="0" spcFirstLastPara="1" vertOverflow="clip" horzOverflow="clip" vert="horz" wrap="square" lIns="38100" tIns="19050" rIns="38100" bIns="19050" anchor="ctr" anchorCtr="1">
                <a:spAutoFit/>
              </a:bodyPr>
              <a:lstStyle/>
              <a:p>
                <a:pPr>
                  <a:defRPr sz="1100" b="0" i="0" u="none" strike="noStrike" kern="1200" baseline="0">
                    <a:solidFill>
                      <a:schemeClr val="dk1">
                        <a:lumMod val="65000"/>
                        <a:lumOff val="35000"/>
                      </a:schemeClr>
                    </a:solidFill>
                    <a:latin typeface="Calibri" panose="020F0502020204030204" pitchFamily="34" charset="0"/>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a:noFill/>
                  <a:ln>
                    <a:noFill/>
                  </a:ln>
                </c15:spPr>
                <c15:showLeaderLines val="1"/>
                <c15:leaderLines>
                  <c:spPr>
                    <a:ln w="9525" cap="flat" cmpd="sng" algn="ctr">
                      <a:solidFill>
                        <a:schemeClr val="tx1">
                          <a:lumMod val="35000"/>
                          <a:lumOff val="65000"/>
                        </a:schemeClr>
                      </a:solidFill>
                      <a:round/>
                    </a:ln>
                    <a:effectLst/>
                  </c:spPr>
                </c15:leaderLines>
              </c:ext>
            </c:extLst>
          </c:dLbls>
          <c:cat>
            <c:strRef>
              <c:f>koledzu_izd!$A$8:$A$9</c:f>
              <c:strCache>
                <c:ptCount val="2"/>
                <c:pt idx="0">
                  <c:v>Valsts koledžas </c:v>
                </c:pt>
                <c:pt idx="1">
                  <c:v>Privātās koledžas</c:v>
                </c:pt>
              </c:strCache>
            </c:strRef>
          </c:cat>
          <c:val>
            <c:numRef>
              <c:f>koledzu_izd!$B$8:$B$9</c:f>
              <c:numCache>
                <c:formatCode>0%</c:formatCode>
                <c:ptCount val="2"/>
                <c:pt idx="0">
                  <c:v>0.24712049592663737</c:v>
                </c:pt>
                <c:pt idx="1">
                  <c:v>0.13258473007232771</c:v>
                </c:pt>
              </c:numCache>
            </c:numRef>
          </c:val>
          <c:extLst>
            <c:ext xmlns:c16="http://schemas.microsoft.com/office/drawing/2014/chart" uri="{C3380CC4-5D6E-409C-BE32-E72D297353CC}">
              <c16:uniqueId val="{00000001-1ED1-4E50-8F5F-5AAF7BF2031E}"/>
            </c:ext>
          </c:extLst>
        </c:ser>
        <c:ser>
          <c:idx val="1"/>
          <c:order val="1"/>
          <c:tx>
            <c:strRef>
              <c:f>koledzu_izd!$C$7</c:f>
              <c:strCache>
                <c:ptCount val="1"/>
                <c:pt idx="0">
                  <c:v>Darba samaksa admin. pers.</c:v>
                </c:pt>
              </c:strCache>
            </c:strRef>
          </c:tx>
          <c:spPr>
            <a:solidFill>
              <a:schemeClr val="accent4">
                <a:lumMod val="60000"/>
                <a:lumOff val="40000"/>
              </a:schemeClr>
            </a:solidFill>
            <a:ln>
              <a:noFill/>
            </a:ln>
            <a:effectLst/>
          </c:spPr>
          <c:invertIfNegative val="0"/>
          <c:dLbls>
            <c:dLbl>
              <c:idx val="0"/>
              <c:layout>
                <c:manualLayout>
                  <c:x val="1.154401049468721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A15-416A-BFA7-E60AF1380512}"/>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Calibri" panose="020F0502020204030204" pitchFamily="34" charset="0"/>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koledzu_izd!$A$8:$A$9</c:f>
              <c:strCache>
                <c:ptCount val="2"/>
                <c:pt idx="0">
                  <c:v>Valsts koledžas </c:v>
                </c:pt>
                <c:pt idx="1">
                  <c:v>Privātās koledžas</c:v>
                </c:pt>
              </c:strCache>
            </c:strRef>
          </c:cat>
          <c:val>
            <c:numRef>
              <c:f>koledzu_izd!$C$8:$C$9</c:f>
              <c:numCache>
                <c:formatCode>0%</c:formatCode>
                <c:ptCount val="2"/>
                <c:pt idx="0">
                  <c:v>7.0913051385399981E-2</c:v>
                </c:pt>
                <c:pt idx="1">
                  <c:v>0.10706061794248831</c:v>
                </c:pt>
              </c:numCache>
            </c:numRef>
          </c:val>
          <c:extLst>
            <c:ext xmlns:c16="http://schemas.microsoft.com/office/drawing/2014/chart" uri="{C3380CC4-5D6E-409C-BE32-E72D297353CC}">
              <c16:uniqueId val="{00000002-1ED1-4E50-8F5F-5AAF7BF2031E}"/>
            </c:ext>
          </c:extLst>
        </c:ser>
        <c:ser>
          <c:idx val="2"/>
          <c:order val="2"/>
          <c:tx>
            <c:strRef>
              <c:f>koledzu_izd!$D$7</c:f>
              <c:strCache>
                <c:ptCount val="1"/>
                <c:pt idx="0">
                  <c:v>Darba samaksa vispār. pers.</c:v>
                </c:pt>
              </c:strCache>
            </c:strRef>
          </c:tx>
          <c:spPr>
            <a:solidFill>
              <a:schemeClr val="accent4">
                <a:lumMod val="20000"/>
                <a:lumOff val="80000"/>
              </a:schemeClr>
            </a:solidFill>
            <a:ln>
              <a:noFill/>
            </a:ln>
            <a:effectLst/>
          </c:spPr>
          <c:invertIfNegative val="0"/>
          <c:dLbls>
            <c:dLbl>
              <c:idx val="0"/>
              <c:layout>
                <c:manualLayout>
                  <c:x val="9.235208395749768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A15-416A-BFA7-E60AF1380512}"/>
                </c:ext>
              </c:extLst>
            </c:dLbl>
            <c:dLbl>
              <c:idx val="1"/>
              <c:layout>
                <c:manualLayout>
                  <c:x val="-2.0394931060026527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CA15-416A-BFA7-E60AF1380512}"/>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Calibri" panose="020F0502020204030204" pitchFamily="34" charset="0"/>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koledzu_izd!$A$8:$A$9</c:f>
              <c:strCache>
                <c:ptCount val="2"/>
                <c:pt idx="0">
                  <c:v>Valsts koledžas </c:v>
                </c:pt>
                <c:pt idx="1">
                  <c:v>Privātās koledžas</c:v>
                </c:pt>
              </c:strCache>
            </c:strRef>
          </c:cat>
          <c:val>
            <c:numRef>
              <c:f>koledzu_izd!$D$8:$D$9</c:f>
              <c:numCache>
                <c:formatCode>0%</c:formatCode>
                <c:ptCount val="2"/>
                <c:pt idx="0">
                  <c:v>0.28214796344826565</c:v>
                </c:pt>
                <c:pt idx="1">
                  <c:v>5.739650032352648E-2</c:v>
                </c:pt>
              </c:numCache>
            </c:numRef>
          </c:val>
          <c:extLst>
            <c:ext xmlns:c16="http://schemas.microsoft.com/office/drawing/2014/chart" uri="{C3380CC4-5D6E-409C-BE32-E72D297353CC}">
              <c16:uniqueId val="{00000003-1ED1-4E50-8F5F-5AAF7BF2031E}"/>
            </c:ext>
          </c:extLst>
        </c:ser>
        <c:ser>
          <c:idx val="3"/>
          <c:order val="3"/>
          <c:tx>
            <c:strRef>
              <c:f>koledzu_izd!$E$7</c:f>
              <c:strCache>
                <c:ptCount val="1"/>
                <c:pt idx="0">
                  <c:v>Sociālās apdrošināšanas iemaksas</c:v>
                </c:pt>
              </c:strCache>
            </c:strRef>
          </c:tx>
          <c:spPr>
            <a:solidFill>
              <a:schemeClr val="bg1">
                <a:lumMod val="8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Calibri" panose="020F0502020204030204" pitchFamily="34" charset="0"/>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koledzu_izd!$A$8:$A$9</c:f>
              <c:strCache>
                <c:ptCount val="2"/>
                <c:pt idx="0">
                  <c:v>Valsts koledžas </c:v>
                </c:pt>
                <c:pt idx="1">
                  <c:v>Privātās koledžas</c:v>
                </c:pt>
              </c:strCache>
            </c:strRef>
          </c:cat>
          <c:val>
            <c:numRef>
              <c:f>koledzu_izd!$E$8:$E$9</c:f>
              <c:numCache>
                <c:formatCode>0%</c:formatCode>
                <c:ptCount val="2"/>
                <c:pt idx="0">
                  <c:v>0.17924526496868518</c:v>
                </c:pt>
                <c:pt idx="1">
                  <c:v>6.0161725729246759E-2</c:v>
                </c:pt>
              </c:numCache>
            </c:numRef>
          </c:val>
          <c:extLst>
            <c:ext xmlns:c16="http://schemas.microsoft.com/office/drawing/2014/chart" uri="{C3380CC4-5D6E-409C-BE32-E72D297353CC}">
              <c16:uniqueId val="{00000004-1ED1-4E50-8F5F-5AAF7BF2031E}"/>
            </c:ext>
          </c:extLst>
        </c:ser>
        <c:ser>
          <c:idx val="4"/>
          <c:order val="4"/>
          <c:tx>
            <c:strRef>
              <c:f>koledzu_izd!$F$7</c:f>
              <c:strCache>
                <c:ptCount val="1"/>
                <c:pt idx="0">
                  <c:v>Preces un pakalpojumi</c:v>
                </c:pt>
              </c:strCache>
            </c:strRef>
          </c:tx>
          <c:spPr>
            <a:solidFill>
              <a:srgbClr val="B0B0B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Calibri" panose="020F0502020204030204" pitchFamily="34" charset="0"/>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koledzu_izd!$A$8:$A$9</c:f>
              <c:strCache>
                <c:ptCount val="2"/>
                <c:pt idx="0">
                  <c:v>Valsts koledžas </c:v>
                </c:pt>
                <c:pt idx="1">
                  <c:v>Privātās koledžas</c:v>
                </c:pt>
              </c:strCache>
            </c:strRef>
          </c:cat>
          <c:val>
            <c:numRef>
              <c:f>koledzu_izd!$F$8:$F$9</c:f>
              <c:numCache>
                <c:formatCode>0.0%</c:formatCode>
                <c:ptCount val="2"/>
                <c:pt idx="0" formatCode="0%">
                  <c:v>0.13640096668976603</c:v>
                </c:pt>
                <c:pt idx="1">
                  <c:v>0.35455227694418484</c:v>
                </c:pt>
              </c:numCache>
            </c:numRef>
          </c:val>
          <c:extLst>
            <c:ext xmlns:c16="http://schemas.microsoft.com/office/drawing/2014/chart" uri="{C3380CC4-5D6E-409C-BE32-E72D297353CC}">
              <c16:uniqueId val="{00000005-1ED1-4E50-8F5F-5AAF7BF2031E}"/>
            </c:ext>
          </c:extLst>
        </c:ser>
        <c:ser>
          <c:idx val="5"/>
          <c:order val="5"/>
          <c:tx>
            <c:strRef>
              <c:f>koledzu_izd!$G$7</c:f>
              <c:strCache>
                <c:ptCount val="1"/>
                <c:pt idx="0">
                  <c:v>Pamatkapitāla veidošana</c:v>
                </c:pt>
              </c:strCache>
            </c:strRef>
          </c:tx>
          <c:spPr>
            <a:solidFill>
              <a:schemeClr val="tx2">
                <a:lumMod val="20000"/>
                <a:lumOff val="80000"/>
              </a:schemeClr>
            </a:solidFill>
            <a:ln>
              <a:noFill/>
            </a:ln>
            <a:effectLst/>
          </c:spPr>
          <c:invertIfNegative val="0"/>
          <c:dPt>
            <c:idx val="0"/>
            <c:invertIfNegative val="0"/>
            <c:bubble3D val="0"/>
            <c:spPr>
              <a:solidFill>
                <a:schemeClr val="tx2">
                  <a:lumMod val="20000"/>
                  <a:lumOff val="80000"/>
                </a:schemeClr>
              </a:solidFill>
              <a:ln>
                <a:noFill/>
              </a:ln>
              <a:effectLst/>
            </c:spPr>
            <c:extLst>
              <c:ext xmlns:c16="http://schemas.microsoft.com/office/drawing/2014/chart" uri="{C3380CC4-5D6E-409C-BE32-E72D297353CC}">
                <c16:uniqueId val="{00000007-1ED1-4E50-8F5F-5AAF7BF2031E}"/>
              </c:ext>
            </c:extLst>
          </c:dPt>
          <c:dLbls>
            <c:dLbl>
              <c:idx val="0"/>
              <c:layout>
                <c:manualLayout>
                  <c:x val="-4.2327549509055891E-17"/>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ED1-4E50-8F5F-5AAF7BF2031E}"/>
                </c:ext>
              </c:extLst>
            </c:dLbl>
            <c:dLbl>
              <c:idx val="1"/>
              <c:layout>
                <c:manualLayout>
                  <c:x val="0"/>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74F-4A94-A35A-1BDB67CCF54F}"/>
                </c:ext>
              </c:extLst>
            </c:dLbl>
            <c:dLbl>
              <c:idx val="3"/>
              <c:delete val="1"/>
              <c:extLst>
                <c:ext xmlns:c15="http://schemas.microsoft.com/office/drawing/2012/chart" uri="{CE6537A1-D6FC-4f65-9D91-7224C49458BB}"/>
                <c:ext xmlns:c16="http://schemas.microsoft.com/office/drawing/2014/chart" uri="{C3380CC4-5D6E-409C-BE32-E72D297353CC}">
                  <c16:uniqueId val="{00000004-CA15-416A-BFA7-E60AF1380512}"/>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Calibri" panose="020F0502020204030204" pitchFamily="34" charset="0"/>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koledzu_izd!$A$8:$A$9</c:f>
              <c:strCache>
                <c:ptCount val="2"/>
                <c:pt idx="0">
                  <c:v>Valsts koledžas </c:v>
                </c:pt>
                <c:pt idx="1">
                  <c:v>Privātās koledžas</c:v>
                </c:pt>
              </c:strCache>
            </c:strRef>
          </c:cat>
          <c:val>
            <c:numRef>
              <c:f>koledzu_izd!$G$8:$G$9</c:f>
              <c:numCache>
                <c:formatCode>0.0%</c:formatCode>
                <c:ptCount val="2"/>
                <c:pt idx="0" formatCode="0%">
                  <c:v>3.3265599121553836E-2</c:v>
                </c:pt>
                <c:pt idx="1">
                  <c:v>0.22464713619000701</c:v>
                </c:pt>
              </c:numCache>
            </c:numRef>
          </c:val>
          <c:extLst>
            <c:ext xmlns:c16="http://schemas.microsoft.com/office/drawing/2014/chart" uri="{C3380CC4-5D6E-409C-BE32-E72D297353CC}">
              <c16:uniqueId val="{00000009-1ED1-4E50-8F5F-5AAF7BF2031E}"/>
            </c:ext>
          </c:extLst>
        </c:ser>
        <c:ser>
          <c:idx val="6"/>
          <c:order val="6"/>
          <c:tx>
            <c:strRef>
              <c:f>koledzu_izd!$H$7</c:f>
              <c:strCache>
                <c:ptCount val="1"/>
                <c:pt idx="0">
                  <c:v>Stipendijas (sociālie pabalsti)</c:v>
                </c:pt>
              </c:strCache>
            </c:strRef>
          </c:tx>
          <c:spPr>
            <a:solidFill>
              <a:schemeClr val="tx2">
                <a:lumMod val="60000"/>
                <a:lumOff val="40000"/>
              </a:schemeClr>
            </a:solidFill>
            <a:ln>
              <a:noFill/>
            </a:ln>
            <a:effectLst/>
          </c:spPr>
          <c:invertIfNegative val="0"/>
          <c:dLbls>
            <c:dLbl>
              <c:idx val="1"/>
              <c:delete val="1"/>
              <c:extLst>
                <c:ext xmlns:c15="http://schemas.microsoft.com/office/drawing/2012/chart" uri="{CE6537A1-D6FC-4f65-9D91-7224C49458BB}"/>
                <c:ext xmlns:c16="http://schemas.microsoft.com/office/drawing/2014/chart" uri="{C3380CC4-5D6E-409C-BE32-E72D297353CC}">
                  <c16:uniqueId val="{00000003-B74F-4A94-A35A-1BDB67CCF54F}"/>
                </c:ext>
              </c:extLst>
            </c:dLbl>
            <c:dLbl>
              <c:idx val="3"/>
              <c:layout>
                <c:manualLayout>
                  <c:x val="8.0808073462810465E-2"/>
                  <c:y val="5.138086062941530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A15-416A-BFA7-E60AF1380512}"/>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Calibri" panose="020F0502020204030204" pitchFamily="34" charset="0"/>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koledzu_izd!$A$8:$A$9</c:f>
              <c:strCache>
                <c:ptCount val="2"/>
                <c:pt idx="0">
                  <c:v>Valsts koledžas </c:v>
                </c:pt>
                <c:pt idx="1">
                  <c:v>Privātās koledžas</c:v>
                </c:pt>
              </c:strCache>
            </c:strRef>
          </c:cat>
          <c:val>
            <c:numRef>
              <c:f>koledzu_izd!$H$8:$H$9</c:f>
              <c:numCache>
                <c:formatCode>0%</c:formatCode>
                <c:ptCount val="2"/>
                <c:pt idx="0">
                  <c:v>4.1602434942404946E-2</c:v>
                </c:pt>
                <c:pt idx="1">
                  <c:v>7.5368671126478486E-4</c:v>
                </c:pt>
              </c:numCache>
            </c:numRef>
          </c:val>
          <c:extLst>
            <c:ext xmlns:c16="http://schemas.microsoft.com/office/drawing/2014/chart" uri="{C3380CC4-5D6E-409C-BE32-E72D297353CC}">
              <c16:uniqueId val="{0000000B-1ED1-4E50-8F5F-5AAF7BF2031E}"/>
            </c:ext>
          </c:extLst>
        </c:ser>
        <c:ser>
          <c:idx val="7"/>
          <c:order val="7"/>
          <c:tx>
            <c:strRef>
              <c:f>koledzu_izd!$I$7</c:f>
              <c:strCache>
                <c:ptCount val="1"/>
                <c:pt idx="0">
                  <c:v>Citi izdevumi</c:v>
                </c:pt>
              </c:strCache>
            </c:strRef>
          </c:tx>
          <c:spPr>
            <a:solidFill>
              <a:schemeClr val="accent1">
                <a:lumMod val="75000"/>
              </a:schemeClr>
            </a:solidFill>
            <a:ln>
              <a:noFill/>
            </a:ln>
            <a:effectLst/>
          </c:spPr>
          <c:invertIfNegative val="0"/>
          <c:dLbls>
            <c:dLbl>
              <c:idx val="0"/>
              <c:layout>
                <c:manualLayout>
                  <c:x val="0.13079116471602575"/>
                  <c:y val="-9.286392055115732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A15-416A-BFA7-E60AF1380512}"/>
                </c:ext>
              </c:extLst>
            </c:dLbl>
            <c:dLbl>
              <c:idx val="1"/>
              <c:layout>
                <c:manualLayout>
                  <c:x val="0"/>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1ED1-4E50-8F5F-5AAF7BF2031E}"/>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Calibri" panose="020F0502020204030204" pitchFamily="34" charset="0"/>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koledzu_izd!$A$8:$A$9</c:f>
              <c:strCache>
                <c:ptCount val="2"/>
                <c:pt idx="0">
                  <c:v>Valsts koledžas </c:v>
                </c:pt>
                <c:pt idx="1">
                  <c:v>Privātās koledžas</c:v>
                </c:pt>
              </c:strCache>
            </c:strRef>
          </c:cat>
          <c:val>
            <c:numRef>
              <c:f>koledzu_izd!$I$8:$I$9</c:f>
              <c:numCache>
                <c:formatCode>0%</c:formatCode>
                <c:ptCount val="2"/>
                <c:pt idx="0">
                  <c:v>9.3042235172869983E-3</c:v>
                </c:pt>
                <c:pt idx="1">
                  <c:v>6.3067202580736254E-2</c:v>
                </c:pt>
              </c:numCache>
            </c:numRef>
          </c:val>
          <c:extLst>
            <c:ext xmlns:c16="http://schemas.microsoft.com/office/drawing/2014/chart" uri="{C3380CC4-5D6E-409C-BE32-E72D297353CC}">
              <c16:uniqueId val="{0000000D-1ED1-4E50-8F5F-5AAF7BF2031E}"/>
            </c:ext>
          </c:extLst>
        </c:ser>
        <c:dLbls>
          <c:showLegendKey val="0"/>
          <c:showVal val="0"/>
          <c:showCatName val="0"/>
          <c:showSerName val="0"/>
          <c:showPercent val="0"/>
          <c:showBubbleSize val="0"/>
        </c:dLbls>
        <c:gapWidth val="50"/>
        <c:overlap val="100"/>
        <c:axId val="450822440"/>
        <c:axId val="450822832"/>
      </c:barChart>
      <c:catAx>
        <c:axId val="450822440"/>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Calibri" panose="020F0502020204030204" pitchFamily="34" charset="0"/>
                <a:ea typeface="+mn-ea"/>
                <a:cs typeface="+mn-cs"/>
              </a:defRPr>
            </a:pPr>
            <a:endParaRPr lang="lv-LV"/>
          </a:p>
        </c:txPr>
        <c:crossAx val="450822832"/>
        <c:crosses val="autoZero"/>
        <c:auto val="1"/>
        <c:lblAlgn val="ctr"/>
        <c:lblOffset val="1"/>
        <c:noMultiLvlLbl val="0"/>
      </c:catAx>
      <c:valAx>
        <c:axId val="4508228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Calibri" panose="020F0502020204030204" pitchFamily="34" charset="0"/>
                <a:ea typeface="+mn-ea"/>
                <a:cs typeface="+mn-cs"/>
              </a:defRPr>
            </a:pPr>
            <a:endParaRPr lang="lv-LV"/>
          </a:p>
        </c:txPr>
        <c:crossAx val="45082244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Calibri" panose="020F0502020204030204" pitchFamily="34" charset="0"/>
              <a:ea typeface="+mn-ea"/>
              <a:cs typeface="+mn-cs"/>
            </a:defRPr>
          </a:pPr>
          <a:endParaRPr lang="lv-LV"/>
        </a:p>
      </c:txPr>
    </c:legend>
    <c:plotVisOnly val="1"/>
    <c:dispBlanksAs val="gap"/>
    <c:showDLblsOverMax val="0"/>
  </c:chart>
  <c:spPr>
    <a:solidFill>
      <a:schemeClr val="bg1"/>
    </a:solidFill>
    <a:ln w="9525" cap="flat" cmpd="sng" algn="ctr">
      <a:noFill/>
      <a:round/>
    </a:ln>
    <a:effectLst/>
  </c:spPr>
  <c:txPr>
    <a:bodyPr/>
    <a:lstStyle/>
    <a:p>
      <a:pPr>
        <a:defRPr sz="1100" baseline="0">
          <a:latin typeface="Calibri" panose="020F0502020204030204" pitchFamily="34" charset="0"/>
        </a:defRPr>
      </a:pPr>
      <a:endParaRPr lang="lv-LV"/>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Calibri" panose="020F0502020204030204" pitchFamily="34" charset="0"/>
                <a:ea typeface="+mn-ea"/>
                <a:cs typeface="+mn-cs"/>
              </a:defRPr>
            </a:pPr>
            <a:r>
              <a:rPr lang="en-US" sz="1400" baseline="0">
                <a:latin typeface="Calibri" panose="020F0502020204030204" pitchFamily="34" charset="0"/>
              </a:rPr>
              <a:t>Augstākās izglītības</a:t>
            </a:r>
          </a:p>
          <a:p>
            <a:pPr>
              <a:defRPr>
                <a:latin typeface="Calibri" panose="020F0502020204030204" pitchFamily="34" charset="0"/>
              </a:defRPr>
            </a:pPr>
            <a:r>
              <a:rPr lang="en-US" sz="1400" baseline="0">
                <a:latin typeface="Calibri" panose="020F0502020204030204" pitchFamily="34" charset="0"/>
              </a:rPr>
              <a:t> izdevumi</a:t>
            </a:r>
            <a:endParaRPr lang="lv-LV" sz="1400" baseline="0">
              <a:latin typeface="Calibri" panose="020F0502020204030204" pitchFamily="34" charset="0"/>
            </a:endParaRPr>
          </a:p>
        </c:rich>
      </c:tx>
      <c:layout>
        <c:manualLayout>
          <c:xMode val="edge"/>
          <c:yMode val="edge"/>
          <c:x val="0.28790342575256272"/>
          <c:y val="0.37187186828919111"/>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Calibri" panose="020F0502020204030204" pitchFamily="34" charset="0"/>
              <a:ea typeface="+mn-ea"/>
              <a:cs typeface="+mn-cs"/>
            </a:defRPr>
          </a:pPr>
          <a:endParaRPr lang="lv-LV"/>
        </a:p>
      </c:txPr>
    </c:title>
    <c:autoTitleDeleted val="0"/>
    <c:plotArea>
      <c:layout>
        <c:manualLayout>
          <c:layoutTarget val="inner"/>
          <c:xMode val="edge"/>
          <c:yMode val="edge"/>
          <c:x val="0.23666709413766276"/>
          <c:y val="5.9205440229062274E-2"/>
          <c:w val="0.3544519394359093"/>
          <c:h val="0.82436928338503146"/>
        </c:manualLayout>
      </c:layout>
      <c:doughnutChart>
        <c:varyColors val="1"/>
        <c:ser>
          <c:idx val="0"/>
          <c:order val="0"/>
          <c:dPt>
            <c:idx val="0"/>
            <c:bubble3D val="0"/>
            <c:spPr>
              <a:solidFill>
                <a:srgbClr val="573F65"/>
              </a:solidFill>
              <a:ln w="19050">
                <a:solidFill>
                  <a:schemeClr val="lt1"/>
                </a:solidFill>
              </a:ln>
              <a:effectLst/>
            </c:spPr>
            <c:extLst>
              <c:ext xmlns:c16="http://schemas.microsoft.com/office/drawing/2014/chart" uri="{C3380CC4-5D6E-409C-BE32-E72D297353CC}">
                <c16:uniqueId val="{00000001-EF9E-4C97-8386-0032624C9D06}"/>
              </c:ext>
            </c:extLst>
          </c:dPt>
          <c:dPt>
            <c:idx val="1"/>
            <c:bubble3D val="0"/>
            <c:spPr>
              <a:solidFill>
                <a:srgbClr val="7A5E9C"/>
              </a:solidFill>
              <a:ln w="19050">
                <a:solidFill>
                  <a:schemeClr val="lt1"/>
                </a:solidFill>
              </a:ln>
              <a:effectLst/>
            </c:spPr>
            <c:extLst>
              <c:ext xmlns:c16="http://schemas.microsoft.com/office/drawing/2014/chart" uri="{C3380CC4-5D6E-409C-BE32-E72D297353CC}">
                <c16:uniqueId val="{00000003-EF9E-4C97-8386-0032624C9D06}"/>
              </c:ext>
            </c:extLst>
          </c:dPt>
          <c:dPt>
            <c:idx val="2"/>
            <c:bubble3D val="0"/>
            <c:spPr>
              <a:solidFill>
                <a:srgbClr val="4472C4">
                  <a:lumMod val="60000"/>
                  <a:lumOff val="40000"/>
                </a:srgbClr>
              </a:solidFill>
              <a:ln w="19050">
                <a:solidFill>
                  <a:schemeClr val="lt1"/>
                </a:solidFill>
              </a:ln>
              <a:effectLst/>
            </c:spPr>
            <c:extLst>
              <c:ext xmlns:c16="http://schemas.microsoft.com/office/drawing/2014/chart" uri="{C3380CC4-5D6E-409C-BE32-E72D297353CC}">
                <c16:uniqueId val="{00000005-EF9E-4C97-8386-0032624C9D06}"/>
              </c:ext>
            </c:extLst>
          </c:dPt>
          <c:dPt>
            <c:idx val="3"/>
            <c:bubble3D val="0"/>
            <c:spPr>
              <a:solidFill>
                <a:sysClr val="window" lastClr="FFFFFF">
                  <a:lumMod val="85000"/>
                </a:sysClr>
              </a:solidFill>
              <a:ln w="19050">
                <a:solidFill>
                  <a:schemeClr val="lt1"/>
                </a:solidFill>
              </a:ln>
              <a:effectLst/>
            </c:spPr>
            <c:extLst>
              <c:ext xmlns:c16="http://schemas.microsoft.com/office/drawing/2014/chart" uri="{C3380CC4-5D6E-409C-BE32-E72D297353CC}">
                <c16:uniqueId val="{00000007-EF9E-4C97-8386-0032624C9D06}"/>
              </c:ext>
            </c:extLst>
          </c:dPt>
          <c:dPt>
            <c:idx val="4"/>
            <c:bubble3D val="0"/>
            <c:spPr>
              <a:solidFill>
                <a:sysClr val="window" lastClr="FFFFFF">
                  <a:lumMod val="50000"/>
                </a:sysClr>
              </a:solidFill>
              <a:ln w="19050">
                <a:solidFill>
                  <a:schemeClr val="lt1"/>
                </a:solidFill>
              </a:ln>
              <a:effectLst/>
            </c:spPr>
            <c:extLst>
              <c:ext xmlns:c16="http://schemas.microsoft.com/office/drawing/2014/chart" uri="{C3380CC4-5D6E-409C-BE32-E72D297353CC}">
                <c16:uniqueId val="{00000009-EF9E-4C97-8386-0032624C9D06}"/>
              </c:ext>
            </c:extLst>
          </c:dPt>
          <c:dPt>
            <c:idx val="5"/>
            <c:bubble3D val="0"/>
            <c:spPr>
              <a:solidFill>
                <a:srgbClr val="8064A2">
                  <a:lumMod val="40000"/>
                  <a:lumOff val="60000"/>
                </a:srgbClr>
              </a:solidFill>
              <a:ln w="19050">
                <a:solidFill>
                  <a:schemeClr val="lt1"/>
                </a:solidFill>
              </a:ln>
              <a:effectLst/>
            </c:spPr>
            <c:extLst>
              <c:ext xmlns:c16="http://schemas.microsoft.com/office/drawing/2014/chart" uri="{C3380CC4-5D6E-409C-BE32-E72D297353CC}">
                <c16:uniqueId val="{0000000B-EF9E-4C97-8386-0032624C9D06}"/>
              </c:ext>
            </c:extLst>
          </c:dPt>
          <c:dLbls>
            <c:dLbl>
              <c:idx val="0"/>
              <c:layout>
                <c:manualLayout>
                  <c:x val="4.4278863575993276E-2"/>
                  <c:y val="-0.1359711706582516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F9E-4C97-8386-0032624C9D06}"/>
                </c:ext>
              </c:extLst>
            </c:dLbl>
            <c:dLbl>
              <c:idx val="1"/>
              <c:layout>
                <c:manualLayout>
                  <c:x val="4.9813721522992432E-2"/>
                  <c:y val="8.170718097108170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F9E-4C97-8386-0032624C9D06}"/>
                </c:ext>
              </c:extLst>
            </c:dLbl>
            <c:dLbl>
              <c:idx val="2"/>
              <c:layout>
                <c:manualLayout>
                  <c:x val="-9.9627443045984865E-2"/>
                  <c:y val="-2.31481481481481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F9E-4C97-8386-0032624C9D06}"/>
                </c:ext>
              </c:extLst>
            </c:dLbl>
            <c:dLbl>
              <c:idx val="3"/>
              <c:layout>
                <c:manualLayout>
                  <c:x val="-8.0255440231487812E-2"/>
                  <c:y val="-4.929972713700892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F9E-4C97-8386-0032624C9D06}"/>
                </c:ext>
              </c:extLst>
            </c:dLbl>
            <c:dLbl>
              <c:idx val="4"/>
              <c:layout>
                <c:manualLayout>
                  <c:x val="-5.2581150496492014E-2"/>
                  <c:y val="-6.984128011076264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EF9E-4C97-8386-0032624C9D06}"/>
                </c:ext>
              </c:extLst>
            </c:dLbl>
            <c:dLbl>
              <c:idx val="5"/>
              <c:layout>
                <c:manualLayout>
                  <c:x val="-4.4278863575993276E-2"/>
                  <c:y val="-7.805790130026413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EF9E-4C97-8386-0032624C9D06}"/>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extLst>
          </c:dLbls>
          <c:cat>
            <c:strRef>
              <c:f>augstskolu_izd!$A$46:$A$51</c:f>
              <c:strCache>
                <c:ptCount val="6"/>
                <c:pt idx="0">
                  <c:v>Darba samaksa</c:v>
                </c:pt>
                <c:pt idx="1">
                  <c:v>Sociālās apdrošināšanas iemaksas</c:v>
                </c:pt>
                <c:pt idx="2">
                  <c:v>Preces un pakalpojumi</c:v>
                </c:pt>
                <c:pt idx="3">
                  <c:v>Pamatkapitāla veidošana</c:v>
                </c:pt>
                <c:pt idx="4">
                  <c:v>Stipendijas</c:v>
                </c:pt>
                <c:pt idx="5">
                  <c:v>Citi izdevumi</c:v>
                </c:pt>
              </c:strCache>
            </c:strRef>
          </c:cat>
          <c:val>
            <c:numRef>
              <c:f>augstskolu_izd!$B$46:$B$51</c:f>
              <c:numCache>
                <c:formatCode>0%</c:formatCode>
                <c:ptCount val="6"/>
                <c:pt idx="0">
                  <c:v>0.42</c:v>
                </c:pt>
                <c:pt idx="1">
                  <c:v>0.11</c:v>
                </c:pt>
                <c:pt idx="2">
                  <c:v>0.24</c:v>
                </c:pt>
                <c:pt idx="3">
                  <c:v>0.14000000000000001</c:v>
                </c:pt>
                <c:pt idx="4">
                  <c:v>0.03</c:v>
                </c:pt>
                <c:pt idx="5">
                  <c:v>0.06</c:v>
                </c:pt>
              </c:numCache>
            </c:numRef>
          </c:val>
          <c:extLst>
            <c:ext xmlns:c16="http://schemas.microsoft.com/office/drawing/2014/chart" uri="{C3380CC4-5D6E-409C-BE32-E72D297353CC}">
              <c16:uniqueId val="{0000000C-EF9E-4C97-8386-0032624C9D06}"/>
            </c:ext>
          </c:extLst>
        </c:ser>
        <c:dLbls>
          <c:showLegendKey val="0"/>
          <c:showVal val="0"/>
          <c:showCatName val="0"/>
          <c:showSerName val="0"/>
          <c:showPercent val="0"/>
          <c:showBubbleSize val="0"/>
          <c:showLeaderLines val="0"/>
        </c:dLbls>
        <c:firstSliceAng val="0"/>
        <c:holeSize val="75"/>
      </c:doughnutChart>
      <c:spPr>
        <a:noFill/>
        <a:ln>
          <a:noFill/>
        </a:ln>
        <a:effectLst/>
      </c:spPr>
    </c:plotArea>
    <c:legend>
      <c:legendPos val="r"/>
      <c:layout>
        <c:manualLayout>
          <c:xMode val="edge"/>
          <c:yMode val="edge"/>
          <c:x val="0.65258415762403799"/>
          <c:y val="8.0557177493574703E-2"/>
          <c:w val="0.314206694693967"/>
          <c:h val="0.88021524959604314"/>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Calibri" panose="020F0502020204030204" pitchFamily="34" charset="0"/>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Calibri" panose="020F0502020204030204" pitchFamily="34" charset="0"/>
                <a:ea typeface="+mn-ea"/>
                <a:cs typeface="+mn-cs"/>
              </a:defRPr>
            </a:pPr>
            <a:r>
              <a:rPr lang="lv-LV" sz="1200" baseline="0">
                <a:latin typeface="Calibri" panose="020F0502020204030204" pitchFamily="34" charset="0"/>
              </a:rPr>
              <a:t>Ieņēmumi un izdevumi valsts augstskolās </a:t>
            </a:r>
            <a:endParaRPr lang="en-US" sz="1200" baseline="0">
              <a:latin typeface="Calibri" panose="020F050202020403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Calibri" panose="020F0502020204030204" pitchFamily="34" charset="0"/>
              <a:ea typeface="+mn-ea"/>
              <a:cs typeface="+mn-cs"/>
            </a:defRPr>
          </a:pPr>
          <a:endParaRPr lang="lv-LV"/>
        </a:p>
      </c:txPr>
    </c:title>
    <c:autoTitleDeleted val="0"/>
    <c:plotArea>
      <c:layout/>
      <c:areaChart>
        <c:grouping val="stacked"/>
        <c:varyColors val="0"/>
        <c:ser>
          <c:idx val="2"/>
          <c:order val="2"/>
          <c:tx>
            <c:strRef>
              <c:f>'ien2019'!$A$39</c:f>
              <c:strCache>
                <c:ptCount val="1"/>
                <c:pt idx="0">
                  <c:v>Iekšzemes kopprodukts (milj. eiro)</c:v>
                </c:pt>
              </c:strCache>
            </c:strRef>
          </c:tx>
          <c:spPr>
            <a:solidFill>
              <a:sysClr val="window" lastClr="FFFFFF">
                <a:lumMod val="85000"/>
                <a:alpha val="54000"/>
              </a:sysClr>
            </a:solidFill>
            <a:ln>
              <a:solidFill>
                <a:sysClr val="window" lastClr="FFFFFF">
                  <a:lumMod val="85000"/>
                </a:sysClr>
              </a:solidFill>
            </a:ln>
            <a:effectLst/>
          </c:spPr>
          <c:cat>
            <c:numRef>
              <c:f>'ien2019'!$B$36:$O$36</c:f>
              <c:numCache>
                <c:formatCode>General</c:formatCode>
                <c:ptCount val="14"/>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numCache>
            </c:numRef>
          </c:cat>
          <c:val>
            <c:numRef>
              <c:f>'ien2019'!$B$39:$O$39</c:f>
              <c:numCache>
                <c:formatCode>_-* #,##0_-;\-* #,##0_-;_-* "-"??_-;_-@_-</c:formatCode>
                <c:ptCount val="14"/>
                <c:pt idx="0">
                  <c:v>17093.714</c:v>
                </c:pt>
                <c:pt idx="1">
                  <c:v>22589.513999999999</c:v>
                </c:pt>
                <c:pt idx="2">
                  <c:v>24393.636999999999</c:v>
                </c:pt>
                <c:pt idx="3">
                  <c:v>18884.899000000001</c:v>
                </c:pt>
                <c:pt idx="4">
                  <c:v>17967.138999999999</c:v>
                </c:pt>
                <c:pt idx="5">
                  <c:v>20319.304</c:v>
                </c:pt>
                <c:pt idx="6">
                  <c:v>21925.163</c:v>
                </c:pt>
                <c:pt idx="7">
                  <c:v>22803.012999999999</c:v>
                </c:pt>
                <c:pt idx="8">
                  <c:v>23654.166000000001</c:v>
                </c:pt>
                <c:pt idx="9">
                  <c:v>24425.958999999999</c:v>
                </c:pt>
                <c:pt idx="10">
                  <c:v>25072.637999999999</c:v>
                </c:pt>
                <c:pt idx="11">
                  <c:v>26797.832999999999</c:v>
                </c:pt>
                <c:pt idx="12">
                  <c:v>29056.05</c:v>
                </c:pt>
                <c:pt idx="13">
                  <c:v>30476.087</c:v>
                </c:pt>
              </c:numCache>
            </c:numRef>
          </c:val>
          <c:extLst>
            <c:ext xmlns:c16="http://schemas.microsoft.com/office/drawing/2014/chart" uri="{C3380CC4-5D6E-409C-BE32-E72D297353CC}">
              <c16:uniqueId val="{00000002-4A35-40A8-89F8-1000A65BEBC8}"/>
            </c:ext>
          </c:extLst>
        </c:ser>
        <c:dLbls>
          <c:showLegendKey val="0"/>
          <c:showVal val="0"/>
          <c:showCatName val="0"/>
          <c:showSerName val="0"/>
          <c:showPercent val="0"/>
          <c:showBubbleSize val="0"/>
        </c:dLbls>
        <c:axId val="385130984"/>
        <c:axId val="385132944"/>
      </c:areaChart>
      <c:lineChart>
        <c:grouping val="standard"/>
        <c:varyColors val="0"/>
        <c:ser>
          <c:idx val="0"/>
          <c:order val="0"/>
          <c:tx>
            <c:strRef>
              <c:f>'ien2019'!$A$37</c:f>
              <c:strCache>
                <c:ptCount val="1"/>
                <c:pt idx="0">
                  <c:v>Valsts augstskolu kopējie ieņēmumi (milj. eiro)</c:v>
                </c:pt>
              </c:strCache>
            </c:strRef>
          </c:tx>
          <c:spPr>
            <a:ln w="28575" cap="rnd">
              <a:solidFill>
                <a:srgbClr val="B99CCE">
                  <a:alpha val="90000"/>
                </a:srgbClr>
              </a:solidFill>
              <a:round/>
            </a:ln>
            <a:effectLst/>
          </c:spPr>
          <c:marker>
            <c:symbol val="none"/>
          </c:marker>
          <c:dLbls>
            <c:dLbl>
              <c:idx val="0"/>
              <c:layout>
                <c:manualLayout>
                  <c:x val="-5.5678585500879861E-2"/>
                  <c:y val="-5.460750853242320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59AC-465D-8E31-8C7E8E0C934F}"/>
                </c:ext>
              </c:extLst>
            </c:dLbl>
            <c:dLbl>
              <c:idx val="1"/>
              <c:delete val="1"/>
              <c:extLst>
                <c:ext xmlns:c15="http://schemas.microsoft.com/office/drawing/2012/chart" uri="{CE6537A1-D6FC-4f65-9D91-7224C49458BB}"/>
                <c:ext xmlns:c16="http://schemas.microsoft.com/office/drawing/2014/chart" uri="{C3380CC4-5D6E-409C-BE32-E72D297353CC}">
                  <c16:uniqueId val="{0000000E-59AC-465D-8E31-8C7E8E0C934F}"/>
                </c:ext>
              </c:extLst>
            </c:dLbl>
            <c:dLbl>
              <c:idx val="2"/>
              <c:layout>
                <c:manualLayout>
                  <c:x val="-5.1038703375806523E-2"/>
                  <c:y val="-6.370875995449377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59AC-465D-8E31-8C7E8E0C934F}"/>
                </c:ext>
              </c:extLst>
            </c:dLbl>
            <c:dLbl>
              <c:idx val="3"/>
              <c:layout>
                <c:manualLayout>
                  <c:x val="-3.9438998063123225E-2"/>
                  <c:y val="-6.825938566552901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59AC-465D-8E31-8C7E8E0C934F}"/>
                </c:ext>
              </c:extLst>
            </c:dLbl>
            <c:dLbl>
              <c:idx val="4"/>
              <c:delete val="1"/>
              <c:extLst>
                <c:ext xmlns:c15="http://schemas.microsoft.com/office/drawing/2012/chart" uri="{CE6537A1-D6FC-4f65-9D91-7224C49458BB}"/>
                <c:ext xmlns:c16="http://schemas.microsoft.com/office/drawing/2014/chart" uri="{C3380CC4-5D6E-409C-BE32-E72D297353CC}">
                  <c16:uniqueId val="{00000011-59AC-465D-8E31-8C7E8E0C934F}"/>
                </c:ext>
              </c:extLst>
            </c:dLbl>
            <c:dLbl>
              <c:idx val="5"/>
              <c:delete val="1"/>
              <c:extLst>
                <c:ext xmlns:c15="http://schemas.microsoft.com/office/drawing/2012/chart" uri="{CE6537A1-D6FC-4f65-9D91-7224C49458BB}"/>
                <c:ext xmlns:c16="http://schemas.microsoft.com/office/drawing/2014/chart" uri="{C3380CC4-5D6E-409C-BE32-E72D297353CC}">
                  <c16:uniqueId val="{00000012-59AC-465D-8E31-8C7E8E0C934F}"/>
                </c:ext>
              </c:extLst>
            </c:dLbl>
            <c:dLbl>
              <c:idx val="6"/>
              <c:layout>
                <c:manualLayout>
                  <c:x val="-5.1038703375806523E-2"/>
                  <c:y val="-5.4607508532423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59AC-465D-8E31-8C7E8E0C934F}"/>
                </c:ext>
              </c:extLst>
            </c:dLbl>
            <c:dLbl>
              <c:idx val="7"/>
              <c:delete val="1"/>
              <c:extLst>
                <c:ext xmlns:c15="http://schemas.microsoft.com/office/drawing/2012/chart" uri="{CE6537A1-D6FC-4f65-9D91-7224C49458BB}"/>
                <c:ext xmlns:c16="http://schemas.microsoft.com/office/drawing/2014/chart" uri="{C3380CC4-5D6E-409C-BE32-E72D297353CC}">
                  <c16:uniqueId val="{00000014-59AC-465D-8E31-8C7E8E0C934F}"/>
                </c:ext>
              </c:extLst>
            </c:dLbl>
            <c:dLbl>
              <c:idx val="8"/>
              <c:delete val="1"/>
              <c:extLst>
                <c:ext xmlns:c15="http://schemas.microsoft.com/office/drawing/2012/chart" uri="{CE6537A1-D6FC-4f65-9D91-7224C49458BB}"/>
                <c:ext xmlns:c16="http://schemas.microsoft.com/office/drawing/2014/chart" uri="{C3380CC4-5D6E-409C-BE32-E72D297353CC}">
                  <c16:uniqueId val="{00000015-59AC-465D-8E31-8C7E8E0C934F}"/>
                </c:ext>
              </c:extLst>
            </c:dLbl>
            <c:dLbl>
              <c:idx val="9"/>
              <c:layout>
                <c:manualLayout>
                  <c:x val="-4.6398821250733205E-2"/>
                  <c:y val="-6.825938566552905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59AC-465D-8E31-8C7E8E0C934F}"/>
                </c:ext>
              </c:extLst>
            </c:dLbl>
            <c:dLbl>
              <c:idx val="10"/>
              <c:layout>
                <c:manualLayout>
                  <c:x val="-4.175893912565988E-2"/>
                  <c:y val="-7.281001137656427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59AC-465D-8E31-8C7E8E0C934F}"/>
                </c:ext>
              </c:extLst>
            </c:dLbl>
            <c:dLbl>
              <c:idx val="11"/>
              <c:delete val="1"/>
              <c:extLst>
                <c:ext xmlns:c15="http://schemas.microsoft.com/office/drawing/2012/chart" uri="{CE6537A1-D6FC-4f65-9D91-7224C49458BB}"/>
                <c:ext xmlns:c16="http://schemas.microsoft.com/office/drawing/2014/chart" uri="{C3380CC4-5D6E-409C-BE32-E72D297353CC}">
                  <c16:uniqueId val="{00000018-59AC-465D-8E31-8C7E8E0C934F}"/>
                </c:ext>
              </c:extLst>
            </c:dLbl>
            <c:dLbl>
              <c:idx val="12"/>
              <c:delete val="1"/>
              <c:extLst>
                <c:ext xmlns:c15="http://schemas.microsoft.com/office/drawing/2012/chart" uri="{CE6537A1-D6FC-4f65-9D91-7224C49458BB}"/>
                <c:ext xmlns:c16="http://schemas.microsoft.com/office/drawing/2014/chart" uri="{C3380CC4-5D6E-409C-BE32-E72D297353CC}">
                  <c16:uniqueId val="{00000019-59AC-465D-8E31-8C7E8E0C934F}"/>
                </c:ext>
              </c:extLst>
            </c:dLbl>
            <c:dLbl>
              <c:idx val="13"/>
              <c:layout>
                <c:manualLayout>
                  <c:x val="-0.10878572783739129"/>
                  <c:y val="-5.005688282138794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1F8-4FF4-B618-772A5FFFA242}"/>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Calibri" panose="020F0502020204030204" pitchFamily="34" charset="0"/>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'ien2019'!$B$36:$O$36</c:f>
              <c:numCache>
                <c:formatCode>General</c:formatCode>
                <c:ptCount val="14"/>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numCache>
            </c:numRef>
          </c:cat>
          <c:val>
            <c:numRef>
              <c:f>'ien2019'!$B$37:$O$37</c:f>
              <c:numCache>
                <c:formatCode>_-* #,##0.0_-;\-* #,##0.0_-;_-* "-"??_-;_-@_-</c:formatCode>
                <c:ptCount val="14"/>
                <c:pt idx="0">
                  <c:v>173.76565740575998</c:v>
                </c:pt>
                <c:pt idx="1">
                  <c:v>237.32491385022001</c:v>
                </c:pt>
                <c:pt idx="2">
                  <c:v>265.39120239240003</c:v>
                </c:pt>
                <c:pt idx="3">
                  <c:v>207.41913664499998</c:v>
                </c:pt>
                <c:pt idx="4">
                  <c:v>250.0028438754</c:v>
                </c:pt>
                <c:pt idx="5">
                  <c:v>252.95814860399994</c:v>
                </c:pt>
                <c:pt idx="6">
                  <c:v>258.50165713680002</c:v>
                </c:pt>
                <c:pt idx="7">
                  <c:v>237.80600000000001</c:v>
                </c:pt>
                <c:pt idx="8">
                  <c:v>238.75</c:v>
                </c:pt>
                <c:pt idx="9">
                  <c:v>267.84629480000001</c:v>
                </c:pt>
                <c:pt idx="10">
                  <c:v>233.85364540999998</c:v>
                </c:pt>
                <c:pt idx="11">
                  <c:v>267.81982299999999</c:v>
                </c:pt>
                <c:pt idx="12">
                  <c:v>337.88176799999997</c:v>
                </c:pt>
                <c:pt idx="13">
                  <c:v>365.064615</c:v>
                </c:pt>
              </c:numCache>
            </c:numRef>
          </c:val>
          <c:smooth val="0"/>
          <c:extLst>
            <c:ext xmlns:c16="http://schemas.microsoft.com/office/drawing/2014/chart" uri="{C3380CC4-5D6E-409C-BE32-E72D297353CC}">
              <c16:uniqueId val="{00000000-5AD9-4E08-9A7A-00B219D83CE0}"/>
            </c:ext>
          </c:extLst>
        </c:ser>
        <c:ser>
          <c:idx val="1"/>
          <c:order val="1"/>
          <c:tx>
            <c:strRef>
              <c:f>'ien2019'!$A$38</c:f>
              <c:strCache>
                <c:ptCount val="1"/>
                <c:pt idx="0">
                  <c:v>Valsts augstskolu kopējie izdevumi (milj. eiro)</c:v>
                </c:pt>
              </c:strCache>
            </c:strRef>
          </c:tx>
          <c:spPr>
            <a:ln w="28575" cap="rnd">
              <a:solidFill>
                <a:srgbClr val="573F65">
                  <a:alpha val="55000"/>
                </a:srgbClr>
              </a:solidFill>
              <a:round/>
            </a:ln>
            <a:effectLst/>
          </c:spPr>
          <c:marker>
            <c:symbol val="none"/>
          </c:marker>
          <c:dLbls>
            <c:dLbl>
              <c:idx val="0"/>
              <c:layout>
                <c:manualLayout>
                  <c:x val="-1.8506918813205837E-2"/>
                  <c:y val="4.095563139931740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9AC-465D-8E31-8C7E8E0C934F}"/>
                </c:ext>
              </c:extLst>
            </c:dLbl>
            <c:dLbl>
              <c:idx val="1"/>
              <c:delete val="1"/>
              <c:extLst>
                <c:ext xmlns:c15="http://schemas.microsoft.com/office/drawing/2012/chart" uri="{CE6537A1-D6FC-4f65-9D91-7224C49458BB}"/>
                <c:ext xmlns:c16="http://schemas.microsoft.com/office/drawing/2014/chart" uri="{C3380CC4-5D6E-409C-BE32-E72D297353CC}">
                  <c16:uniqueId val="{00000001-59AC-465D-8E31-8C7E8E0C934F}"/>
                </c:ext>
              </c:extLst>
            </c:dLbl>
            <c:dLbl>
              <c:idx val="2"/>
              <c:layout>
                <c:manualLayout>
                  <c:x val="-6.2402030441645537E-2"/>
                  <c:y val="6.825938566552892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9AC-465D-8E31-8C7E8E0C934F}"/>
                </c:ext>
              </c:extLst>
            </c:dLbl>
            <c:dLbl>
              <c:idx val="3"/>
              <c:layout>
                <c:manualLayout>
                  <c:x val="-5.5520939112142155E-2"/>
                  <c:y val="5.46075085324231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9AC-465D-8E31-8C7E8E0C934F}"/>
                </c:ext>
              </c:extLst>
            </c:dLbl>
            <c:dLbl>
              <c:idx val="4"/>
              <c:delete val="1"/>
              <c:extLst>
                <c:ext xmlns:c15="http://schemas.microsoft.com/office/drawing/2012/chart" uri="{CE6537A1-D6FC-4f65-9D91-7224C49458BB}"/>
                <c:ext xmlns:c16="http://schemas.microsoft.com/office/drawing/2014/chart" uri="{C3380CC4-5D6E-409C-BE32-E72D297353CC}">
                  <c16:uniqueId val="{00000004-59AC-465D-8E31-8C7E8E0C934F}"/>
                </c:ext>
              </c:extLst>
            </c:dLbl>
            <c:dLbl>
              <c:idx val="5"/>
              <c:delete val="1"/>
              <c:extLst>
                <c:ext xmlns:c15="http://schemas.microsoft.com/office/drawing/2012/chart" uri="{CE6537A1-D6FC-4f65-9D91-7224C49458BB}"/>
                <c:ext xmlns:c16="http://schemas.microsoft.com/office/drawing/2014/chart" uri="{C3380CC4-5D6E-409C-BE32-E72D297353CC}">
                  <c16:uniqueId val="{00000005-59AC-465D-8E31-8C7E8E0C934F}"/>
                </c:ext>
              </c:extLst>
            </c:dLbl>
            <c:dLbl>
              <c:idx val="6"/>
              <c:layout>
                <c:manualLayout>
                  <c:x val="-4.4078880188196543E-2"/>
                  <c:y val="7.28100113765641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9AC-465D-8E31-8C7E8E0C934F}"/>
                </c:ext>
              </c:extLst>
            </c:dLbl>
            <c:dLbl>
              <c:idx val="7"/>
              <c:delete val="1"/>
              <c:extLst>
                <c:ext xmlns:c15="http://schemas.microsoft.com/office/drawing/2012/chart" uri="{CE6537A1-D6FC-4f65-9D91-7224C49458BB}"/>
                <c:ext xmlns:c16="http://schemas.microsoft.com/office/drawing/2014/chart" uri="{C3380CC4-5D6E-409C-BE32-E72D297353CC}">
                  <c16:uniqueId val="{00000007-59AC-465D-8E31-8C7E8E0C934F}"/>
                </c:ext>
              </c:extLst>
            </c:dLbl>
            <c:dLbl>
              <c:idx val="8"/>
              <c:delete val="1"/>
              <c:extLst>
                <c:ext xmlns:c15="http://schemas.microsoft.com/office/drawing/2012/chart" uri="{CE6537A1-D6FC-4f65-9D91-7224C49458BB}"/>
                <c:ext xmlns:c16="http://schemas.microsoft.com/office/drawing/2014/chart" uri="{C3380CC4-5D6E-409C-BE32-E72D297353CC}">
                  <c16:uniqueId val="{00000008-59AC-465D-8E31-8C7E8E0C934F}"/>
                </c:ext>
              </c:extLst>
            </c:dLbl>
            <c:dLbl>
              <c:idx val="9"/>
              <c:layout>
                <c:manualLayout>
                  <c:x val="-5.1038703375806439E-2"/>
                  <c:y val="9.101251422070526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59AC-465D-8E31-8C7E8E0C934F}"/>
                </c:ext>
              </c:extLst>
            </c:dLbl>
            <c:dLbl>
              <c:idx val="10"/>
              <c:layout>
                <c:manualLayout>
                  <c:x val="-4.1759000688453569E-2"/>
                  <c:y val="5.915813424345839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59AC-465D-8E31-8C7E8E0C934F}"/>
                </c:ext>
              </c:extLst>
            </c:dLbl>
            <c:dLbl>
              <c:idx val="11"/>
              <c:delete val="1"/>
              <c:extLst>
                <c:ext xmlns:c15="http://schemas.microsoft.com/office/drawing/2012/chart" uri="{CE6537A1-D6FC-4f65-9D91-7224C49458BB}"/>
                <c:ext xmlns:c16="http://schemas.microsoft.com/office/drawing/2014/chart" uri="{C3380CC4-5D6E-409C-BE32-E72D297353CC}">
                  <c16:uniqueId val="{0000000B-59AC-465D-8E31-8C7E8E0C934F}"/>
                </c:ext>
              </c:extLst>
            </c:dLbl>
            <c:dLbl>
              <c:idx val="12"/>
              <c:delete val="1"/>
              <c:extLst>
                <c:ext xmlns:c15="http://schemas.microsoft.com/office/drawing/2012/chart" uri="{CE6537A1-D6FC-4f65-9D91-7224C49458BB}"/>
                <c:ext xmlns:c16="http://schemas.microsoft.com/office/drawing/2014/chart" uri="{C3380CC4-5D6E-409C-BE32-E72D297353CC}">
                  <c16:uniqueId val="{0000000C-59AC-465D-8E31-8C7E8E0C934F}"/>
                </c:ext>
              </c:extLst>
            </c:dLbl>
            <c:dLbl>
              <c:idx val="13"/>
              <c:layout>
                <c:manualLayout>
                  <c:x val="-5.3235568941702213E-2"/>
                  <c:y val="6.825938566552901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1F8-4FF4-B618-772A5FFFA242}"/>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Calibri" panose="020F0502020204030204" pitchFamily="34" charset="0"/>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'ien2019'!$B$36:$O$36</c:f>
              <c:numCache>
                <c:formatCode>General</c:formatCode>
                <c:ptCount val="14"/>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numCache>
            </c:numRef>
          </c:cat>
          <c:val>
            <c:numRef>
              <c:f>'ien2019'!$B$38:$O$38</c:f>
              <c:numCache>
                <c:formatCode>_-* #,##0.0_-;\-* #,##0.0_-;_-* "-"??_-;_-@_-</c:formatCode>
                <c:ptCount val="14"/>
                <c:pt idx="0">
                  <c:v>158.39266590419996</c:v>
                </c:pt>
                <c:pt idx="1">
                  <c:v>229.63301118659996</c:v>
                </c:pt>
                <c:pt idx="2">
                  <c:v>260.84939560679993</c:v>
                </c:pt>
                <c:pt idx="3">
                  <c:v>179.81542372499999</c:v>
                </c:pt>
                <c:pt idx="4">
                  <c:v>188.19329288339998</c:v>
                </c:pt>
                <c:pt idx="5">
                  <c:v>228.5018281056</c:v>
                </c:pt>
                <c:pt idx="6">
                  <c:v>258.60837252179999</c:v>
                </c:pt>
                <c:pt idx="7">
                  <c:v>243.65700000000001</c:v>
                </c:pt>
                <c:pt idx="8">
                  <c:v>235.203</c:v>
                </c:pt>
                <c:pt idx="9">
                  <c:v>277.21004632</c:v>
                </c:pt>
                <c:pt idx="10">
                  <c:v>214.52341478</c:v>
                </c:pt>
                <c:pt idx="11">
                  <c:v>245.81383536999994</c:v>
                </c:pt>
                <c:pt idx="12">
                  <c:v>292.53376000000003</c:v>
                </c:pt>
                <c:pt idx="13">
                  <c:v>322.76188999999999</c:v>
                </c:pt>
              </c:numCache>
            </c:numRef>
          </c:val>
          <c:smooth val="0"/>
          <c:extLst>
            <c:ext xmlns:c16="http://schemas.microsoft.com/office/drawing/2014/chart" uri="{C3380CC4-5D6E-409C-BE32-E72D297353CC}">
              <c16:uniqueId val="{00000001-5AD9-4E08-9A7A-00B219D83CE0}"/>
            </c:ext>
          </c:extLst>
        </c:ser>
        <c:dLbls>
          <c:showLegendKey val="0"/>
          <c:showVal val="0"/>
          <c:showCatName val="0"/>
          <c:showSerName val="0"/>
          <c:showPercent val="0"/>
          <c:showBubbleSize val="0"/>
        </c:dLbls>
        <c:marker val="1"/>
        <c:smooth val="0"/>
        <c:axId val="385129416"/>
        <c:axId val="385130200"/>
      </c:lineChart>
      <c:catAx>
        <c:axId val="385129416"/>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Calibri" panose="020F0502020204030204" pitchFamily="34" charset="0"/>
                <a:ea typeface="+mn-ea"/>
                <a:cs typeface="+mn-cs"/>
              </a:defRPr>
            </a:pPr>
            <a:endParaRPr lang="lv-LV"/>
          </a:p>
        </c:txPr>
        <c:crossAx val="385130200"/>
        <c:crosses val="autoZero"/>
        <c:auto val="1"/>
        <c:lblAlgn val="ctr"/>
        <c:lblOffset val="1"/>
        <c:noMultiLvlLbl val="0"/>
      </c:catAx>
      <c:valAx>
        <c:axId val="385130200"/>
        <c:scaling>
          <c:orientation val="minMax"/>
        </c:scaling>
        <c:delete val="0"/>
        <c:axPos val="l"/>
        <c:majorGridlines>
          <c:spPr>
            <a:ln w="9525" cap="flat" cmpd="sng" algn="ctr">
              <a:solidFill>
                <a:schemeClr val="tx1">
                  <a:lumMod val="15000"/>
                  <a:lumOff val="85000"/>
                </a:schemeClr>
              </a:solidFill>
              <a:round/>
            </a:ln>
            <a:effectLst/>
          </c:spPr>
        </c:majorGridlines>
        <c:numFmt formatCode="_-* #,##0.0_-;\-* #,##0.0_-;_-* &quot;-&quot;??_-;_-@_-" sourceLinked="1"/>
        <c:majorTickMark val="none"/>
        <c:minorTickMark val="none"/>
        <c:tickLblPos val="nextTo"/>
        <c:spPr>
          <a:noFill/>
          <a:ln>
            <a:solidFill>
              <a:srgbClr val="573F65"/>
            </a:solid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Calibri" panose="020F0502020204030204" pitchFamily="34" charset="0"/>
                <a:ea typeface="+mn-ea"/>
                <a:cs typeface="+mn-cs"/>
              </a:defRPr>
            </a:pPr>
            <a:endParaRPr lang="lv-LV"/>
          </a:p>
        </c:txPr>
        <c:crossAx val="385129416"/>
        <c:crosses val="autoZero"/>
        <c:crossBetween val="between"/>
      </c:valAx>
      <c:valAx>
        <c:axId val="385132944"/>
        <c:scaling>
          <c:orientation val="minMax"/>
        </c:scaling>
        <c:delete val="0"/>
        <c:axPos val="r"/>
        <c:numFmt formatCode="_-* #,##0_-;\-* #,##0_-;_-* &quot;-&quot;??_-;_-@_-" sourceLinked="1"/>
        <c:majorTickMark val="out"/>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Calibri" panose="020F0502020204030204" pitchFamily="34" charset="0"/>
                <a:ea typeface="+mn-ea"/>
                <a:cs typeface="+mn-cs"/>
              </a:defRPr>
            </a:pPr>
            <a:endParaRPr lang="lv-LV"/>
          </a:p>
        </c:txPr>
        <c:crossAx val="385130984"/>
        <c:crosses val="max"/>
        <c:crossBetween val="between"/>
      </c:valAx>
      <c:catAx>
        <c:axId val="385130984"/>
        <c:scaling>
          <c:orientation val="minMax"/>
        </c:scaling>
        <c:delete val="1"/>
        <c:axPos val="b"/>
        <c:numFmt formatCode="General" sourceLinked="1"/>
        <c:majorTickMark val="out"/>
        <c:minorTickMark val="none"/>
        <c:tickLblPos val="nextTo"/>
        <c:crossAx val="385132944"/>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Calibri" panose="020F0502020204030204" pitchFamily="34" charset="0"/>
              <a:ea typeface="+mn-ea"/>
              <a:cs typeface="+mn-cs"/>
            </a:defRPr>
          </a:pPr>
          <a:endParaRPr lang="lv-LV"/>
        </a:p>
      </c:txPr>
    </c:legend>
    <c:plotVisOnly val="1"/>
    <c:dispBlanksAs val="gap"/>
    <c:showDLblsOverMax val="0"/>
  </c:chart>
  <c:spPr>
    <a:solidFill>
      <a:schemeClr val="bg1"/>
    </a:solidFill>
    <a:ln w="9525" cap="flat" cmpd="sng" algn="ctr">
      <a:noFill/>
      <a:round/>
    </a:ln>
    <a:effectLst/>
  </c:spPr>
  <c:txPr>
    <a:bodyPr/>
    <a:lstStyle/>
    <a:p>
      <a:pPr>
        <a:defRPr sz="1100" baseline="0">
          <a:latin typeface="Times New Roman" panose="02020603050405020304" pitchFamily="18" charset="0"/>
        </a:defRPr>
      </a:pPr>
      <a:endParaRPr lang="lv-LV"/>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Calibri" panose="020F0502020204030204" pitchFamily="34" charset="0"/>
                <a:ea typeface="+mn-ea"/>
                <a:cs typeface="+mn-cs"/>
              </a:defRPr>
            </a:pPr>
            <a:r>
              <a:rPr lang="lv-LV" sz="1200" baseline="0">
                <a:latin typeface="Calibri" panose="020F0502020204030204" pitchFamily="34" charset="0"/>
              </a:rPr>
              <a:t>Ieņēmumi </a:t>
            </a:r>
            <a:r>
              <a:rPr lang="en-US" sz="1200" baseline="0">
                <a:latin typeface="Calibri" panose="020F0502020204030204" pitchFamily="34" charset="0"/>
              </a:rPr>
              <a:t>no studiju maksas </a:t>
            </a:r>
            <a:r>
              <a:rPr lang="lv-LV" sz="1200" baseline="0">
                <a:latin typeface="Calibri" panose="020F0502020204030204" pitchFamily="34" charset="0"/>
              </a:rPr>
              <a:t>valsts augstskolās </a:t>
            </a:r>
            <a:endParaRPr lang="en-US" sz="1200" baseline="0">
              <a:latin typeface="Calibri" panose="020F050202020403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Calibri" panose="020F0502020204030204" pitchFamily="34" charset="0"/>
              <a:ea typeface="+mn-ea"/>
              <a:cs typeface="+mn-cs"/>
            </a:defRPr>
          </a:pPr>
          <a:endParaRPr lang="lv-LV"/>
        </a:p>
      </c:txPr>
    </c:title>
    <c:autoTitleDeleted val="0"/>
    <c:plotArea>
      <c:layout/>
      <c:lineChart>
        <c:grouping val="standard"/>
        <c:varyColors val="0"/>
        <c:ser>
          <c:idx val="0"/>
          <c:order val="0"/>
          <c:tx>
            <c:strRef>
              <c:f>ienakumiizdevumi!$A$28</c:f>
              <c:strCache>
                <c:ptCount val="1"/>
                <c:pt idx="0">
                  <c:v>Valsts augstskolu ieņēmumi no studiju maksas (eiro)</c:v>
                </c:pt>
              </c:strCache>
            </c:strRef>
          </c:tx>
          <c:spPr>
            <a:ln w="28575" cap="rnd">
              <a:solidFill>
                <a:schemeClr val="accent4">
                  <a:lumMod val="75000"/>
                  <a:alpha val="90000"/>
                </a:schemeClr>
              </a:solidFill>
              <a:round/>
            </a:ln>
            <a:effectLst/>
          </c:spPr>
          <c:marker>
            <c:symbol val="none"/>
          </c:marker>
          <c:dLbls>
            <c:dLbl>
              <c:idx val="0"/>
              <c:layout>
                <c:manualLayout>
                  <c:x val="-6.5772823774061892E-2"/>
                  <c:y val="5.9054766052272903E-2"/>
                </c:manualLayout>
              </c:layout>
              <c:tx>
                <c:rich>
                  <a:bodyPr/>
                  <a:lstStyle/>
                  <a:p>
                    <a:fld id="{A11F5311-0086-4D20-9069-100CC3D426C5}" type="CELLREF">
                      <a:rPr lang="en-US"/>
                      <a:pPr/>
                      <a:t>[CELLREF]</a:t>
                    </a:fld>
                    <a:endParaRPr lang="lv-LV"/>
                  </a:p>
                </c:rich>
              </c:tx>
              <c:showLegendKey val="0"/>
              <c:showVal val="1"/>
              <c:showCatName val="0"/>
              <c:showSerName val="0"/>
              <c:showPercent val="0"/>
              <c:showBubbleSize val="0"/>
              <c:extLst>
                <c:ext xmlns:c15="http://schemas.microsoft.com/office/drawing/2012/chart" uri="{CE6537A1-D6FC-4f65-9D91-7224C49458BB}">
                  <c15:dlblFieldTable>
                    <c15:dlblFTEntry>
                      <c15:txfldGUID>{A11F5311-0086-4D20-9069-100CC3D426C5}</c15:txfldGUID>
                      <c15:f>ienakumiizdevumi!$C$30</c15:f>
                      <c15:dlblFieldTableCache>
                        <c:ptCount val="1"/>
                        <c:pt idx="0">
                          <c:v>45 722 493</c:v>
                        </c:pt>
                      </c15:dlblFieldTableCache>
                    </c15:dlblFTEntry>
                  </c15:dlblFieldTable>
                  <c15:showDataLabelsRange val="0"/>
                </c:ext>
                <c:ext xmlns:c16="http://schemas.microsoft.com/office/drawing/2014/chart" uri="{C3380CC4-5D6E-409C-BE32-E72D297353CC}">
                  <c16:uniqueId val="{00000000-FE90-46E3-8685-508640C03D28}"/>
                </c:ext>
              </c:extLst>
            </c:dLbl>
            <c:dLbl>
              <c:idx val="1"/>
              <c:delete val="1"/>
              <c:extLst>
                <c:ext xmlns:c15="http://schemas.microsoft.com/office/drawing/2012/chart" uri="{CE6537A1-D6FC-4f65-9D91-7224C49458BB}"/>
                <c:ext xmlns:c16="http://schemas.microsoft.com/office/drawing/2014/chart" uri="{C3380CC4-5D6E-409C-BE32-E72D297353CC}">
                  <c16:uniqueId val="{00000001-FE90-46E3-8685-508640C03D28}"/>
                </c:ext>
              </c:extLst>
            </c:dLbl>
            <c:dLbl>
              <c:idx val="2"/>
              <c:delete val="1"/>
              <c:extLst>
                <c:ext xmlns:c15="http://schemas.microsoft.com/office/drawing/2012/chart" uri="{CE6537A1-D6FC-4f65-9D91-7224C49458BB}"/>
                <c:ext xmlns:c16="http://schemas.microsoft.com/office/drawing/2014/chart" uri="{C3380CC4-5D6E-409C-BE32-E72D297353CC}">
                  <c16:uniqueId val="{00000002-FE90-46E3-8685-508640C03D28}"/>
                </c:ext>
              </c:extLst>
            </c:dLbl>
            <c:dLbl>
              <c:idx val="3"/>
              <c:delete val="1"/>
              <c:extLst>
                <c:ext xmlns:c15="http://schemas.microsoft.com/office/drawing/2012/chart" uri="{CE6537A1-D6FC-4f65-9D91-7224C49458BB}"/>
                <c:ext xmlns:c16="http://schemas.microsoft.com/office/drawing/2014/chart" uri="{C3380CC4-5D6E-409C-BE32-E72D297353CC}">
                  <c16:uniqueId val="{00000003-FE90-46E3-8685-508640C03D28}"/>
                </c:ext>
              </c:extLst>
            </c:dLbl>
            <c:dLbl>
              <c:idx val="4"/>
              <c:layout>
                <c:manualLayout>
                  <c:x val="-8.3312243447145065E-2"/>
                  <c:y val="-5.4512091740559661E-2"/>
                </c:manualLayout>
              </c:layout>
              <c:tx>
                <c:rich>
                  <a:bodyPr/>
                  <a:lstStyle/>
                  <a:p>
                    <a:fld id="{AF9FB3C4-3F49-40F7-B820-7CADE63D155F}" type="CELLREF">
                      <a:rPr lang="en-US"/>
                      <a:pPr/>
                      <a:t>[CELLREF]</a:t>
                    </a:fld>
                    <a:endParaRPr lang="lv-LV"/>
                  </a:p>
                </c:rich>
              </c:tx>
              <c:showLegendKey val="0"/>
              <c:showVal val="1"/>
              <c:showCatName val="0"/>
              <c:showSerName val="0"/>
              <c:showPercent val="0"/>
              <c:showBubbleSize val="0"/>
              <c:extLst>
                <c:ext xmlns:c15="http://schemas.microsoft.com/office/drawing/2012/chart" uri="{CE6537A1-D6FC-4f65-9D91-7224C49458BB}">
                  <c15:dlblFieldTable>
                    <c15:dlblFTEntry>
                      <c15:txfldGUID>{AF9FB3C4-3F49-40F7-B820-7CADE63D155F}</c15:txfldGUID>
                      <c15:f>ienakumiizdevumi!$G$30</c15:f>
                      <c15:dlblFieldTableCache>
                        <c:ptCount val="1"/>
                        <c:pt idx="0">
                          <c:v>61 957 225</c:v>
                        </c:pt>
                      </c15:dlblFieldTableCache>
                    </c15:dlblFTEntry>
                  </c15:dlblFieldTable>
                  <c15:showDataLabelsRange val="0"/>
                </c:ext>
                <c:ext xmlns:c16="http://schemas.microsoft.com/office/drawing/2014/chart" uri="{C3380CC4-5D6E-409C-BE32-E72D297353CC}">
                  <c16:uniqueId val="{00000004-FE90-46E3-8685-508640C03D28}"/>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Calibri" panose="020F0502020204030204" pitchFamily="34" charset="0"/>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ienakumiizdevumi!$C$27:$G$27</c:f>
              <c:numCache>
                <c:formatCode>General</c:formatCode>
                <c:ptCount val="5"/>
                <c:pt idx="0">
                  <c:v>2015</c:v>
                </c:pt>
                <c:pt idx="1">
                  <c:v>2016</c:v>
                </c:pt>
                <c:pt idx="2">
                  <c:v>2017</c:v>
                </c:pt>
                <c:pt idx="3">
                  <c:v>2018</c:v>
                </c:pt>
                <c:pt idx="4">
                  <c:v>2019</c:v>
                </c:pt>
              </c:numCache>
            </c:numRef>
          </c:cat>
          <c:val>
            <c:numRef>
              <c:f>ienakumiizdevumi!$C$28:$G$28</c:f>
              <c:numCache>
                <c:formatCode>_-* #,##0_-;\-* #,##0_-;_-* "-"??_-;_-@_-</c:formatCode>
                <c:ptCount val="5"/>
                <c:pt idx="0">
                  <c:v>45722493.280000001</c:v>
                </c:pt>
                <c:pt idx="1">
                  <c:v>47223483.850000001</c:v>
                </c:pt>
                <c:pt idx="2">
                  <c:v>53626765.340000004</c:v>
                </c:pt>
                <c:pt idx="3">
                  <c:v>56833557</c:v>
                </c:pt>
                <c:pt idx="4">
                  <c:v>61957225</c:v>
                </c:pt>
              </c:numCache>
            </c:numRef>
          </c:val>
          <c:smooth val="0"/>
          <c:extLst>
            <c:ext xmlns:c16="http://schemas.microsoft.com/office/drawing/2014/chart" uri="{C3380CC4-5D6E-409C-BE32-E72D297353CC}">
              <c16:uniqueId val="{00000005-FE90-46E3-8685-508640C03D28}"/>
            </c:ext>
          </c:extLst>
        </c:ser>
        <c:dLbls>
          <c:showLegendKey val="0"/>
          <c:showVal val="0"/>
          <c:showCatName val="0"/>
          <c:showSerName val="0"/>
          <c:showPercent val="0"/>
          <c:showBubbleSize val="0"/>
        </c:dLbls>
        <c:marker val="1"/>
        <c:smooth val="0"/>
        <c:axId val="90978136"/>
        <c:axId val="90978528"/>
      </c:lineChart>
      <c:lineChart>
        <c:grouping val="standard"/>
        <c:varyColors val="0"/>
        <c:ser>
          <c:idx val="1"/>
          <c:order val="1"/>
          <c:tx>
            <c:strRef>
              <c:f>ienakumiizdevumi!$A$29</c:f>
              <c:strCache>
                <c:ptCount val="1"/>
                <c:pt idx="0">
                  <c:v>Studējošo skaits valsts augstskolās</c:v>
                </c:pt>
              </c:strCache>
            </c:strRef>
          </c:tx>
          <c:spPr>
            <a:ln w="28575" cap="rnd">
              <a:solidFill>
                <a:schemeClr val="bg1">
                  <a:lumMod val="50000"/>
                  <a:alpha val="65000"/>
                </a:schemeClr>
              </a:solidFill>
              <a:round/>
            </a:ln>
            <a:effectLst/>
          </c:spPr>
          <c:marker>
            <c:symbol val="none"/>
          </c:marker>
          <c:dLbls>
            <c:dLbl>
              <c:idx val="0"/>
              <c:layout>
                <c:manualLayout>
                  <c:x val="-5.0425831560114119E-2"/>
                  <c:y val="-5.4512091740559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E90-46E3-8685-508640C03D28}"/>
                </c:ext>
              </c:extLst>
            </c:dLbl>
            <c:dLbl>
              <c:idx val="1"/>
              <c:delete val="1"/>
              <c:extLst>
                <c:ext xmlns:c15="http://schemas.microsoft.com/office/drawing/2012/chart" uri="{CE6537A1-D6FC-4f65-9D91-7224C49458BB}"/>
                <c:ext xmlns:c16="http://schemas.microsoft.com/office/drawing/2014/chart" uri="{C3380CC4-5D6E-409C-BE32-E72D297353CC}">
                  <c16:uniqueId val="{00000007-FE90-46E3-8685-508640C03D28}"/>
                </c:ext>
              </c:extLst>
            </c:dLbl>
            <c:dLbl>
              <c:idx val="2"/>
              <c:delete val="1"/>
              <c:extLst>
                <c:ext xmlns:c15="http://schemas.microsoft.com/office/drawing/2012/chart" uri="{CE6537A1-D6FC-4f65-9D91-7224C49458BB}"/>
                <c:ext xmlns:c16="http://schemas.microsoft.com/office/drawing/2014/chart" uri="{C3380CC4-5D6E-409C-BE32-E72D297353CC}">
                  <c16:uniqueId val="{00000008-FE90-46E3-8685-508640C03D28}"/>
                </c:ext>
              </c:extLst>
            </c:dLbl>
            <c:dLbl>
              <c:idx val="3"/>
              <c:delete val="1"/>
              <c:extLst>
                <c:ext xmlns:c15="http://schemas.microsoft.com/office/drawing/2012/chart" uri="{CE6537A1-D6FC-4f65-9D91-7224C49458BB}"/>
                <c:ext xmlns:c16="http://schemas.microsoft.com/office/drawing/2014/chart" uri="{C3380CC4-5D6E-409C-BE32-E72D297353CC}">
                  <c16:uniqueId val="{00000009-FE90-46E3-8685-508640C03D28}"/>
                </c:ext>
              </c:extLst>
            </c:dLbl>
            <c:dLbl>
              <c:idx val="4"/>
              <c:layout>
                <c:manualLayout>
                  <c:x val="-5.7003113937520306E-2"/>
                  <c:y val="5.905476605227286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FE90-46E3-8685-508640C03D28}"/>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Calibri" panose="020F0502020204030204" pitchFamily="34" charset="0"/>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ienakumiizdevumi!$C$27:$G$27</c:f>
              <c:numCache>
                <c:formatCode>General</c:formatCode>
                <c:ptCount val="5"/>
                <c:pt idx="0">
                  <c:v>2015</c:v>
                </c:pt>
                <c:pt idx="1">
                  <c:v>2016</c:v>
                </c:pt>
                <c:pt idx="2">
                  <c:v>2017</c:v>
                </c:pt>
                <c:pt idx="3">
                  <c:v>2018</c:v>
                </c:pt>
                <c:pt idx="4">
                  <c:v>2019</c:v>
                </c:pt>
              </c:numCache>
            </c:numRef>
          </c:cat>
          <c:val>
            <c:numRef>
              <c:f>ienakumiizdevumi!$C$29:$G$29</c:f>
              <c:numCache>
                <c:formatCode>_-* #,##0_-;\-* #,##0_-;_-* "-"??_-;_-@_-</c:formatCode>
                <c:ptCount val="5"/>
                <c:pt idx="0">
                  <c:v>57027</c:v>
                </c:pt>
                <c:pt idx="1">
                  <c:v>56840</c:v>
                </c:pt>
                <c:pt idx="2">
                  <c:v>55839</c:v>
                </c:pt>
                <c:pt idx="3">
                  <c:v>54856</c:v>
                </c:pt>
                <c:pt idx="4">
                  <c:v>54633</c:v>
                </c:pt>
              </c:numCache>
            </c:numRef>
          </c:val>
          <c:smooth val="0"/>
          <c:extLst>
            <c:ext xmlns:c16="http://schemas.microsoft.com/office/drawing/2014/chart" uri="{C3380CC4-5D6E-409C-BE32-E72D297353CC}">
              <c16:uniqueId val="{0000000B-FE90-46E3-8685-508640C03D28}"/>
            </c:ext>
          </c:extLst>
        </c:ser>
        <c:dLbls>
          <c:showLegendKey val="0"/>
          <c:showVal val="0"/>
          <c:showCatName val="0"/>
          <c:showSerName val="0"/>
          <c:showPercent val="0"/>
          <c:showBubbleSize val="0"/>
        </c:dLbls>
        <c:marker val="1"/>
        <c:smooth val="0"/>
        <c:axId val="333505224"/>
        <c:axId val="333511104"/>
      </c:lineChart>
      <c:catAx>
        <c:axId val="90978136"/>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Calibri" panose="020F0502020204030204" pitchFamily="34" charset="0"/>
                <a:ea typeface="+mn-ea"/>
                <a:cs typeface="+mn-cs"/>
              </a:defRPr>
            </a:pPr>
            <a:endParaRPr lang="lv-LV"/>
          </a:p>
        </c:txPr>
        <c:crossAx val="90978528"/>
        <c:crosses val="autoZero"/>
        <c:auto val="1"/>
        <c:lblAlgn val="ctr"/>
        <c:lblOffset val="1"/>
        <c:noMultiLvlLbl val="0"/>
      </c:catAx>
      <c:valAx>
        <c:axId val="90978528"/>
        <c:scaling>
          <c:orientation val="minMax"/>
        </c:scaling>
        <c:delete val="0"/>
        <c:axPos val="l"/>
        <c:majorGridlines>
          <c:spPr>
            <a:ln w="9525" cap="flat" cmpd="sng" algn="ctr">
              <a:solidFill>
                <a:schemeClr val="tx1">
                  <a:lumMod val="15000"/>
                  <a:lumOff val="85000"/>
                </a:schemeClr>
              </a:solidFill>
              <a:round/>
            </a:ln>
            <a:effectLst/>
          </c:spPr>
        </c:majorGridlines>
        <c:numFmt formatCode="_-* #,##0_-;\-*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Calibri" panose="020F0502020204030204" pitchFamily="34" charset="0"/>
                <a:ea typeface="+mn-ea"/>
                <a:cs typeface="+mn-cs"/>
              </a:defRPr>
            </a:pPr>
            <a:endParaRPr lang="lv-LV"/>
          </a:p>
        </c:txPr>
        <c:crossAx val="90978136"/>
        <c:crosses val="autoZero"/>
        <c:crossBetween val="between"/>
      </c:valAx>
      <c:valAx>
        <c:axId val="333511104"/>
        <c:scaling>
          <c:orientation val="minMax"/>
        </c:scaling>
        <c:delete val="0"/>
        <c:axPos val="r"/>
        <c:numFmt formatCode="_-* #,##0_-;\-* #,##0_-;_-* &quot;-&quot;??_-;_-@_-" sourceLinked="1"/>
        <c:majorTickMark val="out"/>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Calibri" panose="020F0502020204030204" pitchFamily="34" charset="0"/>
                <a:ea typeface="+mn-ea"/>
                <a:cs typeface="+mn-cs"/>
              </a:defRPr>
            </a:pPr>
            <a:endParaRPr lang="lv-LV"/>
          </a:p>
        </c:txPr>
        <c:crossAx val="333505224"/>
        <c:crosses val="max"/>
        <c:crossBetween val="between"/>
      </c:valAx>
      <c:catAx>
        <c:axId val="333505224"/>
        <c:scaling>
          <c:orientation val="minMax"/>
        </c:scaling>
        <c:delete val="1"/>
        <c:axPos val="b"/>
        <c:numFmt formatCode="General" sourceLinked="1"/>
        <c:majorTickMark val="out"/>
        <c:minorTickMark val="none"/>
        <c:tickLblPos val="nextTo"/>
        <c:crossAx val="333511104"/>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Calibri" panose="020F0502020204030204" pitchFamily="34" charset="0"/>
              <a:ea typeface="+mn-ea"/>
              <a:cs typeface="+mn-cs"/>
            </a:defRPr>
          </a:pPr>
          <a:endParaRPr lang="lv-LV"/>
        </a:p>
      </c:txPr>
    </c:legend>
    <c:plotVisOnly val="1"/>
    <c:dispBlanksAs val="gap"/>
    <c:showDLblsOverMax val="0"/>
  </c:chart>
  <c:spPr>
    <a:solidFill>
      <a:schemeClr val="bg1"/>
    </a:solidFill>
    <a:ln w="9525" cap="flat" cmpd="sng" algn="ctr">
      <a:noFill/>
      <a:round/>
    </a:ln>
    <a:effectLst/>
  </c:spPr>
  <c:txPr>
    <a:bodyPr/>
    <a:lstStyle/>
    <a:p>
      <a:pPr>
        <a:defRPr sz="1100" baseline="0">
          <a:latin typeface="Times New Roman" panose="02020603050405020304" pitchFamily="18" charset="0"/>
        </a:defRPr>
      </a:pPr>
      <a:endParaRPr lang="lv-LV"/>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Calibri" panose="020F0502020204030204" pitchFamily="34" charset="0"/>
                <a:ea typeface="+mn-ea"/>
                <a:cs typeface="+mn-cs"/>
              </a:defRPr>
            </a:pPr>
            <a:r>
              <a:rPr lang="lv-LV" sz="1200" baseline="0">
                <a:latin typeface="Calibri" panose="020F0502020204030204" pitchFamily="34" charset="0"/>
              </a:rPr>
              <a:t>Ieņēmum</a:t>
            </a:r>
            <a:r>
              <a:rPr lang="en-US" sz="1200" baseline="0">
                <a:latin typeface="Calibri" panose="020F0502020204030204" pitchFamily="34" charset="0"/>
              </a:rPr>
              <a:t>u izmaiņas valsts augstskolās 2019. gadā</a:t>
            </a:r>
            <a:r>
              <a:rPr lang="lv-LV" sz="1200" baseline="0">
                <a:latin typeface="Calibri" panose="020F0502020204030204" pitchFamily="34" charset="0"/>
              </a:rPr>
              <a:t> </a:t>
            </a:r>
            <a:endParaRPr lang="en-US" sz="1200" baseline="0">
              <a:latin typeface="Calibri" panose="020F050202020403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Calibri" panose="020F0502020204030204" pitchFamily="34" charset="0"/>
              <a:ea typeface="+mn-ea"/>
              <a:cs typeface="+mn-cs"/>
            </a:defRPr>
          </a:pPr>
          <a:endParaRPr lang="lv-LV"/>
        </a:p>
      </c:txPr>
    </c:title>
    <c:autoTitleDeleted val="0"/>
    <c:plotArea>
      <c:layout/>
      <c:lineChart>
        <c:grouping val="standard"/>
        <c:varyColors val="0"/>
        <c:ser>
          <c:idx val="1"/>
          <c:order val="1"/>
          <c:tx>
            <c:strRef>
              <c:f>ienemumi!$C$18</c:f>
              <c:strCache>
                <c:ptCount val="1"/>
                <c:pt idx="0">
                  <c:v>Vidējā vērtība</c:v>
                </c:pt>
              </c:strCache>
            </c:strRef>
          </c:tx>
          <c:spPr>
            <a:ln w="19050" cap="rnd">
              <a:solidFill>
                <a:schemeClr val="accent4">
                  <a:lumMod val="75000"/>
                  <a:alpha val="80000"/>
                </a:schemeClr>
              </a:solidFill>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0-93B8-4281-8E47-509D6FAECC2C}"/>
                </c:ext>
              </c:extLst>
            </c:dLbl>
            <c:dLbl>
              <c:idx val="1"/>
              <c:delete val="1"/>
              <c:extLst>
                <c:ext xmlns:c15="http://schemas.microsoft.com/office/drawing/2012/chart" uri="{CE6537A1-D6FC-4f65-9D91-7224C49458BB}"/>
                <c:ext xmlns:c16="http://schemas.microsoft.com/office/drawing/2014/chart" uri="{C3380CC4-5D6E-409C-BE32-E72D297353CC}">
                  <c16:uniqueId val="{00000001-93B8-4281-8E47-509D6FAECC2C}"/>
                </c:ext>
              </c:extLst>
            </c:dLbl>
            <c:dLbl>
              <c:idx val="2"/>
              <c:delete val="1"/>
              <c:extLst>
                <c:ext xmlns:c15="http://schemas.microsoft.com/office/drawing/2012/chart" uri="{CE6537A1-D6FC-4f65-9D91-7224C49458BB}"/>
                <c:ext xmlns:c16="http://schemas.microsoft.com/office/drawing/2014/chart" uri="{C3380CC4-5D6E-409C-BE32-E72D297353CC}">
                  <c16:uniqueId val="{00000002-93B8-4281-8E47-509D6FAECC2C}"/>
                </c:ext>
              </c:extLst>
            </c:dLbl>
            <c:dLbl>
              <c:idx val="3"/>
              <c:delete val="1"/>
              <c:extLst>
                <c:ext xmlns:c15="http://schemas.microsoft.com/office/drawing/2012/chart" uri="{CE6537A1-D6FC-4f65-9D91-7224C49458BB}"/>
                <c:ext xmlns:c16="http://schemas.microsoft.com/office/drawing/2014/chart" uri="{C3380CC4-5D6E-409C-BE32-E72D297353CC}">
                  <c16:uniqueId val="{00000003-93B8-4281-8E47-509D6FAECC2C}"/>
                </c:ext>
              </c:extLst>
            </c:dLbl>
            <c:dLbl>
              <c:idx val="4"/>
              <c:delete val="1"/>
              <c:extLst>
                <c:ext xmlns:c15="http://schemas.microsoft.com/office/drawing/2012/chart" uri="{CE6537A1-D6FC-4f65-9D91-7224C49458BB}"/>
                <c:ext xmlns:c16="http://schemas.microsoft.com/office/drawing/2014/chart" uri="{C3380CC4-5D6E-409C-BE32-E72D297353CC}">
                  <c16:uniqueId val="{00000004-93B8-4281-8E47-509D6FAECC2C}"/>
                </c:ext>
              </c:extLst>
            </c:dLbl>
            <c:dLbl>
              <c:idx val="5"/>
              <c:delete val="1"/>
              <c:extLst>
                <c:ext xmlns:c15="http://schemas.microsoft.com/office/drawing/2012/chart" uri="{CE6537A1-D6FC-4f65-9D91-7224C49458BB}"/>
                <c:ext xmlns:c16="http://schemas.microsoft.com/office/drawing/2014/chart" uri="{C3380CC4-5D6E-409C-BE32-E72D297353CC}">
                  <c16:uniqueId val="{00000005-93B8-4281-8E47-509D6FAECC2C}"/>
                </c:ext>
              </c:extLst>
            </c:dLbl>
            <c:dLbl>
              <c:idx val="6"/>
              <c:delete val="1"/>
              <c:extLst>
                <c:ext xmlns:c15="http://schemas.microsoft.com/office/drawing/2012/chart" uri="{CE6537A1-D6FC-4f65-9D91-7224C49458BB}"/>
                <c:ext xmlns:c16="http://schemas.microsoft.com/office/drawing/2014/chart" uri="{C3380CC4-5D6E-409C-BE32-E72D297353CC}">
                  <c16:uniqueId val="{00000006-93B8-4281-8E47-509D6FAECC2C}"/>
                </c:ext>
              </c:extLst>
            </c:dLbl>
            <c:dLbl>
              <c:idx val="7"/>
              <c:delete val="1"/>
              <c:extLst>
                <c:ext xmlns:c15="http://schemas.microsoft.com/office/drawing/2012/chart" uri="{CE6537A1-D6FC-4f65-9D91-7224C49458BB}"/>
                <c:ext xmlns:c16="http://schemas.microsoft.com/office/drawing/2014/chart" uri="{C3380CC4-5D6E-409C-BE32-E72D297353CC}">
                  <c16:uniqueId val="{00000007-93B8-4281-8E47-509D6FAECC2C}"/>
                </c:ext>
              </c:extLst>
            </c:dLbl>
            <c:dLbl>
              <c:idx val="8"/>
              <c:delete val="1"/>
              <c:extLst>
                <c:ext xmlns:c15="http://schemas.microsoft.com/office/drawing/2012/chart" uri="{CE6537A1-D6FC-4f65-9D91-7224C49458BB}"/>
                <c:ext xmlns:c16="http://schemas.microsoft.com/office/drawing/2014/chart" uri="{C3380CC4-5D6E-409C-BE32-E72D297353CC}">
                  <c16:uniqueId val="{00000008-93B8-4281-8E47-509D6FAECC2C}"/>
                </c:ext>
              </c:extLst>
            </c:dLbl>
            <c:dLbl>
              <c:idx val="9"/>
              <c:delete val="1"/>
              <c:extLst>
                <c:ext xmlns:c15="http://schemas.microsoft.com/office/drawing/2012/chart" uri="{CE6537A1-D6FC-4f65-9D91-7224C49458BB}"/>
                <c:ext xmlns:c16="http://schemas.microsoft.com/office/drawing/2014/chart" uri="{C3380CC4-5D6E-409C-BE32-E72D297353CC}">
                  <c16:uniqueId val="{00000009-93B8-4281-8E47-509D6FAECC2C}"/>
                </c:ext>
              </c:extLst>
            </c:dLbl>
            <c:dLbl>
              <c:idx val="10"/>
              <c:layout>
                <c:manualLayout>
                  <c:x val="8.493346204172933E-2"/>
                  <c:y val="-4.550625711035259E-2"/>
                </c:manualLayout>
              </c:layout>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Calibri" panose="020F0502020204030204" pitchFamily="34" charset="0"/>
                      <a:ea typeface="+mn-ea"/>
                      <a:cs typeface="+mn-cs"/>
                    </a:defRPr>
                  </a:pPr>
                  <a:endParaRPr lang="lv-LV"/>
                </a:p>
              </c:txPr>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A-93B8-4281-8E47-509D6FAECC2C}"/>
                </c:ext>
              </c:extLst>
            </c:dLbl>
            <c:dLbl>
              <c:idx val="11"/>
              <c:delete val="1"/>
              <c:extLst>
                <c:ext xmlns:c15="http://schemas.microsoft.com/office/drawing/2012/chart" uri="{CE6537A1-D6FC-4f65-9D91-7224C49458BB}"/>
                <c:ext xmlns:c16="http://schemas.microsoft.com/office/drawing/2014/chart" uri="{C3380CC4-5D6E-409C-BE32-E72D297353CC}">
                  <c16:uniqueId val="{0000000B-93B8-4281-8E47-509D6FAECC2C}"/>
                </c:ext>
              </c:extLst>
            </c:dLbl>
            <c:dLbl>
              <c:idx val="12"/>
              <c:delete val="1"/>
              <c:extLst>
                <c:ext xmlns:c15="http://schemas.microsoft.com/office/drawing/2012/chart" uri="{CE6537A1-D6FC-4f65-9D91-7224C49458BB}"/>
                <c:ext xmlns:c16="http://schemas.microsoft.com/office/drawing/2014/chart" uri="{C3380CC4-5D6E-409C-BE32-E72D297353CC}">
                  <c16:uniqueId val="{0000000C-93B8-4281-8E47-509D6FAECC2C}"/>
                </c:ext>
              </c:extLst>
            </c:dLbl>
            <c:dLbl>
              <c:idx val="13"/>
              <c:delete val="1"/>
              <c:extLst>
                <c:ext xmlns:c15="http://schemas.microsoft.com/office/drawing/2012/chart" uri="{CE6537A1-D6FC-4f65-9D91-7224C49458BB}"/>
                <c:ext xmlns:c16="http://schemas.microsoft.com/office/drawing/2014/chart" uri="{C3380CC4-5D6E-409C-BE32-E72D297353CC}">
                  <c16:uniqueId val="{0000000D-93B8-4281-8E47-509D6FAECC2C}"/>
                </c:ext>
              </c:extLst>
            </c:dLbl>
            <c:dLbl>
              <c:idx val="14"/>
              <c:delete val="1"/>
              <c:extLst>
                <c:ext xmlns:c15="http://schemas.microsoft.com/office/drawing/2012/chart" uri="{CE6537A1-D6FC-4f65-9D91-7224C49458BB}"/>
                <c:ext xmlns:c16="http://schemas.microsoft.com/office/drawing/2014/chart" uri="{C3380CC4-5D6E-409C-BE32-E72D297353CC}">
                  <c16:uniqueId val="{0000000E-93B8-4281-8E47-509D6FAECC2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cat>
            <c:strRef>
              <c:f>ienemumi!$A$19:$A$33</c:f>
              <c:strCache>
                <c:ptCount val="15"/>
                <c:pt idx="0">
                  <c:v>DU</c:v>
                </c:pt>
                <c:pt idx="1">
                  <c:v>LSPA</c:v>
                </c:pt>
                <c:pt idx="2">
                  <c:v>RTU</c:v>
                </c:pt>
                <c:pt idx="3">
                  <c:v>RSU</c:v>
                </c:pt>
                <c:pt idx="4">
                  <c:v>LMA</c:v>
                </c:pt>
                <c:pt idx="5">
                  <c:v>LU</c:v>
                </c:pt>
                <c:pt idx="6">
                  <c:v>LiepU</c:v>
                </c:pt>
                <c:pt idx="7">
                  <c:v>RTA</c:v>
                </c:pt>
                <c:pt idx="8">
                  <c:v>JVLMA</c:v>
                </c:pt>
                <c:pt idx="9">
                  <c:v>LLU</c:v>
                </c:pt>
                <c:pt idx="10">
                  <c:v>ViA</c:v>
                </c:pt>
                <c:pt idx="11">
                  <c:v>LKA</c:v>
                </c:pt>
                <c:pt idx="12">
                  <c:v>BA</c:v>
                </c:pt>
                <c:pt idx="13">
                  <c:v>LJA</c:v>
                </c:pt>
                <c:pt idx="14">
                  <c:v>VeA</c:v>
                </c:pt>
              </c:strCache>
            </c:strRef>
          </c:cat>
          <c:val>
            <c:numRef>
              <c:f>ienemumi!$C$19:$C$33</c:f>
              <c:numCache>
                <c:formatCode>0%</c:formatCode>
                <c:ptCount val="15"/>
                <c:pt idx="0">
                  <c:v>0.34964692001365122</c:v>
                </c:pt>
                <c:pt idx="1">
                  <c:v>0.35</c:v>
                </c:pt>
                <c:pt idx="2">
                  <c:v>0.35</c:v>
                </c:pt>
                <c:pt idx="3">
                  <c:v>0.35</c:v>
                </c:pt>
                <c:pt idx="4">
                  <c:v>0.35</c:v>
                </c:pt>
                <c:pt idx="5">
                  <c:v>0.35</c:v>
                </c:pt>
                <c:pt idx="6">
                  <c:v>0.35</c:v>
                </c:pt>
                <c:pt idx="7">
                  <c:v>0.35</c:v>
                </c:pt>
                <c:pt idx="8">
                  <c:v>0.35</c:v>
                </c:pt>
                <c:pt idx="9">
                  <c:v>0.35</c:v>
                </c:pt>
                <c:pt idx="10">
                  <c:v>0.35</c:v>
                </c:pt>
                <c:pt idx="11">
                  <c:v>0.35</c:v>
                </c:pt>
                <c:pt idx="12">
                  <c:v>0.35</c:v>
                </c:pt>
                <c:pt idx="13">
                  <c:v>0.35</c:v>
                </c:pt>
                <c:pt idx="14">
                  <c:v>0.35</c:v>
                </c:pt>
              </c:numCache>
            </c:numRef>
          </c:val>
          <c:smooth val="0"/>
          <c:extLst>
            <c:ext xmlns:c16="http://schemas.microsoft.com/office/drawing/2014/chart" uri="{C3380CC4-5D6E-409C-BE32-E72D297353CC}">
              <c16:uniqueId val="{00000003-2A8C-45BC-9CAD-CE255851DD39}"/>
            </c:ext>
          </c:extLst>
        </c:ser>
        <c:dLbls>
          <c:showLegendKey val="0"/>
          <c:showVal val="0"/>
          <c:showCatName val="0"/>
          <c:showSerName val="0"/>
          <c:showPercent val="0"/>
          <c:showBubbleSize val="0"/>
        </c:dLbls>
        <c:marker val="1"/>
        <c:smooth val="0"/>
        <c:axId val="323446720"/>
        <c:axId val="323447112"/>
      </c:lineChart>
      <c:scatterChart>
        <c:scatterStyle val="lineMarker"/>
        <c:varyColors val="0"/>
        <c:ser>
          <c:idx val="0"/>
          <c:order val="0"/>
          <c:tx>
            <c:strRef>
              <c:f>ienemumi!$B$18</c:f>
              <c:strCache>
                <c:ptCount val="1"/>
                <c:pt idx="0">
                  <c:v>Starpība attiecībā pret 2015.gadu</c:v>
                </c:pt>
              </c:strCache>
            </c:strRef>
          </c:tx>
          <c:spPr>
            <a:ln w="25400" cap="rnd">
              <a:noFill/>
              <a:round/>
            </a:ln>
            <a:effectLst/>
          </c:spPr>
          <c:marker>
            <c:symbol val="circle"/>
            <c:size val="5"/>
            <c:spPr>
              <a:solidFill>
                <a:schemeClr val="accent4">
                  <a:lumMod val="60000"/>
                  <a:lumOff val="40000"/>
                </a:schemeClr>
              </a:solidFill>
              <a:ln w="22225">
                <a:solidFill>
                  <a:schemeClr val="accent4">
                    <a:lumMod val="60000"/>
                    <a:lumOff val="40000"/>
                  </a:schemeClr>
                </a:solidFill>
              </a:ln>
              <a:effectLst/>
            </c:spPr>
          </c:marker>
          <c:dLbls>
            <c:dLbl>
              <c:idx val="0"/>
              <c:layout>
                <c:manualLayout>
                  <c:x val="-2.9734270703285492E-2"/>
                  <c:y val="5.7896432651043918E-2"/>
                </c:manualLayout>
              </c:layout>
              <c:dLblPos val="r"/>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F-93B8-4281-8E47-509D6FAECC2C}"/>
                </c:ext>
              </c:extLst>
            </c:dLbl>
            <c:dLbl>
              <c:idx val="7"/>
              <c:layout>
                <c:manualLayout>
                  <c:x val="-4.1683305189371175E-2"/>
                  <c:y val="-4.8057653202905948E-2"/>
                </c:manualLayout>
              </c:layout>
              <c:dLblPos val="r"/>
              <c:showLegendKey val="0"/>
              <c:showVal val="0"/>
              <c:showCatName val="1"/>
              <c:showSerName val="0"/>
              <c:showPercent val="0"/>
              <c:showBubbleSize val="0"/>
              <c:extLst>
                <c:ext xmlns:c15="http://schemas.microsoft.com/office/drawing/2012/chart" uri="{CE6537A1-D6FC-4f65-9D91-7224C49458BB}">
                  <c15:layout>
                    <c:manualLayout>
                      <c:w val="6.2892043338873299E-2"/>
                      <c:h val="6.4262001379520386E-2"/>
                    </c:manualLayout>
                  </c15:layout>
                </c:ext>
                <c:ext xmlns:c16="http://schemas.microsoft.com/office/drawing/2014/chart" uri="{C3380CC4-5D6E-409C-BE32-E72D297353CC}">
                  <c16:uniqueId val="{00000010-93B8-4281-8E47-509D6FAECC2C}"/>
                </c:ext>
              </c:extLst>
            </c:dLbl>
            <c:dLbl>
              <c:idx val="9"/>
              <c:layout>
                <c:manualLayout>
                  <c:x val="-4.0383256591195994E-2"/>
                  <c:y val="5.6606738150905202E-2"/>
                </c:manualLayout>
              </c:layout>
              <c:dLblPos val="r"/>
              <c:showLegendKey val="0"/>
              <c:showVal val="0"/>
              <c:showCatName val="1"/>
              <c:showSerName val="0"/>
              <c:showPercent val="0"/>
              <c:showBubbleSize val="0"/>
              <c:extLst>
                <c:ext xmlns:c15="http://schemas.microsoft.com/office/drawing/2012/chart" uri="{CE6537A1-D6FC-4f65-9D91-7224C49458BB}">
                  <c15:layout>
                    <c:manualLayout>
                      <c:w val="5.5391475719514298E-2"/>
                      <c:h val="6.4262001379520386E-2"/>
                    </c:manualLayout>
                  </c15:layout>
                </c:ext>
                <c:ext xmlns:c16="http://schemas.microsoft.com/office/drawing/2014/chart" uri="{C3380CC4-5D6E-409C-BE32-E72D297353CC}">
                  <c16:uniqueId val="{00000011-93B8-4281-8E47-509D6FAECC2C}"/>
                </c:ext>
              </c:extLst>
            </c:dLbl>
            <c:dLbl>
              <c:idx val="10"/>
              <c:layout>
                <c:manualLayout>
                  <c:x val="-2.8629493171092622E-2"/>
                  <c:y val="5.6606738150905112E-2"/>
                </c:manualLayout>
              </c:layout>
              <c:dLblPos val="r"/>
              <c:showLegendKey val="0"/>
              <c:showVal val="0"/>
              <c:showCatName val="1"/>
              <c:showSerName val="0"/>
              <c:showPercent val="0"/>
              <c:showBubbleSize val="0"/>
              <c:extLst>
                <c:ext xmlns:c15="http://schemas.microsoft.com/office/drawing/2012/chart" uri="{CE6537A1-D6FC-4f65-9D91-7224C49458BB}">
                  <c15:layout>
                    <c:manualLayout>
                      <c:w val="4.161349208511566E-2"/>
                      <c:h val="6.4262001379520386E-2"/>
                    </c:manualLayout>
                  </c15:layout>
                </c:ext>
                <c:ext xmlns:c16="http://schemas.microsoft.com/office/drawing/2014/chart" uri="{C3380CC4-5D6E-409C-BE32-E72D297353CC}">
                  <c16:uniqueId val="{00000012-93B8-4281-8E47-509D6FAECC2C}"/>
                </c:ext>
              </c:extLst>
            </c:dLbl>
            <c:dLbl>
              <c:idx val="11"/>
              <c:layout>
                <c:manualLayout>
                  <c:x val="-3.221299495918855E-2"/>
                  <c:y val="6.7154321721121762E-2"/>
                </c:manualLayout>
              </c:layout>
              <c:dLblPos val="r"/>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3-93B8-4281-8E47-509D6FAECC2C}"/>
                </c:ext>
              </c:extLst>
            </c:dLbl>
            <c:dLbl>
              <c:idx val="12"/>
              <c:layout>
                <c:manualLayout>
                  <c:x val="-2.846860955246687E-2"/>
                  <c:y val="5.7896432651043835E-2"/>
                </c:manualLayout>
              </c:layout>
              <c:dLblPos val="r"/>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4-93B8-4281-8E47-509D6FAECC2C}"/>
                </c:ext>
              </c:extLst>
            </c:dLbl>
            <c:dLbl>
              <c:idx val="13"/>
              <c:layout>
                <c:manualLayout>
                  <c:x val="-3.0317149675513064E-2"/>
                  <c:y val="6.2525377186082753E-2"/>
                </c:manualLayout>
              </c:layout>
              <c:dLblPos val="r"/>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5-93B8-4281-8E47-509D6FAECC2C}"/>
                </c:ext>
              </c:extLst>
            </c:dLbl>
            <c:spPr>
              <a:solidFill>
                <a:sysClr val="window" lastClr="FFFFFF"/>
              </a:solidFill>
              <a:ln>
                <a:noFill/>
              </a:ln>
              <a:effectLst/>
            </c:spPr>
            <c:txPr>
              <a:bodyPr rot="0" spcFirstLastPara="1" vertOverflow="clip" horzOverflow="clip" vert="horz" wrap="none" lIns="38100" tIns="19050" rIns="38100" bIns="19050" anchor="ctr" anchorCtr="1">
                <a:noAutofit/>
              </a:bodyPr>
              <a:lstStyle/>
              <a:p>
                <a:pPr>
                  <a:defRPr sz="900" b="0" i="0" u="none" strike="noStrike" kern="1200" baseline="0">
                    <a:solidFill>
                      <a:schemeClr val="dk1">
                        <a:lumMod val="65000"/>
                        <a:lumOff val="35000"/>
                      </a:schemeClr>
                    </a:solidFill>
                    <a:latin typeface="Calibri" panose="020F0502020204030204" pitchFamily="34" charset="0"/>
                    <a:ea typeface="+mn-ea"/>
                    <a:cs typeface="+mn-cs"/>
                  </a:defRPr>
                </a:pPr>
                <a:endParaRPr lang="lv-LV"/>
              </a:p>
            </c:txPr>
            <c:dLblPos val="t"/>
            <c:showLegendKey val="0"/>
            <c:showVal val="0"/>
            <c:showCatName val="1"/>
            <c:showSerName val="0"/>
            <c:showPercent val="0"/>
            <c:showBubbleSize val="0"/>
            <c:showLeaderLines val="0"/>
            <c:extLst>
              <c:ext xmlns:c15="http://schemas.microsoft.com/office/drawing/2012/chart" uri="{CE6537A1-D6FC-4f65-9D91-7224C49458BB}">
                <c15:spPr xmlns:c15="http://schemas.microsoft.com/office/drawing/2012/chart">
                  <a:prstGeom prst="accentCallout2">
                    <a:avLst/>
                  </a:prstGeom>
                  <a:noFill/>
                  <a:ln>
                    <a:noFill/>
                  </a:ln>
                </c15:spPr>
                <c15:showLeaderLines val="0"/>
              </c:ext>
            </c:extLst>
          </c:dLbls>
          <c:xVal>
            <c:strRef>
              <c:f>ienemumi!$A$19:$A$33</c:f>
              <c:strCache>
                <c:ptCount val="15"/>
                <c:pt idx="0">
                  <c:v>DU</c:v>
                </c:pt>
                <c:pt idx="1">
                  <c:v>LSPA</c:v>
                </c:pt>
                <c:pt idx="2">
                  <c:v>RTU</c:v>
                </c:pt>
                <c:pt idx="3">
                  <c:v>RSU</c:v>
                </c:pt>
                <c:pt idx="4">
                  <c:v>LMA</c:v>
                </c:pt>
                <c:pt idx="5">
                  <c:v>LU</c:v>
                </c:pt>
                <c:pt idx="6">
                  <c:v>LiepU</c:v>
                </c:pt>
                <c:pt idx="7">
                  <c:v>RTA</c:v>
                </c:pt>
                <c:pt idx="8">
                  <c:v>JVLMA</c:v>
                </c:pt>
                <c:pt idx="9">
                  <c:v>LLU</c:v>
                </c:pt>
                <c:pt idx="10">
                  <c:v>ViA</c:v>
                </c:pt>
                <c:pt idx="11">
                  <c:v>LKA</c:v>
                </c:pt>
                <c:pt idx="12">
                  <c:v>BA</c:v>
                </c:pt>
                <c:pt idx="13">
                  <c:v>LJA</c:v>
                </c:pt>
                <c:pt idx="14">
                  <c:v>VeA</c:v>
                </c:pt>
              </c:strCache>
            </c:strRef>
          </c:xVal>
          <c:yVal>
            <c:numRef>
              <c:f>ienemumi!$B$19:$B$33</c:f>
              <c:numCache>
                <c:formatCode>0%</c:formatCode>
                <c:ptCount val="15"/>
                <c:pt idx="0">
                  <c:v>0.75879505798019897</c:v>
                </c:pt>
                <c:pt idx="1">
                  <c:v>0.60317531399229884</c:v>
                </c:pt>
                <c:pt idx="2">
                  <c:v>0.4174411299669033</c:v>
                </c:pt>
                <c:pt idx="3">
                  <c:v>0.41043142750031819</c:v>
                </c:pt>
                <c:pt idx="4">
                  <c:v>0.36408925236424472</c:v>
                </c:pt>
                <c:pt idx="5">
                  <c:v>0.3521385459505072</c:v>
                </c:pt>
                <c:pt idx="6">
                  <c:v>0.34381245244779107</c:v>
                </c:pt>
                <c:pt idx="7">
                  <c:v>0.34068403735204777</c:v>
                </c:pt>
                <c:pt idx="8">
                  <c:v>0.33145957146688731</c:v>
                </c:pt>
                <c:pt idx="9">
                  <c:v>0.31753485263399844</c:v>
                </c:pt>
                <c:pt idx="10">
                  <c:v>0.31389781780778203</c:v>
                </c:pt>
                <c:pt idx="11">
                  <c:v>0.28350328090735138</c:v>
                </c:pt>
                <c:pt idx="12">
                  <c:v>0.24493195704051704</c:v>
                </c:pt>
                <c:pt idx="13">
                  <c:v>0.17396356230025084</c:v>
                </c:pt>
                <c:pt idx="14">
                  <c:v>-1.1154459506327999E-2</c:v>
                </c:pt>
              </c:numCache>
            </c:numRef>
          </c:yVal>
          <c:smooth val="0"/>
          <c:extLst>
            <c:ext xmlns:c16="http://schemas.microsoft.com/office/drawing/2014/chart" uri="{C3380CC4-5D6E-409C-BE32-E72D297353CC}">
              <c16:uniqueId val="{00000000-CBB2-4B5D-983A-2B25D91F4E31}"/>
            </c:ext>
          </c:extLst>
        </c:ser>
        <c:dLbls>
          <c:showLegendKey val="0"/>
          <c:showVal val="0"/>
          <c:showCatName val="0"/>
          <c:showSerName val="0"/>
          <c:showPercent val="0"/>
          <c:showBubbleSize val="0"/>
        </c:dLbls>
        <c:axId val="323446720"/>
        <c:axId val="323447112"/>
      </c:scatterChart>
      <c:catAx>
        <c:axId val="323446720"/>
        <c:scaling>
          <c:orientation val="minMax"/>
        </c:scaling>
        <c:delete val="1"/>
        <c:axPos val="b"/>
        <c:majorGridlines>
          <c:spPr>
            <a:ln w="9525" cap="flat" cmpd="sng" algn="ctr">
              <a:noFill/>
              <a:round/>
            </a:ln>
            <a:effectLst/>
          </c:spPr>
        </c:majorGridlines>
        <c:numFmt formatCode="General" sourceLinked="1"/>
        <c:majorTickMark val="none"/>
        <c:minorTickMark val="none"/>
        <c:tickLblPos val="low"/>
        <c:crossAx val="323447112"/>
        <c:crosses val="autoZero"/>
        <c:auto val="1"/>
        <c:lblAlgn val="ctr"/>
        <c:lblOffset val="100"/>
        <c:noMultiLvlLbl val="1"/>
      </c:catAx>
      <c:valAx>
        <c:axId val="32344711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Calibri" panose="020F0502020204030204" pitchFamily="34" charset="0"/>
                <a:ea typeface="+mn-ea"/>
                <a:cs typeface="+mn-cs"/>
              </a:defRPr>
            </a:pPr>
            <a:endParaRPr lang="lv-LV"/>
          </a:p>
        </c:txPr>
        <c:crossAx val="32344672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Calibri" panose="020F0502020204030204" pitchFamily="34" charset="0"/>
                <a:ea typeface="+mn-ea"/>
                <a:cs typeface="+mn-cs"/>
              </a:defRPr>
            </a:pPr>
            <a:r>
              <a:rPr lang="en-US" sz="1100" baseline="0">
                <a:latin typeface="Calibri" panose="020F0502020204030204" pitchFamily="34" charset="0"/>
              </a:rPr>
              <a:t>A</a:t>
            </a:r>
            <a:r>
              <a:rPr lang="lv-LV" sz="1100" baseline="0">
                <a:latin typeface="Calibri" panose="020F0502020204030204" pitchFamily="34" charset="0"/>
              </a:rPr>
              <a:t>ugstskolu i</a:t>
            </a:r>
            <a:r>
              <a:rPr lang="en-US" sz="1100" baseline="0">
                <a:latin typeface="Calibri" panose="020F0502020204030204" pitchFamily="34" charset="0"/>
              </a:rPr>
              <a:t>eņēmumu </a:t>
            </a:r>
            <a:r>
              <a:rPr lang="lv-LV" sz="1100" baseline="0">
                <a:latin typeface="Calibri" panose="020F0502020204030204" pitchFamily="34" charset="0"/>
              </a:rPr>
              <a:t>struktūr</a:t>
            </a:r>
            <a:r>
              <a:rPr lang="en-US" sz="1100" baseline="0">
                <a:latin typeface="Calibri" panose="020F0502020204030204" pitchFamily="34" charset="0"/>
              </a:rPr>
              <a:t>a</a:t>
            </a:r>
            <a:endParaRPr lang="lv-LV" sz="1100" baseline="0">
              <a:latin typeface="Calibri" panose="020F0502020204030204" pitchFamily="34" charset="0"/>
            </a:endParaRP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Calibri" panose="020F0502020204030204" pitchFamily="34" charset="0"/>
              <a:ea typeface="+mn-ea"/>
              <a:cs typeface="+mn-cs"/>
            </a:defRPr>
          </a:pPr>
          <a:endParaRPr lang="lv-LV"/>
        </a:p>
      </c:txPr>
    </c:title>
    <c:autoTitleDeleted val="0"/>
    <c:plotArea>
      <c:layout/>
      <c:barChart>
        <c:barDir val="col"/>
        <c:grouping val="percentStacked"/>
        <c:varyColors val="0"/>
        <c:ser>
          <c:idx val="0"/>
          <c:order val="0"/>
          <c:tx>
            <c:strRef>
              <c:f>'ien2019'!$B$104</c:f>
              <c:strCache>
                <c:ptCount val="1"/>
                <c:pt idx="0">
                  <c:v>Valsts budžeta dotācija</c:v>
                </c:pt>
              </c:strCache>
            </c:strRef>
          </c:tx>
          <c:spPr>
            <a:solidFill>
              <a:srgbClr val="7A5E9C"/>
            </a:solidFill>
            <a:ln>
              <a:solidFill>
                <a:schemeClr val="accent4">
                  <a:lumMod val="60000"/>
                  <a:lumOff val="40000"/>
                </a:schemeClr>
              </a:solidFill>
            </a:ln>
            <a:effectLst/>
          </c:spPr>
          <c:invertIfNegative val="0"/>
          <c:dLbls>
            <c:dLbl>
              <c:idx val="1"/>
              <c:layout>
                <c:manualLayout>
                  <c:x val="0.14223261810866991"/>
                  <c:y val="-3.929573625860637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A8C-48F7-A84B-0345D3815ACD}"/>
                </c:ext>
              </c:extLst>
            </c:dLbl>
            <c:spPr>
              <a:noFill/>
              <a:ln>
                <a:noFill/>
              </a:ln>
              <a:effectLst/>
            </c:spPr>
            <c:txPr>
              <a:bodyPr rot="0" spcFirstLastPara="1" vertOverflow="ellipsis" horzOverflow="clip" vert="horz" wrap="square" lIns="36576" tIns="18288" rIns="36576" bIns="18288" anchor="ctr" anchorCtr="1">
                <a:spAutoFit/>
              </a:bodyPr>
              <a:lstStyle/>
              <a:p>
                <a:pPr>
                  <a:defRPr sz="1000" b="0" i="0" u="none" strike="noStrike" kern="1200" baseline="0">
                    <a:solidFill>
                      <a:schemeClr val="tx1">
                        <a:lumMod val="75000"/>
                        <a:lumOff val="25000"/>
                      </a:schemeClr>
                    </a:solidFill>
                    <a:latin typeface="Calibri" panose="020F0502020204030204" pitchFamily="34" charset="0"/>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a:noFill/>
                  <a:ln>
                    <a:noFill/>
                  </a:ln>
                </c15:spPr>
                <c15:showLeaderLines val="1"/>
                <c15:leaderLines>
                  <c:spPr>
                    <a:ln w="9525" cap="flat" cmpd="sng" algn="ctr">
                      <a:solidFill>
                        <a:schemeClr val="tx1">
                          <a:lumMod val="35000"/>
                          <a:lumOff val="65000"/>
                        </a:schemeClr>
                      </a:solidFill>
                      <a:round/>
                    </a:ln>
                    <a:effectLst/>
                  </c:spPr>
                </c15:leaderLines>
              </c:ext>
            </c:extLst>
          </c:dLbls>
          <c:cat>
            <c:strRef>
              <c:f>'ien2019'!$A$105:$A$106</c:f>
              <c:strCache>
                <c:ptCount val="2"/>
                <c:pt idx="0">
                  <c:v>Valsts augstskolas</c:v>
                </c:pt>
                <c:pt idx="1">
                  <c:v>Privātās augstskolas</c:v>
                </c:pt>
              </c:strCache>
            </c:strRef>
          </c:cat>
          <c:val>
            <c:numRef>
              <c:f>'ien2019'!$B$105:$B$106</c:f>
              <c:numCache>
                <c:formatCode>0%</c:formatCode>
                <c:ptCount val="2"/>
                <c:pt idx="0">
                  <c:v>0.35881381809786544</c:v>
                </c:pt>
                <c:pt idx="1">
                  <c:v>1.0625152796100311E-2</c:v>
                </c:pt>
              </c:numCache>
            </c:numRef>
          </c:val>
          <c:extLst>
            <c:ext xmlns:c16="http://schemas.microsoft.com/office/drawing/2014/chart" uri="{C3380CC4-5D6E-409C-BE32-E72D297353CC}">
              <c16:uniqueId val="{00000001-8A8C-48F7-A84B-0345D3815ACD}"/>
            </c:ext>
          </c:extLst>
        </c:ser>
        <c:ser>
          <c:idx val="1"/>
          <c:order val="1"/>
          <c:tx>
            <c:strRef>
              <c:f>'ien2019'!$C$104</c:f>
              <c:strCache>
                <c:ptCount val="1"/>
                <c:pt idx="0">
                  <c:v>Studiju maksa</c:v>
                </c:pt>
              </c:strCache>
            </c:strRef>
          </c:tx>
          <c:spPr>
            <a:solidFill>
              <a:schemeClr val="accent4">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Calibri" panose="020F0502020204030204" pitchFamily="34" charset="0"/>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'ien2019'!$A$105:$A$106</c:f>
              <c:strCache>
                <c:ptCount val="2"/>
                <c:pt idx="0">
                  <c:v>Valsts augstskolas</c:v>
                </c:pt>
                <c:pt idx="1">
                  <c:v>Privātās augstskolas</c:v>
                </c:pt>
              </c:strCache>
            </c:strRef>
          </c:cat>
          <c:val>
            <c:numRef>
              <c:f>'ien2019'!$C$105:$C$106</c:f>
              <c:numCache>
                <c:formatCode>0%</c:formatCode>
                <c:ptCount val="2"/>
                <c:pt idx="0">
                  <c:v>0.16971577707163787</c:v>
                </c:pt>
                <c:pt idx="1">
                  <c:v>0.67765723355005358</c:v>
                </c:pt>
              </c:numCache>
            </c:numRef>
          </c:val>
          <c:extLst>
            <c:ext xmlns:c16="http://schemas.microsoft.com/office/drawing/2014/chart" uri="{C3380CC4-5D6E-409C-BE32-E72D297353CC}">
              <c16:uniqueId val="{00000002-8A8C-48F7-A84B-0345D3815ACD}"/>
            </c:ext>
          </c:extLst>
        </c:ser>
        <c:ser>
          <c:idx val="2"/>
          <c:order val="2"/>
          <c:tx>
            <c:strRef>
              <c:f>'ien2019'!$D$104</c:f>
              <c:strCache>
                <c:ptCount val="1"/>
                <c:pt idx="0">
                  <c:v>Starptaut. finans. studijām</c:v>
                </c:pt>
              </c:strCache>
            </c:strRef>
          </c:tx>
          <c:spPr>
            <a:solidFill>
              <a:srgbClr val="8064A2">
                <a:lumMod val="20000"/>
                <a:lumOff val="80000"/>
              </a:srgbClr>
            </a:solidFill>
            <a:ln>
              <a:noFill/>
            </a:ln>
            <a:effectLst/>
          </c:spPr>
          <c:invertIfNegative val="0"/>
          <c:dLbls>
            <c:dLbl>
              <c:idx val="0"/>
              <c:layout>
                <c:manualLayout>
                  <c:x val="0.12659565348277593"/>
                  <c:y val="2.188882593902201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9A3-4780-B66F-AF2CA40A38B6}"/>
                </c:ext>
              </c:extLst>
            </c:dLbl>
            <c:dLbl>
              <c:idx val="1"/>
              <c:layout>
                <c:manualLayout>
                  <c:x val="0.11969043602007906"/>
                  <c:y val="5.315857728048203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9A3-4780-B66F-AF2CA40A38B6}"/>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Calibri" panose="020F0502020204030204" pitchFamily="34" charset="0"/>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'ien2019'!$A$105:$A$106</c:f>
              <c:strCache>
                <c:ptCount val="2"/>
                <c:pt idx="0">
                  <c:v>Valsts augstskolas</c:v>
                </c:pt>
                <c:pt idx="1">
                  <c:v>Privātās augstskolas</c:v>
                </c:pt>
              </c:strCache>
            </c:strRef>
          </c:cat>
          <c:val>
            <c:numRef>
              <c:f>'ien2019'!$D$105:$D$106</c:f>
              <c:numCache>
                <c:formatCode>0%</c:formatCode>
                <c:ptCount val="2"/>
                <c:pt idx="0">
                  <c:v>3.3693396132728842E-2</c:v>
                </c:pt>
                <c:pt idx="1">
                  <c:v>1.4131939774797698E-2</c:v>
                </c:pt>
              </c:numCache>
            </c:numRef>
          </c:val>
          <c:extLst>
            <c:ext xmlns:c16="http://schemas.microsoft.com/office/drawing/2014/chart" uri="{C3380CC4-5D6E-409C-BE32-E72D297353CC}">
              <c16:uniqueId val="{00000003-8A8C-48F7-A84B-0345D3815ACD}"/>
            </c:ext>
          </c:extLst>
        </c:ser>
        <c:ser>
          <c:idx val="3"/>
          <c:order val="3"/>
          <c:tx>
            <c:strRef>
              <c:f>'ien2019'!$E$104</c:f>
              <c:strCache>
                <c:ptCount val="1"/>
                <c:pt idx="0">
                  <c:v>Citi ieņēmumi studijām</c:v>
                </c:pt>
              </c:strCache>
            </c:strRef>
          </c:tx>
          <c:spPr>
            <a:solidFill>
              <a:sysClr val="window" lastClr="FFFFFF">
                <a:lumMod val="85000"/>
              </a:sysClr>
            </a:solidFill>
            <a:ln>
              <a:noFill/>
            </a:ln>
            <a:effectLst/>
          </c:spPr>
          <c:invertIfNegative val="0"/>
          <c:dLbls>
            <c:dLbl>
              <c:idx val="0"/>
              <c:layout>
                <c:manualLayout>
                  <c:x val="0.12659565348277593"/>
                  <c:y val="-4.06506767438980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9A3-4780-B66F-AF2CA40A38B6}"/>
                </c:ext>
              </c:extLst>
            </c:dLbl>
            <c:dLbl>
              <c:idx val="1"/>
              <c:layout>
                <c:manualLayout>
                  <c:x val="0.1358026100997051"/>
                  <c:y val="6.253950268292004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9A3-4780-B66F-AF2CA40A38B6}"/>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Calibri" panose="020F0502020204030204" pitchFamily="34" charset="0"/>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'ien2019'!$A$105:$A$106</c:f>
              <c:strCache>
                <c:ptCount val="2"/>
                <c:pt idx="0">
                  <c:v>Valsts augstskolas</c:v>
                </c:pt>
                <c:pt idx="1">
                  <c:v>Privātās augstskolas</c:v>
                </c:pt>
              </c:strCache>
            </c:strRef>
          </c:cat>
          <c:val>
            <c:numRef>
              <c:f>'ien2019'!$E$105:$E$106</c:f>
              <c:numCache>
                <c:formatCode>0%</c:formatCode>
                <c:ptCount val="2"/>
                <c:pt idx="0">
                  <c:v>7.8567092550335237E-3</c:v>
                </c:pt>
                <c:pt idx="1">
                  <c:v>1.2797858787770854E-2</c:v>
                </c:pt>
              </c:numCache>
            </c:numRef>
          </c:val>
          <c:extLst>
            <c:ext xmlns:c16="http://schemas.microsoft.com/office/drawing/2014/chart" uri="{C3380CC4-5D6E-409C-BE32-E72D297353CC}">
              <c16:uniqueId val="{00000004-8A8C-48F7-A84B-0345D3815ACD}"/>
            </c:ext>
          </c:extLst>
        </c:ser>
        <c:ser>
          <c:idx val="4"/>
          <c:order val="4"/>
          <c:tx>
            <c:strRef>
              <c:f>'ien2019'!$F$104</c:f>
              <c:strCache>
                <c:ptCount val="1"/>
                <c:pt idx="0">
                  <c:v>Finansējums zinātnei </c:v>
                </c:pt>
              </c:strCache>
            </c:strRef>
          </c:tx>
          <c:spPr>
            <a:solidFill>
              <a:sysClr val="window" lastClr="FFFFFF">
                <a:lumMod val="50000"/>
              </a:sysClr>
            </a:solidFill>
            <a:ln>
              <a:noFill/>
            </a:ln>
            <a:effectLst/>
          </c:spPr>
          <c:invertIfNegative val="0"/>
          <c:dLbls>
            <c:dLbl>
              <c:idx val="1"/>
              <c:layout>
                <c:manualLayout>
                  <c:x val="0.11969043602007906"/>
                  <c:y val="-6.253950268292003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9A3-4780-B66F-AF2CA40A38B6}"/>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Calibri" panose="020F0502020204030204" pitchFamily="34" charset="0"/>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'ien2019'!$A$105:$A$106</c:f>
              <c:strCache>
                <c:ptCount val="2"/>
                <c:pt idx="0">
                  <c:v>Valsts augstskolas</c:v>
                </c:pt>
                <c:pt idx="1">
                  <c:v>Privātās augstskolas</c:v>
                </c:pt>
              </c:strCache>
            </c:strRef>
          </c:cat>
          <c:val>
            <c:numRef>
              <c:f>'ien2019'!$F$105:$F$106</c:f>
              <c:numCache>
                <c:formatCode>0%</c:formatCode>
                <c:ptCount val="2"/>
                <c:pt idx="0">
                  <c:v>0.26583086429289204</c:v>
                </c:pt>
                <c:pt idx="1">
                  <c:v>2.852930229571642E-2</c:v>
                </c:pt>
              </c:numCache>
            </c:numRef>
          </c:val>
          <c:extLst>
            <c:ext xmlns:c16="http://schemas.microsoft.com/office/drawing/2014/chart" uri="{C3380CC4-5D6E-409C-BE32-E72D297353CC}">
              <c16:uniqueId val="{00000005-8A8C-48F7-A84B-0345D3815ACD}"/>
            </c:ext>
          </c:extLst>
        </c:ser>
        <c:ser>
          <c:idx val="5"/>
          <c:order val="5"/>
          <c:tx>
            <c:strRef>
              <c:f>'ien2019'!$G$104</c:f>
              <c:strCache>
                <c:ptCount val="1"/>
                <c:pt idx="0">
                  <c:v>Citi ieņēmumi</c:v>
                </c:pt>
              </c:strCache>
            </c:strRef>
          </c:tx>
          <c:spPr>
            <a:solidFill>
              <a:srgbClr val="467AB8"/>
            </a:solidFill>
            <a:ln>
              <a:noFill/>
            </a:ln>
            <a:effectLst/>
          </c:spPr>
          <c:invertIfNegative val="0"/>
          <c:dLbls>
            <c:dLbl>
              <c:idx val="1"/>
              <c:layout>
                <c:manualLayout>
                  <c:x val="6.5544127642796633E-4"/>
                  <c:y val="-1.448037545082972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1F8-48D4-A12C-A712C2CECF29}"/>
                </c:ext>
              </c:extLst>
            </c:dLbl>
            <c:dLbl>
              <c:idx val="3"/>
              <c:layout>
                <c:manualLayout>
                  <c:x val="7.6624695859743353E-2"/>
                  <c:y val="3.853564547206165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1F8-48D4-A12C-A712C2CECF29}"/>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Calibri" panose="020F0502020204030204" pitchFamily="34" charset="0"/>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'ien2019'!$A$105:$A$106</c:f>
              <c:strCache>
                <c:ptCount val="2"/>
                <c:pt idx="0">
                  <c:v>Valsts augstskolas</c:v>
                </c:pt>
                <c:pt idx="1">
                  <c:v>Privātās augstskolas</c:v>
                </c:pt>
              </c:strCache>
            </c:strRef>
          </c:cat>
          <c:val>
            <c:numRef>
              <c:f>'ien2019'!$G$105:$G$106</c:f>
              <c:numCache>
                <c:formatCode>0%</c:formatCode>
                <c:ptCount val="2"/>
                <c:pt idx="0">
                  <c:v>0.16408943514984239</c:v>
                </c:pt>
                <c:pt idx="1">
                  <c:v>0.256258512795561</c:v>
                </c:pt>
              </c:numCache>
            </c:numRef>
          </c:val>
          <c:extLst>
            <c:ext xmlns:c16="http://schemas.microsoft.com/office/drawing/2014/chart" uri="{C3380CC4-5D6E-409C-BE32-E72D297353CC}">
              <c16:uniqueId val="{00000006-8A8C-48F7-A84B-0345D3815ACD}"/>
            </c:ext>
          </c:extLst>
        </c:ser>
        <c:dLbls>
          <c:showLegendKey val="0"/>
          <c:showVal val="0"/>
          <c:showCatName val="0"/>
          <c:showSerName val="0"/>
          <c:showPercent val="0"/>
          <c:showBubbleSize val="0"/>
        </c:dLbls>
        <c:gapWidth val="50"/>
        <c:overlap val="100"/>
        <c:axId val="378046688"/>
        <c:axId val="383959032"/>
      </c:barChart>
      <c:catAx>
        <c:axId val="378046688"/>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Calibri" panose="020F0502020204030204" pitchFamily="34" charset="0"/>
                <a:ea typeface="+mn-ea"/>
                <a:cs typeface="+mn-cs"/>
              </a:defRPr>
            </a:pPr>
            <a:endParaRPr lang="lv-LV"/>
          </a:p>
        </c:txPr>
        <c:crossAx val="383959032"/>
        <c:crosses val="autoZero"/>
        <c:auto val="1"/>
        <c:lblAlgn val="ctr"/>
        <c:lblOffset val="1"/>
        <c:noMultiLvlLbl val="0"/>
      </c:catAx>
      <c:valAx>
        <c:axId val="3839590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Calibri" panose="020F0502020204030204" pitchFamily="34" charset="0"/>
                <a:ea typeface="+mn-ea"/>
                <a:cs typeface="+mn-cs"/>
              </a:defRPr>
            </a:pPr>
            <a:endParaRPr lang="lv-LV"/>
          </a:p>
        </c:txPr>
        <c:crossAx val="378046688"/>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Calibri" panose="020F0502020204030204" pitchFamily="34" charset="0"/>
              <a:ea typeface="+mn-ea"/>
              <a:cs typeface="+mn-cs"/>
            </a:defRPr>
          </a:pPr>
          <a:endParaRPr lang="lv-LV"/>
        </a:p>
      </c:txPr>
    </c:legend>
    <c:plotVisOnly val="1"/>
    <c:dispBlanksAs val="gap"/>
    <c:showDLblsOverMax val="0"/>
  </c:chart>
  <c:spPr>
    <a:solidFill>
      <a:schemeClr val="bg1"/>
    </a:solidFill>
    <a:ln w="9525" cap="flat" cmpd="sng" algn="ctr">
      <a:noFill/>
      <a:round/>
    </a:ln>
    <a:effectLst/>
  </c:spPr>
  <c:txPr>
    <a:bodyPr/>
    <a:lstStyle/>
    <a:p>
      <a:pPr>
        <a:defRPr sz="1100" baseline="0">
          <a:latin typeface="Times New Roman" panose="02020603050405020304" pitchFamily="18" charset="0"/>
        </a:defRPr>
      </a:pPr>
      <a:endParaRPr lang="lv-LV"/>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Calibri" panose="020F0502020204030204" pitchFamily="34" charset="0"/>
                <a:ea typeface="+mn-ea"/>
                <a:cs typeface="+mn-cs"/>
              </a:defRPr>
            </a:pPr>
            <a:r>
              <a:rPr lang="en-US" sz="1100" baseline="0">
                <a:latin typeface="Calibri" panose="020F0502020204030204" pitchFamily="34" charset="0"/>
              </a:rPr>
              <a:t>Valsts a</a:t>
            </a:r>
            <a:r>
              <a:rPr lang="lv-LV" sz="1100" baseline="0">
                <a:latin typeface="Calibri" panose="020F0502020204030204" pitchFamily="34" charset="0"/>
              </a:rPr>
              <a:t>ugstskolu ieņēmumu struktūr</a:t>
            </a:r>
            <a:r>
              <a:rPr lang="en-US" sz="1100" baseline="0">
                <a:latin typeface="Calibri" panose="020F0502020204030204" pitchFamily="34" charset="0"/>
              </a:rPr>
              <a:t>a</a:t>
            </a:r>
            <a:endParaRPr lang="lv-LV" sz="1100" baseline="0">
              <a:latin typeface="Calibri" panose="020F0502020204030204" pitchFamily="34" charset="0"/>
            </a:endParaRP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Calibri" panose="020F0502020204030204" pitchFamily="34" charset="0"/>
              <a:ea typeface="+mn-ea"/>
              <a:cs typeface="+mn-cs"/>
            </a:defRPr>
          </a:pPr>
          <a:endParaRPr lang="lv-LV"/>
        </a:p>
      </c:txPr>
    </c:title>
    <c:autoTitleDeleted val="0"/>
    <c:plotArea>
      <c:layout/>
      <c:barChart>
        <c:barDir val="bar"/>
        <c:grouping val="percentStacked"/>
        <c:varyColors val="0"/>
        <c:ser>
          <c:idx val="0"/>
          <c:order val="0"/>
          <c:tx>
            <c:strRef>
              <c:f>'ien2019'!$B$127</c:f>
              <c:strCache>
                <c:ptCount val="1"/>
                <c:pt idx="0">
                  <c:v>Valsts budžeta dotācija</c:v>
                </c:pt>
              </c:strCache>
            </c:strRef>
          </c:tx>
          <c:spPr>
            <a:solidFill>
              <a:srgbClr val="7A5E9C">
                <a:alpha val="90000"/>
              </a:srgbClr>
            </a:solidFill>
            <a:ln>
              <a:solidFill>
                <a:schemeClr val="accent4">
                  <a:lumMod val="60000"/>
                  <a:lumOff val="40000"/>
                </a:schemeClr>
              </a:solidFill>
            </a:ln>
            <a:effectLst/>
          </c:spPr>
          <c:invertIfNegative val="0"/>
          <c:cat>
            <c:strRef>
              <c:f>'ien2019'!$A$128:$A$142</c:f>
              <c:strCache>
                <c:ptCount val="15"/>
                <c:pt idx="0">
                  <c:v>LU</c:v>
                </c:pt>
                <c:pt idx="1">
                  <c:v>RTU</c:v>
                </c:pt>
                <c:pt idx="2">
                  <c:v>LLU</c:v>
                </c:pt>
                <c:pt idx="3">
                  <c:v>DU</c:v>
                </c:pt>
                <c:pt idx="4">
                  <c:v>RSU</c:v>
                </c:pt>
                <c:pt idx="5">
                  <c:v>LiepU</c:v>
                </c:pt>
                <c:pt idx="6">
                  <c:v>LKA</c:v>
                </c:pt>
                <c:pt idx="7">
                  <c:v>LMA</c:v>
                </c:pt>
                <c:pt idx="8">
                  <c:v>JVLMA</c:v>
                </c:pt>
                <c:pt idx="9">
                  <c:v>LSPA</c:v>
                </c:pt>
                <c:pt idx="10">
                  <c:v>LJA</c:v>
                </c:pt>
                <c:pt idx="11">
                  <c:v>RTA</c:v>
                </c:pt>
                <c:pt idx="12">
                  <c:v>VeA</c:v>
                </c:pt>
                <c:pt idx="13">
                  <c:v>ViA</c:v>
                </c:pt>
                <c:pt idx="14">
                  <c:v>BA</c:v>
                </c:pt>
              </c:strCache>
            </c:strRef>
          </c:cat>
          <c:val>
            <c:numRef>
              <c:f>'ien2019'!$B$128:$B$142</c:f>
              <c:numCache>
                <c:formatCode>0%</c:formatCode>
                <c:ptCount val="15"/>
                <c:pt idx="0">
                  <c:v>0.20447760778328114</c:v>
                </c:pt>
                <c:pt idx="1">
                  <c:v>0.31530456416994723</c:v>
                </c:pt>
                <c:pt idx="2">
                  <c:v>0.36056294575944869</c:v>
                </c:pt>
                <c:pt idx="3">
                  <c:v>0.76619582556733745</c:v>
                </c:pt>
                <c:pt idx="4">
                  <c:v>0.43020941716535221</c:v>
                </c:pt>
                <c:pt idx="5">
                  <c:v>0.55252661046910767</c:v>
                </c:pt>
                <c:pt idx="6">
                  <c:v>0.63233417640633183</c:v>
                </c:pt>
                <c:pt idx="7">
                  <c:v>0.92175863874460939</c:v>
                </c:pt>
                <c:pt idx="8">
                  <c:v>0.75866701875389386</c:v>
                </c:pt>
                <c:pt idx="9">
                  <c:v>0.55727854043343872</c:v>
                </c:pt>
                <c:pt idx="10">
                  <c:v>0.32010350947501004</c:v>
                </c:pt>
                <c:pt idx="11">
                  <c:v>0.58899214550446255</c:v>
                </c:pt>
                <c:pt idx="12">
                  <c:v>0.28123644896697725</c:v>
                </c:pt>
                <c:pt idx="13">
                  <c:v>0.45692636302400647</c:v>
                </c:pt>
                <c:pt idx="14">
                  <c:v>0.23884767620682446</c:v>
                </c:pt>
              </c:numCache>
            </c:numRef>
          </c:val>
          <c:extLst>
            <c:ext xmlns:c16="http://schemas.microsoft.com/office/drawing/2014/chart" uri="{C3380CC4-5D6E-409C-BE32-E72D297353CC}">
              <c16:uniqueId val="{00000001-CBA1-446A-909E-A008C588EE75}"/>
            </c:ext>
          </c:extLst>
        </c:ser>
        <c:ser>
          <c:idx val="1"/>
          <c:order val="1"/>
          <c:tx>
            <c:strRef>
              <c:f>'ien2019'!$C$127</c:f>
              <c:strCache>
                <c:ptCount val="1"/>
                <c:pt idx="0">
                  <c:v>Studiju maksa</c:v>
                </c:pt>
              </c:strCache>
            </c:strRef>
          </c:tx>
          <c:spPr>
            <a:solidFill>
              <a:srgbClr val="8064A2">
                <a:lumMod val="60000"/>
                <a:lumOff val="40000"/>
                <a:alpha val="90000"/>
              </a:srgbClr>
            </a:solidFill>
            <a:ln>
              <a:noFill/>
            </a:ln>
            <a:effectLst/>
          </c:spPr>
          <c:invertIfNegative val="0"/>
          <c:cat>
            <c:strRef>
              <c:f>'ien2019'!$A$128:$A$142</c:f>
              <c:strCache>
                <c:ptCount val="15"/>
                <c:pt idx="0">
                  <c:v>LU</c:v>
                </c:pt>
                <c:pt idx="1">
                  <c:v>RTU</c:v>
                </c:pt>
                <c:pt idx="2">
                  <c:v>LLU</c:v>
                </c:pt>
                <c:pt idx="3">
                  <c:v>DU</c:v>
                </c:pt>
                <c:pt idx="4">
                  <c:v>RSU</c:v>
                </c:pt>
                <c:pt idx="5">
                  <c:v>LiepU</c:v>
                </c:pt>
                <c:pt idx="6">
                  <c:v>LKA</c:v>
                </c:pt>
                <c:pt idx="7">
                  <c:v>LMA</c:v>
                </c:pt>
                <c:pt idx="8">
                  <c:v>JVLMA</c:v>
                </c:pt>
                <c:pt idx="9">
                  <c:v>LSPA</c:v>
                </c:pt>
                <c:pt idx="10">
                  <c:v>LJA</c:v>
                </c:pt>
                <c:pt idx="11">
                  <c:v>RTA</c:v>
                </c:pt>
                <c:pt idx="12">
                  <c:v>VeA</c:v>
                </c:pt>
                <c:pt idx="13">
                  <c:v>ViA</c:v>
                </c:pt>
                <c:pt idx="14">
                  <c:v>BA</c:v>
                </c:pt>
              </c:strCache>
            </c:strRef>
          </c:cat>
          <c:val>
            <c:numRef>
              <c:f>'ien2019'!$C$128:$C$142</c:f>
              <c:numCache>
                <c:formatCode>0%</c:formatCode>
                <c:ptCount val="15"/>
                <c:pt idx="0">
                  <c:v>0.11459305749702432</c:v>
                </c:pt>
                <c:pt idx="1">
                  <c:v>0.14445221892412302</c:v>
                </c:pt>
                <c:pt idx="2">
                  <c:v>7.0212519036337129E-2</c:v>
                </c:pt>
                <c:pt idx="3">
                  <c:v>2.9315174861146938E-2</c:v>
                </c:pt>
                <c:pt idx="4">
                  <c:v>0.40973854186412512</c:v>
                </c:pt>
                <c:pt idx="5">
                  <c:v>9.6156902438484251E-2</c:v>
                </c:pt>
                <c:pt idx="6">
                  <c:v>8.528275986889923E-2</c:v>
                </c:pt>
                <c:pt idx="7">
                  <c:v>1.4633230975965382E-2</c:v>
                </c:pt>
                <c:pt idx="8">
                  <c:v>3.9374617175800139E-2</c:v>
                </c:pt>
                <c:pt idx="9">
                  <c:v>0.20872488227003622</c:v>
                </c:pt>
                <c:pt idx="10">
                  <c:v>0.24190576515715348</c:v>
                </c:pt>
                <c:pt idx="11">
                  <c:v>6.1227120616399816E-2</c:v>
                </c:pt>
                <c:pt idx="12">
                  <c:v>1.8812355413050087E-2</c:v>
                </c:pt>
                <c:pt idx="13">
                  <c:v>4.0870175496106068E-2</c:v>
                </c:pt>
                <c:pt idx="14">
                  <c:v>0.45538937845444766</c:v>
                </c:pt>
              </c:numCache>
            </c:numRef>
          </c:val>
          <c:extLst>
            <c:ext xmlns:c16="http://schemas.microsoft.com/office/drawing/2014/chart" uri="{C3380CC4-5D6E-409C-BE32-E72D297353CC}">
              <c16:uniqueId val="{00000002-CBA1-446A-909E-A008C588EE75}"/>
            </c:ext>
          </c:extLst>
        </c:ser>
        <c:ser>
          <c:idx val="2"/>
          <c:order val="2"/>
          <c:tx>
            <c:strRef>
              <c:f>'ien2019'!$D$127</c:f>
              <c:strCache>
                <c:ptCount val="1"/>
                <c:pt idx="0">
                  <c:v>Starptaut. finans. studijām</c:v>
                </c:pt>
              </c:strCache>
            </c:strRef>
          </c:tx>
          <c:spPr>
            <a:solidFill>
              <a:srgbClr val="8064A2">
                <a:lumMod val="20000"/>
                <a:lumOff val="80000"/>
                <a:alpha val="90000"/>
              </a:srgbClr>
            </a:solidFill>
            <a:ln>
              <a:noFill/>
            </a:ln>
            <a:effectLst/>
          </c:spPr>
          <c:invertIfNegative val="0"/>
          <c:cat>
            <c:strRef>
              <c:f>'ien2019'!$A$128:$A$142</c:f>
              <c:strCache>
                <c:ptCount val="15"/>
                <c:pt idx="0">
                  <c:v>LU</c:v>
                </c:pt>
                <c:pt idx="1">
                  <c:v>RTU</c:v>
                </c:pt>
                <c:pt idx="2">
                  <c:v>LLU</c:v>
                </c:pt>
                <c:pt idx="3">
                  <c:v>DU</c:v>
                </c:pt>
                <c:pt idx="4">
                  <c:v>RSU</c:v>
                </c:pt>
                <c:pt idx="5">
                  <c:v>LiepU</c:v>
                </c:pt>
                <c:pt idx="6">
                  <c:v>LKA</c:v>
                </c:pt>
                <c:pt idx="7">
                  <c:v>LMA</c:v>
                </c:pt>
                <c:pt idx="8">
                  <c:v>JVLMA</c:v>
                </c:pt>
                <c:pt idx="9">
                  <c:v>LSPA</c:v>
                </c:pt>
                <c:pt idx="10">
                  <c:v>LJA</c:v>
                </c:pt>
                <c:pt idx="11">
                  <c:v>RTA</c:v>
                </c:pt>
                <c:pt idx="12">
                  <c:v>VeA</c:v>
                </c:pt>
                <c:pt idx="13">
                  <c:v>ViA</c:v>
                </c:pt>
                <c:pt idx="14">
                  <c:v>BA</c:v>
                </c:pt>
              </c:strCache>
            </c:strRef>
          </c:cat>
          <c:val>
            <c:numRef>
              <c:f>'ien2019'!$D$128:$D$142</c:f>
              <c:numCache>
                <c:formatCode>0%</c:formatCode>
                <c:ptCount val="15"/>
                <c:pt idx="0">
                  <c:v>6.755860919445307E-2</c:v>
                </c:pt>
                <c:pt idx="1">
                  <c:v>9.4708680288866139E-3</c:v>
                </c:pt>
                <c:pt idx="2">
                  <c:v>5.6882746547263332E-3</c:v>
                </c:pt>
                <c:pt idx="3">
                  <c:v>1.7625697209003127E-2</c:v>
                </c:pt>
                <c:pt idx="4">
                  <c:v>8.9698513986119308E-3</c:v>
                </c:pt>
                <c:pt idx="5">
                  <c:v>0.1689647547251413</c:v>
                </c:pt>
                <c:pt idx="6">
                  <c:v>3.1644554346568275E-3</c:v>
                </c:pt>
                <c:pt idx="7">
                  <c:v>0</c:v>
                </c:pt>
                <c:pt idx="8">
                  <c:v>0.100691697968917</c:v>
                </c:pt>
                <c:pt idx="9">
                  <c:v>0</c:v>
                </c:pt>
                <c:pt idx="10">
                  <c:v>0.1931578404992271</c:v>
                </c:pt>
                <c:pt idx="11">
                  <c:v>0.10494446646616432</c:v>
                </c:pt>
                <c:pt idx="12">
                  <c:v>1.564057202038087E-3</c:v>
                </c:pt>
                <c:pt idx="13">
                  <c:v>7.7987899002495186E-3</c:v>
                </c:pt>
                <c:pt idx="14">
                  <c:v>0</c:v>
                </c:pt>
              </c:numCache>
            </c:numRef>
          </c:val>
          <c:extLst>
            <c:ext xmlns:c16="http://schemas.microsoft.com/office/drawing/2014/chart" uri="{C3380CC4-5D6E-409C-BE32-E72D297353CC}">
              <c16:uniqueId val="{00000003-CBA1-446A-909E-A008C588EE75}"/>
            </c:ext>
          </c:extLst>
        </c:ser>
        <c:ser>
          <c:idx val="3"/>
          <c:order val="3"/>
          <c:tx>
            <c:strRef>
              <c:f>'ien2019'!$E$127</c:f>
              <c:strCache>
                <c:ptCount val="1"/>
                <c:pt idx="0">
                  <c:v>Citi ieņēmumi studijām</c:v>
                </c:pt>
              </c:strCache>
            </c:strRef>
          </c:tx>
          <c:spPr>
            <a:solidFill>
              <a:sysClr val="window" lastClr="FFFFFF">
                <a:lumMod val="65000"/>
                <a:alpha val="90000"/>
              </a:sysClr>
            </a:solidFill>
            <a:ln>
              <a:noFill/>
            </a:ln>
            <a:effectLst/>
          </c:spPr>
          <c:invertIfNegative val="0"/>
          <c:cat>
            <c:strRef>
              <c:f>'ien2019'!$A$128:$A$142</c:f>
              <c:strCache>
                <c:ptCount val="15"/>
                <c:pt idx="0">
                  <c:v>LU</c:v>
                </c:pt>
                <c:pt idx="1">
                  <c:v>RTU</c:v>
                </c:pt>
                <c:pt idx="2">
                  <c:v>LLU</c:v>
                </c:pt>
                <c:pt idx="3">
                  <c:v>DU</c:v>
                </c:pt>
                <c:pt idx="4">
                  <c:v>RSU</c:v>
                </c:pt>
                <c:pt idx="5">
                  <c:v>LiepU</c:v>
                </c:pt>
                <c:pt idx="6">
                  <c:v>LKA</c:v>
                </c:pt>
                <c:pt idx="7">
                  <c:v>LMA</c:v>
                </c:pt>
                <c:pt idx="8">
                  <c:v>JVLMA</c:v>
                </c:pt>
                <c:pt idx="9">
                  <c:v>LSPA</c:v>
                </c:pt>
                <c:pt idx="10">
                  <c:v>LJA</c:v>
                </c:pt>
                <c:pt idx="11">
                  <c:v>RTA</c:v>
                </c:pt>
                <c:pt idx="12">
                  <c:v>VeA</c:v>
                </c:pt>
                <c:pt idx="13">
                  <c:v>ViA</c:v>
                </c:pt>
                <c:pt idx="14">
                  <c:v>BA</c:v>
                </c:pt>
              </c:strCache>
            </c:strRef>
          </c:cat>
          <c:val>
            <c:numRef>
              <c:f>'ien2019'!$E$128:$E$142</c:f>
              <c:numCache>
                <c:formatCode>0%</c:formatCode>
                <c:ptCount val="15"/>
                <c:pt idx="0">
                  <c:v>1.4517519695178338E-2</c:v>
                </c:pt>
                <c:pt idx="1">
                  <c:v>0</c:v>
                </c:pt>
                <c:pt idx="2">
                  <c:v>1.6399333914050274E-3</c:v>
                </c:pt>
                <c:pt idx="3">
                  <c:v>5.0586126876010036E-4</c:v>
                </c:pt>
                <c:pt idx="4">
                  <c:v>0</c:v>
                </c:pt>
                <c:pt idx="5">
                  <c:v>0</c:v>
                </c:pt>
                <c:pt idx="6">
                  <c:v>3.3071900312794757E-2</c:v>
                </c:pt>
                <c:pt idx="7">
                  <c:v>2.6552936957495717E-2</c:v>
                </c:pt>
                <c:pt idx="8">
                  <c:v>3.8721519595551909E-2</c:v>
                </c:pt>
                <c:pt idx="9">
                  <c:v>5.8240329407417933E-2</c:v>
                </c:pt>
                <c:pt idx="10">
                  <c:v>0</c:v>
                </c:pt>
                <c:pt idx="11">
                  <c:v>4.7988169400676826E-3</c:v>
                </c:pt>
                <c:pt idx="12">
                  <c:v>2.2989477826599663E-3</c:v>
                </c:pt>
                <c:pt idx="13">
                  <c:v>6.5691812238083569E-2</c:v>
                </c:pt>
                <c:pt idx="14">
                  <c:v>0</c:v>
                </c:pt>
              </c:numCache>
            </c:numRef>
          </c:val>
          <c:extLst>
            <c:ext xmlns:c16="http://schemas.microsoft.com/office/drawing/2014/chart" uri="{C3380CC4-5D6E-409C-BE32-E72D297353CC}">
              <c16:uniqueId val="{00000004-CBA1-446A-909E-A008C588EE75}"/>
            </c:ext>
          </c:extLst>
        </c:ser>
        <c:ser>
          <c:idx val="4"/>
          <c:order val="4"/>
          <c:tx>
            <c:strRef>
              <c:f>'ien2019'!$F$127</c:f>
              <c:strCache>
                <c:ptCount val="1"/>
                <c:pt idx="0">
                  <c:v>Finansējums zinātnei </c:v>
                </c:pt>
              </c:strCache>
            </c:strRef>
          </c:tx>
          <c:spPr>
            <a:solidFill>
              <a:srgbClr val="4F81BD">
                <a:lumMod val="40000"/>
                <a:lumOff val="60000"/>
                <a:alpha val="90000"/>
              </a:srgbClr>
            </a:solidFill>
            <a:ln>
              <a:noFill/>
            </a:ln>
            <a:effectLst/>
          </c:spPr>
          <c:invertIfNegative val="0"/>
          <c:cat>
            <c:strRef>
              <c:f>'ien2019'!$A$128:$A$142</c:f>
              <c:strCache>
                <c:ptCount val="15"/>
                <c:pt idx="0">
                  <c:v>LU</c:v>
                </c:pt>
                <c:pt idx="1">
                  <c:v>RTU</c:v>
                </c:pt>
                <c:pt idx="2">
                  <c:v>LLU</c:v>
                </c:pt>
                <c:pt idx="3">
                  <c:v>DU</c:v>
                </c:pt>
                <c:pt idx="4">
                  <c:v>RSU</c:v>
                </c:pt>
                <c:pt idx="5">
                  <c:v>LiepU</c:v>
                </c:pt>
                <c:pt idx="6">
                  <c:v>LKA</c:v>
                </c:pt>
                <c:pt idx="7">
                  <c:v>LMA</c:v>
                </c:pt>
                <c:pt idx="8">
                  <c:v>JVLMA</c:v>
                </c:pt>
                <c:pt idx="9">
                  <c:v>LSPA</c:v>
                </c:pt>
                <c:pt idx="10">
                  <c:v>LJA</c:v>
                </c:pt>
                <c:pt idx="11">
                  <c:v>RTA</c:v>
                </c:pt>
                <c:pt idx="12">
                  <c:v>VeA</c:v>
                </c:pt>
                <c:pt idx="13">
                  <c:v>ViA</c:v>
                </c:pt>
                <c:pt idx="14">
                  <c:v>BA</c:v>
                </c:pt>
              </c:strCache>
            </c:strRef>
          </c:cat>
          <c:val>
            <c:numRef>
              <c:f>'ien2019'!$F$128:$F$142</c:f>
              <c:numCache>
                <c:formatCode>0%</c:formatCode>
                <c:ptCount val="15"/>
                <c:pt idx="0">
                  <c:v>0.28911856690245041</c:v>
                </c:pt>
                <c:pt idx="1">
                  <c:v>0.43832416833753124</c:v>
                </c:pt>
                <c:pt idx="2">
                  <c:v>0.34465109901585705</c:v>
                </c:pt>
                <c:pt idx="3">
                  <c:v>0.15359472367093668</c:v>
                </c:pt>
                <c:pt idx="4">
                  <c:v>8.6299506329288789E-2</c:v>
                </c:pt>
                <c:pt idx="5">
                  <c:v>0.149794372167488</c:v>
                </c:pt>
                <c:pt idx="6">
                  <c:v>0.24614670797731736</c:v>
                </c:pt>
                <c:pt idx="7">
                  <c:v>3.267470098015602E-2</c:v>
                </c:pt>
                <c:pt idx="8">
                  <c:v>2.712605974419571E-2</c:v>
                </c:pt>
                <c:pt idx="9">
                  <c:v>3.316186129258698E-3</c:v>
                </c:pt>
                <c:pt idx="10">
                  <c:v>3.3261807980763725E-2</c:v>
                </c:pt>
                <c:pt idx="11">
                  <c:v>0.15177608646042196</c:v>
                </c:pt>
                <c:pt idx="12">
                  <c:v>0.60122091798915378</c:v>
                </c:pt>
                <c:pt idx="13">
                  <c:v>0.3464735169175624</c:v>
                </c:pt>
                <c:pt idx="14">
                  <c:v>1.1234136882160455E-2</c:v>
                </c:pt>
              </c:numCache>
            </c:numRef>
          </c:val>
          <c:extLst>
            <c:ext xmlns:c16="http://schemas.microsoft.com/office/drawing/2014/chart" uri="{C3380CC4-5D6E-409C-BE32-E72D297353CC}">
              <c16:uniqueId val="{00000005-CBA1-446A-909E-A008C588EE75}"/>
            </c:ext>
          </c:extLst>
        </c:ser>
        <c:ser>
          <c:idx val="5"/>
          <c:order val="5"/>
          <c:tx>
            <c:strRef>
              <c:f>'ien2019'!$G$127</c:f>
              <c:strCache>
                <c:ptCount val="1"/>
                <c:pt idx="0">
                  <c:v>Citi ieņēmumi</c:v>
                </c:pt>
              </c:strCache>
            </c:strRef>
          </c:tx>
          <c:spPr>
            <a:solidFill>
              <a:srgbClr val="467AB8">
                <a:alpha val="90000"/>
              </a:srgbClr>
            </a:solidFill>
            <a:ln>
              <a:noFill/>
            </a:ln>
            <a:effectLst/>
          </c:spPr>
          <c:invertIfNegative val="0"/>
          <c:cat>
            <c:strRef>
              <c:f>'ien2019'!$A$128:$A$142</c:f>
              <c:strCache>
                <c:ptCount val="15"/>
                <c:pt idx="0">
                  <c:v>LU</c:v>
                </c:pt>
                <c:pt idx="1">
                  <c:v>RTU</c:v>
                </c:pt>
                <c:pt idx="2">
                  <c:v>LLU</c:v>
                </c:pt>
                <c:pt idx="3">
                  <c:v>DU</c:v>
                </c:pt>
                <c:pt idx="4">
                  <c:v>RSU</c:v>
                </c:pt>
                <c:pt idx="5">
                  <c:v>LiepU</c:v>
                </c:pt>
                <c:pt idx="6">
                  <c:v>LKA</c:v>
                </c:pt>
                <c:pt idx="7">
                  <c:v>LMA</c:v>
                </c:pt>
                <c:pt idx="8">
                  <c:v>JVLMA</c:v>
                </c:pt>
                <c:pt idx="9">
                  <c:v>LSPA</c:v>
                </c:pt>
                <c:pt idx="10">
                  <c:v>LJA</c:v>
                </c:pt>
                <c:pt idx="11">
                  <c:v>RTA</c:v>
                </c:pt>
                <c:pt idx="12">
                  <c:v>VeA</c:v>
                </c:pt>
                <c:pt idx="13">
                  <c:v>ViA</c:v>
                </c:pt>
                <c:pt idx="14">
                  <c:v>BA</c:v>
                </c:pt>
              </c:strCache>
            </c:strRef>
          </c:cat>
          <c:val>
            <c:numRef>
              <c:f>'ien2019'!$G$128:$G$142</c:f>
              <c:numCache>
                <c:formatCode>0%</c:formatCode>
                <c:ptCount val="15"/>
                <c:pt idx="0">
                  <c:v>0.30973463892761277</c:v>
                </c:pt>
                <c:pt idx="1">
                  <c:v>9.2448180539512037E-2</c:v>
                </c:pt>
                <c:pt idx="2">
                  <c:v>0.21724522814222577</c:v>
                </c:pt>
                <c:pt idx="3">
                  <c:v>3.2762717422815724E-2</c:v>
                </c:pt>
                <c:pt idx="4">
                  <c:v>6.4782683242621958E-2</c:v>
                </c:pt>
                <c:pt idx="5">
                  <c:v>3.2557360199778805E-2</c:v>
                </c:pt>
                <c:pt idx="6">
                  <c:v>0</c:v>
                </c:pt>
                <c:pt idx="7">
                  <c:v>4.3804923417734868E-3</c:v>
                </c:pt>
                <c:pt idx="8">
                  <c:v>3.5419086761641391E-2</c:v>
                </c:pt>
                <c:pt idx="9">
                  <c:v>0.17244006175984847</c:v>
                </c:pt>
                <c:pt idx="10">
                  <c:v>0.21157107688784565</c:v>
                </c:pt>
                <c:pt idx="11">
                  <c:v>8.8261364012483703E-2</c:v>
                </c:pt>
                <c:pt idx="12">
                  <c:v>9.4867272646120882E-2</c:v>
                </c:pt>
                <c:pt idx="13">
                  <c:v>8.2239342423992015E-2</c:v>
                </c:pt>
                <c:pt idx="14">
                  <c:v>0.29452880845656743</c:v>
                </c:pt>
              </c:numCache>
            </c:numRef>
          </c:val>
          <c:extLst>
            <c:ext xmlns:c16="http://schemas.microsoft.com/office/drawing/2014/chart" uri="{C3380CC4-5D6E-409C-BE32-E72D297353CC}">
              <c16:uniqueId val="{00000006-CBA1-446A-909E-A008C588EE75}"/>
            </c:ext>
          </c:extLst>
        </c:ser>
        <c:dLbls>
          <c:showLegendKey val="0"/>
          <c:showVal val="0"/>
          <c:showCatName val="0"/>
          <c:showSerName val="0"/>
          <c:showPercent val="0"/>
          <c:showBubbleSize val="0"/>
        </c:dLbls>
        <c:gapWidth val="50"/>
        <c:overlap val="100"/>
        <c:axId val="450823616"/>
        <c:axId val="450825576"/>
      </c:barChart>
      <c:catAx>
        <c:axId val="450823616"/>
        <c:scaling>
          <c:orientation val="maxMin"/>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Calibri" panose="020F0502020204030204" pitchFamily="34" charset="0"/>
                <a:ea typeface="+mn-ea"/>
                <a:cs typeface="+mn-cs"/>
              </a:defRPr>
            </a:pPr>
            <a:endParaRPr lang="lv-LV"/>
          </a:p>
        </c:txPr>
        <c:crossAx val="450825576"/>
        <c:crosses val="autoZero"/>
        <c:auto val="1"/>
        <c:lblAlgn val="ctr"/>
        <c:lblOffset val="1"/>
        <c:noMultiLvlLbl val="0"/>
      </c:catAx>
      <c:valAx>
        <c:axId val="450825576"/>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Calibri" panose="020F0502020204030204" pitchFamily="34" charset="0"/>
                <a:ea typeface="+mn-ea"/>
                <a:cs typeface="+mn-cs"/>
              </a:defRPr>
            </a:pPr>
            <a:endParaRPr lang="lv-LV"/>
          </a:p>
        </c:txPr>
        <c:crossAx val="4508236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Calibri" panose="020F0502020204030204" pitchFamily="34" charset="0"/>
              <a:ea typeface="+mn-ea"/>
              <a:cs typeface="+mn-cs"/>
            </a:defRPr>
          </a:pPr>
          <a:endParaRPr lang="lv-LV"/>
        </a:p>
      </c:txPr>
    </c:legend>
    <c:plotVisOnly val="1"/>
    <c:dispBlanksAs val="gap"/>
    <c:showDLblsOverMax val="0"/>
  </c:chart>
  <c:spPr>
    <a:solidFill>
      <a:schemeClr val="bg1"/>
    </a:solidFill>
    <a:ln w="9525" cap="flat" cmpd="sng" algn="ctr">
      <a:noFill/>
      <a:round/>
    </a:ln>
    <a:effectLst/>
  </c:spPr>
  <c:txPr>
    <a:bodyPr/>
    <a:lstStyle/>
    <a:p>
      <a:pPr>
        <a:defRPr sz="1100" baseline="0">
          <a:latin typeface="Times New Roman" panose="02020603050405020304" pitchFamily="18" charset="0"/>
        </a:defRPr>
      </a:pPr>
      <a:endParaRPr lang="lv-LV"/>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Calibri" panose="020F0502020204030204" pitchFamily="34" charset="0"/>
                <a:ea typeface="+mn-ea"/>
                <a:cs typeface="+mn-cs"/>
              </a:defRPr>
            </a:pPr>
            <a:r>
              <a:rPr lang="en-US" sz="1200" baseline="0">
                <a:latin typeface="Calibri" panose="020F0502020204030204" pitchFamily="34" charset="0"/>
              </a:rPr>
              <a:t>Valsts budžeta dotācijas īpatsvars ieņēmumos studijām</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Calibri" panose="020F0502020204030204" pitchFamily="34" charset="0"/>
              <a:ea typeface="+mn-ea"/>
              <a:cs typeface="+mn-cs"/>
            </a:defRPr>
          </a:pPr>
          <a:endParaRPr lang="lv-LV"/>
        </a:p>
      </c:txPr>
    </c:title>
    <c:autoTitleDeleted val="0"/>
    <c:plotArea>
      <c:layout/>
      <c:barChart>
        <c:barDir val="col"/>
        <c:grouping val="clustered"/>
        <c:varyColors val="0"/>
        <c:ser>
          <c:idx val="0"/>
          <c:order val="0"/>
          <c:tx>
            <c:strRef>
              <c:f>'ien2019'!$G$65</c:f>
              <c:strCache>
                <c:ptCount val="1"/>
                <c:pt idx="0">
                  <c:v>Valsts budžeta dotācijas īpatsvars ieņēmumos studijām 2019. gadā</c:v>
                </c:pt>
              </c:strCache>
            </c:strRef>
          </c:tx>
          <c:spPr>
            <a:solidFill>
              <a:schemeClr val="bg1">
                <a:lumMod val="65000"/>
              </a:schemeClr>
            </a:solidFill>
            <a:ln>
              <a:solidFill>
                <a:schemeClr val="bg1">
                  <a:lumMod val="75000"/>
                  <a:alpha val="90000"/>
                </a:schemeClr>
              </a:solidFill>
            </a:ln>
            <a:effectLst/>
          </c:spPr>
          <c:invertIfNegative val="0"/>
          <c:cat>
            <c:strRef>
              <c:f>'ien2019'!$A$66:$A$80</c:f>
              <c:strCache>
                <c:ptCount val="15"/>
                <c:pt idx="0">
                  <c:v>LMA</c:v>
                </c:pt>
                <c:pt idx="1">
                  <c:v>DU</c:v>
                </c:pt>
                <c:pt idx="2">
                  <c:v>VeA</c:v>
                </c:pt>
                <c:pt idx="3">
                  <c:v>LKA</c:v>
                </c:pt>
                <c:pt idx="4">
                  <c:v>LLU</c:v>
                </c:pt>
                <c:pt idx="5">
                  <c:v>JVLMA</c:v>
                </c:pt>
                <c:pt idx="6">
                  <c:v>ViA</c:v>
                </c:pt>
                <c:pt idx="7">
                  <c:v>RTA</c:v>
                </c:pt>
                <c:pt idx="8">
                  <c:v>LiepU</c:v>
                </c:pt>
                <c:pt idx="9">
                  <c:v>RTU</c:v>
                </c:pt>
                <c:pt idx="10">
                  <c:v>LSPA</c:v>
                </c:pt>
                <c:pt idx="11">
                  <c:v>LU</c:v>
                </c:pt>
                <c:pt idx="12">
                  <c:v>RSU</c:v>
                </c:pt>
                <c:pt idx="13">
                  <c:v>LJA</c:v>
                </c:pt>
                <c:pt idx="14">
                  <c:v>BA</c:v>
                </c:pt>
              </c:strCache>
            </c:strRef>
          </c:cat>
          <c:val>
            <c:numRef>
              <c:f>'ien2019'!$G$66:$G$80</c:f>
              <c:numCache>
                <c:formatCode>0%</c:formatCode>
                <c:ptCount val="15"/>
                <c:pt idx="0">
                  <c:v>0.95722894225314581</c:v>
                </c:pt>
                <c:pt idx="1">
                  <c:v>0.94168602315654282</c:v>
                </c:pt>
                <c:pt idx="2">
                  <c:v>0.92538835379531004</c:v>
                </c:pt>
                <c:pt idx="3">
                  <c:v>0.83880269954078213</c:v>
                </c:pt>
                <c:pt idx="4">
                  <c:v>0.82300826975616825</c:v>
                </c:pt>
                <c:pt idx="5">
                  <c:v>0.80928379209529344</c:v>
                </c:pt>
                <c:pt idx="6">
                  <c:v>0.79981909359515624</c:v>
                </c:pt>
                <c:pt idx="7">
                  <c:v>0.77502785613709202</c:v>
                </c:pt>
                <c:pt idx="8">
                  <c:v>0.67575097060841394</c:v>
                </c:pt>
                <c:pt idx="9">
                  <c:v>0.67196501841684675</c:v>
                </c:pt>
                <c:pt idx="10">
                  <c:v>0.67610890468534979</c:v>
                </c:pt>
                <c:pt idx="11">
                  <c:v>0.50973264013094965</c:v>
                </c:pt>
                <c:pt idx="12">
                  <c:v>0.50677393250638447</c:v>
                </c:pt>
                <c:pt idx="13">
                  <c:v>0.42388433376010493</c:v>
                </c:pt>
                <c:pt idx="14">
                  <c:v>0.34404339930164279</c:v>
                </c:pt>
              </c:numCache>
            </c:numRef>
          </c:val>
          <c:extLst>
            <c:ext xmlns:c16="http://schemas.microsoft.com/office/drawing/2014/chart" uri="{C3380CC4-5D6E-409C-BE32-E72D297353CC}">
              <c16:uniqueId val="{00000000-BD16-4551-B211-67ACC21A8068}"/>
            </c:ext>
          </c:extLst>
        </c:ser>
        <c:ser>
          <c:idx val="1"/>
          <c:order val="1"/>
          <c:tx>
            <c:strRef>
              <c:f>'ien2019'!$H$65</c:f>
              <c:strCache>
                <c:ptCount val="1"/>
                <c:pt idx="0">
                  <c:v>Vidējais rādītājs 2014. - 2018. gadā</c:v>
                </c:pt>
              </c:strCache>
            </c:strRef>
          </c:tx>
          <c:spPr>
            <a:solidFill>
              <a:srgbClr val="B99CCE"/>
            </a:solidFill>
            <a:ln>
              <a:solidFill>
                <a:srgbClr val="B3A2C7">
                  <a:alpha val="90000"/>
                </a:srgbClr>
              </a:solidFill>
            </a:ln>
            <a:effectLst/>
          </c:spPr>
          <c:invertIfNegative val="0"/>
          <c:cat>
            <c:strRef>
              <c:f>'ien2019'!$A$66:$A$80</c:f>
              <c:strCache>
                <c:ptCount val="15"/>
                <c:pt idx="0">
                  <c:v>LMA</c:v>
                </c:pt>
                <c:pt idx="1">
                  <c:v>DU</c:v>
                </c:pt>
                <c:pt idx="2">
                  <c:v>VeA</c:v>
                </c:pt>
                <c:pt idx="3">
                  <c:v>LKA</c:v>
                </c:pt>
                <c:pt idx="4">
                  <c:v>LLU</c:v>
                </c:pt>
                <c:pt idx="5">
                  <c:v>JVLMA</c:v>
                </c:pt>
                <c:pt idx="6">
                  <c:v>ViA</c:v>
                </c:pt>
                <c:pt idx="7">
                  <c:v>RTA</c:v>
                </c:pt>
                <c:pt idx="8">
                  <c:v>LiepU</c:v>
                </c:pt>
                <c:pt idx="9">
                  <c:v>RTU</c:v>
                </c:pt>
                <c:pt idx="10">
                  <c:v>LSPA</c:v>
                </c:pt>
                <c:pt idx="11">
                  <c:v>LU</c:v>
                </c:pt>
                <c:pt idx="12">
                  <c:v>RSU</c:v>
                </c:pt>
                <c:pt idx="13">
                  <c:v>LJA</c:v>
                </c:pt>
                <c:pt idx="14">
                  <c:v>BA</c:v>
                </c:pt>
              </c:strCache>
            </c:strRef>
          </c:cat>
          <c:val>
            <c:numRef>
              <c:f>'ien2019'!$H$66:$H$80</c:f>
              <c:numCache>
                <c:formatCode>0%</c:formatCode>
                <c:ptCount val="15"/>
                <c:pt idx="0">
                  <c:v>0.93246793903831615</c:v>
                </c:pt>
                <c:pt idx="1">
                  <c:v>0.80395223505390767</c:v>
                </c:pt>
                <c:pt idx="2">
                  <c:v>0.7908438695797837</c:v>
                </c:pt>
                <c:pt idx="3">
                  <c:v>0.82359498142586884</c:v>
                </c:pt>
                <c:pt idx="4">
                  <c:v>0.72760204848162191</c:v>
                </c:pt>
                <c:pt idx="5">
                  <c:v>0.82357238762045848</c:v>
                </c:pt>
                <c:pt idx="6">
                  <c:v>0.66297573836256629</c:v>
                </c:pt>
                <c:pt idx="7">
                  <c:v>0.70959843739601292</c:v>
                </c:pt>
                <c:pt idx="8">
                  <c:v>0.68592167021365147</c:v>
                </c:pt>
                <c:pt idx="9">
                  <c:v>0.66520386798779585</c:v>
                </c:pt>
                <c:pt idx="10">
                  <c:v>0.54496180343991252</c:v>
                </c:pt>
                <c:pt idx="11">
                  <c:v>0.45985840213006862</c:v>
                </c:pt>
                <c:pt idx="12">
                  <c:v>0.53161342799100897</c:v>
                </c:pt>
                <c:pt idx="13">
                  <c:v>0.43270805290571923</c:v>
                </c:pt>
                <c:pt idx="14">
                  <c:v>3.6951991892894907E-2</c:v>
                </c:pt>
              </c:numCache>
            </c:numRef>
          </c:val>
          <c:extLst>
            <c:ext xmlns:c16="http://schemas.microsoft.com/office/drawing/2014/chart" uri="{C3380CC4-5D6E-409C-BE32-E72D297353CC}">
              <c16:uniqueId val="{00000001-BD16-4551-B211-67ACC21A8068}"/>
            </c:ext>
          </c:extLst>
        </c:ser>
        <c:dLbls>
          <c:showLegendKey val="0"/>
          <c:showVal val="0"/>
          <c:showCatName val="0"/>
          <c:showSerName val="0"/>
          <c:showPercent val="0"/>
          <c:showBubbleSize val="0"/>
        </c:dLbls>
        <c:gapWidth val="100"/>
        <c:overlap val="-27"/>
        <c:axId val="450827536"/>
        <c:axId val="450820480"/>
      </c:barChart>
      <c:catAx>
        <c:axId val="4508275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lv-LV"/>
          </a:p>
        </c:txPr>
        <c:crossAx val="450820480"/>
        <c:crosses val="autoZero"/>
        <c:auto val="1"/>
        <c:lblAlgn val="ctr"/>
        <c:lblOffset val="100"/>
        <c:noMultiLvlLbl val="0"/>
      </c:catAx>
      <c:valAx>
        <c:axId val="450820480"/>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lv-LV"/>
          </a:p>
        </c:txPr>
        <c:crossAx val="4508275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Calibri" panose="020F0502020204030204" pitchFamily="34" charset="0"/>
              <a:ea typeface="+mn-ea"/>
              <a:cs typeface="+mn-cs"/>
            </a:defRPr>
          </a:pPr>
          <a:endParaRPr lang="lv-LV"/>
        </a:p>
      </c:txPr>
    </c:legend>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320" b="0" i="0" u="none" strike="noStrike" kern="1200" spc="0" baseline="0">
                <a:solidFill>
                  <a:schemeClr val="tx1">
                    <a:lumMod val="65000"/>
                    <a:lumOff val="35000"/>
                  </a:schemeClr>
                </a:solidFill>
                <a:latin typeface="Calibri" panose="020F0502020204030204" pitchFamily="34" charset="0"/>
                <a:ea typeface="+mn-ea"/>
                <a:cs typeface="+mn-cs"/>
              </a:defRPr>
            </a:pPr>
            <a:r>
              <a:rPr lang="en-US" baseline="0">
                <a:latin typeface="Calibri" panose="020F0502020204030204" pitchFamily="34" charset="0"/>
              </a:rPr>
              <a:t>A</a:t>
            </a:r>
            <a:r>
              <a:rPr lang="lv-LV" baseline="0">
                <a:latin typeface="Calibri" panose="020F0502020204030204" pitchFamily="34" charset="0"/>
              </a:rPr>
              <a:t>ugstskolu izdevumu struktūr</a:t>
            </a:r>
            <a:r>
              <a:rPr lang="en-US" baseline="0">
                <a:latin typeface="Calibri" panose="020F0502020204030204" pitchFamily="34" charset="0"/>
              </a:rPr>
              <a:t>a</a:t>
            </a:r>
            <a:endParaRPr lang="lv-LV" baseline="0">
              <a:latin typeface="Calibri" panose="020F0502020204030204" pitchFamily="34" charset="0"/>
            </a:endParaRPr>
          </a:p>
        </c:rich>
      </c:tx>
      <c:overlay val="0"/>
      <c:spPr>
        <a:noFill/>
        <a:ln>
          <a:noFill/>
        </a:ln>
        <a:effectLst/>
      </c:spPr>
      <c:txPr>
        <a:bodyPr rot="0" spcFirstLastPara="1" vertOverflow="ellipsis" vert="horz" wrap="square" anchor="ctr" anchorCtr="1"/>
        <a:lstStyle/>
        <a:p>
          <a:pPr>
            <a:defRPr sz="1320" b="0" i="0" u="none" strike="noStrike" kern="1200" spc="0" baseline="0">
              <a:solidFill>
                <a:schemeClr val="tx1">
                  <a:lumMod val="65000"/>
                  <a:lumOff val="35000"/>
                </a:schemeClr>
              </a:solidFill>
              <a:latin typeface="Calibri" panose="020F0502020204030204" pitchFamily="34" charset="0"/>
              <a:ea typeface="+mn-ea"/>
              <a:cs typeface="+mn-cs"/>
            </a:defRPr>
          </a:pPr>
          <a:endParaRPr lang="lv-LV"/>
        </a:p>
      </c:txPr>
    </c:title>
    <c:autoTitleDeleted val="0"/>
    <c:plotArea>
      <c:layout/>
      <c:barChart>
        <c:barDir val="col"/>
        <c:grouping val="percentStacked"/>
        <c:varyColors val="0"/>
        <c:ser>
          <c:idx val="0"/>
          <c:order val="0"/>
          <c:tx>
            <c:strRef>
              <c:f>'izd2019'!$B$1</c:f>
              <c:strCache>
                <c:ptCount val="1"/>
                <c:pt idx="0">
                  <c:v>Darba samaksa akad. pers.</c:v>
                </c:pt>
              </c:strCache>
            </c:strRef>
          </c:tx>
          <c:spPr>
            <a:solidFill>
              <a:srgbClr val="7A5E9C"/>
            </a:solidFill>
            <a:ln>
              <a:solidFill>
                <a:schemeClr val="accent4">
                  <a:lumMod val="60000"/>
                  <a:lumOff val="40000"/>
                </a:schemeClr>
              </a:solidFill>
            </a:ln>
            <a:effectLst/>
          </c:spPr>
          <c:invertIfNegative val="0"/>
          <c:dLbls>
            <c:dLbl>
              <c:idx val="1"/>
              <c:layout>
                <c:manualLayout>
                  <c:x val="-2.7769253591550728E-3"/>
                  <c:y val="4.481911287284878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A8C-48F7-A84B-0345D3815ACD}"/>
                </c:ext>
              </c:extLst>
            </c:dLbl>
            <c:spPr>
              <a:noFill/>
              <a:ln>
                <a:noFill/>
              </a:ln>
              <a:effectLst/>
            </c:spPr>
            <c:txPr>
              <a:bodyPr rot="0" spcFirstLastPara="1" vertOverflow="ellipsis" horzOverflow="clip" vert="horz" wrap="square" lIns="36576" tIns="18288" rIns="36576" bIns="18288" anchor="ctr" anchorCtr="1">
                <a:spAutoFit/>
              </a:bodyPr>
              <a:lstStyle/>
              <a:p>
                <a:pPr>
                  <a:defRPr sz="1000" b="0" i="0" u="none" strike="noStrike" kern="1200" baseline="0">
                    <a:solidFill>
                      <a:schemeClr val="tx1">
                        <a:lumMod val="75000"/>
                        <a:lumOff val="25000"/>
                      </a:schemeClr>
                    </a:solidFill>
                    <a:latin typeface="Calibri" panose="020F0502020204030204" pitchFamily="34" charset="0"/>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a:noFill/>
                  <a:ln>
                    <a:noFill/>
                  </a:ln>
                </c15:spPr>
                <c15:showLeaderLines val="1"/>
                <c15:leaderLines>
                  <c:spPr>
                    <a:ln w="9525" cap="flat" cmpd="sng" algn="ctr">
                      <a:solidFill>
                        <a:schemeClr val="tx1">
                          <a:lumMod val="35000"/>
                          <a:lumOff val="65000"/>
                        </a:schemeClr>
                      </a:solidFill>
                      <a:round/>
                    </a:ln>
                    <a:effectLst/>
                  </c:spPr>
                </c15:leaderLines>
              </c:ext>
            </c:extLst>
          </c:dLbls>
          <c:cat>
            <c:strRef>
              <c:f>'izd2019'!$A$2:$A$3</c:f>
              <c:strCache>
                <c:ptCount val="2"/>
                <c:pt idx="0">
                  <c:v>Valsts augstskolas</c:v>
                </c:pt>
                <c:pt idx="1">
                  <c:v>Privātās augstskolas</c:v>
                </c:pt>
              </c:strCache>
            </c:strRef>
          </c:cat>
          <c:val>
            <c:numRef>
              <c:f>'izd2019'!$B$2:$B$3</c:f>
              <c:numCache>
                <c:formatCode>0%</c:formatCode>
                <c:ptCount val="2"/>
                <c:pt idx="0">
                  <c:v>0.23913810611620842</c:v>
                </c:pt>
                <c:pt idx="1">
                  <c:v>0.18113069648866151</c:v>
                </c:pt>
              </c:numCache>
            </c:numRef>
          </c:val>
          <c:extLst>
            <c:ext xmlns:c16="http://schemas.microsoft.com/office/drawing/2014/chart" uri="{C3380CC4-5D6E-409C-BE32-E72D297353CC}">
              <c16:uniqueId val="{00000001-8A8C-48F7-A84B-0345D3815ACD}"/>
            </c:ext>
          </c:extLst>
        </c:ser>
        <c:ser>
          <c:idx val="1"/>
          <c:order val="1"/>
          <c:tx>
            <c:strRef>
              <c:f>'izd2019'!$C$1</c:f>
              <c:strCache>
                <c:ptCount val="1"/>
                <c:pt idx="0">
                  <c:v>Darba samaksa admin. pers.</c:v>
                </c:pt>
              </c:strCache>
            </c:strRef>
          </c:tx>
          <c:spPr>
            <a:solidFill>
              <a:schemeClr val="accent4">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Calibri" panose="020F0502020204030204" pitchFamily="34" charset="0"/>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'izd2019'!$A$2:$A$3</c:f>
              <c:strCache>
                <c:ptCount val="2"/>
                <c:pt idx="0">
                  <c:v>Valsts augstskolas</c:v>
                </c:pt>
                <c:pt idx="1">
                  <c:v>Privātās augstskolas</c:v>
                </c:pt>
              </c:strCache>
            </c:strRef>
          </c:cat>
          <c:val>
            <c:numRef>
              <c:f>'izd2019'!$C$2:$C$3</c:f>
              <c:numCache>
                <c:formatCode>0%</c:formatCode>
                <c:ptCount val="2"/>
                <c:pt idx="0">
                  <c:v>6.0405580869081918E-2</c:v>
                </c:pt>
                <c:pt idx="1">
                  <c:v>0.13240516115212803</c:v>
                </c:pt>
              </c:numCache>
            </c:numRef>
          </c:val>
          <c:extLst>
            <c:ext xmlns:c16="http://schemas.microsoft.com/office/drawing/2014/chart" uri="{C3380CC4-5D6E-409C-BE32-E72D297353CC}">
              <c16:uniqueId val="{00000002-8A8C-48F7-A84B-0345D3815ACD}"/>
            </c:ext>
          </c:extLst>
        </c:ser>
        <c:ser>
          <c:idx val="2"/>
          <c:order val="2"/>
          <c:tx>
            <c:strRef>
              <c:f>'izd2019'!$D$1</c:f>
              <c:strCache>
                <c:ptCount val="1"/>
                <c:pt idx="0">
                  <c:v>Darba samaksa vispār. pers.</c:v>
                </c:pt>
              </c:strCache>
            </c:strRef>
          </c:tx>
          <c:spPr>
            <a:solidFill>
              <a:srgbClr val="8064A2">
                <a:lumMod val="20000"/>
                <a:lumOff val="80000"/>
              </a:srgb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Calibri" panose="020F0502020204030204" pitchFamily="34" charset="0"/>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'izd2019'!$A$2:$A$3</c:f>
              <c:strCache>
                <c:ptCount val="2"/>
                <c:pt idx="0">
                  <c:v>Valsts augstskolas</c:v>
                </c:pt>
                <c:pt idx="1">
                  <c:v>Privātās augstskolas</c:v>
                </c:pt>
              </c:strCache>
            </c:strRef>
          </c:cat>
          <c:val>
            <c:numRef>
              <c:f>'izd2019'!$D$2:$D$3</c:f>
              <c:numCache>
                <c:formatCode>0%</c:formatCode>
                <c:ptCount val="2"/>
                <c:pt idx="0">
                  <c:v>0.10930132000469185</c:v>
                </c:pt>
                <c:pt idx="1">
                  <c:v>6.1257861905698027E-2</c:v>
                </c:pt>
              </c:numCache>
            </c:numRef>
          </c:val>
          <c:extLst>
            <c:ext xmlns:c16="http://schemas.microsoft.com/office/drawing/2014/chart" uri="{C3380CC4-5D6E-409C-BE32-E72D297353CC}">
              <c16:uniqueId val="{00000003-8A8C-48F7-A84B-0345D3815ACD}"/>
            </c:ext>
          </c:extLst>
        </c:ser>
        <c:ser>
          <c:idx val="3"/>
          <c:order val="3"/>
          <c:tx>
            <c:strRef>
              <c:f>'izd2019'!$E$1</c:f>
              <c:strCache>
                <c:ptCount val="1"/>
                <c:pt idx="0">
                  <c:v>Sociālās apdrošināšanas iemaksas</c:v>
                </c:pt>
              </c:strCache>
            </c:strRef>
          </c:tx>
          <c:spPr>
            <a:solidFill>
              <a:sysClr val="window" lastClr="FFFFFF">
                <a:lumMod val="85000"/>
              </a:sys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Calibri" panose="020F0502020204030204" pitchFamily="34" charset="0"/>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'izd2019'!$A$2:$A$3</c:f>
              <c:strCache>
                <c:ptCount val="2"/>
                <c:pt idx="0">
                  <c:v>Valsts augstskolas</c:v>
                </c:pt>
                <c:pt idx="1">
                  <c:v>Privātās augstskolas</c:v>
                </c:pt>
              </c:strCache>
            </c:strRef>
          </c:cat>
          <c:val>
            <c:numRef>
              <c:f>'izd2019'!$E$2:$E$3</c:f>
              <c:numCache>
                <c:formatCode>0.0%</c:formatCode>
                <c:ptCount val="2"/>
                <c:pt idx="0" formatCode="0%">
                  <c:v>0.10219465883436643</c:v>
                </c:pt>
                <c:pt idx="1">
                  <c:v>8.5000000000000006E-2</c:v>
                </c:pt>
              </c:numCache>
            </c:numRef>
          </c:val>
          <c:extLst>
            <c:ext xmlns:c16="http://schemas.microsoft.com/office/drawing/2014/chart" uri="{C3380CC4-5D6E-409C-BE32-E72D297353CC}">
              <c16:uniqueId val="{00000004-8A8C-48F7-A84B-0345D3815ACD}"/>
            </c:ext>
          </c:extLst>
        </c:ser>
        <c:ser>
          <c:idx val="4"/>
          <c:order val="4"/>
          <c:tx>
            <c:strRef>
              <c:f>'izd2019'!$F$1</c:f>
              <c:strCache>
                <c:ptCount val="1"/>
                <c:pt idx="0">
                  <c:v>Preces un pakalpojumi</c:v>
                </c:pt>
              </c:strCache>
            </c:strRef>
          </c:tx>
          <c:spPr>
            <a:solidFill>
              <a:sysClr val="window" lastClr="FFFFFF">
                <a:lumMod val="50000"/>
              </a:sys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Calibri" panose="020F0502020204030204" pitchFamily="34" charset="0"/>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'izd2019'!$A$2:$A$3</c:f>
              <c:strCache>
                <c:ptCount val="2"/>
                <c:pt idx="0">
                  <c:v>Valsts augstskolas</c:v>
                </c:pt>
                <c:pt idx="1">
                  <c:v>Privātās augstskolas</c:v>
                </c:pt>
              </c:strCache>
            </c:strRef>
          </c:cat>
          <c:val>
            <c:numRef>
              <c:f>'izd2019'!$F$2:$F$3</c:f>
              <c:numCache>
                <c:formatCode>0%</c:formatCode>
                <c:ptCount val="2"/>
                <c:pt idx="0">
                  <c:v>0.23697990745068254</c:v>
                </c:pt>
                <c:pt idx="1">
                  <c:v>0.3565398308309119</c:v>
                </c:pt>
              </c:numCache>
            </c:numRef>
          </c:val>
          <c:extLst>
            <c:ext xmlns:c16="http://schemas.microsoft.com/office/drawing/2014/chart" uri="{C3380CC4-5D6E-409C-BE32-E72D297353CC}">
              <c16:uniqueId val="{00000005-8A8C-48F7-A84B-0345D3815ACD}"/>
            </c:ext>
          </c:extLst>
        </c:ser>
        <c:ser>
          <c:idx val="5"/>
          <c:order val="5"/>
          <c:tx>
            <c:strRef>
              <c:f>'izd2019'!$G$1</c:f>
              <c:strCache>
                <c:ptCount val="1"/>
                <c:pt idx="0">
                  <c:v>Pamatkapitāla veidošana</c:v>
                </c:pt>
              </c:strCache>
            </c:strRef>
          </c:tx>
          <c:spPr>
            <a:solidFill>
              <a:srgbClr val="4F81BD">
                <a:lumMod val="75000"/>
              </a:srgbClr>
            </a:solidFill>
            <a:ln>
              <a:noFill/>
            </a:ln>
            <a:effectLst/>
          </c:spPr>
          <c:invertIfNegative val="0"/>
          <c:dLbls>
            <c:dLbl>
              <c:idx val="1"/>
              <c:layout>
                <c:manualLayout>
                  <c:x val="6.5544127642796633E-4"/>
                  <c:y val="-1.448037545082972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1F8-48D4-A12C-A712C2CECF29}"/>
                </c:ext>
              </c:extLst>
            </c:dLbl>
            <c:dLbl>
              <c:idx val="3"/>
              <c:layout>
                <c:manualLayout>
                  <c:x val="7.6624695859743353E-2"/>
                  <c:y val="3.853564547206165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1F8-48D4-A12C-A712C2CECF29}"/>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Calibri" panose="020F0502020204030204" pitchFamily="34" charset="0"/>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'izd2019'!$A$2:$A$3</c:f>
              <c:strCache>
                <c:ptCount val="2"/>
                <c:pt idx="0">
                  <c:v>Valsts augstskolas</c:v>
                </c:pt>
                <c:pt idx="1">
                  <c:v>Privātās augstskolas</c:v>
                </c:pt>
              </c:strCache>
            </c:strRef>
          </c:cat>
          <c:val>
            <c:numRef>
              <c:f>'izd2019'!$G$2:$G$3</c:f>
              <c:numCache>
                <c:formatCode>0%</c:formatCode>
                <c:ptCount val="2"/>
                <c:pt idx="0">
                  <c:v>0.15163275056950576</c:v>
                </c:pt>
                <c:pt idx="1">
                  <c:v>4.9051728733300076E-2</c:v>
                </c:pt>
              </c:numCache>
            </c:numRef>
          </c:val>
          <c:extLst>
            <c:ext xmlns:c16="http://schemas.microsoft.com/office/drawing/2014/chart" uri="{C3380CC4-5D6E-409C-BE32-E72D297353CC}">
              <c16:uniqueId val="{00000006-8A8C-48F7-A84B-0345D3815ACD}"/>
            </c:ext>
          </c:extLst>
        </c:ser>
        <c:ser>
          <c:idx val="6"/>
          <c:order val="6"/>
          <c:tx>
            <c:strRef>
              <c:f>'izd2019'!$H$1</c:f>
              <c:strCache>
                <c:ptCount val="1"/>
                <c:pt idx="0">
                  <c:v>Stipendijas (sociālie pabalsti)</c:v>
                </c:pt>
              </c:strCache>
            </c:strRef>
          </c:tx>
          <c:spPr>
            <a:solidFill>
              <a:srgbClr val="1F497D">
                <a:lumMod val="20000"/>
                <a:lumOff val="80000"/>
              </a:srgbClr>
            </a:solidFill>
            <a:ln>
              <a:noFill/>
            </a:ln>
            <a:effectLst/>
          </c:spPr>
          <c:invertIfNegative val="0"/>
          <c:dLbls>
            <c:dLbl>
              <c:idx val="1"/>
              <c:layout>
                <c:manualLayout>
                  <c:x val="0.1306141062771134"/>
                  <c:y val="-1.552139365425344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8A8C-48F7-A84B-0345D3815ACD}"/>
                </c:ext>
              </c:extLst>
            </c:dLbl>
            <c:dLbl>
              <c:idx val="3"/>
              <c:layout>
                <c:manualLayout>
                  <c:x val="-5.1798001870732259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8A8C-48F7-A84B-0345D3815ACD}"/>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Calibri" panose="020F0502020204030204" pitchFamily="34" charset="0"/>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'izd2019'!$A$2:$A$3</c:f>
              <c:strCache>
                <c:ptCount val="2"/>
                <c:pt idx="0">
                  <c:v>Valsts augstskolas</c:v>
                </c:pt>
                <c:pt idx="1">
                  <c:v>Privātās augstskolas</c:v>
                </c:pt>
              </c:strCache>
            </c:strRef>
          </c:cat>
          <c:val>
            <c:numRef>
              <c:f>'izd2019'!$H$2:$H$3</c:f>
              <c:numCache>
                <c:formatCode>0%</c:formatCode>
                <c:ptCount val="2"/>
                <c:pt idx="0">
                  <c:v>3.6900050265528582E-2</c:v>
                </c:pt>
                <c:pt idx="1">
                  <c:v>6.9151543022716545E-3</c:v>
                </c:pt>
              </c:numCache>
            </c:numRef>
          </c:val>
          <c:extLst>
            <c:ext xmlns:c16="http://schemas.microsoft.com/office/drawing/2014/chart" uri="{C3380CC4-5D6E-409C-BE32-E72D297353CC}">
              <c16:uniqueId val="{00000007-8A8C-48F7-A84B-0345D3815ACD}"/>
            </c:ext>
          </c:extLst>
        </c:ser>
        <c:ser>
          <c:idx val="7"/>
          <c:order val="7"/>
          <c:tx>
            <c:strRef>
              <c:f>'izd2019'!$I$1</c:f>
              <c:strCache>
                <c:ptCount val="1"/>
                <c:pt idx="0">
                  <c:v>Citi izdevumi</c:v>
                </c:pt>
              </c:strCache>
            </c:strRef>
          </c:tx>
          <c:spPr>
            <a:solidFill>
              <a:srgbClr val="1F497D">
                <a:lumMod val="40000"/>
                <a:lumOff val="60000"/>
              </a:srgb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Calibri" panose="020F0502020204030204" pitchFamily="34" charset="0"/>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'izd2019'!$A$2:$A$3</c:f>
              <c:strCache>
                <c:ptCount val="2"/>
                <c:pt idx="0">
                  <c:v>Valsts augstskolas</c:v>
                </c:pt>
                <c:pt idx="1">
                  <c:v>Privātās augstskolas</c:v>
                </c:pt>
              </c:strCache>
            </c:strRef>
          </c:cat>
          <c:val>
            <c:numRef>
              <c:f>'izd2019'!$I$2:$I$3</c:f>
              <c:numCache>
                <c:formatCode>0.0%</c:formatCode>
                <c:ptCount val="2"/>
                <c:pt idx="0" formatCode="0%">
                  <c:v>6.3447625889934495E-2</c:v>
                </c:pt>
                <c:pt idx="1">
                  <c:v>0.125</c:v>
                </c:pt>
              </c:numCache>
            </c:numRef>
          </c:val>
          <c:extLst>
            <c:ext xmlns:c16="http://schemas.microsoft.com/office/drawing/2014/chart" uri="{C3380CC4-5D6E-409C-BE32-E72D297353CC}">
              <c16:uniqueId val="{00000008-8A8C-48F7-A84B-0345D3815ACD}"/>
            </c:ext>
          </c:extLst>
        </c:ser>
        <c:dLbls>
          <c:showLegendKey val="0"/>
          <c:showVal val="0"/>
          <c:showCatName val="0"/>
          <c:showSerName val="0"/>
          <c:showPercent val="0"/>
          <c:showBubbleSize val="0"/>
        </c:dLbls>
        <c:gapWidth val="50"/>
        <c:overlap val="100"/>
        <c:axId val="450827928"/>
        <c:axId val="450828712"/>
      </c:barChart>
      <c:catAx>
        <c:axId val="450827928"/>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Calibri" panose="020F0502020204030204" pitchFamily="34" charset="0"/>
                <a:ea typeface="+mn-ea"/>
                <a:cs typeface="+mn-cs"/>
              </a:defRPr>
            </a:pPr>
            <a:endParaRPr lang="lv-LV"/>
          </a:p>
        </c:txPr>
        <c:crossAx val="450828712"/>
        <c:crosses val="autoZero"/>
        <c:auto val="1"/>
        <c:lblAlgn val="ctr"/>
        <c:lblOffset val="1"/>
        <c:noMultiLvlLbl val="0"/>
      </c:catAx>
      <c:valAx>
        <c:axId val="45082871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Calibri" panose="020F0502020204030204" pitchFamily="34" charset="0"/>
                <a:ea typeface="+mn-ea"/>
                <a:cs typeface="+mn-cs"/>
              </a:defRPr>
            </a:pPr>
            <a:endParaRPr lang="lv-LV"/>
          </a:p>
        </c:txPr>
        <c:crossAx val="450827928"/>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Calibri" panose="020F0502020204030204" pitchFamily="34" charset="0"/>
              <a:ea typeface="+mn-ea"/>
              <a:cs typeface="+mn-cs"/>
            </a:defRPr>
          </a:pPr>
          <a:endParaRPr lang="lv-LV"/>
        </a:p>
      </c:txPr>
    </c:legend>
    <c:plotVisOnly val="1"/>
    <c:dispBlanksAs val="gap"/>
    <c:showDLblsOverMax val="0"/>
  </c:chart>
  <c:spPr>
    <a:solidFill>
      <a:schemeClr val="bg1"/>
    </a:solidFill>
    <a:ln w="9525" cap="flat" cmpd="sng" algn="ctr">
      <a:noFill/>
      <a:round/>
    </a:ln>
    <a:effectLst/>
  </c:spPr>
  <c:txPr>
    <a:bodyPr/>
    <a:lstStyle/>
    <a:p>
      <a:pPr>
        <a:defRPr sz="1100" baseline="0">
          <a:latin typeface="Times New Roman" panose="02020603050405020304" pitchFamily="18" charset="0"/>
        </a:defRPr>
      </a:pPr>
      <a:endParaRPr lang="lv-LV"/>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withinLinear" id="16">
  <a:schemeClr val="accent3"/>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3FF34D-3AA0-44B7-AD42-1F2DAECEF6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15</Pages>
  <Words>9454</Words>
  <Characters>5390</Characters>
  <Application>Microsoft Office Word</Application>
  <DocSecurity>0</DocSecurity>
  <Lines>44</Lines>
  <Paragraphs>29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Izgl'itibas un zinatnes ministrija</Company>
  <LinksUpToDate>false</LinksUpToDate>
  <CharactersWithSpaces>14815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Leiškalne</dc:creator>
  <cp:keywords/>
  <dc:description/>
  <cp:lastModifiedBy>User</cp:lastModifiedBy>
  <cp:revision>22</cp:revision>
  <cp:lastPrinted>2020-04-09T08:26:00Z</cp:lastPrinted>
  <dcterms:created xsi:type="dcterms:W3CDTF">2020-06-25T07:56:00Z</dcterms:created>
  <dcterms:modified xsi:type="dcterms:W3CDTF">2020-06-25T09:51:00Z</dcterms:modified>
</cp:coreProperties>
</file>