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13ADF" w14:textId="77777777" w:rsidR="00CE67D9" w:rsidRPr="006901B2" w:rsidRDefault="00802B33" w:rsidP="00802B33">
      <w:pPr>
        <w:jc w:val="center"/>
        <w:rPr>
          <w:b/>
          <w:bCs/>
          <w:color w:val="000000"/>
          <w:sz w:val="28"/>
          <w:szCs w:val="28"/>
        </w:rPr>
      </w:pPr>
      <w:bookmarkStart w:id="0" w:name="OLE_LINK1"/>
      <w:bookmarkStart w:id="1" w:name="OLE_LINK2"/>
      <w:bookmarkStart w:id="2" w:name="OLE_LINK7"/>
      <w:bookmarkStart w:id="3" w:name="_GoBack"/>
      <w:bookmarkEnd w:id="3"/>
      <w:r w:rsidRPr="006901B2">
        <w:rPr>
          <w:b/>
          <w:bCs/>
          <w:color w:val="000000"/>
          <w:sz w:val="28"/>
          <w:szCs w:val="28"/>
        </w:rPr>
        <w:t xml:space="preserve">Ministru kabineta noteikumu projekta </w:t>
      </w:r>
    </w:p>
    <w:p w14:paraId="7DCB4822" w14:textId="0B24C80A" w:rsidR="005D32B0" w:rsidRDefault="00CE67D9" w:rsidP="00802B33">
      <w:pPr>
        <w:jc w:val="center"/>
        <w:rPr>
          <w:b/>
          <w:bCs/>
          <w:sz w:val="28"/>
          <w:szCs w:val="28"/>
        </w:rPr>
      </w:pPr>
      <w:r w:rsidRPr="006901B2">
        <w:rPr>
          <w:b/>
          <w:bCs/>
          <w:sz w:val="28"/>
          <w:szCs w:val="28"/>
        </w:rPr>
        <w:t>“</w:t>
      </w:r>
      <w:r w:rsidR="00802B33" w:rsidRPr="006901B2">
        <w:rPr>
          <w:b/>
          <w:bCs/>
          <w:sz w:val="28"/>
          <w:szCs w:val="28"/>
        </w:rPr>
        <w:t xml:space="preserve">Noteikumi par </w:t>
      </w:r>
      <w:r w:rsidRPr="006901B2">
        <w:rPr>
          <w:b/>
          <w:bCs/>
          <w:sz w:val="28"/>
          <w:szCs w:val="28"/>
        </w:rPr>
        <w:t>20</w:t>
      </w:r>
      <w:r w:rsidR="00236ED2">
        <w:rPr>
          <w:b/>
          <w:bCs/>
          <w:sz w:val="28"/>
          <w:szCs w:val="28"/>
        </w:rPr>
        <w:t>2</w:t>
      </w:r>
      <w:r w:rsidR="00813461">
        <w:rPr>
          <w:b/>
          <w:bCs/>
          <w:sz w:val="28"/>
          <w:szCs w:val="28"/>
        </w:rPr>
        <w:t>1</w:t>
      </w:r>
      <w:r w:rsidR="00802B33" w:rsidRPr="006901B2">
        <w:rPr>
          <w:b/>
          <w:bCs/>
          <w:sz w:val="28"/>
          <w:szCs w:val="28"/>
        </w:rPr>
        <w:t>.</w:t>
      </w:r>
      <w:r w:rsidR="002C088C" w:rsidRPr="006901B2">
        <w:rPr>
          <w:b/>
          <w:bCs/>
          <w:sz w:val="28"/>
          <w:szCs w:val="28"/>
        </w:rPr>
        <w:t> </w:t>
      </w:r>
      <w:r w:rsidR="00802B33" w:rsidRPr="006901B2">
        <w:rPr>
          <w:b/>
          <w:bCs/>
          <w:sz w:val="28"/>
          <w:szCs w:val="28"/>
        </w:rPr>
        <w:t>/</w:t>
      </w:r>
      <w:r w:rsidR="00813461">
        <w:rPr>
          <w:b/>
          <w:bCs/>
          <w:sz w:val="28"/>
          <w:szCs w:val="28"/>
        </w:rPr>
        <w:t>2022</w:t>
      </w:r>
      <w:r w:rsidR="00802B33" w:rsidRPr="006901B2">
        <w:rPr>
          <w:b/>
          <w:bCs/>
          <w:sz w:val="28"/>
          <w:szCs w:val="28"/>
        </w:rPr>
        <w:t>.</w:t>
      </w:r>
      <w:r w:rsidRPr="006901B2">
        <w:rPr>
          <w:b/>
          <w:bCs/>
          <w:sz w:val="28"/>
          <w:szCs w:val="28"/>
        </w:rPr>
        <w:t xml:space="preserve"> mācību gada un mācību semestru sākuma un beigu laiku</w:t>
      </w:r>
      <w:r w:rsidR="00557E35" w:rsidRPr="006901B2">
        <w:rPr>
          <w:b/>
          <w:bCs/>
          <w:sz w:val="28"/>
          <w:szCs w:val="28"/>
        </w:rPr>
        <w:t xml:space="preserve"> un </w:t>
      </w:r>
      <w:r w:rsidRPr="006901B2">
        <w:rPr>
          <w:b/>
          <w:bCs/>
          <w:sz w:val="28"/>
          <w:szCs w:val="28"/>
        </w:rPr>
        <w:t>brīvdienu laiku</w:t>
      </w:r>
      <w:r w:rsidR="00802B33" w:rsidRPr="006901B2">
        <w:rPr>
          <w:b/>
          <w:bCs/>
          <w:sz w:val="28"/>
          <w:szCs w:val="28"/>
        </w:rPr>
        <w:t xml:space="preserve">” </w:t>
      </w:r>
    </w:p>
    <w:p w14:paraId="10A2E6B0" w14:textId="7A9B2D5E" w:rsidR="00802B33" w:rsidRPr="006901B2" w:rsidRDefault="00802B33" w:rsidP="00802B33">
      <w:pPr>
        <w:jc w:val="center"/>
        <w:rPr>
          <w:b/>
          <w:bCs/>
          <w:sz w:val="28"/>
          <w:szCs w:val="28"/>
        </w:rPr>
      </w:pPr>
      <w:r w:rsidRPr="006901B2">
        <w:rPr>
          <w:b/>
          <w:bCs/>
          <w:sz w:val="28"/>
          <w:szCs w:val="28"/>
        </w:rPr>
        <w:t>sākotnējās ietekmes novērtējuma ziņojums (anotācija)</w:t>
      </w:r>
    </w:p>
    <w:bookmarkEnd w:id="0"/>
    <w:bookmarkEnd w:id="1"/>
    <w:bookmarkEnd w:id="2"/>
    <w:p w14:paraId="3BD81A8C" w14:textId="77777777" w:rsidR="00B70B3D" w:rsidRPr="006901B2" w:rsidRDefault="00B70B3D" w:rsidP="00101A58">
      <w:pPr>
        <w:spacing w:before="50" w:after="5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60"/>
        <w:gridCol w:w="6057"/>
      </w:tblGrid>
      <w:tr w:rsidR="00B70B3D" w:rsidRPr="006901B2" w14:paraId="1A36148A" w14:textId="77777777" w:rsidTr="0085138B">
        <w:trPr>
          <w:cantSplit/>
          <w:trHeight w:val="413"/>
        </w:trPr>
        <w:tc>
          <w:tcPr>
            <w:tcW w:w="9061" w:type="dxa"/>
            <w:gridSpan w:val="2"/>
            <w:shd w:val="clear" w:color="auto" w:fill="FFFFFF"/>
            <w:vAlign w:val="center"/>
            <w:hideMark/>
          </w:tcPr>
          <w:p w14:paraId="1EFAE529" w14:textId="77777777" w:rsidR="00B70B3D" w:rsidRPr="006901B2" w:rsidRDefault="00B70B3D" w:rsidP="00B70B3D">
            <w:pPr>
              <w:spacing w:before="50" w:after="50"/>
              <w:jc w:val="center"/>
              <w:rPr>
                <w:b/>
                <w:iCs/>
                <w:sz w:val="28"/>
                <w:szCs w:val="28"/>
              </w:rPr>
            </w:pPr>
            <w:r w:rsidRPr="006901B2">
              <w:rPr>
                <w:b/>
                <w:bCs/>
                <w:sz w:val="28"/>
                <w:szCs w:val="28"/>
              </w:rPr>
              <w:t>Tiesību akta projekta anotācijas kopsavilkums</w:t>
            </w:r>
          </w:p>
        </w:tc>
      </w:tr>
      <w:tr w:rsidR="00B70B3D" w:rsidRPr="006901B2" w14:paraId="6334883C" w14:textId="77777777" w:rsidTr="006901B2">
        <w:trPr>
          <w:cantSplit/>
          <w:trHeight w:val="2289"/>
        </w:trPr>
        <w:tc>
          <w:tcPr>
            <w:tcW w:w="2972" w:type="dxa"/>
            <w:shd w:val="clear" w:color="auto" w:fill="FFFFFF"/>
            <w:hideMark/>
          </w:tcPr>
          <w:p w14:paraId="27BE9FEA" w14:textId="77777777" w:rsidR="00B70B3D" w:rsidRPr="006901B2" w:rsidRDefault="00B70B3D" w:rsidP="00B70B3D">
            <w:pPr>
              <w:spacing w:before="50" w:after="50"/>
              <w:jc w:val="left"/>
              <w:rPr>
                <w:iCs/>
                <w:sz w:val="28"/>
                <w:szCs w:val="28"/>
              </w:rPr>
            </w:pPr>
            <w:r w:rsidRPr="006901B2">
              <w:rPr>
                <w:sz w:val="28"/>
                <w:szCs w:val="28"/>
              </w:rPr>
              <w:t>Mērķis, risinājums un projekta spēkā stāšanās laiks (500 zīmes bez atstarpēm)</w:t>
            </w:r>
          </w:p>
        </w:tc>
        <w:tc>
          <w:tcPr>
            <w:tcW w:w="6089" w:type="dxa"/>
            <w:shd w:val="clear" w:color="auto" w:fill="FFFFFF"/>
            <w:hideMark/>
          </w:tcPr>
          <w:p w14:paraId="30E46D14" w14:textId="1C3068E9" w:rsidR="00B70B3D" w:rsidRDefault="00B70B3D" w:rsidP="00B70B3D">
            <w:pPr>
              <w:spacing w:before="50" w:after="50"/>
              <w:rPr>
                <w:sz w:val="28"/>
                <w:szCs w:val="28"/>
              </w:rPr>
            </w:pPr>
            <w:r w:rsidRPr="006901B2">
              <w:rPr>
                <w:sz w:val="28"/>
                <w:szCs w:val="28"/>
              </w:rPr>
              <w:t>Ministru kabineta noteikumu projekt</w:t>
            </w:r>
            <w:r w:rsidR="00CA4207">
              <w:rPr>
                <w:sz w:val="28"/>
                <w:szCs w:val="28"/>
              </w:rPr>
              <w:t>a</w:t>
            </w:r>
            <w:r w:rsidRPr="006901B2">
              <w:rPr>
                <w:sz w:val="28"/>
                <w:szCs w:val="28"/>
              </w:rPr>
              <w:t xml:space="preserve"> “Noteikumi par </w:t>
            </w:r>
            <w:r w:rsidR="006317C3">
              <w:rPr>
                <w:sz w:val="28"/>
                <w:szCs w:val="28"/>
              </w:rPr>
              <w:t>2021.</w:t>
            </w:r>
            <w:r w:rsidR="006317C3" w:rsidRPr="006317C3">
              <w:rPr>
                <w:sz w:val="28"/>
                <w:szCs w:val="28"/>
              </w:rPr>
              <w:t xml:space="preserve"> /2022</w:t>
            </w:r>
            <w:r w:rsidR="006317C3">
              <w:rPr>
                <w:sz w:val="28"/>
                <w:szCs w:val="28"/>
              </w:rPr>
              <w:t xml:space="preserve">. </w:t>
            </w:r>
            <w:r w:rsidRPr="006901B2">
              <w:rPr>
                <w:sz w:val="28"/>
                <w:szCs w:val="28"/>
              </w:rPr>
              <w:t>mācību gada un mācību semestru sākuma un beigu laiku</w:t>
            </w:r>
            <w:r w:rsidR="008614EE">
              <w:t xml:space="preserve"> </w:t>
            </w:r>
            <w:r w:rsidR="008614EE" w:rsidRPr="008614EE">
              <w:rPr>
                <w:sz w:val="28"/>
                <w:szCs w:val="28"/>
              </w:rPr>
              <w:t>un brīvdienu laiku</w:t>
            </w:r>
            <w:r w:rsidRPr="006901B2">
              <w:rPr>
                <w:sz w:val="28"/>
                <w:szCs w:val="28"/>
              </w:rPr>
              <w:t xml:space="preserve">” (turpmāk – noteikumu projekts) </w:t>
            </w:r>
            <w:r w:rsidR="00CA4207">
              <w:rPr>
                <w:sz w:val="28"/>
                <w:szCs w:val="28"/>
              </w:rPr>
              <w:t xml:space="preserve">mērķis ir noteikt </w:t>
            </w:r>
            <w:r w:rsidRPr="006901B2">
              <w:rPr>
                <w:sz w:val="28"/>
                <w:szCs w:val="28"/>
              </w:rPr>
              <w:t>mācību gada un mācību semestru sākuma un beigu laiku, kā arī brīvdienu laiku.</w:t>
            </w:r>
          </w:p>
          <w:p w14:paraId="294550AB" w14:textId="462A8944" w:rsidR="006901B2" w:rsidRPr="006901B2" w:rsidRDefault="006901B2" w:rsidP="00A44EF3">
            <w:pPr>
              <w:spacing w:before="50" w:after="50"/>
              <w:rPr>
                <w:i/>
                <w:iCs/>
                <w:sz w:val="28"/>
                <w:szCs w:val="28"/>
              </w:rPr>
            </w:pPr>
            <w:r>
              <w:rPr>
                <w:sz w:val="28"/>
                <w:szCs w:val="28"/>
              </w:rPr>
              <w:t xml:space="preserve">Noteikumu </w:t>
            </w:r>
            <w:r w:rsidR="00795A91">
              <w:rPr>
                <w:sz w:val="28"/>
                <w:szCs w:val="28"/>
              </w:rPr>
              <w:t xml:space="preserve">projekts stāsies spēkā vispārējā kārtībā, un tajā </w:t>
            </w:r>
            <w:r>
              <w:rPr>
                <w:sz w:val="28"/>
                <w:szCs w:val="28"/>
              </w:rPr>
              <w:t xml:space="preserve">ietvertais regulējums piemērojams no </w:t>
            </w:r>
            <w:r w:rsidR="00236ED2">
              <w:rPr>
                <w:sz w:val="28"/>
                <w:szCs w:val="28"/>
              </w:rPr>
              <w:t>202</w:t>
            </w:r>
            <w:r w:rsidR="00813461">
              <w:rPr>
                <w:sz w:val="28"/>
                <w:szCs w:val="28"/>
              </w:rPr>
              <w:t>1</w:t>
            </w:r>
            <w:r>
              <w:rPr>
                <w:sz w:val="28"/>
                <w:szCs w:val="28"/>
              </w:rPr>
              <w:t>.</w:t>
            </w:r>
            <w:r w:rsidR="005D32B0">
              <w:rPr>
                <w:sz w:val="28"/>
                <w:szCs w:val="28"/>
              </w:rPr>
              <w:t> </w:t>
            </w:r>
            <w:r>
              <w:rPr>
                <w:sz w:val="28"/>
                <w:szCs w:val="28"/>
              </w:rPr>
              <w:t xml:space="preserve">gada </w:t>
            </w:r>
            <w:r w:rsidR="00236ED2">
              <w:rPr>
                <w:sz w:val="28"/>
                <w:szCs w:val="28"/>
              </w:rPr>
              <w:t>1</w:t>
            </w:r>
            <w:r>
              <w:rPr>
                <w:sz w:val="28"/>
                <w:szCs w:val="28"/>
              </w:rPr>
              <w:t>.</w:t>
            </w:r>
            <w:r w:rsidR="00A44EF3">
              <w:rPr>
                <w:sz w:val="28"/>
                <w:szCs w:val="28"/>
              </w:rPr>
              <w:t> </w:t>
            </w:r>
            <w:r>
              <w:rPr>
                <w:sz w:val="28"/>
                <w:szCs w:val="28"/>
              </w:rPr>
              <w:t>septembra.</w:t>
            </w:r>
          </w:p>
        </w:tc>
      </w:tr>
    </w:tbl>
    <w:p w14:paraId="5478B15F" w14:textId="77777777" w:rsidR="00101A58" w:rsidRPr="006901B2" w:rsidRDefault="00101A58" w:rsidP="00101A58">
      <w:pPr>
        <w:spacing w:before="50" w:after="50"/>
        <w:jc w:val="center"/>
        <w:rPr>
          <w:sz w:val="28"/>
          <w:szCs w:val="28"/>
        </w:rPr>
      </w:pPr>
      <w:r w:rsidRPr="006901B2">
        <w:rPr>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
        <w:gridCol w:w="2602"/>
        <w:gridCol w:w="5983"/>
        <w:gridCol w:w="59"/>
      </w:tblGrid>
      <w:tr w:rsidR="00101A58" w:rsidRPr="006901B2" w14:paraId="7862A5CF" w14:textId="77777777" w:rsidTr="007345A9">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vAlign w:val="center"/>
            <w:hideMark/>
          </w:tcPr>
          <w:p w14:paraId="353975A2" w14:textId="77777777" w:rsidR="00101A58" w:rsidRPr="006901B2" w:rsidRDefault="00101A58" w:rsidP="007345A9">
            <w:pPr>
              <w:spacing w:before="50" w:after="50"/>
              <w:jc w:val="center"/>
              <w:rPr>
                <w:sz w:val="28"/>
                <w:szCs w:val="28"/>
              </w:rPr>
            </w:pPr>
            <w:r w:rsidRPr="006901B2">
              <w:rPr>
                <w:b/>
                <w:bCs/>
                <w:sz w:val="28"/>
                <w:szCs w:val="28"/>
              </w:rPr>
              <w:t> I. Tiesību akta projekta izstrādes nepieciešamība</w:t>
            </w:r>
          </w:p>
        </w:tc>
      </w:tr>
      <w:tr w:rsidR="00101A58" w:rsidRPr="006901B2" w14:paraId="2F3411A6" w14:textId="77777777" w:rsidTr="006901B2">
        <w:trPr>
          <w:trHeight w:val="630"/>
          <w:tblCellSpacing w:w="0" w:type="dxa"/>
        </w:trPr>
        <w:tc>
          <w:tcPr>
            <w:tcW w:w="20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7B7FEDDB" w14:textId="77777777" w:rsidR="00101A58" w:rsidRPr="006901B2" w:rsidRDefault="00101A58" w:rsidP="007345A9">
            <w:pPr>
              <w:spacing w:before="50" w:after="50"/>
              <w:rPr>
                <w:sz w:val="28"/>
                <w:szCs w:val="28"/>
              </w:rPr>
            </w:pPr>
            <w:r w:rsidRPr="006901B2">
              <w:rPr>
                <w:sz w:val="28"/>
                <w:szCs w:val="28"/>
              </w:rPr>
              <w:t> 1.</w:t>
            </w:r>
          </w:p>
        </w:tc>
        <w:tc>
          <w:tcPr>
            <w:tcW w:w="1444"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75D4EDE8" w14:textId="77777777" w:rsidR="00101A58" w:rsidRPr="006901B2" w:rsidRDefault="00101A58" w:rsidP="007345A9">
            <w:pPr>
              <w:spacing w:before="50" w:after="50"/>
              <w:jc w:val="left"/>
              <w:rPr>
                <w:sz w:val="28"/>
                <w:szCs w:val="28"/>
              </w:rPr>
            </w:pPr>
            <w:r w:rsidRPr="006901B2">
              <w:rPr>
                <w:sz w:val="28"/>
                <w:szCs w:val="28"/>
              </w:rPr>
              <w:t>Pamatojums</w:t>
            </w:r>
          </w:p>
          <w:p w14:paraId="07727C7E" w14:textId="77777777" w:rsidR="00260F97" w:rsidRPr="006901B2" w:rsidRDefault="00260F97" w:rsidP="007345A9">
            <w:pPr>
              <w:spacing w:before="50" w:after="50"/>
              <w:jc w:val="left"/>
              <w:rPr>
                <w:sz w:val="28"/>
                <w:szCs w:val="28"/>
              </w:rPr>
            </w:pPr>
          </w:p>
          <w:p w14:paraId="4E1EA12C" w14:textId="77777777" w:rsidR="00260F97" w:rsidRPr="006901B2" w:rsidRDefault="00260F97" w:rsidP="007345A9">
            <w:pPr>
              <w:spacing w:before="50" w:after="50"/>
              <w:jc w:val="left"/>
              <w:rPr>
                <w:sz w:val="28"/>
                <w:szCs w:val="28"/>
              </w:rPr>
            </w:pPr>
          </w:p>
        </w:tc>
        <w:tc>
          <w:tcPr>
            <w:tcW w:w="3353" w:type="pct"/>
            <w:gridSpan w:val="2"/>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6966FE3B" w14:textId="7D572824" w:rsidR="00302930" w:rsidRPr="006901B2" w:rsidRDefault="00DE42ED" w:rsidP="00DE42ED">
            <w:pPr>
              <w:pStyle w:val="naiskr"/>
              <w:spacing w:before="0" w:after="0"/>
              <w:jc w:val="both"/>
              <w:rPr>
                <w:sz w:val="28"/>
                <w:szCs w:val="28"/>
              </w:rPr>
            </w:pPr>
            <w:r>
              <w:rPr>
                <w:sz w:val="28"/>
                <w:szCs w:val="28"/>
              </w:rPr>
              <w:t xml:space="preserve">Izglītības un zinātnes ministrija ir sagatavojusi </w:t>
            </w:r>
            <w:r w:rsidR="001D3243">
              <w:rPr>
                <w:sz w:val="28"/>
                <w:szCs w:val="28"/>
              </w:rPr>
              <w:t xml:space="preserve">noteikumu projektu </w:t>
            </w:r>
            <w:r>
              <w:rPr>
                <w:sz w:val="28"/>
                <w:szCs w:val="28"/>
              </w:rPr>
              <w:t xml:space="preserve">pēc savas iniciatīvas </w:t>
            </w:r>
            <w:r w:rsidR="00802B33" w:rsidRPr="006901B2">
              <w:rPr>
                <w:sz w:val="28"/>
                <w:szCs w:val="28"/>
              </w:rPr>
              <w:t xml:space="preserve">saskaņā ar </w:t>
            </w:r>
            <w:r w:rsidR="00802B33" w:rsidRPr="006901B2">
              <w:rPr>
                <w:color w:val="000000"/>
                <w:sz w:val="28"/>
                <w:szCs w:val="28"/>
              </w:rPr>
              <w:t>Vispārējās izglītības likuma 4.</w:t>
            </w:r>
            <w:r w:rsidR="005D32B0">
              <w:rPr>
                <w:color w:val="000000"/>
                <w:sz w:val="28"/>
                <w:szCs w:val="28"/>
              </w:rPr>
              <w:t> </w:t>
            </w:r>
            <w:r w:rsidR="00802B33" w:rsidRPr="006901B2">
              <w:rPr>
                <w:color w:val="000000"/>
                <w:sz w:val="28"/>
                <w:szCs w:val="28"/>
              </w:rPr>
              <w:t>panta 16.</w:t>
            </w:r>
            <w:r w:rsidR="005D32B0">
              <w:rPr>
                <w:color w:val="000000"/>
                <w:sz w:val="28"/>
                <w:szCs w:val="28"/>
              </w:rPr>
              <w:t> </w:t>
            </w:r>
            <w:r w:rsidR="00802B33" w:rsidRPr="006901B2">
              <w:rPr>
                <w:color w:val="000000"/>
                <w:sz w:val="28"/>
                <w:szCs w:val="28"/>
              </w:rPr>
              <w:t xml:space="preserve">punktu, kas paredz, ka </w:t>
            </w:r>
            <w:r w:rsidR="008614EE">
              <w:rPr>
                <w:color w:val="000000"/>
                <w:sz w:val="28"/>
                <w:szCs w:val="28"/>
              </w:rPr>
              <w:t xml:space="preserve">Ministru kabinets </w:t>
            </w:r>
            <w:r w:rsidR="00CE67D9" w:rsidRPr="006901B2">
              <w:rPr>
                <w:color w:val="000000"/>
                <w:sz w:val="28"/>
                <w:szCs w:val="28"/>
              </w:rPr>
              <w:t>nosaka mācību gada un mācību semestru sākuma un beigu laiku, kā arī brīvdienu laiku.</w:t>
            </w:r>
          </w:p>
        </w:tc>
      </w:tr>
      <w:tr w:rsidR="005A02A7" w:rsidRPr="005A02A7" w14:paraId="0C8BAEE8" w14:textId="77777777" w:rsidTr="006901B2">
        <w:trPr>
          <w:trHeight w:val="472"/>
          <w:tblCellSpacing w:w="0" w:type="dxa"/>
        </w:trPr>
        <w:tc>
          <w:tcPr>
            <w:tcW w:w="20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7B95DC93" w14:textId="77777777" w:rsidR="00101A58" w:rsidRPr="006901B2" w:rsidRDefault="00101A58" w:rsidP="007345A9">
            <w:pPr>
              <w:spacing w:before="50" w:after="50"/>
              <w:rPr>
                <w:sz w:val="28"/>
                <w:szCs w:val="28"/>
              </w:rPr>
            </w:pPr>
            <w:r w:rsidRPr="006901B2">
              <w:rPr>
                <w:sz w:val="28"/>
                <w:szCs w:val="28"/>
              </w:rPr>
              <w:t> 2.</w:t>
            </w:r>
          </w:p>
        </w:tc>
        <w:tc>
          <w:tcPr>
            <w:tcW w:w="1444"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3F3BFA59" w14:textId="77777777" w:rsidR="00E87946" w:rsidRPr="006901B2" w:rsidRDefault="00101A58" w:rsidP="007345A9">
            <w:pPr>
              <w:spacing w:before="50" w:after="50"/>
              <w:jc w:val="left"/>
              <w:rPr>
                <w:sz w:val="28"/>
                <w:szCs w:val="28"/>
              </w:rPr>
            </w:pPr>
            <w:r w:rsidRPr="006901B2">
              <w:rPr>
                <w:sz w:val="28"/>
                <w:szCs w:val="28"/>
              </w:rPr>
              <w:t>Pašreizējā situācija un problēmas</w:t>
            </w:r>
            <w:r w:rsidR="00B53406" w:rsidRPr="006901B2">
              <w:rPr>
                <w:sz w:val="28"/>
                <w:szCs w:val="28"/>
              </w:rPr>
              <w:t>, kuru risināšanai tiesību akta projekts izstrādāts, tiesiskā regulējuma mērķis un būtība</w:t>
            </w:r>
          </w:p>
          <w:p w14:paraId="7B00076A" w14:textId="77777777" w:rsidR="00E87946" w:rsidRPr="006901B2" w:rsidRDefault="00E87946" w:rsidP="00E87946">
            <w:pPr>
              <w:rPr>
                <w:sz w:val="28"/>
                <w:szCs w:val="28"/>
              </w:rPr>
            </w:pPr>
          </w:p>
          <w:p w14:paraId="4B295A9A" w14:textId="77777777" w:rsidR="00E87946" w:rsidRPr="006901B2" w:rsidRDefault="00E87946" w:rsidP="00E87946">
            <w:pPr>
              <w:rPr>
                <w:sz w:val="28"/>
                <w:szCs w:val="28"/>
              </w:rPr>
            </w:pPr>
          </w:p>
          <w:p w14:paraId="0C85B1C5" w14:textId="77777777" w:rsidR="00E87946" w:rsidRPr="006901B2" w:rsidRDefault="00E87946" w:rsidP="00E87946">
            <w:pPr>
              <w:rPr>
                <w:sz w:val="28"/>
                <w:szCs w:val="28"/>
              </w:rPr>
            </w:pPr>
          </w:p>
          <w:p w14:paraId="000194A8" w14:textId="77777777" w:rsidR="00E87946" w:rsidRPr="006901B2" w:rsidRDefault="00E87946" w:rsidP="00E87946">
            <w:pPr>
              <w:rPr>
                <w:sz w:val="28"/>
                <w:szCs w:val="28"/>
              </w:rPr>
            </w:pPr>
          </w:p>
          <w:p w14:paraId="57B0AC73" w14:textId="77777777" w:rsidR="00E87946" w:rsidRPr="006901B2" w:rsidRDefault="00E87946" w:rsidP="00E87946">
            <w:pPr>
              <w:rPr>
                <w:sz w:val="28"/>
                <w:szCs w:val="28"/>
              </w:rPr>
            </w:pPr>
          </w:p>
          <w:p w14:paraId="2FD49331" w14:textId="77777777" w:rsidR="00E87946" w:rsidRPr="006901B2" w:rsidRDefault="00E87946" w:rsidP="00E87946">
            <w:pPr>
              <w:rPr>
                <w:sz w:val="28"/>
                <w:szCs w:val="28"/>
              </w:rPr>
            </w:pPr>
          </w:p>
          <w:p w14:paraId="091F9738" w14:textId="77777777" w:rsidR="00E87946" w:rsidRPr="006901B2" w:rsidRDefault="00E87946" w:rsidP="00E87946">
            <w:pPr>
              <w:rPr>
                <w:sz w:val="28"/>
                <w:szCs w:val="28"/>
              </w:rPr>
            </w:pPr>
          </w:p>
          <w:p w14:paraId="1BF8FFB6" w14:textId="77777777" w:rsidR="00E87946" w:rsidRPr="006901B2" w:rsidRDefault="00E87946" w:rsidP="00E87946">
            <w:pPr>
              <w:rPr>
                <w:sz w:val="28"/>
                <w:szCs w:val="28"/>
              </w:rPr>
            </w:pPr>
          </w:p>
          <w:p w14:paraId="3A769DB8" w14:textId="77777777" w:rsidR="00E87946" w:rsidRPr="006901B2" w:rsidRDefault="00E87946" w:rsidP="00E87946">
            <w:pPr>
              <w:rPr>
                <w:sz w:val="28"/>
                <w:szCs w:val="28"/>
              </w:rPr>
            </w:pPr>
          </w:p>
          <w:p w14:paraId="738D62F3" w14:textId="77777777" w:rsidR="00101A58" w:rsidRPr="006901B2" w:rsidRDefault="00101A58" w:rsidP="00260F97">
            <w:pPr>
              <w:ind w:firstLine="201"/>
              <w:rPr>
                <w:sz w:val="28"/>
                <w:szCs w:val="28"/>
              </w:rPr>
            </w:pPr>
          </w:p>
          <w:p w14:paraId="1219EC95" w14:textId="32A10405" w:rsidR="0019562B" w:rsidRDefault="0019562B" w:rsidP="00260F97">
            <w:pPr>
              <w:ind w:firstLine="201"/>
              <w:rPr>
                <w:sz w:val="28"/>
                <w:szCs w:val="28"/>
              </w:rPr>
            </w:pPr>
          </w:p>
          <w:p w14:paraId="66240064" w14:textId="77777777" w:rsidR="00260F97" w:rsidRPr="0019562B" w:rsidRDefault="00260F97" w:rsidP="0019562B">
            <w:pPr>
              <w:rPr>
                <w:sz w:val="28"/>
                <w:szCs w:val="28"/>
              </w:rPr>
            </w:pPr>
          </w:p>
          <w:p w14:paraId="0795BD9D" w14:textId="77777777" w:rsidR="00260F97" w:rsidRPr="006901B2" w:rsidRDefault="00260F97" w:rsidP="00260F97">
            <w:pPr>
              <w:ind w:firstLine="201"/>
              <w:rPr>
                <w:sz w:val="28"/>
                <w:szCs w:val="28"/>
              </w:rPr>
            </w:pPr>
          </w:p>
          <w:p w14:paraId="1697ED54" w14:textId="77777777" w:rsidR="00260F97" w:rsidRPr="006901B2" w:rsidRDefault="00260F97" w:rsidP="00260F97">
            <w:pPr>
              <w:ind w:firstLine="201"/>
              <w:rPr>
                <w:sz w:val="28"/>
                <w:szCs w:val="28"/>
              </w:rPr>
            </w:pPr>
          </w:p>
          <w:p w14:paraId="5D787952" w14:textId="77777777" w:rsidR="00260F97" w:rsidRPr="006901B2" w:rsidRDefault="00260F97" w:rsidP="00260F97">
            <w:pPr>
              <w:ind w:firstLine="201"/>
              <w:rPr>
                <w:sz w:val="28"/>
                <w:szCs w:val="28"/>
              </w:rPr>
            </w:pPr>
          </w:p>
          <w:p w14:paraId="71D31567" w14:textId="77777777" w:rsidR="00260F97" w:rsidRPr="006901B2" w:rsidRDefault="00260F97" w:rsidP="00260F97">
            <w:pPr>
              <w:ind w:firstLine="201"/>
              <w:rPr>
                <w:sz w:val="28"/>
                <w:szCs w:val="28"/>
              </w:rPr>
            </w:pPr>
          </w:p>
          <w:p w14:paraId="49E90FB9" w14:textId="77777777" w:rsidR="00260F97" w:rsidRPr="006901B2" w:rsidRDefault="00260F97" w:rsidP="00260F97">
            <w:pPr>
              <w:ind w:firstLine="201"/>
              <w:rPr>
                <w:sz w:val="28"/>
                <w:szCs w:val="28"/>
              </w:rPr>
            </w:pPr>
          </w:p>
          <w:p w14:paraId="0D0CF710" w14:textId="77777777" w:rsidR="00260F97" w:rsidRPr="006901B2" w:rsidRDefault="00260F97" w:rsidP="00260F97">
            <w:pPr>
              <w:ind w:firstLine="201"/>
              <w:rPr>
                <w:sz w:val="28"/>
                <w:szCs w:val="28"/>
              </w:rPr>
            </w:pPr>
          </w:p>
          <w:p w14:paraId="456EE5E5" w14:textId="77777777" w:rsidR="00260F97" w:rsidRPr="006901B2" w:rsidRDefault="00260F97" w:rsidP="00260F97">
            <w:pPr>
              <w:ind w:firstLine="201"/>
              <w:rPr>
                <w:sz w:val="28"/>
                <w:szCs w:val="28"/>
              </w:rPr>
            </w:pPr>
          </w:p>
          <w:p w14:paraId="4A766E2A" w14:textId="77777777" w:rsidR="00260F97" w:rsidRPr="006901B2" w:rsidRDefault="00260F97" w:rsidP="00260F97">
            <w:pPr>
              <w:ind w:firstLine="201"/>
              <w:rPr>
                <w:sz w:val="28"/>
                <w:szCs w:val="28"/>
              </w:rPr>
            </w:pPr>
          </w:p>
          <w:p w14:paraId="3C6D1148" w14:textId="77777777" w:rsidR="00260F97" w:rsidRPr="006901B2" w:rsidRDefault="00260F97" w:rsidP="00260F97">
            <w:pPr>
              <w:ind w:firstLine="201"/>
              <w:rPr>
                <w:sz w:val="28"/>
                <w:szCs w:val="28"/>
              </w:rPr>
            </w:pPr>
          </w:p>
          <w:p w14:paraId="3F3CD0B2" w14:textId="77777777" w:rsidR="00260F97" w:rsidRPr="006901B2" w:rsidRDefault="00260F97" w:rsidP="00260F97">
            <w:pPr>
              <w:ind w:firstLine="201"/>
              <w:rPr>
                <w:sz w:val="28"/>
                <w:szCs w:val="28"/>
              </w:rPr>
            </w:pPr>
          </w:p>
        </w:tc>
        <w:tc>
          <w:tcPr>
            <w:tcW w:w="3353" w:type="pct"/>
            <w:gridSpan w:val="2"/>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457B37FA" w14:textId="32F7C7C1" w:rsidR="00540E4C" w:rsidRPr="005A02A7" w:rsidRDefault="00102717" w:rsidP="008D6CA2">
            <w:pPr>
              <w:rPr>
                <w:sz w:val="28"/>
                <w:szCs w:val="28"/>
              </w:rPr>
            </w:pPr>
            <w:r w:rsidRPr="005A02A7">
              <w:rPr>
                <w:sz w:val="28"/>
                <w:szCs w:val="28"/>
              </w:rPr>
              <w:lastRenderedPageBreak/>
              <w:t xml:space="preserve">Pašreiz ir spēkā </w:t>
            </w:r>
            <w:r w:rsidR="00802B33" w:rsidRPr="005A02A7">
              <w:rPr>
                <w:sz w:val="28"/>
                <w:szCs w:val="28"/>
              </w:rPr>
              <w:t xml:space="preserve">Ministru kabineta </w:t>
            </w:r>
            <w:r w:rsidR="00873C57" w:rsidRPr="005A02A7">
              <w:rPr>
                <w:sz w:val="28"/>
                <w:szCs w:val="28"/>
              </w:rPr>
              <w:t>20</w:t>
            </w:r>
            <w:r w:rsidR="00813461">
              <w:rPr>
                <w:sz w:val="28"/>
                <w:szCs w:val="28"/>
              </w:rPr>
              <w:t>20</w:t>
            </w:r>
            <w:r w:rsidR="00802B33" w:rsidRPr="005A02A7">
              <w:rPr>
                <w:sz w:val="28"/>
                <w:szCs w:val="28"/>
              </w:rPr>
              <w:t>.</w:t>
            </w:r>
            <w:r w:rsidR="00CE67D9" w:rsidRPr="005A02A7">
              <w:rPr>
                <w:sz w:val="28"/>
                <w:szCs w:val="28"/>
              </w:rPr>
              <w:t> </w:t>
            </w:r>
            <w:r w:rsidR="00802B33" w:rsidRPr="005A02A7">
              <w:rPr>
                <w:sz w:val="28"/>
                <w:szCs w:val="28"/>
              </w:rPr>
              <w:t xml:space="preserve">gada </w:t>
            </w:r>
            <w:r w:rsidR="00873C57" w:rsidRPr="005A02A7">
              <w:rPr>
                <w:sz w:val="28"/>
                <w:szCs w:val="28"/>
              </w:rPr>
              <w:t>1</w:t>
            </w:r>
            <w:r w:rsidR="00813461">
              <w:rPr>
                <w:sz w:val="28"/>
                <w:szCs w:val="28"/>
              </w:rPr>
              <w:t>4</w:t>
            </w:r>
            <w:r w:rsidR="00F673C9" w:rsidRPr="005A02A7">
              <w:rPr>
                <w:sz w:val="28"/>
                <w:szCs w:val="28"/>
              </w:rPr>
              <w:t>.</w:t>
            </w:r>
            <w:r w:rsidR="00CE67D9" w:rsidRPr="005A02A7">
              <w:rPr>
                <w:sz w:val="28"/>
                <w:szCs w:val="28"/>
              </w:rPr>
              <w:t> </w:t>
            </w:r>
            <w:r w:rsidR="00813461">
              <w:rPr>
                <w:sz w:val="28"/>
                <w:szCs w:val="28"/>
              </w:rPr>
              <w:t xml:space="preserve">janvāra </w:t>
            </w:r>
            <w:r w:rsidR="00802B33" w:rsidRPr="005A02A7">
              <w:rPr>
                <w:sz w:val="28"/>
                <w:szCs w:val="28"/>
              </w:rPr>
              <w:t>noteikumi Nr.</w:t>
            </w:r>
            <w:r w:rsidR="00CE67D9" w:rsidRPr="005A02A7">
              <w:rPr>
                <w:sz w:val="28"/>
                <w:szCs w:val="28"/>
              </w:rPr>
              <w:t> </w:t>
            </w:r>
            <w:r w:rsidR="00813461">
              <w:rPr>
                <w:sz w:val="28"/>
                <w:szCs w:val="28"/>
              </w:rPr>
              <w:t>28</w:t>
            </w:r>
            <w:r w:rsidR="00873C57" w:rsidRPr="005A02A7">
              <w:rPr>
                <w:sz w:val="28"/>
                <w:szCs w:val="28"/>
              </w:rPr>
              <w:t xml:space="preserve"> </w:t>
            </w:r>
            <w:r w:rsidR="00EE794A" w:rsidRPr="005A02A7">
              <w:rPr>
                <w:sz w:val="28"/>
                <w:szCs w:val="28"/>
              </w:rPr>
              <w:t>“</w:t>
            </w:r>
            <w:r w:rsidR="00813461" w:rsidRPr="00813461">
              <w:rPr>
                <w:sz w:val="28"/>
                <w:szCs w:val="28"/>
              </w:rPr>
              <w:t>Noteikumi par 2020.</w:t>
            </w:r>
            <w:r w:rsidR="001C0E44">
              <w:rPr>
                <w:sz w:val="28"/>
                <w:szCs w:val="28"/>
              </w:rPr>
              <w:t> </w:t>
            </w:r>
            <w:r w:rsidR="00813461" w:rsidRPr="00813461">
              <w:rPr>
                <w:sz w:val="28"/>
                <w:szCs w:val="28"/>
              </w:rPr>
              <w:t>/2021. mācību gada un mācību semestru sākuma un beigu laiku un brīvdienu laiku</w:t>
            </w:r>
            <w:r w:rsidR="00802B33" w:rsidRPr="005A02A7">
              <w:rPr>
                <w:sz w:val="28"/>
                <w:szCs w:val="28"/>
              </w:rPr>
              <w:t>”</w:t>
            </w:r>
            <w:r w:rsidR="002136A8">
              <w:rPr>
                <w:sz w:val="28"/>
                <w:szCs w:val="28"/>
              </w:rPr>
              <w:t xml:space="preserve"> (turpmāk – MK noteikumi Nr.</w:t>
            </w:r>
            <w:r w:rsidR="0023521B">
              <w:rPr>
                <w:sz w:val="28"/>
                <w:szCs w:val="28"/>
              </w:rPr>
              <w:t> </w:t>
            </w:r>
            <w:r w:rsidR="002136A8">
              <w:rPr>
                <w:sz w:val="28"/>
                <w:szCs w:val="28"/>
              </w:rPr>
              <w:t>28)</w:t>
            </w:r>
            <w:r w:rsidRPr="005A02A7">
              <w:rPr>
                <w:sz w:val="28"/>
                <w:szCs w:val="28"/>
              </w:rPr>
              <w:t xml:space="preserve">, kas </w:t>
            </w:r>
            <w:r w:rsidR="00802B33" w:rsidRPr="005A02A7">
              <w:rPr>
                <w:sz w:val="28"/>
                <w:szCs w:val="28"/>
              </w:rPr>
              <w:t xml:space="preserve">nosaka </w:t>
            </w:r>
            <w:r w:rsidR="00CE67D9" w:rsidRPr="005A02A7">
              <w:rPr>
                <w:sz w:val="28"/>
                <w:szCs w:val="28"/>
              </w:rPr>
              <w:t>20</w:t>
            </w:r>
            <w:r w:rsidR="00813461">
              <w:rPr>
                <w:sz w:val="28"/>
                <w:szCs w:val="28"/>
              </w:rPr>
              <w:t>20</w:t>
            </w:r>
            <w:r w:rsidR="00802B33" w:rsidRPr="005A02A7">
              <w:rPr>
                <w:sz w:val="28"/>
                <w:szCs w:val="28"/>
              </w:rPr>
              <w:t>.</w:t>
            </w:r>
            <w:r w:rsidR="00CE67D9" w:rsidRPr="005A02A7">
              <w:rPr>
                <w:sz w:val="28"/>
                <w:szCs w:val="28"/>
              </w:rPr>
              <w:t> </w:t>
            </w:r>
            <w:r w:rsidR="00802B33" w:rsidRPr="005A02A7">
              <w:rPr>
                <w:sz w:val="28"/>
                <w:szCs w:val="28"/>
              </w:rPr>
              <w:t>/</w:t>
            </w:r>
            <w:r w:rsidR="00873C57" w:rsidRPr="005A02A7">
              <w:rPr>
                <w:sz w:val="28"/>
                <w:szCs w:val="28"/>
              </w:rPr>
              <w:t>202</w:t>
            </w:r>
            <w:r w:rsidR="00813461">
              <w:rPr>
                <w:sz w:val="28"/>
                <w:szCs w:val="28"/>
              </w:rPr>
              <w:t>1</w:t>
            </w:r>
            <w:r w:rsidR="00802B33" w:rsidRPr="005A02A7">
              <w:rPr>
                <w:sz w:val="28"/>
                <w:szCs w:val="28"/>
              </w:rPr>
              <w:t>.</w:t>
            </w:r>
            <w:r w:rsidR="00CE67D9" w:rsidRPr="005A02A7">
              <w:rPr>
                <w:sz w:val="28"/>
                <w:szCs w:val="28"/>
              </w:rPr>
              <w:t> </w:t>
            </w:r>
            <w:r w:rsidR="00802B33" w:rsidRPr="005A02A7">
              <w:rPr>
                <w:sz w:val="28"/>
                <w:szCs w:val="28"/>
              </w:rPr>
              <w:t xml:space="preserve">mācību gada un mācību semestru sākuma un beigu laiku </w:t>
            </w:r>
            <w:r w:rsidR="00540E4C" w:rsidRPr="005A02A7">
              <w:rPr>
                <w:sz w:val="28"/>
                <w:szCs w:val="28"/>
              </w:rPr>
              <w:t xml:space="preserve">un brīvdienu laiku </w:t>
            </w:r>
            <w:r w:rsidR="00802B33" w:rsidRPr="005A02A7">
              <w:rPr>
                <w:sz w:val="28"/>
                <w:szCs w:val="28"/>
              </w:rPr>
              <w:t>tām vispārējās izglītības iestādēm, kuras īsteno vispārējās pamatizglītības programmas un vispārējās vidējās izglītības programmas.</w:t>
            </w:r>
          </w:p>
          <w:p w14:paraId="1B1F18D4" w14:textId="64E7D784" w:rsidR="008D6CA2" w:rsidRPr="005A02A7" w:rsidRDefault="00540E4C" w:rsidP="00540E4C">
            <w:pPr>
              <w:rPr>
                <w:sz w:val="28"/>
                <w:szCs w:val="28"/>
              </w:rPr>
            </w:pPr>
            <w:r w:rsidRPr="005A02A7">
              <w:rPr>
                <w:sz w:val="28"/>
                <w:szCs w:val="28"/>
              </w:rPr>
              <w:t xml:space="preserve">Ministru kabineta noteikumi, kas noteiktu </w:t>
            </w:r>
            <w:r w:rsidR="00CE67D9" w:rsidRPr="005A02A7">
              <w:rPr>
                <w:sz w:val="28"/>
                <w:szCs w:val="28"/>
              </w:rPr>
              <w:t>20</w:t>
            </w:r>
            <w:r w:rsidR="00873C57" w:rsidRPr="005A02A7">
              <w:rPr>
                <w:sz w:val="28"/>
                <w:szCs w:val="28"/>
              </w:rPr>
              <w:t>2</w:t>
            </w:r>
            <w:r w:rsidR="00813461">
              <w:rPr>
                <w:sz w:val="28"/>
                <w:szCs w:val="28"/>
              </w:rPr>
              <w:t>1</w:t>
            </w:r>
            <w:r w:rsidR="00802B33" w:rsidRPr="005A02A7">
              <w:rPr>
                <w:sz w:val="28"/>
                <w:szCs w:val="28"/>
              </w:rPr>
              <w:t>.</w:t>
            </w:r>
            <w:r w:rsidR="00CE67D9" w:rsidRPr="005A02A7">
              <w:rPr>
                <w:sz w:val="28"/>
                <w:szCs w:val="28"/>
              </w:rPr>
              <w:t> </w:t>
            </w:r>
            <w:r w:rsidR="00802B33" w:rsidRPr="005A02A7">
              <w:rPr>
                <w:sz w:val="28"/>
                <w:szCs w:val="28"/>
              </w:rPr>
              <w:t>/</w:t>
            </w:r>
            <w:r w:rsidR="00873C57" w:rsidRPr="005A02A7">
              <w:rPr>
                <w:sz w:val="28"/>
                <w:szCs w:val="28"/>
              </w:rPr>
              <w:t>202</w:t>
            </w:r>
            <w:r w:rsidR="00813461">
              <w:rPr>
                <w:sz w:val="28"/>
                <w:szCs w:val="28"/>
              </w:rPr>
              <w:t>2</w:t>
            </w:r>
            <w:r w:rsidR="00802B33" w:rsidRPr="005A02A7">
              <w:rPr>
                <w:sz w:val="28"/>
                <w:szCs w:val="28"/>
              </w:rPr>
              <w:t>.</w:t>
            </w:r>
            <w:r w:rsidR="00CE67D9" w:rsidRPr="005A02A7">
              <w:rPr>
                <w:sz w:val="28"/>
                <w:szCs w:val="28"/>
              </w:rPr>
              <w:t> </w:t>
            </w:r>
            <w:r w:rsidR="00802B33" w:rsidRPr="005A02A7">
              <w:rPr>
                <w:sz w:val="28"/>
                <w:szCs w:val="28"/>
              </w:rPr>
              <w:t>mācību gada un mācību semestru sākuma un beigu laiku</w:t>
            </w:r>
            <w:r w:rsidR="00CE67D9" w:rsidRPr="005A02A7">
              <w:rPr>
                <w:sz w:val="28"/>
                <w:szCs w:val="28"/>
              </w:rPr>
              <w:t>, kā arī brīvdienu laiku</w:t>
            </w:r>
            <w:r w:rsidRPr="005A02A7">
              <w:rPr>
                <w:sz w:val="28"/>
                <w:szCs w:val="28"/>
              </w:rPr>
              <w:t>, nav izdoti</w:t>
            </w:r>
            <w:r w:rsidR="00102717" w:rsidRPr="005A02A7">
              <w:rPr>
                <w:sz w:val="28"/>
                <w:szCs w:val="28"/>
              </w:rPr>
              <w:t>.</w:t>
            </w:r>
            <w:r w:rsidR="00802B33" w:rsidRPr="005A02A7">
              <w:rPr>
                <w:sz w:val="28"/>
                <w:szCs w:val="28"/>
              </w:rPr>
              <w:t xml:space="preserve"> </w:t>
            </w:r>
          </w:p>
          <w:p w14:paraId="5ACBCA6D" w14:textId="77777777" w:rsidR="001C0E44" w:rsidRDefault="00E26EC5" w:rsidP="00702F20">
            <w:pPr>
              <w:shd w:val="clear" w:color="auto" w:fill="FFFFFF" w:themeFill="background1"/>
              <w:rPr>
                <w:sz w:val="28"/>
                <w:szCs w:val="28"/>
              </w:rPr>
            </w:pPr>
            <w:r w:rsidRPr="005A02A7">
              <w:rPr>
                <w:sz w:val="28"/>
                <w:szCs w:val="28"/>
              </w:rPr>
              <w:t>Noteikumu projekts izstrādāts</w:t>
            </w:r>
            <w:r w:rsidR="00181A13" w:rsidRPr="005A02A7">
              <w:rPr>
                <w:sz w:val="28"/>
                <w:szCs w:val="28"/>
              </w:rPr>
              <w:t>,</w:t>
            </w:r>
            <w:r w:rsidRPr="005A02A7">
              <w:rPr>
                <w:sz w:val="28"/>
                <w:szCs w:val="28"/>
              </w:rPr>
              <w:t xml:space="preserve"> ievērojot Vispārējās izglītības likuma 36. un 46.</w:t>
            </w:r>
            <w:r w:rsidR="00CE67D9" w:rsidRPr="005A02A7">
              <w:rPr>
                <w:sz w:val="28"/>
                <w:szCs w:val="28"/>
              </w:rPr>
              <w:t> </w:t>
            </w:r>
            <w:r w:rsidR="00181A13" w:rsidRPr="005A02A7">
              <w:rPr>
                <w:sz w:val="28"/>
                <w:szCs w:val="28"/>
              </w:rPr>
              <w:t xml:space="preserve">pantā ietverto </w:t>
            </w:r>
            <w:r w:rsidRPr="005A02A7">
              <w:rPr>
                <w:sz w:val="28"/>
                <w:szCs w:val="28"/>
              </w:rPr>
              <w:t xml:space="preserve">regulējumu </w:t>
            </w:r>
            <w:r w:rsidR="00181A13" w:rsidRPr="005A02A7">
              <w:rPr>
                <w:sz w:val="28"/>
                <w:szCs w:val="28"/>
              </w:rPr>
              <w:lastRenderedPageBreak/>
              <w:t xml:space="preserve">par </w:t>
            </w:r>
            <w:r w:rsidRPr="005A02A7">
              <w:rPr>
                <w:sz w:val="28"/>
                <w:szCs w:val="28"/>
              </w:rPr>
              <w:t>mācību gada ilgumu pamatizglītības un vispārējās vidējās izglītības iestādēs</w:t>
            </w:r>
            <w:r w:rsidR="001C0E44">
              <w:rPr>
                <w:sz w:val="28"/>
                <w:szCs w:val="28"/>
              </w:rPr>
              <w:t xml:space="preserve">. </w:t>
            </w:r>
          </w:p>
          <w:p w14:paraId="3B69ACAB" w14:textId="43B46980" w:rsidR="009943B0" w:rsidRDefault="00757AF2" w:rsidP="00702F20">
            <w:pPr>
              <w:shd w:val="clear" w:color="auto" w:fill="FFFFFF" w:themeFill="background1"/>
              <w:rPr>
                <w:sz w:val="28"/>
                <w:szCs w:val="28"/>
              </w:rPr>
            </w:pPr>
            <w:r>
              <w:rPr>
                <w:sz w:val="28"/>
                <w:szCs w:val="28"/>
              </w:rPr>
              <w:t xml:space="preserve">Lai novērstu situācijas noteikumu projektā ietvertā regulējuma neatbilstošā piemērošanā, jo </w:t>
            </w:r>
            <w:r w:rsidR="009943B0">
              <w:rPr>
                <w:sz w:val="28"/>
                <w:szCs w:val="28"/>
              </w:rPr>
              <w:t>pamatizglītības un vispārējās vidējās izglītības ieguv</w:t>
            </w:r>
            <w:r>
              <w:rPr>
                <w:sz w:val="28"/>
                <w:szCs w:val="28"/>
              </w:rPr>
              <w:t xml:space="preserve">es iespēju </w:t>
            </w:r>
            <w:r w:rsidR="009943B0">
              <w:rPr>
                <w:sz w:val="28"/>
                <w:szCs w:val="28"/>
              </w:rPr>
              <w:t>nodrošina ne tikai vispārējās, bet arī cita veida izglītības iestādes, piemēram, p</w:t>
            </w:r>
            <w:r w:rsidR="009943B0" w:rsidRPr="009943B0">
              <w:rPr>
                <w:sz w:val="28"/>
                <w:szCs w:val="28"/>
              </w:rPr>
              <w:t>rofesionālās pamata un vidējās izglītības iestāde</w:t>
            </w:r>
            <w:r w:rsidR="009943B0">
              <w:rPr>
                <w:sz w:val="28"/>
                <w:szCs w:val="28"/>
              </w:rPr>
              <w:t>s</w:t>
            </w:r>
            <w:r>
              <w:rPr>
                <w:sz w:val="28"/>
                <w:szCs w:val="28"/>
              </w:rPr>
              <w:t xml:space="preserve">, turklāt arī </w:t>
            </w:r>
            <w:r w:rsidRPr="00757AF2">
              <w:rPr>
                <w:sz w:val="28"/>
                <w:szCs w:val="28"/>
              </w:rPr>
              <w:t>vispār</w:t>
            </w:r>
            <w:r>
              <w:rPr>
                <w:sz w:val="28"/>
                <w:szCs w:val="28"/>
              </w:rPr>
              <w:t xml:space="preserve">ējās izglītības programmu īpašajos veidos, precizēts </w:t>
            </w:r>
            <w:r w:rsidR="009943B0">
              <w:rPr>
                <w:sz w:val="28"/>
                <w:szCs w:val="28"/>
              </w:rPr>
              <w:t>noteikumu projekt</w:t>
            </w:r>
            <w:r>
              <w:rPr>
                <w:sz w:val="28"/>
                <w:szCs w:val="28"/>
              </w:rPr>
              <w:t>a 1.punkts.</w:t>
            </w:r>
            <w:r w:rsidR="0023521B">
              <w:rPr>
                <w:sz w:val="28"/>
                <w:szCs w:val="28"/>
              </w:rPr>
              <w:t xml:space="preserve"> Saskaņā ar Vispārējās izglītības likuma 3. panta otro daļu vispārējās izglītības īpašie veidi ir speciālā izglītība un sociālā korekcija. </w:t>
            </w:r>
          </w:p>
          <w:p w14:paraId="25EE2A68" w14:textId="7C345881" w:rsidR="00102717" w:rsidRDefault="00102717" w:rsidP="00102717">
            <w:pPr>
              <w:rPr>
                <w:sz w:val="28"/>
                <w:szCs w:val="28"/>
              </w:rPr>
            </w:pPr>
            <w:r w:rsidRPr="005A02A7">
              <w:rPr>
                <w:sz w:val="28"/>
                <w:szCs w:val="28"/>
              </w:rPr>
              <w:t>Noteikumu projektā paredzēts, ka mācību gads sastāv no diviem semestriem</w:t>
            </w:r>
            <w:r w:rsidR="00757AF2">
              <w:rPr>
                <w:sz w:val="28"/>
                <w:szCs w:val="28"/>
              </w:rPr>
              <w:t>, kā arī kopumā četriem brīvdienu laikiem, kas</w:t>
            </w:r>
            <w:r w:rsidRPr="005A02A7">
              <w:rPr>
                <w:sz w:val="28"/>
                <w:szCs w:val="28"/>
              </w:rPr>
              <w:t xml:space="preserve"> nepieciešam</w:t>
            </w:r>
            <w:r w:rsidR="00757AF2">
              <w:rPr>
                <w:sz w:val="28"/>
                <w:szCs w:val="28"/>
              </w:rPr>
              <w:t>i</w:t>
            </w:r>
            <w:r w:rsidRPr="005A02A7">
              <w:rPr>
                <w:sz w:val="28"/>
                <w:szCs w:val="28"/>
              </w:rPr>
              <w:t xml:space="preserve"> </w:t>
            </w:r>
            <w:r w:rsidR="00757AF2">
              <w:rPr>
                <w:sz w:val="28"/>
                <w:szCs w:val="28"/>
              </w:rPr>
              <w:t>izglītojamo</w:t>
            </w:r>
            <w:r w:rsidR="00757AF2" w:rsidRPr="005A02A7">
              <w:rPr>
                <w:sz w:val="28"/>
                <w:szCs w:val="28"/>
              </w:rPr>
              <w:t xml:space="preserve"> </w:t>
            </w:r>
            <w:r w:rsidRPr="005A02A7">
              <w:rPr>
                <w:sz w:val="28"/>
                <w:szCs w:val="28"/>
              </w:rPr>
              <w:t xml:space="preserve">atpūtai. Tādējādi ar noteikumu projektu ir koordinētas brīvdienas, lai vienlaicīgi būtu iespējami dažādi izglītojoši un metodiski pasākumi gan </w:t>
            </w:r>
            <w:r w:rsidR="00757AF2">
              <w:rPr>
                <w:sz w:val="28"/>
                <w:szCs w:val="28"/>
              </w:rPr>
              <w:t>izglītojamiem</w:t>
            </w:r>
            <w:r w:rsidRPr="005A02A7">
              <w:rPr>
                <w:sz w:val="28"/>
                <w:szCs w:val="28"/>
              </w:rPr>
              <w:t>, gan skolotājiem.</w:t>
            </w:r>
          </w:p>
          <w:p w14:paraId="1F86E073" w14:textId="7F344C76" w:rsidR="00465367" w:rsidRPr="005A02A7" w:rsidRDefault="007F699D" w:rsidP="00102717">
            <w:pPr>
              <w:rPr>
                <w:sz w:val="28"/>
                <w:szCs w:val="28"/>
              </w:rPr>
            </w:pPr>
            <w:r>
              <w:rPr>
                <w:sz w:val="28"/>
                <w:szCs w:val="28"/>
              </w:rPr>
              <w:t>Vienlaikus</w:t>
            </w:r>
            <w:r w:rsidR="00C53C5C">
              <w:rPr>
                <w:sz w:val="28"/>
                <w:szCs w:val="28"/>
              </w:rPr>
              <w:t xml:space="preserve"> </w:t>
            </w:r>
            <w:r>
              <w:rPr>
                <w:sz w:val="28"/>
                <w:szCs w:val="28"/>
              </w:rPr>
              <w:t>noteikumu projektā precizēts mācību gad</w:t>
            </w:r>
            <w:r w:rsidR="00C53C5C">
              <w:rPr>
                <w:sz w:val="28"/>
                <w:szCs w:val="28"/>
              </w:rPr>
              <w:t>a</w:t>
            </w:r>
            <w:r>
              <w:rPr>
                <w:sz w:val="28"/>
                <w:szCs w:val="28"/>
              </w:rPr>
              <w:t xml:space="preserve"> beigu datums, </w:t>
            </w:r>
            <w:r w:rsidR="00C53C5C">
              <w:rPr>
                <w:sz w:val="28"/>
                <w:szCs w:val="28"/>
              </w:rPr>
              <w:t>kam pēc būtības ir jāsa</w:t>
            </w:r>
            <w:r>
              <w:rPr>
                <w:sz w:val="28"/>
                <w:szCs w:val="28"/>
              </w:rPr>
              <w:t>krīt ar izglītojamo vasaras brīvdienu beigu datumu, jo</w:t>
            </w:r>
            <w:r w:rsidR="0023521B">
              <w:rPr>
                <w:sz w:val="28"/>
                <w:szCs w:val="28"/>
              </w:rPr>
              <w:t>,</w:t>
            </w:r>
            <w:r>
              <w:rPr>
                <w:sz w:val="28"/>
                <w:szCs w:val="28"/>
              </w:rPr>
              <w:t xml:space="preserve"> </w:t>
            </w:r>
            <w:r w:rsidR="00C53C5C">
              <w:rPr>
                <w:sz w:val="28"/>
                <w:szCs w:val="28"/>
              </w:rPr>
              <w:t>kā jau minēts iepriekš</w:t>
            </w:r>
            <w:r w:rsidR="0023521B">
              <w:rPr>
                <w:sz w:val="28"/>
                <w:szCs w:val="28"/>
              </w:rPr>
              <w:t>,</w:t>
            </w:r>
            <w:r w:rsidR="00C53C5C">
              <w:rPr>
                <w:sz w:val="28"/>
                <w:szCs w:val="28"/>
              </w:rPr>
              <w:t xml:space="preserve"> kopumā ir četri brīvdienu </w:t>
            </w:r>
            <w:r w:rsidR="0023521B">
              <w:rPr>
                <w:sz w:val="28"/>
                <w:szCs w:val="28"/>
              </w:rPr>
              <w:t xml:space="preserve">laiki, </w:t>
            </w:r>
            <w:r w:rsidR="00C53C5C">
              <w:rPr>
                <w:sz w:val="28"/>
                <w:szCs w:val="28"/>
              </w:rPr>
              <w:t xml:space="preserve">un </w:t>
            </w:r>
            <w:r w:rsidRPr="002300CF">
              <w:rPr>
                <w:sz w:val="28"/>
                <w:szCs w:val="28"/>
              </w:rPr>
              <w:t>Vispārējās izglītības likuma 36. pantā un 46. pantā noteikt</w:t>
            </w:r>
            <w:r w:rsidR="00C53C5C">
              <w:rPr>
                <w:sz w:val="28"/>
                <w:szCs w:val="28"/>
              </w:rPr>
              <w:t xml:space="preserve">ajā </w:t>
            </w:r>
            <w:r w:rsidRPr="002300CF">
              <w:rPr>
                <w:sz w:val="28"/>
                <w:szCs w:val="28"/>
              </w:rPr>
              <w:t>mācību gada ilgum</w:t>
            </w:r>
            <w:r w:rsidR="00C53C5C">
              <w:rPr>
                <w:sz w:val="28"/>
                <w:szCs w:val="28"/>
              </w:rPr>
              <w:t>ā neieskaita nevienu no brīvdienu laikiem.</w:t>
            </w:r>
          </w:p>
          <w:p w14:paraId="3CDDA974" w14:textId="36C28A33" w:rsidR="00802B33" w:rsidRPr="007152CB" w:rsidRDefault="00802B33" w:rsidP="00802B33">
            <w:pPr>
              <w:rPr>
                <w:sz w:val="28"/>
                <w:szCs w:val="28"/>
              </w:rPr>
            </w:pPr>
            <w:r w:rsidRPr="007152CB">
              <w:rPr>
                <w:sz w:val="28"/>
                <w:szCs w:val="28"/>
              </w:rPr>
              <w:t xml:space="preserve">Lai samazinātu vispārējās vidējās izglītības izglītojamo slodzi un spriedzi </w:t>
            </w:r>
            <w:r w:rsidR="00757AF2">
              <w:rPr>
                <w:sz w:val="28"/>
                <w:szCs w:val="28"/>
              </w:rPr>
              <w:t xml:space="preserve">valsts </w:t>
            </w:r>
            <w:r w:rsidRPr="007152CB">
              <w:rPr>
                <w:sz w:val="28"/>
                <w:szCs w:val="28"/>
              </w:rPr>
              <w:t>pārbaudījumu laikā maija beigās un jūnijā, kā arī palielinātu dienu skaitu starp valsts pārbaudījumiem vispārējā vidējā izglītībā</w:t>
            </w:r>
            <w:r w:rsidR="00B150EF" w:rsidRPr="007152CB">
              <w:rPr>
                <w:sz w:val="28"/>
                <w:szCs w:val="28"/>
              </w:rPr>
              <w:t>,</w:t>
            </w:r>
            <w:r w:rsidRPr="007152CB">
              <w:rPr>
                <w:sz w:val="28"/>
                <w:szCs w:val="28"/>
              </w:rPr>
              <w:t xml:space="preserve"> jau 2012.</w:t>
            </w:r>
            <w:r w:rsidR="00CE67D9" w:rsidRPr="007152CB">
              <w:rPr>
                <w:sz w:val="28"/>
                <w:szCs w:val="28"/>
              </w:rPr>
              <w:t> </w:t>
            </w:r>
            <w:r w:rsidRPr="007152CB">
              <w:rPr>
                <w:sz w:val="28"/>
                <w:szCs w:val="28"/>
              </w:rPr>
              <w:t xml:space="preserve">gadā Izglītības un zinātnes ministrija izvērtēja variantus, </w:t>
            </w:r>
            <w:r w:rsidRPr="00E739B9">
              <w:rPr>
                <w:sz w:val="28"/>
                <w:szCs w:val="28"/>
              </w:rPr>
              <w:t>kā</w:t>
            </w:r>
            <w:r w:rsidR="00E739B9">
              <w:rPr>
                <w:sz w:val="28"/>
                <w:szCs w:val="28"/>
              </w:rPr>
              <w:t xml:space="preserve"> </w:t>
            </w:r>
            <w:r w:rsidRPr="007152CB">
              <w:rPr>
                <w:sz w:val="28"/>
                <w:szCs w:val="28"/>
              </w:rPr>
              <w:t xml:space="preserve">organizēt centralizētos eksāmenus:  </w:t>
            </w:r>
          </w:p>
          <w:p w14:paraId="1EBAA088" w14:textId="113D94A4" w:rsidR="00802B33" w:rsidRPr="007152CB" w:rsidRDefault="00802B33" w:rsidP="00802B33">
            <w:pPr>
              <w:rPr>
                <w:sz w:val="28"/>
                <w:szCs w:val="28"/>
              </w:rPr>
            </w:pPr>
            <w:r w:rsidRPr="007152CB">
              <w:rPr>
                <w:sz w:val="28"/>
                <w:szCs w:val="28"/>
              </w:rPr>
              <w:t>- organizēt izglītojamo pavasara brīvdienu laikā, mainot brīvdienu grafiku 12.</w:t>
            </w:r>
            <w:r w:rsidR="00CE67D9" w:rsidRPr="007152CB">
              <w:rPr>
                <w:sz w:val="28"/>
                <w:szCs w:val="28"/>
              </w:rPr>
              <w:t> </w:t>
            </w:r>
            <w:r w:rsidRPr="007152CB">
              <w:rPr>
                <w:sz w:val="28"/>
                <w:szCs w:val="28"/>
              </w:rPr>
              <w:t>klases izglītojamiem;</w:t>
            </w:r>
          </w:p>
          <w:p w14:paraId="78AD4FA1" w14:textId="77777777" w:rsidR="00802B33" w:rsidRPr="007152CB" w:rsidRDefault="00802B33" w:rsidP="00802B33">
            <w:pPr>
              <w:rPr>
                <w:sz w:val="28"/>
                <w:szCs w:val="28"/>
              </w:rPr>
            </w:pPr>
            <w:r w:rsidRPr="007152CB">
              <w:rPr>
                <w:sz w:val="28"/>
                <w:szCs w:val="28"/>
              </w:rPr>
              <w:t xml:space="preserve"> - mācību procesa laikā, centralizētos eksāmenus kārtojot februārī, martā, aprīlī utt.;  </w:t>
            </w:r>
          </w:p>
          <w:p w14:paraId="2BD4C59B" w14:textId="77777777" w:rsidR="00802B33" w:rsidRPr="007152CB" w:rsidRDefault="00802B33" w:rsidP="00802B33">
            <w:pPr>
              <w:rPr>
                <w:sz w:val="28"/>
                <w:szCs w:val="28"/>
              </w:rPr>
            </w:pPr>
            <w:r w:rsidRPr="007152CB">
              <w:rPr>
                <w:sz w:val="28"/>
                <w:szCs w:val="28"/>
              </w:rPr>
              <w:t xml:space="preserve"> - nemainīt eksāmenu grafiku.</w:t>
            </w:r>
          </w:p>
          <w:p w14:paraId="1CAD975D" w14:textId="5351CD12" w:rsidR="00802B33" w:rsidRPr="007152CB" w:rsidRDefault="00802B33" w:rsidP="00802B33">
            <w:pPr>
              <w:pStyle w:val="naiskr"/>
              <w:spacing w:before="0" w:after="0"/>
              <w:jc w:val="both"/>
              <w:rPr>
                <w:sz w:val="28"/>
                <w:szCs w:val="28"/>
              </w:rPr>
            </w:pPr>
            <w:r w:rsidRPr="007152CB">
              <w:rPr>
                <w:sz w:val="28"/>
                <w:szCs w:val="28"/>
              </w:rPr>
              <w:t xml:space="preserve">Tika veikta visu ieinteresēto un iesaistīto </w:t>
            </w:r>
            <w:r w:rsidR="00643782">
              <w:rPr>
                <w:sz w:val="28"/>
                <w:szCs w:val="28"/>
              </w:rPr>
              <w:t>sabiedrības grupu</w:t>
            </w:r>
            <w:r w:rsidR="00643782" w:rsidRPr="007152CB">
              <w:rPr>
                <w:sz w:val="28"/>
                <w:szCs w:val="28"/>
              </w:rPr>
              <w:t xml:space="preserve"> </w:t>
            </w:r>
            <w:r w:rsidRPr="007152CB">
              <w:rPr>
                <w:sz w:val="28"/>
                <w:szCs w:val="28"/>
              </w:rPr>
              <w:t>(12.</w:t>
            </w:r>
            <w:r w:rsidR="00CE67D9" w:rsidRPr="007152CB">
              <w:rPr>
                <w:sz w:val="28"/>
                <w:szCs w:val="28"/>
              </w:rPr>
              <w:t> </w:t>
            </w:r>
            <w:r w:rsidRPr="007152CB">
              <w:rPr>
                <w:sz w:val="28"/>
                <w:szCs w:val="28"/>
              </w:rPr>
              <w:t xml:space="preserve">klašu absolventi, vecāku pārstāvji, kuri darbojas Izglītības un zinātnes ministrijas darba </w:t>
            </w:r>
            <w:r w:rsidRPr="007152CB">
              <w:rPr>
                <w:sz w:val="28"/>
                <w:szCs w:val="28"/>
              </w:rPr>
              <w:lastRenderedPageBreak/>
              <w:t>grupās, skolotāji, izglītības iestāžu vadītāji, izglītības pārvalžu speciālisti, izglītības darbinieku profesionālo organizāciju pārstāvj</w:t>
            </w:r>
            <w:r w:rsidR="008F0A5B" w:rsidRPr="007152CB">
              <w:rPr>
                <w:sz w:val="28"/>
                <w:szCs w:val="28"/>
              </w:rPr>
              <w:t>i</w:t>
            </w:r>
            <w:r w:rsidRPr="007152CB">
              <w:rPr>
                <w:sz w:val="28"/>
                <w:szCs w:val="28"/>
              </w:rPr>
              <w:t>) ekspress aptauja un viedokļu izvērtēšana.</w:t>
            </w:r>
          </w:p>
          <w:p w14:paraId="4A948C46" w14:textId="4902F613" w:rsidR="00802B33" w:rsidRPr="007152CB" w:rsidRDefault="00802B33" w:rsidP="00802B33">
            <w:pPr>
              <w:pStyle w:val="naiskr"/>
              <w:spacing w:before="0" w:after="0"/>
              <w:jc w:val="both"/>
              <w:rPr>
                <w:sz w:val="28"/>
                <w:szCs w:val="28"/>
              </w:rPr>
            </w:pPr>
            <w:r w:rsidRPr="007152CB">
              <w:rPr>
                <w:sz w:val="28"/>
                <w:szCs w:val="28"/>
              </w:rPr>
              <w:t>Ņemot vērā aptaujas rezultātus un centralizēto eksāmenu norises laiku plānojumu 2012.</w:t>
            </w:r>
            <w:r w:rsidR="00CE67D9" w:rsidRPr="007152CB">
              <w:rPr>
                <w:sz w:val="28"/>
                <w:szCs w:val="28"/>
              </w:rPr>
              <w:t> </w:t>
            </w:r>
            <w:r w:rsidRPr="007152CB">
              <w:rPr>
                <w:sz w:val="28"/>
                <w:szCs w:val="28"/>
              </w:rPr>
              <w:t>/2013.</w:t>
            </w:r>
            <w:r w:rsidR="00CE67D9" w:rsidRPr="007152CB">
              <w:rPr>
                <w:sz w:val="28"/>
                <w:szCs w:val="28"/>
              </w:rPr>
              <w:t> </w:t>
            </w:r>
            <w:r w:rsidRPr="007152CB">
              <w:rPr>
                <w:sz w:val="28"/>
                <w:szCs w:val="28"/>
              </w:rPr>
              <w:t xml:space="preserve">mācību gadā, </w:t>
            </w:r>
            <w:r w:rsidR="006E27F0" w:rsidRPr="007152CB">
              <w:rPr>
                <w:sz w:val="28"/>
                <w:szCs w:val="28"/>
              </w:rPr>
              <w:t xml:space="preserve">tika pieņemts lēmums </w:t>
            </w:r>
            <w:r w:rsidRPr="007152CB">
              <w:rPr>
                <w:sz w:val="28"/>
                <w:szCs w:val="28"/>
              </w:rPr>
              <w:t>saglabāt svešvalodu centralizēto eksāmenu norises laiku izglītojamo pavasara brīvlaikā, kas:</w:t>
            </w:r>
          </w:p>
          <w:p w14:paraId="3FD629D4" w14:textId="51E5F9BF" w:rsidR="00802B33" w:rsidRPr="007152CB" w:rsidRDefault="00802B33" w:rsidP="00802B33">
            <w:pPr>
              <w:pStyle w:val="naiskr"/>
              <w:spacing w:before="0" w:after="0"/>
              <w:jc w:val="both"/>
              <w:rPr>
                <w:sz w:val="28"/>
                <w:szCs w:val="28"/>
              </w:rPr>
            </w:pPr>
            <w:r w:rsidRPr="007152CB">
              <w:rPr>
                <w:sz w:val="28"/>
                <w:szCs w:val="28"/>
              </w:rPr>
              <w:t xml:space="preserve">- nodrošina nepieciešamo skolotāju skaitu eksāmenu vadīšanai un novērošanai (angļu valodas centralizētā eksāmena norises procesā ir iesaistīti aptuveni 2200 skolotāji). Novērotāji un eksāmenu vadītāji ir citu izglītības iestāžu un citu mācību priekšmetu skolotāji, kuri brīvdienu laikā tiks nodarbināti svešvalodu centralizēto eksāmenu norises procesā un šajā laikā viņi neveiks savu </w:t>
            </w:r>
            <w:r w:rsidR="0023521B">
              <w:rPr>
                <w:sz w:val="28"/>
                <w:szCs w:val="28"/>
              </w:rPr>
              <w:t xml:space="preserve">mācību </w:t>
            </w:r>
            <w:r w:rsidRPr="007152CB">
              <w:rPr>
                <w:sz w:val="28"/>
                <w:szCs w:val="28"/>
              </w:rPr>
              <w:t>priekšmetu mācīšanu;</w:t>
            </w:r>
          </w:p>
          <w:p w14:paraId="6B5AEE7F" w14:textId="347DA790" w:rsidR="00740B42" w:rsidRPr="005A02A7" w:rsidRDefault="00802B33" w:rsidP="00740B42">
            <w:pPr>
              <w:pStyle w:val="naiskr"/>
              <w:spacing w:before="0" w:after="0"/>
              <w:jc w:val="both"/>
              <w:rPr>
                <w:sz w:val="28"/>
                <w:szCs w:val="28"/>
              </w:rPr>
            </w:pPr>
            <w:r w:rsidRPr="007152CB">
              <w:rPr>
                <w:sz w:val="28"/>
                <w:szCs w:val="28"/>
              </w:rPr>
              <w:t xml:space="preserve"> - </w:t>
            </w:r>
            <w:r w:rsidR="00740B42" w:rsidRPr="005A02A7">
              <w:rPr>
                <w:sz w:val="28"/>
                <w:szCs w:val="28"/>
              </w:rPr>
              <w:t xml:space="preserve"> netraucē citu klašu mācību procesu, jo izglītojamajiem no 1. līdz 11. klasei šajā laikā ir pavasara brīvdienas.</w:t>
            </w:r>
          </w:p>
          <w:p w14:paraId="1A7C7ABF" w14:textId="77777777" w:rsidR="00740B42" w:rsidRPr="005A02A7" w:rsidRDefault="00740B42" w:rsidP="00740B42">
            <w:pPr>
              <w:rPr>
                <w:sz w:val="28"/>
                <w:szCs w:val="28"/>
              </w:rPr>
            </w:pPr>
            <w:r w:rsidRPr="005A02A7">
              <w:rPr>
                <w:sz w:val="28"/>
                <w:szCs w:val="28"/>
              </w:rPr>
              <w:t>Tādējādi noteikumu projektā izglītojamiem no 1.-11. klasei un 12. klases izglītojamiem ir nepieciešams plānot pavasara brīvdienas dažādos laikos.</w:t>
            </w:r>
          </w:p>
          <w:p w14:paraId="11C118A4" w14:textId="05E5B532" w:rsidR="00306D38" w:rsidRPr="005A02A7" w:rsidRDefault="002E4509" w:rsidP="00DE42ED">
            <w:pPr>
              <w:rPr>
                <w:bCs/>
                <w:sz w:val="28"/>
                <w:szCs w:val="28"/>
              </w:rPr>
            </w:pPr>
            <w:r>
              <w:rPr>
                <w:sz w:val="28"/>
                <w:szCs w:val="28"/>
              </w:rPr>
              <w:t>Noteikumu projekt</w:t>
            </w:r>
            <w:r w:rsidR="00FB79C1">
              <w:rPr>
                <w:sz w:val="28"/>
                <w:szCs w:val="28"/>
              </w:rPr>
              <w:t xml:space="preserve">s paredz </w:t>
            </w:r>
            <w:r w:rsidR="00FB79C1">
              <w:rPr>
                <w:bCs/>
                <w:sz w:val="28"/>
                <w:szCs w:val="28"/>
              </w:rPr>
              <w:t>izglītības iestādes vadītājam tiesības</w:t>
            </w:r>
            <w:r w:rsidR="00FB79C1" w:rsidRPr="005A02A7">
              <w:rPr>
                <w:bCs/>
                <w:sz w:val="28"/>
                <w:szCs w:val="28"/>
              </w:rPr>
              <w:t>, saskaņojot ar dibinātāju,  pieņemt lēmumu par mācību gada pagarinājumu</w:t>
            </w:r>
            <w:r w:rsidR="00FB79C1">
              <w:rPr>
                <w:bCs/>
                <w:sz w:val="28"/>
                <w:szCs w:val="28"/>
              </w:rPr>
              <w:t>, ja</w:t>
            </w:r>
            <w:r>
              <w:rPr>
                <w:sz w:val="28"/>
                <w:szCs w:val="28"/>
              </w:rPr>
              <w:t xml:space="preserve"> </w:t>
            </w:r>
            <w:r w:rsidR="00FB79C1">
              <w:rPr>
                <w:sz w:val="28"/>
                <w:szCs w:val="28"/>
              </w:rPr>
              <w:t>m</w:t>
            </w:r>
            <w:r w:rsidR="00E56154" w:rsidRPr="005A02A7">
              <w:rPr>
                <w:sz w:val="28"/>
                <w:szCs w:val="28"/>
              </w:rPr>
              <w:t xml:space="preserve">ācību gada laikā </w:t>
            </w:r>
            <w:r w:rsidR="00FB79C1">
              <w:rPr>
                <w:sz w:val="28"/>
                <w:szCs w:val="28"/>
              </w:rPr>
              <w:t xml:space="preserve">vismaz uz nedēļu </w:t>
            </w:r>
            <w:r w:rsidR="00D177B0">
              <w:rPr>
                <w:sz w:val="28"/>
                <w:szCs w:val="28"/>
              </w:rPr>
              <w:t xml:space="preserve">bijušas </w:t>
            </w:r>
            <w:r w:rsidR="00FB79C1">
              <w:rPr>
                <w:sz w:val="28"/>
                <w:szCs w:val="28"/>
              </w:rPr>
              <w:t>iestājušās</w:t>
            </w:r>
            <w:r w:rsidR="00E56154" w:rsidRPr="005A02A7">
              <w:rPr>
                <w:sz w:val="28"/>
                <w:szCs w:val="28"/>
              </w:rPr>
              <w:t xml:space="preserve"> </w:t>
            </w:r>
            <w:r w:rsidR="00D177B0" w:rsidRPr="005A02A7">
              <w:rPr>
                <w:sz w:val="28"/>
                <w:szCs w:val="28"/>
              </w:rPr>
              <w:t>situācij</w:t>
            </w:r>
            <w:r w:rsidR="00D177B0">
              <w:rPr>
                <w:sz w:val="28"/>
                <w:szCs w:val="28"/>
              </w:rPr>
              <w:t>as</w:t>
            </w:r>
            <w:r w:rsidR="00E56154" w:rsidRPr="005A02A7">
              <w:rPr>
                <w:sz w:val="28"/>
                <w:szCs w:val="28"/>
              </w:rPr>
              <w:t>, kuras iepriekš nevar</w:t>
            </w:r>
            <w:r>
              <w:rPr>
                <w:sz w:val="28"/>
                <w:szCs w:val="28"/>
              </w:rPr>
              <w:t>ēja</w:t>
            </w:r>
            <w:r w:rsidR="00E56154" w:rsidRPr="005A02A7">
              <w:rPr>
                <w:sz w:val="28"/>
                <w:szCs w:val="28"/>
              </w:rPr>
              <w:t xml:space="preserve"> paredzēt</w:t>
            </w:r>
            <w:r w:rsidR="00D177B0">
              <w:rPr>
                <w:sz w:val="28"/>
                <w:szCs w:val="28"/>
              </w:rPr>
              <w:t>,</w:t>
            </w:r>
            <w:r>
              <w:rPr>
                <w:sz w:val="28"/>
                <w:szCs w:val="28"/>
              </w:rPr>
              <w:t xml:space="preserve"> vai</w:t>
            </w:r>
            <w:r w:rsidR="00291DBE" w:rsidRPr="005A02A7">
              <w:rPr>
                <w:sz w:val="28"/>
                <w:szCs w:val="28"/>
              </w:rPr>
              <w:t xml:space="preserve"> arī </w:t>
            </w:r>
            <w:r>
              <w:rPr>
                <w:sz w:val="28"/>
                <w:szCs w:val="28"/>
              </w:rPr>
              <w:t xml:space="preserve">apstākļi, kuriem iestājoties, </w:t>
            </w:r>
            <w:r w:rsidR="00FB79C1" w:rsidRPr="005A02A7">
              <w:rPr>
                <w:sz w:val="28"/>
                <w:szCs w:val="28"/>
              </w:rPr>
              <w:t xml:space="preserve">izglītības iestādē </w:t>
            </w:r>
            <w:r w:rsidR="00FB79C1">
              <w:rPr>
                <w:sz w:val="28"/>
                <w:szCs w:val="28"/>
              </w:rPr>
              <w:t xml:space="preserve">bija </w:t>
            </w:r>
            <w:r>
              <w:rPr>
                <w:sz w:val="28"/>
                <w:szCs w:val="28"/>
              </w:rPr>
              <w:t>jā</w:t>
            </w:r>
            <w:r w:rsidR="00291DBE" w:rsidRPr="005A02A7">
              <w:rPr>
                <w:sz w:val="28"/>
                <w:szCs w:val="28"/>
              </w:rPr>
              <w:t>aptur mācību proces</w:t>
            </w:r>
            <w:r>
              <w:rPr>
                <w:sz w:val="28"/>
                <w:szCs w:val="28"/>
              </w:rPr>
              <w:t>s</w:t>
            </w:r>
            <w:r w:rsidR="00291DBE" w:rsidRPr="005A02A7">
              <w:rPr>
                <w:sz w:val="28"/>
                <w:szCs w:val="28"/>
              </w:rPr>
              <w:t xml:space="preserve"> </w:t>
            </w:r>
            <w:r w:rsidR="00291DBE" w:rsidRPr="005A02A7">
              <w:rPr>
                <w:bCs/>
                <w:sz w:val="28"/>
                <w:szCs w:val="28"/>
                <w:lang w:eastAsia="lv-LV"/>
              </w:rPr>
              <w:t>(piemēram, telpu neatbilstība, ēdināšanas nenodrošināšana, karantīna, higiēnas problēmas,</w:t>
            </w:r>
            <w:r w:rsidR="003A70EB" w:rsidRPr="005A02A7">
              <w:t xml:space="preserve"> </w:t>
            </w:r>
            <w:r w:rsidR="00D177B0">
              <w:rPr>
                <w:sz w:val="28"/>
                <w:szCs w:val="28"/>
              </w:rPr>
              <w:t xml:space="preserve">neatbilstoša </w:t>
            </w:r>
            <w:r w:rsidR="00D177B0" w:rsidRPr="005A02A7">
              <w:rPr>
                <w:bCs/>
                <w:sz w:val="28"/>
                <w:szCs w:val="28"/>
                <w:lang w:eastAsia="lv-LV"/>
              </w:rPr>
              <w:t>minimāl</w:t>
            </w:r>
            <w:r w:rsidR="00D177B0">
              <w:rPr>
                <w:bCs/>
                <w:sz w:val="28"/>
                <w:szCs w:val="28"/>
                <w:lang w:eastAsia="lv-LV"/>
              </w:rPr>
              <w:t>ā</w:t>
            </w:r>
            <w:r w:rsidR="00D177B0" w:rsidRPr="005A02A7">
              <w:rPr>
                <w:bCs/>
                <w:sz w:val="28"/>
                <w:szCs w:val="28"/>
                <w:lang w:eastAsia="lv-LV"/>
              </w:rPr>
              <w:t xml:space="preserve"> </w:t>
            </w:r>
            <w:r w:rsidR="003A70EB" w:rsidRPr="005A02A7">
              <w:rPr>
                <w:bCs/>
                <w:sz w:val="28"/>
                <w:szCs w:val="28"/>
                <w:lang w:eastAsia="lv-LV"/>
              </w:rPr>
              <w:t xml:space="preserve">gaisa </w:t>
            </w:r>
            <w:r w:rsidR="00D177B0" w:rsidRPr="005A02A7">
              <w:rPr>
                <w:bCs/>
                <w:sz w:val="28"/>
                <w:szCs w:val="28"/>
                <w:lang w:eastAsia="lv-LV"/>
              </w:rPr>
              <w:t>temperatūr</w:t>
            </w:r>
            <w:r w:rsidR="00D177B0">
              <w:rPr>
                <w:bCs/>
                <w:sz w:val="28"/>
                <w:szCs w:val="28"/>
                <w:lang w:eastAsia="lv-LV"/>
              </w:rPr>
              <w:t>a</w:t>
            </w:r>
            <w:r w:rsidR="00D177B0" w:rsidRPr="005A02A7">
              <w:rPr>
                <w:bCs/>
                <w:sz w:val="28"/>
                <w:szCs w:val="28"/>
                <w:lang w:eastAsia="lv-LV"/>
              </w:rPr>
              <w:t xml:space="preserve"> </w:t>
            </w:r>
            <w:r w:rsidR="003A70EB" w:rsidRPr="005A02A7">
              <w:rPr>
                <w:bCs/>
                <w:sz w:val="28"/>
                <w:szCs w:val="28"/>
                <w:lang w:eastAsia="lv-LV"/>
              </w:rPr>
              <w:t>izglītības iestādes telpās,</w:t>
            </w:r>
            <w:r w:rsidR="00291DBE" w:rsidRPr="005A02A7">
              <w:rPr>
                <w:bCs/>
                <w:sz w:val="28"/>
                <w:szCs w:val="28"/>
                <w:lang w:eastAsia="lv-LV"/>
              </w:rPr>
              <w:t xml:space="preserve"> darba aizsardzības pasākumu nenodrošināšana, nodarbināto streiki utt.). </w:t>
            </w:r>
            <w:r w:rsidR="003A70EB" w:rsidRPr="005A02A7">
              <w:rPr>
                <w:bCs/>
                <w:sz w:val="28"/>
                <w:szCs w:val="28"/>
                <w:lang w:eastAsia="lv-LV"/>
              </w:rPr>
              <w:t xml:space="preserve">Tāpat arī </w:t>
            </w:r>
            <w:r w:rsidR="003A70EB" w:rsidRPr="005A02A7">
              <w:rPr>
                <w:bCs/>
                <w:sz w:val="28"/>
                <w:szCs w:val="28"/>
              </w:rPr>
              <w:t>m</w:t>
            </w:r>
            <w:r w:rsidR="00802B33" w:rsidRPr="005A02A7">
              <w:rPr>
                <w:bCs/>
                <w:sz w:val="28"/>
                <w:szCs w:val="28"/>
              </w:rPr>
              <w:t xml:space="preserve">ācību gada laikā, īpaši ziemas mēnešos, iespējamas situācijas, kad izglītojamiem atļauts neapmeklēt izglītības iestādi sakarā ar zemo gaisa temperatūru. </w:t>
            </w:r>
            <w:r w:rsidR="00B326F3" w:rsidRPr="005A02A7">
              <w:rPr>
                <w:bCs/>
                <w:sz w:val="28"/>
                <w:szCs w:val="28"/>
              </w:rPr>
              <w:t>Minētā norma nav attiecināma uz 9. un 12. klašu izglītojamajiem, jo</w:t>
            </w:r>
            <w:r w:rsidR="00306D38" w:rsidRPr="005A02A7">
              <w:rPr>
                <w:bCs/>
                <w:sz w:val="28"/>
                <w:szCs w:val="28"/>
              </w:rPr>
              <w:t xml:space="preserve"> </w:t>
            </w:r>
            <w:r w:rsidR="008B45A5" w:rsidRPr="005A02A7">
              <w:rPr>
                <w:bCs/>
                <w:sz w:val="28"/>
                <w:szCs w:val="28"/>
              </w:rPr>
              <w:t xml:space="preserve">šiem izglītojamajiem ir noteikts vienots valsts pārbaudījumu grafiks valstī. Minētajās situācijās, kad vismaz vienu nedēļu nav iespējams pilnvērtīgi nodrošināt mācību procesu, </w:t>
            </w:r>
            <w:r w:rsidR="008B45A5" w:rsidRPr="005A02A7">
              <w:rPr>
                <w:bCs/>
                <w:sz w:val="28"/>
                <w:szCs w:val="28"/>
              </w:rPr>
              <w:lastRenderedPageBreak/>
              <w:t xml:space="preserve">attiecīgajai pašvaldībai </w:t>
            </w:r>
            <w:r w:rsidR="00D177B0">
              <w:rPr>
                <w:bCs/>
                <w:sz w:val="28"/>
                <w:szCs w:val="28"/>
              </w:rPr>
              <w:t xml:space="preserve">būtu </w:t>
            </w:r>
            <w:r w:rsidR="008B45A5" w:rsidRPr="005A02A7">
              <w:rPr>
                <w:bCs/>
                <w:sz w:val="28"/>
                <w:szCs w:val="28"/>
              </w:rPr>
              <w:t>jāveic aktīva rīcība, lai šo klašu izglītojamie iekļautos noteiktajā valsts pārbaudījumu grafikā.</w:t>
            </w:r>
            <w:r w:rsidR="00306D38" w:rsidRPr="005A02A7">
              <w:rPr>
                <w:bCs/>
                <w:sz w:val="28"/>
                <w:szCs w:val="28"/>
              </w:rPr>
              <w:t xml:space="preserve"> </w:t>
            </w:r>
            <w:r w:rsidR="00B326F3" w:rsidRPr="005A02A7">
              <w:rPr>
                <w:bCs/>
                <w:sz w:val="28"/>
                <w:szCs w:val="28"/>
              </w:rPr>
              <w:t xml:space="preserve"> </w:t>
            </w:r>
          </w:p>
          <w:p w14:paraId="45B1E1FE" w14:textId="7FB0E08C" w:rsidR="00921997" w:rsidRDefault="00802B33" w:rsidP="00DE42ED">
            <w:pPr>
              <w:rPr>
                <w:sz w:val="28"/>
                <w:szCs w:val="28"/>
              </w:rPr>
            </w:pPr>
            <w:r w:rsidRPr="005A02A7">
              <w:rPr>
                <w:sz w:val="28"/>
                <w:szCs w:val="28"/>
              </w:rPr>
              <w:t>Pirmās klases izglītojamiem mācību gads saskaņā ar Vispārējās izglītības likumu 36.</w:t>
            </w:r>
            <w:r w:rsidR="00DE42ED" w:rsidRPr="005A02A7">
              <w:rPr>
                <w:sz w:val="28"/>
                <w:szCs w:val="28"/>
              </w:rPr>
              <w:t> </w:t>
            </w:r>
            <w:r w:rsidRPr="005A02A7">
              <w:rPr>
                <w:sz w:val="28"/>
                <w:szCs w:val="28"/>
              </w:rPr>
              <w:t>pantu ir īsāks, tādējādi noteikumu projekt</w:t>
            </w:r>
            <w:r w:rsidR="00102717" w:rsidRPr="005A02A7">
              <w:rPr>
                <w:sz w:val="28"/>
                <w:szCs w:val="28"/>
              </w:rPr>
              <w:t xml:space="preserve">ā </w:t>
            </w:r>
            <w:r w:rsidRPr="005A02A7">
              <w:rPr>
                <w:sz w:val="28"/>
                <w:szCs w:val="28"/>
              </w:rPr>
              <w:t>paredz</w:t>
            </w:r>
            <w:r w:rsidR="00102717" w:rsidRPr="005A02A7">
              <w:rPr>
                <w:sz w:val="28"/>
                <w:szCs w:val="28"/>
              </w:rPr>
              <w:t>ēts</w:t>
            </w:r>
            <w:r w:rsidRPr="005A02A7">
              <w:rPr>
                <w:sz w:val="28"/>
                <w:szCs w:val="28"/>
              </w:rPr>
              <w:t>, ka lēmumu par vienu nedēļu ilgām papildu brīvdienām 1.</w:t>
            </w:r>
            <w:r w:rsidR="00DE42ED" w:rsidRPr="005A02A7">
              <w:rPr>
                <w:sz w:val="28"/>
                <w:szCs w:val="28"/>
              </w:rPr>
              <w:t> </w:t>
            </w:r>
            <w:r w:rsidRPr="005A02A7">
              <w:rPr>
                <w:sz w:val="28"/>
                <w:szCs w:val="28"/>
              </w:rPr>
              <w:t>klases izglītojamajiem pieņem izglītības iestāde patstāvīgi</w:t>
            </w:r>
            <w:r w:rsidR="00267473" w:rsidRPr="005A02A7">
              <w:rPr>
                <w:sz w:val="28"/>
                <w:szCs w:val="28"/>
              </w:rPr>
              <w:t>, organizējot to otrajā semestrī.</w:t>
            </w:r>
            <w:r w:rsidRPr="005A02A7">
              <w:rPr>
                <w:sz w:val="28"/>
                <w:szCs w:val="28"/>
              </w:rPr>
              <w:t xml:space="preserve"> </w:t>
            </w:r>
          </w:p>
          <w:p w14:paraId="43C0AB23" w14:textId="5864F08A" w:rsidR="004A1473" w:rsidRPr="004A1473" w:rsidRDefault="00E77C79" w:rsidP="00985453">
            <w:pPr>
              <w:rPr>
                <w:sz w:val="28"/>
                <w:szCs w:val="28"/>
              </w:rPr>
            </w:pPr>
            <w:r w:rsidRPr="004A1473">
              <w:rPr>
                <w:sz w:val="28"/>
                <w:szCs w:val="28"/>
              </w:rPr>
              <w:t>Ievērojot</w:t>
            </w:r>
            <w:r w:rsidR="00DB7A3F" w:rsidRPr="004A1473">
              <w:rPr>
                <w:sz w:val="28"/>
                <w:szCs w:val="28"/>
              </w:rPr>
              <w:t xml:space="preserve"> </w:t>
            </w:r>
            <w:r w:rsidR="00813388" w:rsidRPr="004A1473">
              <w:rPr>
                <w:sz w:val="28"/>
                <w:szCs w:val="28"/>
              </w:rPr>
              <w:t>sadarbības partneru ierosinājumus</w:t>
            </w:r>
            <w:r w:rsidRPr="004A1473">
              <w:rPr>
                <w:sz w:val="28"/>
                <w:szCs w:val="28"/>
              </w:rPr>
              <w:t xml:space="preserve">, </w:t>
            </w:r>
            <w:r w:rsidR="00DB7A3F" w:rsidRPr="004A1473">
              <w:rPr>
                <w:sz w:val="28"/>
                <w:szCs w:val="28"/>
              </w:rPr>
              <w:t>izglītības iestādes patstāvību izglītības programmu īstenošanā</w:t>
            </w:r>
            <w:r w:rsidR="00BA50C6" w:rsidRPr="004A1473">
              <w:rPr>
                <w:sz w:val="28"/>
                <w:szCs w:val="28"/>
              </w:rPr>
              <w:t xml:space="preserve">, </w:t>
            </w:r>
            <w:r w:rsidRPr="004A1473">
              <w:rPr>
                <w:sz w:val="28"/>
                <w:szCs w:val="28"/>
              </w:rPr>
              <w:t xml:space="preserve">kā arī </w:t>
            </w:r>
            <w:r w:rsidR="00BA50C6" w:rsidRPr="004A1473">
              <w:rPr>
                <w:sz w:val="28"/>
                <w:szCs w:val="28"/>
              </w:rPr>
              <w:t>j</w:t>
            </w:r>
            <w:r w:rsidR="008B468A" w:rsidRPr="004A1473">
              <w:rPr>
                <w:sz w:val="28"/>
                <w:szCs w:val="28"/>
              </w:rPr>
              <w:t>aun</w:t>
            </w:r>
            <w:r w:rsidR="00BA50C6" w:rsidRPr="004A1473">
              <w:rPr>
                <w:sz w:val="28"/>
                <w:szCs w:val="28"/>
              </w:rPr>
              <w:t>ajā</w:t>
            </w:r>
            <w:r w:rsidR="008B468A" w:rsidRPr="004A1473">
              <w:rPr>
                <w:sz w:val="28"/>
                <w:szCs w:val="28"/>
              </w:rPr>
              <w:t xml:space="preserve"> valsts pamatizglītības standart</w:t>
            </w:r>
            <w:r w:rsidR="00BA50C6" w:rsidRPr="004A1473">
              <w:rPr>
                <w:sz w:val="28"/>
                <w:szCs w:val="28"/>
              </w:rPr>
              <w:t>ā</w:t>
            </w:r>
            <w:r w:rsidR="008B468A" w:rsidRPr="004A1473">
              <w:rPr>
                <w:sz w:val="28"/>
                <w:szCs w:val="28"/>
              </w:rPr>
              <w:t xml:space="preserve"> un vispārējās vidējās izglītības standart</w:t>
            </w:r>
            <w:r w:rsidR="00BA50C6" w:rsidRPr="004A1473">
              <w:rPr>
                <w:sz w:val="28"/>
                <w:szCs w:val="28"/>
              </w:rPr>
              <w:t xml:space="preserve">ā </w:t>
            </w:r>
            <w:r w:rsidR="008B468A" w:rsidRPr="004A1473">
              <w:rPr>
                <w:sz w:val="28"/>
                <w:szCs w:val="28"/>
              </w:rPr>
              <w:t>izglītības iestāde</w:t>
            </w:r>
            <w:r w:rsidR="00BA50C6" w:rsidRPr="004A1473">
              <w:rPr>
                <w:sz w:val="28"/>
                <w:szCs w:val="28"/>
              </w:rPr>
              <w:t xml:space="preserve">i noteiktās tiesības un reizē pienākumu patstāvīgi plānot mācību </w:t>
            </w:r>
            <w:r w:rsidR="00813388" w:rsidRPr="004A1473">
              <w:rPr>
                <w:sz w:val="28"/>
                <w:szCs w:val="28"/>
              </w:rPr>
              <w:t>procesa norisi, tostarp noteikt mācību priekšmetu (kursu) īstenošanas laikus</w:t>
            </w:r>
            <w:r w:rsidR="0085138B" w:rsidRPr="004A1473">
              <w:rPr>
                <w:sz w:val="28"/>
                <w:szCs w:val="28"/>
              </w:rPr>
              <w:t>, konsultāciju un individuālā darba laikus ar izglītojamiem</w:t>
            </w:r>
            <w:r w:rsidR="004A1473" w:rsidRPr="004A1473">
              <w:rPr>
                <w:sz w:val="28"/>
                <w:szCs w:val="28"/>
              </w:rPr>
              <w:t>:</w:t>
            </w:r>
          </w:p>
          <w:p w14:paraId="2DBA8ACD" w14:textId="3546D442" w:rsidR="004A1473" w:rsidRPr="004A1473" w:rsidRDefault="004A1473" w:rsidP="004A1473">
            <w:pPr>
              <w:pStyle w:val="ListParagraph"/>
              <w:numPr>
                <w:ilvl w:val="0"/>
                <w:numId w:val="4"/>
              </w:numPr>
              <w:spacing w:after="0" w:line="240" w:lineRule="auto"/>
              <w:ind w:left="397" w:hanging="357"/>
              <w:jc w:val="both"/>
              <w:rPr>
                <w:rFonts w:ascii="Times New Roman" w:hAnsi="Times New Roman" w:cs="Times New Roman"/>
                <w:sz w:val="28"/>
                <w:szCs w:val="28"/>
              </w:rPr>
            </w:pPr>
            <w:r w:rsidRPr="004A1473">
              <w:rPr>
                <w:rFonts w:ascii="Times New Roman" w:hAnsi="Times New Roman" w:cs="Times New Roman"/>
                <w:sz w:val="28"/>
                <w:szCs w:val="28"/>
              </w:rPr>
              <w:t xml:space="preserve">noteikumu projektā </w:t>
            </w:r>
            <w:r w:rsidR="00E77C79" w:rsidRPr="004A1473">
              <w:rPr>
                <w:rFonts w:ascii="Times New Roman" w:hAnsi="Times New Roman" w:cs="Times New Roman"/>
                <w:sz w:val="28"/>
                <w:szCs w:val="28"/>
              </w:rPr>
              <w:t>nav noteikti mācību beigu datumi</w:t>
            </w:r>
            <w:r w:rsidR="0085138B" w:rsidRPr="004A1473">
              <w:rPr>
                <w:rFonts w:ascii="Times New Roman" w:hAnsi="Times New Roman" w:cs="Times New Roman"/>
                <w:sz w:val="28"/>
                <w:szCs w:val="28"/>
              </w:rPr>
              <w:t>, kas</w:t>
            </w:r>
            <w:r w:rsidRPr="004A1473">
              <w:rPr>
                <w:rFonts w:ascii="Times New Roman" w:hAnsi="Times New Roman" w:cs="Times New Roman"/>
                <w:sz w:val="28"/>
                <w:szCs w:val="28"/>
              </w:rPr>
              <w:t xml:space="preserve"> līdz šim</w:t>
            </w:r>
            <w:r w:rsidR="0085138B" w:rsidRPr="004A1473">
              <w:rPr>
                <w:rFonts w:ascii="Times New Roman" w:hAnsi="Times New Roman" w:cs="Times New Roman"/>
                <w:sz w:val="28"/>
                <w:szCs w:val="28"/>
              </w:rPr>
              <w:t xml:space="preserve"> pieļāva atšķirīgu izpratni un regulējuma piemērošanu, piemēram, attiecībā uz vērtējumu </w:t>
            </w:r>
            <w:r w:rsidR="00465367">
              <w:rPr>
                <w:rFonts w:ascii="Times New Roman" w:hAnsi="Times New Roman" w:cs="Times New Roman"/>
                <w:sz w:val="28"/>
                <w:szCs w:val="28"/>
              </w:rPr>
              <w:t xml:space="preserve">izlikšanas, </w:t>
            </w:r>
            <w:r w:rsidR="0085138B" w:rsidRPr="004A1473">
              <w:rPr>
                <w:rFonts w:ascii="Times New Roman" w:hAnsi="Times New Roman" w:cs="Times New Roman"/>
                <w:sz w:val="28"/>
                <w:szCs w:val="28"/>
              </w:rPr>
              <w:t xml:space="preserve">iegūšanas </w:t>
            </w:r>
            <w:r w:rsidR="00465367">
              <w:rPr>
                <w:rFonts w:ascii="Times New Roman" w:hAnsi="Times New Roman" w:cs="Times New Roman"/>
                <w:sz w:val="28"/>
                <w:szCs w:val="28"/>
              </w:rPr>
              <w:t>un</w:t>
            </w:r>
            <w:r w:rsidRPr="004A1473">
              <w:rPr>
                <w:rFonts w:ascii="Times New Roman" w:hAnsi="Times New Roman" w:cs="Times New Roman"/>
                <w:sz w:val="28"/>
                <w:szCs w:val="28"/>
              </w:rPr>
              <w:t xml:space="preserve"> uzlabošanas </w:t>
            </w:r>
            <w:r w:rsidR="0085138B" w:rsidRPr="004A1473">
              <w:rPr>
                <w:rFonts w:ascii="Times New Roman" w:hAnsi="Times New Roman" w:cs="Times New Roman"/>
                <w:sz w:val="28"/>
                <w:szCs w:val="28"/>
              </w:rPr>
              <w:t>beigu datum</w:t>
            </w:r>
            <w:r w:rsidR="00465367">
              <w:rPr>
                <w:rFonts w:ascii="Times New Roman" w:hAnsi="Times New Roman" w:cs="Times New Roman"/>
                <w:sz w:val="28"/>
                <w:szCs w:val="28"/>
              </w:rPr>
              <w:t>iem</w:t>
            </w:r>
            <w:r w:rsidR="0085138B" w:rsidRPr="004A1473">
              <w:rPr>
                <w:rFonts w:ascii="Times New Roman" w:hAnsi="Times New Roman" w:cs="Times New Roman"/>
                <w:sz w:val="28"/>
                <w:szCs w:val="28"/>
              </w:rPr>
              <w:t xml:space="preserve"> </w:t>
            </w:r>
            <w:r w:rsidRPr="004A1473">
              <w:rPr>
                <w:rFonts w:ascii="Times New Roman" w:hAnsi="Times New Roman" w:cs="Times New Roman"/>
                <w:sz w:val="28"/>
                <w:szCs w:val="28"/>
              </w:rPr>
              <w:t>mācību priekšmeto</w:t>
            </w:r>
            <w:r w:rsidR="00643782">
              <w:rPr>
                <w:rFonts w:ascii="Times New Roman" w:hAnsi="Times New Roman" w:cs="Times New Roman"/>
                <w:sz w:val="28"/>
                <w:szCs w:val="28"/>
              </w:rPr>
              <w:t>s.</w:t>
            </w:r>
            <w:r w:rsidR="00417EA8">
              <w:rPr>
                <w:rFonts w:ascii="Times New Roman" w:hAnsi="Times New Roman" w:cs="Times New Roman"/>
                <w:sz w:val="28"/>
                <w:szCs w:val="28"/>
              </w:rPr>
              <w:t xml:space="preserve"> </w:t>
            </w:r>
            <w:r w:rsidR="00643782">
              <w:rPr>
                <w:rFonts w:ascii="Times New Roman" w:hAnsi="Times New Roman" w:cs="Times New Roman"/>
                <w:sz w:val="28"/>
                <w:szCs w:val="28"/>
              </w:rPr>
              <w:t>Vienlaikus</w:t>
            </w:r>
            <w:r w:rsidR="00417EA8">
              <w:rPr>
                <w:rFonts w:ascii="Times New Roman" w:hAnsi="Times New Roman" w:cs="Times New Roman"/>
                <w:sz w:val="28"/>
                <w:szCs w:val="28"/>
              </w:rPr>
              <w:t xml:space="preserve"> izglītojamiem vērtējumi mācību priekšmetos un sākotnēji lēmums par 1.-8.klases</w:t>
            </w:r>
            <w:r w:rsidR="00D177B0">
              <w:rPr>
                <w:rFonts w:ascii="Times New Roman" w:hAnsi="Times New Roman" w:cs="Times New Roman"/>
                <w:sz w:val="28"/>
                <w:szCs w:val="28"/>
              </w:rPr>
              <w:t>,</w:t>
            </w:r>
            <w:r w:rsidR="00417EA8">
              <w:rPr>
                <w:rFonts w:ascii="Times New Roman" w:hAnsi="Times New Roman" w:cs="Times New Roman"/>
                <w:sz w:val="28"/>
                <w:szCs w:val="28"/>
              </w:rPr>
              <w:t xml:space="preserve"> 10. un 11.klases izglītojamo pārcelšanu nākamajā klasē pieņemams </w:t>
            </w:r>
            <w:r w:rsidR="007F699D">
              <w:rPr>
                <w:rFonts w:ascii="Times New Roman" w:hAnsi="Times New Roman" w:cs="Times New Roman"/>
                <w:sz w:val="28"/>
                <w:szCs w:val="28"/>
              </w:rPr>
              <w:t>pirms</w:t>
            </w:r>
            <w:r w:rsidR="00417EA8">
              <w:rPr>
                <w:rFonts w:ascii="Times New Roman" w:hAnsi="Times New Roman" w:cs="Times New Roman"/>
                <w:sz w:val="28"/>
                <w:szCs w:val="28"/>
              </w:rPr>
              <w:t xml:space="preserve"> otrā semestra beig</w:t>
            </w:r>
            <w:r w:rsidR="007F699D">
              <w:rPr>
                <w:rFonts w:ascii="Times New Roman" w:hAnsi="Times New Roman" w:cs="Times New Roman"/>
                <w:sz w:val="28"/>
                <w:szCs w:val="28"/>
              </w:rPr>
              <w:t xml:space="preserve">u un </w:t>
            </w:r>
            <w:r w:rsidR="00417EA8">
              <w:rPr>
                <w:rFonts w:ascii="Times New Roman" w:hAnsi="Times New Roman" w:cs="Times New Roman"/>
                <w:sz w:val="28"/>
                <w:szCs w:val="28"/>
              </w:rPr>
              <w:t>izglītojamo vasaras brīvdienu sākuma</w:t>
            </w:r>
            <w:r w:rsidR="007F699D">
              <w:rPr>
                <w:rFonts w:ascii="Times New Roman" w:hAnsi="Times New Roman" w:cs="Times New Roman"/>
                <w:sz w:val="28"/>
                <w:szCs w:val="28"/>
              </w:rPr>
              <w:t xml:space="preserve"> datuma</w:t>
            </w:r>
            <w:r w:rsidRPr="004A1473">
              <w:rPr>
                <w:rFonts w:ascii="Times New Roman" w:hAnsi="Times New Roman" w:cs="Times New Roman"/>
                <w:sz w:val="28"/>
                <w:szCs w:val="28"/>
              </w:rPr>
              <w:t>;</w:t>
            </w:r>
          </w:p>
          <w:p w14:paraId="3BBC87AA" w14:textId="51A14962" w:rsidR="0085138B" w:rsidRPr="004A1473" w:rsidRDefault="00E77C79" w:rsidP="004A1473">
            <w:pPr>
              <w:pStyle w:val="ListParagraph"/>
              <w:numPr>
                <w:ilvl w:val="0"/>
                <w:numId w:val="4"/>
              </w:numPr>
              <w:spacing w:after="0" w:line="240" w:lineRule="auto"/>
              <w:ind w:left="397" w:hanging="357"/>
              <w:jc w:val="both"/>
              <w:rPr>
                <w:rFonts w:ascii="Times New Roman" w:hAnsi="Times New Roman" w:cs="Times New Roman"/>
                <w:sz w:val="28"/>
                <w:szCs w:val="28"/>
              </w:rPr>
            </w:pPr>
            <w:r w:rsidRPr="004A1473">
              <w:rPr>
                <w:rFonts w:ascii="Times New Roman" w:hAnsi="Times New Roman" w:cs="Times New Roman"/>
                <w:sz w:val="28"/>
                <w:szCs w:val="28"/>
              </w:rPr>
              <w:t>noteikumu projekts neparedz ātrāku mācību gada beigu datumus 9. un 12.klašu izglītojamajiem, kuri atbrīvoti no note</w:t>
            </w:r>
            <w:r w:rsidR="004A1473" w:rsidRPr="004A1473">
              <w:rPr>
                <w:rFonts w:ascii="Times New Roman" w:hAnsi="Times New Roman" w:cs="Times New Roman"/>
                <w:sz w:val="28"/>
                <w:szCs w:val="28"/>
              </w:rPr>
              <w:t>iktajiem valsts pārbaudījumiem</w:t>
            </w:r>
            <w:r w:rsidR="004A1473">
              <w:rPr>
                <w:rFonts w:ascii="Times New Roman" w:hAnsi="Times New Roman" w:cs="Times New Roman"/>
                <w:sz w:val="28"/>
                <w:szCs w:val="28"/>
              </w:rPr>
              <w:t>.</w:t>
            </w:r>
          </w:p>
          <w:p w14:paraId="3ECAC3E2" w14:textId="498696B2" w:rsidR="00E77C79" w:rsidRDefault="00E77C79" w:rsidP="00985453">
            <w:pPr>
              <w:rPr>
                <w:sz w:val="28"/>
                <w:szCs w:val="28"/>
              </w:rPr>
            </w:pPr>
            <w:r>
              <w:rPr>
                <w:sz w:val="28"/>
                <w:szCs w:val="28"/>
              </w:rPr>
              <w:t>Tādējādi novērsta vēsturiski izveidojusies nepamatota situācija</w:t>
            </w:r>
            <w:r w:rsidR="00894277">
              <w:rPr>
                <w:sz w:val="28"/>
                <w:szCs w:val="28"/>
              </w:rPr>
              <w:t xml:space="preserve"> un nodrošināts vienlīdzības princips starp visiem 9. un 12.klašu izglītojamajiem</w:t>
            </w:r>
            <w:r>
              <w:rPr>
                <w:sz w:val="28"/>
                <w:szCs w:val="28"/>
              </w:rPr>
              <w:t xml:space="preserve">, </w:t>
            </w:r>
            <w:r w:rsidR="00894277">
              <w:rPr>
                <w:sz w:val="28"/>
                <w:szCs w:val="28"/>
              </w:rPr>
              <w:t>jo, nosakot ātrāku mācību gada beigu datumu</w:t>
            </w:r>
            <w:r w:rsidR="00985453">
              <w:rPr>
                <w:sz w:val="28"/>
                <w:szCs w:val="28"/>
              </w:rPr>
              <w:t xml:space="preserve"> no valsts pārbaudījumiem atbrīvotajiem 9. un 12.klašu izglītojamajiem</w:t>
            </w:r>
            <w:r w:rsidR="00894277">
              <w:rPr>
                <w:sz w:val="28"/>
                <w:szCs w:val="28"/>
              </w:rPr>
              <w:t xml:space="preserve">, netika ievērots </w:t>
            </w:r>
            <w:r w:rsidR="00894277" w:rsidRPr="002300CF">
              <w:rPr>
                <w:sz w:val="28"/>
                <w:szCs w:val="28"/>
              </w:rPr>
              <w:t>Vispārējās izglītības likuma 36. pantā un 46. pantā noteikt</w:t>
            </w:r>
            <w:r w:rsidR="00894277">
              <w:rPr>
                <w:sz w:val="28"/>
                <w:szCs w:val="28"/>
              </w:rPr>
              <w:t xml:space="preserve">ais </w:t>
            </w:r>
            <w:r w:rsidR="00894277" w:rsidRPr="002300CF">
              <w:rPr>
                <w:sz w:val="28"/>
                <w:szCs w:val="28"/>
              </w:rPr>
              <w:t>mācību gada ilgum</w:t>
            </w:r>
            <w:r w:rsidR="00894277">
              <w:rPr>
                <w:sz w:val="28"/>
                <w:szCs w:val="28"/>
              </w:rPr>
              <w:t>s</w:t>
            </w:r>
            <w:r w:rsidR="006A23EC">
              <w:rPr>
                <w:sz w:val="28"/>
                <w:szCs w:val="28"/>
              </w:rPr>
              <w:t>,</w:t>
            </w:r>
            <w:r w:rsidR="00894277">
              <w:rPr>
                <w:sz w:val="28"/>
                <w:szCs w:val="28"/>
              </w:rPr>
              <w:t xml:space="preserve"> </w:t>
            </w:r>
            <w:r w:rsidR="002F0357">
              <w:rPr>
                <w:sz w:val="28"/>
                <w:szCs w:val="28"/>
              </w:rPr>
              <w:t xml:space="preserve">un </w:t>
            </w:r>
            <w:r w:rsidR="00985453">
              <w:rPr>
                <w:sz w:val="28"/>
                <w:szCs w:val="28"/>
              </w:rPr>
              <w:t xml:space="preserve">līdz ar to arī ātrāk </w:t>
            </w:r>
            <w:r w:rsidR="006A23EC">
              <w:rPr>
                <w:sz w:val="28"/>
                <w:szCs w:val="28"/>
              </w:rPr>
              <w:t xml:space="preserve">tika </w:t>
            </w:r>
            <w:r w:rsidR="00985453">
              <w:rPr>
                <w:sz w:val="28"/>
                <w:szCs w:val="28"/>
              </w:rPr>
              <w:t xml:space="preserve">izsniegti </w:t>
            </w:r>
            <w:r w:rsidR="002F0357">
              <w:rPr>
                <w:sz w:val="28"/>
                <w:szCs w:val="28"/>
              </w:rPr>
              <w:t>valsts atzīt</w:t>
            </w:r>
            <w:r w:rsidR="00985453">
              <w:rPr>
                <w:sz w:val="28"/>
                <w:szCs w:val="28"/>
              </w:rPr>
              <w:t>i</w:t>
            </w:r>
            <w:r w:rsidR="002F0357">
              <w:rPr>
                <w:sz w:val="28"/>
                <w:szCs w:val="28"/>
              </w:rPr>
              <w:t xml:space="preserve"> izglīt</w:t>
            </w:r>
            <w:r w:rsidR="00985453">
              <w:rPr>
                <w:sz w:val="28"/>
                <w:szCs w:val="28"/>
              </w:rPr>
              <w:t xml:space="preserve">ības dokumenti </w:t>
            </w:r>
            <w:r w:rsidR="002F0357">
              <w:rPr>
                <w:sz w:val="28"/>
                <w:szCs w:val="28"/>
              </w:rPr>
              <w:t>– apliecīb</w:t>
            </w:r>
            <w:r w:rsidR="00985453">
              <w:rPr>
                <w:sz w:val="28"/>
                <w:szCs w:val="28"/>
              </w:rPr>
              <w:t>as</w:t>
            </w:r>
            <w:r w:rsidR="002F0357">
              <w:rPr>
                <w:sz w:val="28"/>
                <w:szCs w:val="28"/>
              </w:rPr>
              <w:t xml:space="preserve"> un atest</w:t>
            </w:r>
            <w:r w:rsidR="00985453">
              <w:rPr>
                <w:sz w:val="28"/>
                <w:szCs w:val="28"/>
              </w:rPr>
              <w:t>āti</w:t>
            </w:r>
            <w:r w:rsidRPr="002300CF">
              <w:rPr>
                <w:sz w:val="28"/>
                <w:szCs w:val="28"/>
              </w:rPr>
              <w:t xml:space="preserve">. </w:t>
            </w:r>
            <w:r w:rsidR="00894277">
              <w:rPr>
                <w:sz w:val="28"/>
                <w:szCs w:val="28"/>
              </w:rPr>
              <w:t xml:space="preserve">Turklāt šāds regulējums </w:t>
            </w:r>
            <w:r w:rsidR="00465367">
              <w:rPr>
                <w:sz w:val="28"/>
                <w:szCs w:val="28"/>
              </w:rPr>
              <w:t xml:space="preserve">kopumā ir </w:t>
            </w:r>
            <w:r w:rsidR="00894277">
              <w:rPr>
                <w:sz w:val="28"/>
                <w:szCs w:val="28"/>
              </w:rPr>
              <w:t>labvēlīgs</w:t>
            </w:r>
            <w:r w:rsidR="00465367">
              <w:rPr>
                <w:sz w:val="28"/>
                <w:szCs w:val="28"/>
              </w:rPr>
              <w:t xml:space="preserve"> </w:t>
            </w:r>
            <w:r w:rsidR="00465367" w:rsidRPr="00894277">
              <w:rPr>
                <w:sz w:val="28"/>
                <w:szCs w:val="28"/>
              </w:rPr>
              <w:t xml:space="preserve">no valsts </w:t>
            </w:r>
            <w:r w:rsidR="00465367" w:rsidRPr="00894277">
              <w:rPr>
                <w:sz w:val="28"/>
                <w:szCs w:val="28"/>
              </w:rPr>
              <w:lastRenderedPageBreak/>
              <w:t>pārbaudījumiem</w:t>
            </w:r>
            <w:r w:rsidR="00465367">
              <w:rPr>
                <w:sz w:val="28"/>
                <w:szCs w:val="28"/>
              </w:rPr>
              <w:t xml:space="preserve"> atbrīvotajiem izglītojamajiem, tostarp </w:t>
            </w:r>
            <w:r w:rsidR="00894277">
              <w:rPr>
                <w:sz w:val="28"/>
                <w:szCs w:val="28"/>
              </w:rPr>
              <w:t>9.</w:t>
            </w:r>
            <w:r w:rsidR="006A23EC">
              <w:rPr>
                <w:sz w:val="28"/>
                <w:szCs w:val="28"/>
              </w:rPr>
              <w:t> </w:t>
            </w:r>
            <w:r w:rsidR="00894277">
              <w:rPr>
                <w:sz w:val="28"/>
                <w:szCs w:val="28"/>
              </w:rPr>
              <w:t>klases izglītojamajiem</w:t>
            </w:r>
            <w:r w:rsidR="00894277" w:rsidRPr="00894277">
              <w:rPr>
                <w:sz w:val="28"/>
                <w:szCs w:val="28"/>
              </w:rPr>
              <w:t xml:space="preserve"> ar garīgās attīstības traucējumiem</w:t>
            </w:r>
            <w:r w:rsidR="002F0357">
              <w:rPr>
                <w:sz w:val="28"/>
                <w:szCs w:val="28"/>
              </w:rPr>
              <w:t xml:space="preserve"> un viņu vecākiem</w:t>
            </w:r>
            <w:r w:rsidR="00894277">
              <w:rPr>
                <w:sz w:val="28"/>
                <w:szCs w:val="28"/>
              </w:rPr>
              <w:t xml:space="preserve">, </w:t>
            </w:r>
            <w:r w:rsidR="002F0357">
              <w:rPr>
                <w:sz w:val="28"/>
                <w:szCs w:val="28"/>
              </w:rPr>
              <w:t>jo</w:t>
            </w:r>
            <w:r w:rsidR="00894277">
              <w:rPr>
                <w:sz w:val="28"/>
                <w:szCs w:val="28"/>
              </w:rPr>
              <w:t xml:space="preserve"> vēl divas nedēļas </w:t>
            </w:r>
            <w:r w:rsidR="002F0357">
              <w:rPr>
                <w:sz w:val="28"/>
                <w:szCs w:val="28"/>
              </w:rPr>
              <w:t xml:space="preserve">minētajiem izglītojamajiem būs iespēja turpināt piedalīties mācību procesā un izmantot </w:t>
            </w:r>
            <w:r w:rsidR="002F0357" w:rsidRPr="002F0357">
              <w:rPr>
                <w:sz w:val="28"/>
                <w:szCs w:val="28"/>
              </w:rPr>
              <w:t xml:space="preserve">izglītības iestādes telpas, </w:t>
            </w:r>
            <w:r w:rsidR="002F0357">
              <w:rPr>
                <w:sz w:val="28"/>
                <w:szCs w:val="28"/>
              </w:rPr>
              <w:t xml:space="preserve">iekārtas, </w:t>
            </w:r>
            <w:r w:rsidR="002F0357" w:rsidRPr="002F0357">
              <w:rPr>
                <w:sz w:val="28"/>
                <w:szCs w:val="28"/>
              </w:rPr>
              <w:t xml:space="preserve">kultūras, sporta un medicīnas objektus un inventāru, mācību </w:t>
            </w:r>
            <w:r w:rsidR="002F0357">
              <w:rPr>
                <w:sz w:val="28"/>
                <w:szCs w:val="28"/>
              </w:rPr>
              <w:t>līdzekļus</w:t>
            </w:r>
            <w:r w:rsidR="002F0357" w:rsidRPr="002F0357">
              <w:rPr>
                <w:sz w:val="28"/>
                <w:szCs w:val="28"/>
              </w:rPr>
              <w:t>, kā arī saņemt bibliotekāros, informācijas un karjeras attīstības atbalsta pakalpojumus</w:t>
            </w:r>
            <w:r w:rsidR="002F0357">
              <w:rPr>
                <w:sz w:val="28"/>
                <w:szCs w:val="28"/>
              </w:rPr>
              <w:t>.</w:t>
            </w:r>
          </w:p>
          <w:p w14:paraId="74B6313C" w14:textId="0A0C7F31" w:rsidR="008E5122" w:rsidRPr="005A02A7" w:rsidRDefault="008E5122" w:rsidP="002300CF">
            <w:pPr>
              <w:shd w:val="clear" w:color="auto" w:fill="FFFFFF" w:themeFill="background1"/>
              <w:rPr>
                <w:sz w:val="28"/>
                <w:szCs w:val="28"/>
              </w:rPr>
            </w:pPr>
          </w:p>
        </w:tc>
      </w:tr>
      <w:tr w:rsidR="005A02A7" w:rsidRPr="005A02A7" w14:paraId="47868E53" w14:textId="77777777" w:rsidTr="006901B2">
        <w:trPr>
          <w:trHeight w:val="677"/>
          <w:tblCellSpacing w:w="0" w:type="dxa"/>
        </w:trPr>
        <w:tc>
          <w:tcPr>
            <w:tcW w:w="20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65C1A12B" w14:textId="686B9836" w:rsidR="00B53406" w:rsidRPr="006901B2" w:rsidRDefault="00B53406" w:rsidP="007345A9">
            <w:pPr>
              <w:spacing w:before="50" w:after="50"/>
              <w:rPr>
                <w:sz w:val="28"/>
                <w:szCs w:val="28"/>
              </w:rPr>
            </w:pPr>
            <w:r w:rsidRPr="006901B2">
              <w:rPr>
                <w:sz w:val="28"/>
                <w:szCs w:val="28"/>
              </w:rPr>
              <w:lastRenderedPageBreak/>
              <w:t>3.</w:t>
            </w:r>
          </w:p>
        </w:tc>
        <w:tc>
          <w:tcPr>
            <w:tcW w:w="1444"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5050D2E0" w14:textId="77777777" w:rsidR="00B53406" w:rsidRPr="006901B2" w:rsidRDefault="00B53406" w:rsidP="007345A9">
            <w:pPr>
              <w:spacing w:before="50" w:after="50"/>
              <w:jc w:val="left"/>
              <w:rPr>
                <w:sz w:val="28"/>
                <w:szCs w:val="28"/>
              </w:rPr>
            </w:pPr>
            <w:r w:rsidRPr="006901B2">
              <w:rPr>
                <w:sz w:val="28"/>
                <w:szCs w:val="28"/>
              </w:rPr>
              <w:t>Projekta izstrādē iesaistītās institūcijas</w:t>
            </w:r>
          </w:p>
        </w:tc>
        <w:tc>
          <w:tcPr>
            <w:tcW w:w="3353" w:type="pct"/>
            <w:gridSpan w:val="2"/>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47B6B690" w14:textId="0767B4DA" w:rsidR="00B53406" w:rsidRPr="005A02A7" w:rsidRDefault="00B53406" w:rsidP="00272EA0">
            <w:pPr>
              <w:spacing w:before="50" w:after="50"/>
              <w:ind w:firstLine="43"/>
              <w:rPr>
                <w:sz w:val="28"/>
                <w:szCs w:val="28"/>
              </w:rPr>
            </w:pPr>
            <w:r w:rsidRPr="005A02A7">
              <w:rPr>
                <w:sz w:val="28"/>
                <w:szCs w:val="28"/>
              </w:rPr>
              <w:t xml:space="preserve">Izglītības un zinātnes ministrija, </w:t>
            </w:r>
            <w:r w:rsidR="00802B33" w:rsidRPr="005A02A7">
              <w:rPr>
                <w:sz w:val="28"/>
                <w:szCs w:val="28"/>
              </w:rPr>
              <w:t>Valsts izglītības satura centrs</w:t>
            </w:r>
            <w:r w:rsidR="0041475F">
              <w:rPr>
                <w:sz w:val="28"/>
                <w:szCs w:val="28"/>
              </w:rPr>
              <w:t>, Izglītības kvalitātes valsts dienests</w:t>
            </w:r>
            <w:r w:rsidR="00272EA0" w:rsidRPr="005A02A7">
              <w:rPr>
                <w:sz w:val="28"/>
                <w:szCs w:val="28"/>
              </w:rPr>
              <w:t>.</w:t>
            </w:r>
            <w:r w:rsidR="00942A9B" w:rsidRPr="005A02A7">
              <w:rPr>
                <w:sz w:val="28"/>
                <w:szCs w:val="28"/>
              </w:rPr>
              <w:t xml:space="preserve"> </w:t>
            </w:r>
          </w:p>
        </w:tc>
      </w:tr>
      <w:tr w:rsidR="005A02A7" w:rsidRPr="005A02A7" w14:paraId="2828D13E" w14:textId="77777777" w:rsidTr="006901B2">
        <w:trPr>
          <w:trHeight w:val="420"/>
          <w:tblCellSpacing w:w="0" w:type="dxa"/>
        </w:trPr>
        <w:tc>
          <w:tcPr>
            <w:tcW w:w="20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100EE218" w14:textId="77777777" w:rsidR="00B53406" w:rsidRPr="006901B2" w:rsidRDefault="00B53406" w:rsidP="007345A9">
            <w:pPr>
              <w:spacing w:before="50" w:after="50"/>
              <w:rPr>
                <w:sz w:val="28"/>
                <w:szCs w:val="28"/>
              </w:rPr>
            </w:pPr>
            <w:r w:rsidRPr="006901B2">
              <w:rPr>
                <w:sz w:val="28"/>
                <w:szCs w:val="28"/>
              </w:rPr>
              <w:t>4.</w:t>
            </w:r>
          </w:p>
        </w:tc>
        <w:tc>
          <w:tcPr>
            <w:tcW w:w="1444"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26046153" w14:textId="77777777" w:rsidR="00B53406" w:rsidRPr="006901B2" w:rsidRDefault="00B53406" w:rsidP="007345A9">
            <w:pPr>
              <w:spacing w:before="50" w:after="50"/>
              <w:jc w:val="left"/>
              <w:rPr>
                <w:sz w:val="28"/>
                <w:szCs w:val="28"/>
              </w:rPr>
            </w:pPr>
            <w:r w:rsidRPr="006901B2">
              <w:rPr>
                <w:sz w:val="28"/>
                <w:szCs w:val="28"/>
              </w:rPr>
              <w:t>Cita informācija</w:t>
            </w:r>
          </w:p>
        </w:tc>
        <w:tc>
          <w:tcPr>
            <w:tcW w:w="3353" w:type="pct"/>
            <w:gridSpan w:val="2"/>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1116863F" w14:textId="429E0FEE" w:rsidR="00B53406" w:rsidRPr="005A02A7" w:rsidRDefault="00942A9B" w:rsidP="003C69CC">
            <w:pPr>
              <w:spacing w:before="50" w:after="50"/>
              <w:rPr>
                <w:sz w:val="28"/>
                <w:szCs w:val="28"/>
              </w:rPr>
            </w:pPr>
            <w:r w:rsidRPr="005A02A7">
              <w:rPr>
                <w:sz w:val="28"/>
                <w:szCs w:val="28"/>
              </w:rPr>
              <w:t>Nav</w:t>
            </w:r>
            <w:r w:rsidR="007C7DAD" w:rsidRPr="005A02A7">
              <w:rPr>
                <w:sz w:val="28"/>
                <w:szCs w:val="28"/>
              </w:rPr>
              <w:t xml:space="preserve">  </w:t>
            </w:r>
          </w:p>
        </w:tc>
      </w:tr>
      <w:tr w:rsidR="005A02A7" w:rsidRPr="005A02A7" w14:paraId="4F732C88" w14:textId="77777777" w:rsidTr="006901B2">
        <w:trPr>
          <w:gridAfter w:val="1"/>
          <w:wAfter w:w="33" w:type="pct"/>
          <w:tblCellSpacing w:w="0"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0EFED66" w14:textId="77777777" w:rsidR="00101A58" w:rsidRPr="005A02A7" w:rsidRDefault="00101A58" w:rsidP="007345A9">
            <w:pPr>
              <w:spacing w:before="100" w:after="100"/>
              <w:jc w:val="center"/>
              <w:rPr>
                <w:b/>
                <w:bCs/>
                <w:sz w:val="28"/>
                <w:szCs w:val="28"/>
              </w:rPr>
            </w:pPr>
            <w:r w:rsidRPr="005A02A7">
              <w:rPr>
                <w:sz w:val="28"/>
                <w:szCs w:val="28"/>
              </w:rPr>
              <w:t> </w:t>
            </w:r>
            <w:r w:rsidRPr="005A02A7">
              <w:rPr>
                <w:b/>
                <w:bCs/>
                <w:sz w:val="28"/>
                <w:szCs w:val="28"/>
              </w:rPr>
              <w:t> II. Tiesību akta projekta ietekme uz sabiedrību</w:t>
            </w:r>
            <w:r w:rsidR="00B53406" w:rsidRPr="005A02A7">
              <w:rPr>
                <w:b/>
                <w:bCs/>
                <w:sz w:val="28"/>
                <w:szCs w:val="28"/>
              </w:rPr>
              <w:t>, tautsaimniecība attīstību un administratīvo slogu</w:t>
            </w:r>
          </w:p>
        </w:tc>
      </w:tr>
      <w:tr w:rsidR="005A02A7" w:rsidRPr="005A02A7" w14:paraId="72D4E102" w14:textId="77777777" w:rsidTr="006901B2">
        <w:trPr>
          <w:gridAfter w:val="1"/>
          <w:wAfter w:w="33" w:type="pct"/>
          <w:trHeight w:val="467"/>
          <w:tblCellSpacing w:w="0" w:type="dxa"/>
        </w:trPr>
        <w:tc>
          <w:tcPr>
            <w:tcW w:w="203" w:type="pct"/>
            <w:tcBorders>
              <w:top w:val="outset" w:sz="6" w:space="0" w:color="auto"/>
              <w:left w:val="outset" w:sz="6" w:space="0" w:color="auto"/>
              <w:bottom w:val="outset" w:sz="6" w:space="0" w:color="auto"/>
              <w:right w:val="outset" w:sz="6" w:space="0" w:color="auto"/>
            </w:tcBorders>
            <w:hideMark/>
          </w:tcPr>
          <w:p w14:paraId="10804C61" w14:textId="77777777" w:rsidR="00101A58" w:rsidRPr="006901B2" w:rsidRDefault="00101A58" w:rsidP="007345A9">
            <w:pPr>
              <w:spacing w:before="50" w:after="50"/>
              <w:rPr>
                <w:sz w:val="28"/>
                <w:szCs w:val="28"/>
              </w:rPr>
            </w:pPr>
            <w:r w:rsidRPr="006901B2">
              <w:rPr>
                <w:sz w:val="28"/>
                <w:szCs w:val="28"/>
              </w:rPr>
              <w:t> 1.</w:t>
            </w:r>
          </w:p>
        </w:tc>
        <w:tc>
          <w:tcPr>
            <w:tcW w:w="1444" w:type="pct"/>
            <w:tcBorders>
              <w:top w:val="outset" w:sz="6" w:space="0" w:color="auto"/>
              <w:left w:val="outset" w:sz="6" w:space="0" w:color="auto"/>
              <w:bottom w:val="outset" w:sz="6" w:space="0" w:color="auto"/>
              <w:right w:val="outset" w:sz="6" w:space="0" w:color="auto"/>
            </w:tcBorders>
            <w:hideMark/>
          </w:tcPr>
          <w:p w14:paraId="24FED917" w14:textId="77777777" w:rsidR="00101A58" w:rsidRPr="006901B2" w:rsidRDefault="00101A58" w:rsidP="00921997">
            <w:pPr>
              <w:spacing w:before="50" w:after="50"/>
              <w:jc w:val="left"/>
              <w:rPr>
                <w:sz w:val="28"/>
                <w:szCs w:val="28"/>
              </w:rPr>
            </w:pPr>
            <w:r w:rsidRPr="006901B2">
              <w:rPr>
                <w:sz w:val="28"/>
                <w:szCs w:val="28"/>
              </w:rPr>
              <w:t>Sabiedrības mērķgrupa</w:t>
            </w:r>
            <w:r w:rsidR="00B53406" w:rsidRPr="006901B2">
              <w:rPr>
                <w:sz w:val="28"/>
                <w:szCs w:val="28"/>
              </w:rPr>
              <w:t xml:space="preserve">s, kuras </w:t>
            </w:r>
            <w:r w:rsidR="00193C47" w:rsidRPr="006901B2">
              <w:rPr>
                <w:sz w:val="28"/>
                <w:szCs w:val="28"/>
              </w:rPr>
              <w:t>tiesiskais</w:t>
            </w:r>
            <w:r w:rsidR="00B53406" w:rsidRPr="006901B2">
              <w:rPr>
                <w:sz w:val="28"/>
                <w:szCs w:val="28"/>
              </w:rPr>
              <w:t xml:space="preserve"> regulējums ietekmē vai varētu ietekmēt</w:t>
            </w:r>
          </w:p>
        </w:tc>
        <w:tc>
          <w:tcPr>
            <w:tcW w:w="3320" w:type="pct"/>
            <w:tcBorders>
              <w:top w:val="outset" w:sz="6" w:space="0" w:color="auto"/>
              <w:left w:val="outset" w:sz="6" w:space="0" w:color="auto"/>
              <w:bottom w:val="outset" w:sz="6" w:space="0" w:color="auto"/>
              <w:right w:val="outset" w:sz="6" w:space="0" w:color="auto"/>
            </w:tcBorders>
            <w:hideMark/>
          </w:tcPr>
          <w:p w14:paraId="5FDB1581" w14:textId="7169A462" w:rsidR="008E267E" w:rsidRPr="005A02A7" w:rsidRDefault="00E91F9B" w:rsidP="009C6FB1">
            <w:pPr>
              <w:tabs>
                <w:tab w:val="left" w:pos="522"/>
              </w:tabs>
              <w:rPr>
                <w:sz w:val="28"/>
                <w:szCs w:val="28"/>
              </w:rPr>
            </w:pPr>
            <w:r w:rsidRPr="005A02A7">
              <w:rPr>
                <w:sz w:val="28"/>
                <w:szCs w:val="28"/>
              </w:rPr>
              <w:t>Noteikumu projekts attiecas uz izglītības iestāžu</w:t>
            </w:r>
            <w:r w:rsidR="005A02A7" w:rsidRPr="005A02A7">
              <w:rPr>
                <w:sz w:val="28"/>
                <w:szCs w:val="28"/>
              </w:rPr>
              <w:t xml:space="preserve">  vispārējās izglītības programm</w:t>
            </w:r>
            <w:r w:rsidR="009C6FB1">
              <w:rPr>
                <w:sz w:val="28"/>
                <w:szCs w:val="28"/>
              </w:rPr>
              <w:t>u (izņemot pirmsskolas izglītības programmu)</w:t>
            </w:r>
            <w:r w:rsidR="006A23EC">
              <w:rPr>
                <w:sz w:val="28"/>
                <w:szCs w:val="28"/>
              </w:rPr>
              <w:t xml:space="preserve"> īstenošanā iesaistītajiem</w:t>
            </w:r>
            <w:r w:rsidR="005A02A7" w:rsidRPr="005A02A7">
              <w:rPr>
                <w:sz w:val="28"/>
                <w:szCs w:val="28"/>
              </w:rPr>
              <w:t xml:space="preserve"> </w:t>
            </w:r>
            <w:r w:rsidR="00D56656" w:rsidRPr="005A02A7">
              <w:rPr>
                <w:sz w:val="28"/>
                <w:szCs w:val="28"/>
              </w:rPr>
              <w:t xml:space="preserve"> pedagogiem, </w:t>
            </w:r>
            <w:r w:rsidRPr="005A02A7">
              <w:rPr>
                <w:sz w:val="28"/>
                <w:szCs w:val="28"/>
              </w:rPr>
              <w:t>1.-12.</w:t>
            </w:r>
            <w:r w:rsidR="00DE42ED" w:rsidRPr="005A02A7">
              <w:rPr>
                <w:sz w:val="28"/>
                <w:szCs w:val="28"/>
              </w:rPr>
              <w:t> </w:t>
            </w:r>
            <w:r w:rsidRPr="005A02A7">
              <w:rPr>
                <w:sz w:val="28"/>
                <w:szCs w:val="28"/>
              </w:rPr>
              <w:t xml:space="preserve">klašu izglītojamajiem </w:t>
            </w:r>
            <w:r w:rsidRPr="000A4A30">
              <w:rPr>
                <w:sz w:val="28"/>
                <w:szCs w:val="28"/>
              </w:rPr>
              <w:t>(~</w:t>
            </w:r>
            <w:r w:rsidR="00DE42ED" w:rsidRPr="000A4A30">
              <w:rPr>
                <w:sz w:val="28"/>
                <w:szCs w:val="28"/>
              </w:rPr>
              <w:t> </w:t>
            </w:r>
            <w:r w:rsidR="00813461" w:rsidRPr="000A4A30">
              <w:rPr>
                <w:sz w:val="28"/>
                <w:szCs w:val="28"/>
              </w:rPr>
              <w:t>21</w:t>
            </w:r>
            <w:r w:rsidR="000A4A30">
              <w:rPr>
                <w:sz w:val="28"/>
                <w:szCs w:val="28"/>
              </w:rPr>
              <w:t>5</w:t>
            </w:r>
            <w:r w:rsidR="00813461" w:rsidRPr="000A4A30">
              <w:rPr>
                <w:sz w:val="28"/>
                <w:szCs w:val="28"/>
              </w:rPr>
              <w:t> </w:t>
            </w:r>
            <w:r w:rsidR="000A4A30">
              <w:rPr>
                <w:sz w:val="28"/>
                <w:szCs w:val="28"/>
              </w:rPr>
              <w:t>9</w:t>
            </w:r>
            <w:r w:rsidR="00813461" w:rsidRPr="000A4A30">
              <w:rPr>
                <w:sz w:val="28"/>
                <w:szCs w:val="28"/>
              </w:rPr>
              <w:t>7</w:t>
            </w:r>
            <w:r w:rsidR="000A4A30">
              <w:rPr>
                <w:sz w:val="28"/>
                <w:szCs w:val="28"/>
              </w:rPr>
              <w:t>3</w:t>
            </w:r>
            <w:r w:rsidR="00813461">
              <w:rPr>
                <w:sz w:val="28"/>
                <w:szCs w:val="28"/>
              </w:rPr>
              <w:t xml:space="preserve"> </w:t>
            </w:r>
            <w:r w:rsidRPr="005A02A7">
              <w:rPr>
                <w:sz w:val="28"/>
                <w:szCs w:val="28"/>
              </w:rPr>
              <w:t>izglītojamie</w:t>
            </w:r>
            <w:r w:rsidR="008F0A5B" w:rsidRPr="005A02A7">
              <w:rPr>
                <w:sz w:val="28"/>
                <w:szCs w:val="28"/>
              </w:rPr>
              <w:t xml:space="preserve"> pēc datiem uz 20</w:t>
            </w:r>
            <w:r w:rsidR="00813461">
              <w:rPr>
                <w:sz w:val="28"/>
                <w:szCs w:val="28"/>
              </w:rPr>
              <w:t>20</w:t>
            </w:r>
            <w:r w:rsidR="008F0A5B" w:rsidRPr="005A02A7">
              <w:rPr>
                <w:sz w:val="28"/>
                <w:szCs w:val="28"/>
              </w:rPr>
              <w:t>.</w:t>
            </w:r>
            <w:r w:rsidR="006E2254" w:rsidRPr="005A02A7">
              <w:rPr>
                <w:sz w:val="28"/>
                <w:szCs w:val="28"/>
              </w:rPr>
              <w:t> </w:t>
            </w:r>
            <w:r w:rsidR="008F0A5B" w:rsidRPr="005A02A7">
              <w:rPr>
                <w:sz w:val="28"/>
                <w:szCs w:val="28"/>
              </w:rPr>
              <w:t>gada 1.</w:t>
            </w:r>
            <w:r w:rsidR="006E2254" w:rsidRPr="005A02A7">
              <w:rPr>
                <w:sz w:val="28"/>
                <w:szCs w:val="28"/>
              </w:rPr>
              <w:t> </w:t>
            </w:r>
            <w:r w:rsidR="008F0A5B" w:rsidRPr="005A02A7">
              <w:rPr>
                <w:sz w:val="28"/>
                <w:szCs w:val="28"/>
              </w:rPr>
              <w:t>septembri</w:t>
            </w:r>
            <w:r w:rsidRPr="005A02A7">
              <w:rPr>
                <w:sz w:val="28"/>
                <w:szCs w:val="28"/>
              </w:rPr>
              <w:t>) un viņu vecākiem</w:t>
            </w:r>
            <w:r w:rsidR="00D56656" w:rsidRPr="005A02A7">
              <w:rPr>
                <w:sz w:val="28"/>
                <w:szCs w:val="28"/>
              </w:rPr>
              <w:t>.</w:t>
            </w:r>
            <w:r w:rsidR="00DA6D3E" w:rsidRPr="005A02A7">
              <w:rPr>
                <w:rFonts w:eastAsia="Calibri"/>
                <w:sz w:val="28"/>
                <w:szCs w:val="28"/>
              </w:rPr>
              <w:t xml:space="preserve"> </w:t>
            </w:r>
          </w:p>
        </w:tc>
      </w:tr>
      <w:tr w:rsidR="005A02A7" w:rsidRPr="005A02A7" w14:paraId="198EECA7" w14:textId="77777777" w:rsidTr="006901B2">
        <w:trPr>
          <w:gridAfter w:val="1"/>
          <w:wAfter w:w="33" w:type="pct"/>
          <w:trHeight w:val="523"/>
          <w:tblCellSpacing w:w="0" w:type="dxa"/>
        </w:trPr>
        <w:tc>
          <w:tcPr>
            <w:tcW w:w="203" w:type="pct"/>
            <w:tcBorders>
              <w:top w:val="outset" w:sz="6" w:space="0" w:color="auto"/>
              <w:left w:val="outset" w:sz="6" w:space="0" w:color="auto"/>
              <w:bottom w:val="outset" w:sz="6" w:space="0" w:color="auto"/>
              <w:right w:val="outset" w:sz="6" w:space="0" w:color="auto"/>
            </w:tcBorders>
          </w:tcPr>
          <w:p w14:paraId="6BC90030" w14:textId="77777777" w:rsidR="00B53406" w:rsidRPr="006901B2" w:rsidRDefault="00B53406" w:rsidP="007345A9">
            <w:pPr>
              <w:spacing w:before="50" w:after="50"/>
              <w:rPr>
                <w:sz w:val="28"/>
                <w:szCs w:val="28"/>
              </w:rPr>
            </w:pPr>
            <w:r w:rsidRPr="006901B2">
              <w:rPr>
                <w:sz w:val="28"/>
                <w:szCs w:val="28"/>
              </w:rPr>
              <w:t>2.</w:t>
            </w:r>
          </w:p>
        </w:tc>
        <w:tc>
          <w:tcPr>
            <w:tcW w:w="1444" w:type="pct"/>
            <w:tcBorders>
              <w:top w:val="outset" w:sz="6" w:space="0" w:color="auto"/>
              <w:left w:val="outset" w:sz="6" w:space="0" w:color="auto"/>
              <w:bottom w:val="outset" w:sz="6" w:space="0" w:color="auto"/>
              <w:right w:val="outset" w:sz="6" w:space="0" w:color="auto"/>
            </w:tcBorders>
          </w:tcPr>
          <w:p w14:paraId="19191206" w14:textId="77777777" w:rsidR="00B53406" w:rsidRPr="006901B2" w:rsidRDefault="00B53406" w:rsidP="00921997">
            <w:pPr>
              <w:spacing w:before="50" w:after="50"/>
              <w:jc w:val="left"/>
              <w:rPr>
                <w:sz w:val="28"/>
                <w:szCs w:val="28"/>
              </w:rPr>
            </w:pPr>
            <w:r w:rsidRPr="006901B2">
              <w:rPr>
                <w:sz w:val="28"/>
                <w:szCs w:val="28"/>
              </w:rPr>
              <w:t>Tiesiskā regulējuma ietekme uz tautsaimniecību un administratīvo slogu</w:t>
            </w:r>
          </w:p>
        </w:tc>
        <w:tc>
          <w:tcPr>
            <w:tcW w:w="3320" w:type="pct"/>
            <w:tcBorders>
              <w:top w:val="outset" w:sz="6" w:space="0" w:color="auto"/>
              <w:left w:val="outset" w:sz="6" w:space="0" w:color="auto"/>
              <w:bottom w:val="outset" w:sz="6" w:space="0" w:color="auto"/>
              <w:right w:val="outset" w:sz="6" w:space="0" w:color="auto"/>
            </w:tcBorders>
          </w:tcPr>
          <w:p w14:paraId="71D528E6" w14:textId="6FA2368D" w:rsidR="00B53406" w:rsidRPr="005A02A7" w:rsidRDefault="008F0A5B" w:rsidP="008F0A5B">
            <w:pPr>
              <w:spacing w:before="50" w:after="50"/>
              <w:rPr>
                <w:sz w:val="28"/>
                <w:szCs w:val="28"/>
                <w:lang w:eastAsia="lv-LV"/>
              </w:rPr>
            </w:pPr>
            <w:r w:rsidRPr="005A02A7">
              <w:rPr>
                <w:sz w:val="28"/>
                <w:szCs w:val="28"/>
                <w:lang w:eastAsia="lv-LV"/>
              </w:rPr>
              <w:t>Noteikumu p</w:t>
            </w:r>
            <w:r w:rsidR="008B16DB" w:rsidRPr="005A02A7">
              <w:rPr>
                <w:sz w:val="28"/>
                <w:szCs w:val="28"/>
                <w:lang w:eastAsia="lv-LV"/>
              </w:rPr>
              <w:t>rojekta tiesiskais regulējums uz tautsaimniecību ietekmi neatstās. Sabiedrības grupām projekta tiesiskais regulējums nemaina tiesības un pienākumus</w:t>
            </w:r>
            <w:r w:rsidR="00735306" w:rsidRPr="005A02A7">
              <w:rPr>
                <w:sz w:val="28"/>
                <w:szCs w:val="28"/>
                <w:lang w:eastAsia="lv-LV"/>
              </w:rPr>
              <w:t xml:space="preserve">. </w:t>
            </w:r>
          </w:p>
        </w:tc>
      </w:tr>
      <w:tr w:rsidR="005A02A7" w:rsidRPr="005A02A7" w14:paraId="21CA0DCB" w14:textId="77777777" w:rsidTr="006901B2">
        <w:trPr>
          <w:gridAfter w:val="1"/>
          <w:wAfter w:w="33" w:type="pct"/>
          <w:trHeight w:val="523"/>
          <w:tblCellSpacing w:w="0" w:type="dxa"/>
        </w:trPr>
        <w:tc>
          <w:tcPr>
            <w:tcW w:w="203" w:type="pct"/>
            <w:tcBorders>
              <w:top w:val="outset" w:sz="6" w:space="0" w:color="auto"/>
              <w:left w:val="outset" w:sz="6" w:space="0" w:color="auto"/>
              <w:bottom w:val="outset" w:sz="6" w:space="0" w:color="auto"/>
              <w:right w:val="outset" w:sz="6" w:space="0" w:color="auto"/>
            </w:tcBorders>
          </w:tcPr>
          <w:p w14:paraId="6C9A6690" w14:textId="26802656" w:rsidR="00BE752C" w:rsidRPr="006901B2" w:rsidRDefault="00BE752C" w:rsidP="007345A9">
            <w:pPr>
              <w:spacing w:before="50" w:after="50"/>
              <w:rPr>
                <w:sz w:val="28"/>
                <w:szCs w:val="28"/>
              </w:rPr>
            </w:pPr>
            <w:r>
              <w:rPr>
                <w:sz w:val="28"/>
                <w:szCs w:val="28"/>
              </w:rPr>
              <w:t>3.</w:t>
            </w:r>
          </w:p>
        </w:tc>
        <w:tc>
          <w:tcPr>
            <w:tcW w:w="1444" w:type="pct"/>
            <w:tcBorders>
              <w:top w:val="outset" w:sz="6" w:space="0" w:color="auto"/>
              <w:left w:val="outset" w:sz="6" w:space="0" w:color="auto"/>
              <w:bottom w:val="outset" w:sz="6" w:space="0" w:color="auto"/>
              <w:right w:val="outset" w:sz="6" w:space="0" w:color="auto"/>
            </w:tcBorders>
          </w:tcPr>
          <w:p w14:paraId="566E7895" w14:textId="703D6235" w:rsidR="00BE752C" w:rsidRPr="0072646E" w:rsidRDefault="00BE752C" w:rsidP="000A4A30">
            <w:pPr>
              <w:spacing w:before="50" w:after="50"/>
              <w:jc w:val="left"/>
              <w:rPr>
                <w:sz w:val="28"/>
                <w:szCs w:val="28"/>
              </w:rPr>
            </w:pPr>
            <w:r w:rsidRPr="006901B2">
              <w:rPr>
                <w:sz w:val="28"/>
                <w:szCs w:val="28"/>
              </w:rPr>
              <w:t>Administratīvo izmaksu monetārs novērtējums</w:t>
            </w:r>
          </w:p>
        </w:tc>
        <w:tc>
          <w:tcPr>
            <w:tcW w:w="3320" w:type="pct"/>
            <w:tcBorders>
              <w:top w:val="outset" w:sz="6" w:space="0" w:color="auto"/>
              <w:left w:val="outset" w:sz="6" w:space="0" w:color="auto"/>
              <w:bottom w:val="outset" w:sz="6" w:space="0" w:color="auto"/>
              <w:right w:val="outset" w:sz="6" w:space="0" w:color="auto"/>
            </w:tcBorders>
          </w:tcPr>
          <w:p w14:paraId="7510D50B" w14:textId="5842552E" w:rsidR="00BE752C" w:rsidRPr="005A02A7" w:rsidRDefault="008F0A5B" w:rsidP="008F0A5B">
            <w:pPr>
              <w:spacing w:before="50" w:after="50"/>
              <w:rPr>
                <w:sz w:val="28"/>
                <w:szCs w:val="28"/>
              </w:rPr>
            </w:pPr>
            <w:r w:rsidRPr="005A02A7">
              <w:rPr>
                <w:sz w:val="28"/>
                <w:szCs w:val="28"/>
              </w:rPr>
              <w:t>Noteikumu p</w:t>
            </w:r>
            <w:r w:rsidR="00BE752C" w:rsidRPr="005A02A7">
              <w:rPr>
                <w:sz w:val="28"/>
                <w:szCs w:val="28"/>
              </w:rPr>
              <w:t>rojekts šo jomu neskar.</w:t>
            </w:r>
          </w:p>
        </w:tc>
      </w:tr>
      <w:tr w:rsidR="000D7A9F" w:rsidRPr="006901B2" w14:paraId="7603A2FC" w14:textId="77777777" w:rsidTr="006901B2">
        <w:trPr>
          <w:gridAfter w:val="1"/>
          <w:wAfter w:w="33" w:type="pct"/>
          <w:trHeight w:val="523"/>
          <w:tblCellSpacing w:w="0" w:type="dxa"/>
        </w:trPr>
        <w:tc>
          <w:tcPr>
            <w:tcW w:w="203" w:type="pct"/>
            <w:tcBorders>
              <w:top w:val="outset" w:sz="6" w:space="0" w:color="auto"/>
              <w:left w:val="outset" w:sz="6" w:space="0" w:color="auto"/>
              <w:bottom w:val="outset" w:sz="6" w:space="0" w:color="auto"/>
              <w:right w:val="outset" w:sz="6" w:space="0" w:color="auto"/>
            </w:tcBorders>
          </w:tcPr>
          <w:p w14:paraId="1B198821" w14:textId="3900A59A" w:rsidR="008B16DB" w:rsidRPr="006901B2" w:rsidRDefault="00BE752C" w:rsidP="007345A9">
            <w:pPr>
              <w:spacing w:before="50" w:after="50"/>
              <w:rPr>
                <w:sz w:val="28"/>
                <w:szCs w:val="28"/>
              </w:rPr>
            </w:pPr>
            <w:r>
              <w:rPr>
                <w:sz w:val="28"/>
                <w:szCs w:val="28"/>
              </w:rPr>
              <w:t>4</w:t>
            </w:r>
            <w:r w:rsidR="008B16DB" w:rsidRPr="006901B2">
              <w:rPr>
                <w:sz w:val="28"/>
                <w:szCs w:val="28"/>
              </w:rPr>
              <w:t>.</w:t>
            </w:r>
          </w:p>
        </w:tc>
        <w:tc>
          <w:tcPr>
            <w:tcW w:w="1444" w:type="pct"/>
            <w:tcBorders>
              <w:top w:val="outset" w:sz="6" w:space="0" w:color="auto"/>
              <w:left w:val="outset" w:sz="6" w:space="0" w:color="auto"/>
              <w:bottom w:val="outset" w:sz="6" w:space="0" w:color="auto"/>
              <w:right w:val="outset" w:sz="6" w:space="0" w:color="auto"/>
            </w:tcBorders>
          </w:tcPr>
          <w:p w14:paraId="3D881C13" w14:textId="6E07D48C" w:rsidR="008B16DB" w:rsidRPr="006901B2" w:rsidRDefault="00BE752C" w:rsidP="00921997">
            <w:pPr>
              <w:spacing w:before="50" w:after="50"/>
              <w:jc w:val="left"/>
              <w:rPr>
                <w:sz w:val="28"/>
                <w:szCs w:val="28"/>
              </w:rPr>
            </w:pPr>
            <w:r>
              <w:rPr>
                <w:sz w:val="28"/>
                <w:szCs w:val="28"/>
              </w:rPr>
              <w:t>Atbilstības izmaksu monetārs novērtējums</w:t>
            </w:r>
          </w:p>
        </w:tc>
        <w:tc>
          <w:tcPr>
            <w:tcW w:w="3320" w:type="pct"/>
            <w:tcBorders>
              <w:top w:val="outset" w:sz="6" w:space="0" w:color="auto"/>
              <w:left w:val="outset" w:sz="6" w:space="0" w:color="auto"/>
              <w:bottom w:val="outset" w:sz="6" w:space="0" w:color="auto"/>
              <w:right w:val="outset" w:sz="6" w:space="0" w:color="auto"/>
            </w:tcBorders>
          </w:tcPr>
          <w:p w14:paraId="29A9E6AF" w14:textId="46A982DC" w:rsidR="008B16DB" w:rsidRPr="006901B2" w:rsidRDefault="008F0A5B" w:rsidP="008F0A5B">
            <w:pPr>
              <w:spacing w:before="50" w:after="50"/>
              <w:rPr>
                <w:sz w:val="28"/>
                <w:szCs w:val="28"/>
              </w:rPr>
            </w:pPr>
            <w:r>
              <w:rPr>
                <w:sz w:val="28"/>
                <w:szCs w:val="28"/>
              </w:rPr>
              <w:t>Noteikumu p</w:t>
            </w:r>
            <w:r w:rsidR="00F2046E" w:rsidRPr="006901B2">
              <w:rPr>
                <w:sz w:val="28"/>
                <w:szCs w:val="28"/>
              </w:rPr>
              <w:t>rojekts šo jomu neskar</w:t>
            </w:r>
            <w:r w:rsidR="0096321F" w:rsidRPr="006901B2">
              <w:rPr>
                <w:sz w:val="28"/>
                <w:szCs w:val="28"/>
              </w:rPr>
              <w:t>.</w:t>
            </w:r>
          </w:p>
        </w:tc>
      </w:tr>
      <w:tr w:rsidR="000D7A9F" w:rsidRPr="006901B2" w14:paraId="5CFE0960" w14:textId="77777777" w:rsidTr="006901B2">
        <w:trPr>
          <w:gridAfter w:val="1"/>
          <w:wAfter w:w="33" w:type="pct"/>
          <w:tblCellSpacing w:w="0" w:type="dxa"/>
        </w:trPr>
        <w:tc>
          <w:tcPr>
            <w:tcW w:w="203" w:type="pct"/>
            <w:tcBorders>
              <w:top w:val="outset" w:sz="6" w:space="0" w:color="auto"/>
              <w:left w:val="outset" w:sz="6" w:space="0" w:color="auto"/>
              <w:bottom w:val="outset" w:sz="6" w:space="0" w:color="auto"/>
              <w:right w:val="outset" w:sz="6" w:space="0" w:color="auto"/>
            </w:tcBorders>
            <w:hideMark/>
          </w:tcPr>
          <w:p w14:paraId="04908E78" w14:textId="68DDCCE0" w:rsidR="00101A58" w:rsidRPr="006901B2" w:rsidRDefault="008B16DB" w:rsidP="00BE752C">
            <w:pPr>
              <w:spacing w:before="50" w:after="50"/>
              <w:rPr>
                <w:sz w:val="28"/>
                <w:szCs w:val="28"/>
              </w:rPr>
            </w:pPr>
            <w:r w:rsidRPr="006901B2">
              <w:rPr>
                <w:sz w:val="28"/>
                <w:szCs w:val="28"/>
              </w:rPr>
              <w:t> </w:t>
            </w:r>
            <w:r w:rsidR="00BE752C">
              <w:rPr>
                <w:sz w:val="28"/>
                <w:szCs w:val="28"/>
              </w:rPr>
              <w:t>5</w:t>
            </w:r>
            <w:r w:rsidR="00101A58" w:rsidRPr="006901B2">
              <w:rPr>
                <w:sz w:val="28"/>
                <w:szCs w:val="28"/>
              </w:rPr>
              <w:t>.</w:t>
            </w:r>
          </w:p>
        </w:tc>
        <w:tc>
          <w:tcPr>
            <w:tcW w:w="1444" w:type="pct"/>
            <w:tcBorders>
              <w:top w:val="outset" w:sz="6" w:space="0" w:color="auto"/>
              <w:left w:val="outset" w:sz="6" w:space="0" w:color="auto"/>
              <w:bottom w:val="outset" w:sz="6" w:space="0" w:color="auto"/>
              <w:right w:val="outset" w:sz="6" w:space="0" w:color="auto"/>
            </w:tcBorders>
            <w:hideMark/>
          </w:tcPr>
          <w:p w14:paraId="38B63AE1" w14:textId="77777777" w:rsidR="00101A58" w:rsidRPr="006901B2" w:rsidRDefault="00101A58" w:rsidP="00921997">
            <w:pPr>
              <w:spacing w:before="50" w:after="50"/>
              <w:jc w:val="left"/>
              <w:rPr>
                <w:sz w:val="28"/>
                <w:szCs w:val="28"/>
              </w:rPr>
            </w:pPr>
            <w:r w:rsidRPr="006901B2">
              <w:rPr>
                <w:sz w:val="28"/>
                <w:szCs w:val="28"/>
              </w:rPr>
              <w:t>Cita informācija</w:t>
            </w:r>
          </w:p>
        </w:tc>
        <w:tc>
          <w:tcPr>
            <w:tcW w:w="3320" w:type="pct"/>
            <w:tcBorders>
              <w:top w:val="outset" w:sz="6" w:space="0" w:color="auto"/>
              <w:left w:val="outset" w:sz="6" w:space="0" w:color="auto"/>
              <w:bottom w:val="outset" w:sz="6" w:space="0" w:color="auto"/>
              <w:right w:val="outset" w:sz="6" w:space="0" w:color="auto"/>
            </w:tcBorders>
            <w:hideMark/>
          </w:tcPr>
          <w:p w14:paraId="3AF4D0E1" w14:textId="43DF14F6" w:rsidR="00101A58" w:rsidRPr="006901B2" w:rsidRDefault="00302930" w:rsidP="003C69CC">
            <w:pPr>
              <w:spacing w:before="50" w:after="50"/>
              <w:rPr>
                <w:sz w:val="28"/>
                <w:szCs w:val="28"/>
              </w:rPr>
            </w:pPr>
            <w:r w:rsidRPr="006901B2">
              <w:rPr>
                <w:rFonts w:eastAsia="Calibri"/>
                <w:color w:val="000000"/>
                <w:sz w:val="28"/>
                <w:szCs w:val="28"/>
                <w:lang w:eastAsia="lv-LV"/>
              </w:rPr>
              <w:t>Nav</w:t>
            </w:r>
          </w:p>
        </w:tc>
      </w:tr>
    </w:tbl>
    <w:p w14:paraId="18BA8636" w14:textId="77777777" w:rsidR="00BF0D13" w:rsidRDefault="00101A58" w:rsidP="00BF0D13">
      <w:pPr>
        <w:spacing w:before="50" w:after="50"/>
        <w:jc w:val="left"/>
        <w:rPr>
          <w:sz w:val="28"/>
          <w:szCs w:val="28"/>
        </w:rPr>
      </w:pPr>
      <w:r w:rsidRPr="006901B2">
        <w:rPr>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57"/>
        <w:gridCol w:w="2704"/>
        <w:gridCol w:w="360"/>
        <w:gridCol w:w="5407"/>
      </w:tblGrid>
      <w:tr w:rsidR="00D36093" w:rsidRPr="006901B2" w14:paraId="17602615" w14:textId="77777777" w:rsidTr="0041475F">
        <w:trPr>
          <w:tblCellSpacing w:w="0" w:type="dxa"/>
        </w:trPr>
        <w:tc>
          <w:tcPr>
            <w:tcW w:w="9011" w:type="dxa"/>
            <w:gridSpan w:val="5"/>
            <w:tcBorders>
              <w:top w:val="outset" w:sz="6" w:space="0" w:color="auto"/>
              <w:left w:val="outset" w:sz="6" w:space="0" w:color="auto"/>
              <w:bottom w:val="outset" w:sz="6" w:space="0" w:color="auto"/>
              <w:right w:val="outset" w:sz="6" w:space="0" w:color="auto"/>
            </w:tcBorders>
            <w:vAlign w:val="center"/>
            <w:hideMark/>
          </w:tcPr>
          <w:p w14:paraId="0F9662FC" w14:textId="77777777" w:rsidR="00D36093" w:rsidRPr="006901B2" w:rsidRDefault="00D36093" w:rsidP="0085138B">
            <w:pPr>
              <w:spacing w:before="100" w:after="100"/>
              <w:jc w:val="center"/>
              <w:rPr>
                <w:b/>
                <w:bCs/>
                <w:sz w:val="28"/>
                <w:szCs w:val="28"/>
              </w:rPr>
            </w:pPr>
            <w:r w:rsidRPr="006901B2">
              <w:rPr>
                <w:b/>
                <w:sz w:val="28"/>
                <w:szCs w:val="28"/>
              </w:rPr>
              <w:t>III. Tiesību akta projekta ietekme uz valsts budžetu un pašvaldību budžetiem</w:t>
            </w:r>
            <w:r w:rsidRPr="006901B2">
              <w:rPr>
                <w:b/>
                <w:bCs/>
                <w:sz w:val="28"/>
                <w:szCs w:val="28"/>
              </w:rPr>
              <w:t> </w:t>
            </w:r>
          </w:p>
        </w:tc>
      </w:tr>
      <w:tr w:rsidR="00D36093" w:rsidRPr="006901B2" w14:paraId="799793DC" w14:textId="77777777" w:rsidTr="0041475F">
        <w:trPr>
          <w:tblCellSpacing w:w="0" w:type="dxa"/>
        </w:trPr>
        <w:tc>
          <w:tcPr>
            <w:tcW w:w="9011" w:type="dxa"/>
            <w:gridSpan w:val="5"/>
            <w:tcBorders>
              <w:top w:val="outset" w:sz="6" w:space="0" w:color="auto"/>
              <w:left w:val="outset" w:sz="6" w:space="0" w:color="auto"/>
              <w:bottom w:val="outset" w:sz="6" w:space="0" w:color="auto"/>
              <w:right w:val="outset" w:sz="6" w:space="0" w:color="auto"/>
            </w:tcBorders>
            <w:vAlign w:val="center"/>
          </w:tcPr>
          <w:p w14:paraId="5EA1A082" w14:textId="6FF75F6B" w:rsidR="00D36093" w:rsidRPr="006901B2" w:rsidRDefault="008F0A5B" w:rsidP="008F0A5B">
            <w:pPr>
              <w:spacing w:before="100" w:after="100"/>
              <w:jc w:val="center"/>
              <w:rPr>
                <w:b/>
                <w:sz w:val="28"/>
                <w:szCs w:val="28"/>
              </w:rPr>
            </w:pPr>
            <w:r>
              <w:rPr>
                <w:sz w:val="28"/>
                <w:szCs w:val="28"/>
              </w:rPr>
              <w:t>Noteikumu p</w:t>
            </w:r>
            <w:r w:rsidR="0096321F" w:rsidRPr="006901B2">
              <w:rPr>
                <w:sz w:val="28"/>
                <w:szCs w:val="28"/>
              </w:rPr>
              <w:t>rojekts šo jomu neskar</w:t>
            </w:r>
          </w:p>
        </w:tc>
      </w:tr>
      <w:tr w:rsidR="00FD4C83" w:rsidRPr="0041475F" w14:paraId="25125200" w14:textId="77777777" w:rsidTr="0041475F">
        <w:trPr>
          <w:tblCellSpacing w:w="0" w:type="dxa"/>
        </w:trPr>
        <w:tc>
          <w:tcPr>
            <w:tcW w:w="9011" w:type="dxa"/>
            <w:gridSpan w:val="5"/>
            <w:tcBorders>
              <w:top w:val="outset" w:sz="6" w:space="0" w:color="auto"/>
              <w:left w:val="outset" w:sz="6" w:space="0" w:color="auto"/>
              <w:bottom w:val="outset" w:sz="6" w:space="0" w:color="auto"/>
              <w:right w:val="outset" w:sz="6" w:space="0" w:color="auto"/>
            </w:tcBorders>
            <w:vAlign w:val="center"/>
            <w:hideMark/>
          </w:tcPr>
          <w:p w14:paraId="46BB9365" w14:textId="77777777" w:rsidR="00FD4C83" w:rsidRPr="0041475F" w:rsidRDefault="00FD4C83" w:rsidP="00FD4C83">
            <w:pPr>
              <w:spacing w:before="100" w:after="100"/>
              <w:jc w:val="center"/>
              <w:rPr>
                <w:b/>
                <w:bCs/>
                <w:sz w:val="28"/>
                <w:szCs w:val="28"/>
              </w:rPr>
            </w:pPr>
            <w:r w:rsidRPr="0041475F">
              <w:rPr>
                <w:b/>
                <w:bCs/>
                <w:sz w:val="28"/>
                <w:szCs w:val="28"/>
              </w:rPr>
              <w:t> </w:t>
            </w:r>
            <w:r w:rsidRPr="0041475F">
              <w:rPr>
                <w:sz w:val="28"/>
                <w:szCs w:val="28"/>
              </w:rPr>
              <w:t> </w:t>
            </w:r>
            <w:r w:rsidRPr="0041475F">
              <w:rPr>
                <w:b/>
                <w:bCs/>
                <w:sz w:val="28"/>
                <w:szCs w:val="28"/>
              </w:rPr>
              <w:t>IV. Tiesību akta projekta ietekme uz spēkā esošo tiesību normu sistēmu</w:t>
            </w:r>
          </w:p>
        </w:tc>
      </w:tr>
      <w:tr w:rsidR="0041475F" w:rsidRPr="0041475F" w14:paraId="52A3FD07" w14:textId="77777777" w:rsidTr="0041475F">
        <w:tblPrEx>
          <w:tblCellSpacing w:w="0" w:type="nil"/>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540"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5E97FBD" w14:textId="77777777" w:rsidR="0041475F" w:rsidRPr="0041475F" w:rsidRDefault="0041475F" w:rsidP="0085138B">
            <w:pPr>
              <w:spacing w:before="100" w:beforeAutospacing="1" w:after="100" w:afterAutospacing="1" w:line="315" w:lineRule="atLeast"/>
              <w:jc w:val="center"/>
              <w:rPr>
                <w:sz w:val="28"/>
                <w:szCs w:val="28"/>
                <w:lang w:eastAsia="lv-LV"/>
              </w:rPr>
            </w:pPr>
            <w:r w:rsidRPr="0041475F">
              <w:rPr>
                <w:sz w:val="28"/>
                <w:szCs w:val="28"/>
                <w:lang w:eastAsia="lv-LV"/>
              </w:rPr>
              <w:lastRenderedPageBreak/>
              <w:t>1.</w:t>
            </w:r>
          </w:p>
        </w:tc>
        <w:tc>
          <w:tcPr>
            <w:tcW w:w="3064"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9D64F0C" w14:textId="77777777" w:rsidR="0041475F" w:rsidRPr="0041475F" w:rsidRDefault="0041475F" w:rsidP="0085138B">
            <w:pPr>
              <w:jc w:val="left"/>
              <w:rPr>
                <w:sz w:val="28"/>
                <w:szCs w:val="28"/>
                <w:lang w:eastAsia="lv-LV"/>
              </w:rPr>
            </w:pPr>
            <w:r w:rsidRPr="0041475F">
              <w:rPr>
                <w:sz w:val="28"/>
                <w:szCs w:val="28"/>
                <w:lang w:eastAsia="lv-LV"/>
              </w:rPr>
              <w:t>Saistītie tiesību aktu projekti</w:t>
            </w:r>
          </w:p>
        </w:tc>
        <w:tc>
          <w:tcPr>
            <w:tcW w:w="5407" w:type="dxa"/>
            <w:tcBorders>
              <w:top w:val="outset" w:sz="6" w:space="0" w:color="414142"/>
              <w:left w:val="outset" w:sz="6" w:space="0" w:color="414142"/>
              <w:bottom w:val="outset" w:sz="6" w:space="0" w:color="414142"/>
              <w:right w:val="outset" w:sz="6" w:space="0" w:color="414142"/>
            </w:tcBorders>
            <w:shd w:val="clear" w:color="auto" w:fill="FFFFFF"/>
            <w:hideMark/>
          </w:tcPr>
          <w:p w14:paraId="0DA373F4" w14:textId="0B1E5F19" w:rsidR="0041475F" w:rsidRPr="0041475F" w:rsidRDefault="0041475F" w:rsidP="0085138B">
            <w:pPr>
              <w:jc w:val="left"/>
              <w:rPr>
                <w:sz w:val="28"/>
                <w:szCs w:val="28"/>
                <w:lang w:eastAsia="lv-LV"/>
              </w:rPr>
            </w:pPr>
            <w:r w:rsidRPr="0041475F">
              <w:rPr>
                <w:sz w:val="28"/>
                <w:szCs w:val="28"/>
                <w:lang w:eastAsia="lv-LV"/>
              </w:rPr>
              <w:t>Nav</w:t>
            </w:r>
          </w:p>
        </w:tc>
      </w:tr>
      <w:tr w:rsidR="0041475F" w:rsidRPr="0041475F" w14:paraId="7D5F2AB0" w14:textId="77777777" w:rsidTr="0041475F">
        <w:tblPrEx>
          <w:tblCellSpacing w:w="0" w:type="nil"/>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540"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82EE7E1" w14:textId="77777777" w:rsidR="0041475F" w:rsidRPr="0041475F" w:rsidRDefault="0041475F" w:rsidP="0085138B">
            <w:pPr>
              <w:spacing w:before="100" w:beforeAutospacing="1" w:after="100" w:afterAutospacing="1" w:line="315" w:lineRule="atLeast"/>
              <w:jc w:val="center"/>
              <w:rPr>
                <w:sz w:val="28"/>
                <w:szCs w:val="28"/>
                <w:lang w:eastAsia="lv-LV"/>
              </w:rPr>
            </w:pPr>
            <w:r w:rsidRPr="0041475F">
              <w:rPr>
                <w:sz w:val="28"/>
                <w:szCs w:val="28"/>
                <w:lang w:eastAsia="lv-LV"/>
              </w:rPr>
              <w:t>2.</w:t>
            </w:r>
          </w:p>
        </w:tc>
        <w:tc>
          <w:tcPr>
            <w:tcW w:w="3064"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A82A9FC" w14:textId="77777777" w:rsidR="0041475F" w:rsidRPr="0041475F" w:rsidRDefault="0041475F" w:rsidP="0085138B">
            <w:pPr>
              <w:jc w:val="left"/>
              <w:rPr>
                <w:sz w:val="28"/>
                <w:szCs w:val="28"/>
                <w:lang w:eastAsia="lv-LV"/>
              </w:rPr>
            </w:pPr>
            <w:r w:rsidRPr="0041475F">
              <w:rPr>
                <w:sz w:val="28"/>
                <w:szCs w:val="28"/>
                <w:lang w:eastAsia="lv-LV"/>
              </w:rPr>
              <w:t>Atbildīgā institūcija</w:t>
            </w:r>
          </w:p>
        </w:tc>
        <w:tc>
          <w:tcPr>
            <w:tcW w:w="5407" w:type="dxa"/>
            <w:tcBorders>
              <w:top w:val="outset" w:sz="6" w:space="0" w:color="414142"/>
              <w:left w:val="outset" w:sz="6" w:space="0" w:color="414142"/>
              <w:bottom w:val="outset" w:sz="6" w:space="0" w:color="414142"/>
              <w:right w:val="outset" w:sz="6" w:space="0" w:color="414142"/>
            </w:tcBorders>
            <w:shd w:val="clear" w:color="auto" w:fill="FFFFFF"/>
            <w:hideMark/>
          </w:tcPr>
          <w:p w14:paraId="41BFFD24" w14:textId="27330A3D" w:rsidR="0041475F" w:rsidRPr="0041475F" w:rsidRDefault="0041475F" w:rsidP="0085138B">
            <w:pPr>
              <w:jc w:val="left"/>
              <w:rPr>
                <w:sz w:val="28"/>
                <w:szCs w:val="28"/>
                <w:lang w:eastAsia="lv-LV"/>
              </w:rPr>
            </w:pPr>
            <w:r w:rsidRPr="0041475F">
              <w:rPr>
                <w:sz w:val="28"/>
                <w:szCs w:val="28"/>
                <w:lang w:eastAsia="lv-LV"/>
              </w:rPr>
              <w:t xml:space="preserve">Nav </w:t>
            </w:r>
          </w:p>
        </w:tc>
      </w:tr>
      <w:tr w:rsidR="0041475F" w:rsidRPr="0041475F" w14:paraId="2278FD19" w14:textId="77777777" w:rsidTr="0041475F">
        <w:tblPrEx>
          <w:tblCellSpacing w:w="0" w:type="nil"/>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PrEx>
        <w:tc>
          <w:tcPr>
            <w:tcW w:w="540"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6F58F42" w14:textId="77777777" w:rsidR="0041475F" w:rsidRPr="0041475F" w:rsidRDefault="0041475F" w:rsidP="00AA6773">
            <w:pPr>
              <w:spacing w:before="100" w:beforeAutospacing="1" w:after="100" w:afterAutospacing="1" w:line="315" w:lineRule="atLeast"/>
              <w:rPr>
                <w:sz w:val="28"/>
                <w:szCs w:val="28"/>
                <w:lang w:eastAsia="lv-LV"/>
              </w:rPr>
            </w:pPr>
            <w:r w:rsidRPr="0041475F">
              <w:rPr>
                <w:sz w:val="28"/>
                <w:szCs w:val="28"/>
                <w:lang w:eastAsia="lv-LV"/>
              </w:rPr>
              <w:t>3.</w:t>
            </w:r>
          </w:p>
        </w:tc>
        <w:tc>
          <w:tcPr>
            <w:tcW w:w="3064"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585B16A" w14:textId="77777777" w:rsidR="0041475F" w:rsidRPr="002127DE" w:rsidRDefault="0041475F" w:rsidP="00AA6773">
            <w:pPr>
              <w:rPr>
                <w:sz w:val="28"/>
                <w:szCs w:val="28"/>
                <w:lang w:eastAsia="lv-LV"/>
              </w:rPr>
            </w:pPr>
            <w:r w:rsidRPr="002127DE">
              <w:rPr>
                <w:sz w:val="28"/>
                <w:szCs w:val="28"/>
                <w:lang w:eastAsia="lv-LV"/>
              </w:rPr>
              <w:t>Cita informācija</w:t>
            </w:r>
          </w:p>
        </w:tc>
        <w:tc>
          <w:tcPr>
            <w:tcW w:w="5407" w:type="dxa"/>
            <w:tcBorders>
              <w:top w:val="outset" w:sz="6" w:space="0" w:color="414142"/>
              <w:left w:val="outset" w:sz="6" w:space="0" w:color="414142"/>
              <w:bottom w:val="outset" w:sz="6" w:space="0" w:color="414142"/>
              <w:right w:val="outset" w:sz="6" w:space="0" w:color="414142"/>
            </w:tcBorders>
            <w:shd w:val="clear" w:color="auto" w:fill="FFFFFF"/>
            <w:hideMark/>
          </w:tcPr>
          <w:p w14:paraId="04F41291" w14:textId="6DD32969" w:rsidR="00AD7AD7" w:rsidRPr="002127DE" w:rsidRDefault="00AD7AD7" w:rsidP="002F4AB5">
            <w:pPr>
              <w:rPr>
                <w:sz w:val="28"/>
                <w:szCs w:val="28"/>
                <w:lang w:eastAsia="lv-LV"/>
              </w:rPr>
            </w:pPr>
            <w:r w:rsidRPr="002127DE">
              <w:rPr>
                <w:sz w:val="28"/>
                <w:szCs w:val="28"/>
                <w:lang w:eastAsia="lv-LV"/>
              </w:rPr>
              <w:t xml:space="preserve">Noteikumu projekts ir savstarpēji saskaņots ar Ministru kabineta noteikumu projektu </w:t>
            </w:r>
            <w:r w:rsidR="002F4AB5">
              <w:t xml:space="preserve"> </w:t>
            </w:r>
            <w:r w:rsidR="002F4AB5" w:rsidRPr="002F4AB5">
              <w:rPr>
                <w:sz w:val="28"/>
                <w:szCs w:val="28"/>
                <w:lang w:eastAsia="lv-LV"/>
              </w:rPr>
              <w:t>“Noteikumi par valsts pārbaudes darbu norises laiku 2021./2022. mācību gadā”</w:t>
            </w:r>
            <w:r w:rsidRPr="002127DE">
              <w:rPr>
                <w:sz w:val="28"/>
                <w:szCs w:val="28"/>
                <w:lang w:eastAsia="lv-LV"/>
              </w:rPr>
              <w:t>, ko izstrādā Valsts izglītības satura centrs sadarbībā ar Izglītības un zinātnes ministriju</w:t>
            </w:r>
            <w:r w:rsidRPr="002127DE">
              <w:rPr>
                <w:i/>
                <w:sz w:val="28"/>
                <w:szCs w:val="28"/>
                <w:lang w:eastAsia="lv-LV"/>
              </w:rPr>
              <w:t>.</w:t>
            </w:r>
          </w:p>
        </w:tc>
      </w:tr>
      <w:tr w:rsidR="00D36093" w:rsidRPr="006901B2" w14:paraId="1554A5E0" w14:textId="77777777" w:rsidTr="0041475F">
        <w:tblPrEx>
          <w:jc w:val="center"/>
        </w:tblPrEx>
        <w:trPr>
          <w:tblCellSpacing w:w="0" w:type="dxa"/>
          <w:jc w:val="center"/>
        </w:trPr>
        <w:tc>
          <w:tcPr>
            <w:tcW w:w="9011" w:type="dxa"/>
            <w:gridSpan w:val="5"/>
            <w:tcBorders>
              <w:top w:val="outset" w:sz="6" w:space="0" w:color="auto"/>
              <w:left w:val="outset" w:sz="6" w:space="0" w:color="auto"/>
              <w:bottom w:val="outset" w:sz="6" w:space="0" w:color="auto"/>
              <w:right w:val="outset" w:sz="6" w:space="0" w:color="auto"/>
            </w:tcBorders>
            <w:vAlign w:val="center"/>
            <w:hideMark/>
          </w:tcPr>
          <w:p w14:paraId="7C27938E" w14:textId="674D1C5B" w:rsidR="00D36093" w:rsidRPr="006901B2" w:rsidRDefault="00D36093" w:rsidP="0085138B">
            <w:pPr>
              <w:spacing w:before="100" w:after="100"/>
              <w:jc w:val="center"/>
              <w:rPr>
                <w:b/>
                <w:bCs/>
                <w:sz w:val="28"/>
                <w:szCs w:val="28"/>
              </w:rPr>
            </w:pPr>
            <w:r w:rsidRPr="006901B2">
              <w:rPr>
                <w:b/>
                <w:sz w:val="28"/>
                <w:szCs w:val="28"/>
              </w:rPr>
              <w:t>V. Tiesību akta projekta atbilstība Latvijas Republikas starptautiskajām saistībām</w:t>
            </w:r>
          </w:p>
        </w:tc>
      </w:tr>
      <w:tr w:rsidR="00C42E8F" w:rsidRPr="006901B2" w14:paraId="3B333DFF" w14:textId="77777777" w:rsidTr="0041475F">
        <w:tblPrEx>
          <w:jc w:val="center"/>
        </w:tblPrEx>
        <w:trPr>
          <w:tblCellSpacing w:w="0" w:type="dxa"/>
          <w:jc w:val="center"/>
        </w:trPr>
        <w:tc>
          <w:tcPr>
            <w:tcW w:w="9011" w:type="dxa"/>
            <w:gridSpan w:val="5"/>
            <w:tcBorders>
              <w:top w:val="outset" w:sz="6" w:space="0" w:color="auto"/>
              <w:left w:val="outset" w:sz="6" w:space="0" w:color="auto"/>
              <w:bottom w:val="outset" w:sz="6" w:space="0" w:color="auto"/>
              <w:right w:val="outset" w:sz="6" w:space="0" w:color="auto"/>
            </w:tcBorders>
            <w:vAlign w:val="center"/>
          </w:tcPr>
          <w:p w14:paraId="3B86BDFC" w14:textId="6458C521" w:rsidR="0096321F" w:rsidRPr="006901B2" w:rsidRDefault="008F0A5B" w:rsidP="008F0A5B">
            <w:pPr>
              <w:spacing w:before="50" w:after="50"/>
              <w:jc w:val="center"/>
              <w:rPr>
                <w:sz w:val="28"/>
                <w:szCs w:val="28"/>
              </w:rPr>
            </w:pPr>
            <w:r>
              <w:rPr>
                <w:sz w:val="28"/>
                <w:szCs w:val="28"/>
              </w:rPr>
              <w:t>Noteikumu p</w:t>
            </w:r>
            <w:r w:rsidR="00C42E8F" w:rsidRPr="006901B2">
              <w:rPr>
                <w:sz w:val="28"/>
                <w:szCs w:val="28"/>
              </w:rPr>
              <w:t>rojekts šo jomu neskar</w:t>
            </w:r>
          </w:p>
        </w:tc>
      </w:tr>
      <w:tr w:rsidR="00101A58" w:rsidRPr="006901B2" w14:paraId="7E08838D" w14:textId="77777777" w:rsidTr="0041475F">
        <w:trPr>
          <w:tblCellSpacing w:w="0" w:type="dxa"/>
        </w:trPr>
        <w:tc>
          <w:tcPr>
            <w:tcW w:w="9011" w:type="dxa"/>
            <w:gridSpan w:val="5"/>
            <w:tcBorders>
              <w:top w:val="outset" w:sz="6" w:space="0" w:color="auto"/>
              <w:left w:val="outset" w:sz="6" w:space="0" w:color="auto"/>
              <w:bottom w:val="outset" w:sz="6" w:space="0" w:color="auto"/>
              <w:right w:val="outset" w:sz="6" w:space="0" w:color="auto"/>
            </w:tcBorders>
            <w:hideMark/>
          </w:tcPr>
          <w:p w14:paraId="18D9FE96" w14:textId="77777777" w:rsidR="00101A58" w:rsidRPr="006901B2" w:rsidRDefault="00101A58" w:rsidP="00AD3B3E">
            <w:pPr>
              <w:spacing w:before="50" w:after="50"/>
              <w:jc w:val="center"/>
              <w:rPr>
                <w:sz w:val="28"/>
                <w:szCs w:val="28"/>
              </w:rPr>
            </w:pPr>
            <w:r w:rsidRPr="006901B2">
              <w:rPr>
                <w:b/>
                <w:bCs/>
                <w:sz w:val="28"/>
                <w:szCs w:val="28"/>
              </w:rPr>
              <w:t xml:space="preserve"> VI. Sabiedrības līdzdalība un </w:t>
            </w:r>
            <w:r w:rsidR="00AD3B3E" w:rsidRPr="006901B2">
              <w:rPr>
                <w:b/>
                <w:bCs/>
                <w:sz w:val="28"/>
                <w:szCs w:val="28"/>
              </w:rPr>
              <w:t>komunikācijas aktivitātes</w:t>
            </w:r>
          </w:p>
        </w:tc>
      </w:tr>
      <w:tr w:rsidR="006E4556" w:rsidRPr="006901B2" w14:paraId="23627E1D" w14:textId="77777777" w:rsidTr="0041475F">
        <w:trPr>
          <w:trHeight w:val="411"/>
          <w:tblCellSpacing w:w="0" w:type="dxa"/>
        </w:trPr>
        <w:tc>
          <w:tcPr>
            <w:tcW w:w="483" w:type="dxa"/>
            <w:tcBorders>
              <w:top w:val="outset" w:sz="6" w:space="0" w:color="auto"/>
              <w:left w:val="outset" w:sz="6" w:space="0" w:color="auto"/>
              <w:bottom w:val="outset" w:sz="6" w:space="0" w:color="auto"/>
              <w:right w:val="outset" w:sz="6" w:space="0" w:color="auto"/>
            </w:tcBorders>
          </w:tcPr>
          <w:p w14:paraId="27ABA7DE" w14:textId="77777777" w:rsidR="00E414DF" w:rsidRPr="006901B2" w:rsidRDefault="00E414DF" w:rsidP="007345A9">
            <w:pPr>
              <w:spacing w:before="50" w:after="50"/>
              <w:rPr>
                <w:sz w:val="28"/>
                <w:szCs w:val="28"/>
              </w:rPr>
            </w:pPr>
            <w:r w:rsidRPr="006901B2">
              <w:rPr>
                <w:sz w:val="28"/>
                <w:szCs w:val="28"/>
              </w:rPr>
              <w:t>1.</w:t>
            </w:r>
          </w:p>
        </w:tc>
        <w:tc>
          <w:tcPr>
            <w:tcW w:w="2761" w:type="dxa"/>
            <w:gridSpan w:val="2"/>
            <w:tcBorders>
              <w:top w:val="outset" w:sz="6" w:space="0" w:color="auto"/>
              <w:left w:val="outset" w:sz="6" w:space="0" w:color="auto"/>
              <w:bottom w:val="outset" w:sz="6" w:space="0" w:color="auto"/>
              <w:right w:val="outset" w:sz="6" w:space="0" w:color="auto"/>
            </w:tcBorders>
          </w:tcPr>
          <w:p w14:paraId="7F53BBFF" w14:textId="77777777" w:rsidR="00E414DF" w:rsidRPr="006901B2" w:rsidRDefault="00E414DF" w:rsidP="00921997">
            <w:pPr>
              <w:spacing w:before="50" w:after="50"/>
              <w:jc w:val="left"/>
              <w:rPr>
                <w:sz w:val="28"/>
                <w:szCs w:val="28"/>
              </w:rPr>
            </w:pPr>
            <w:r w:rsidRPr="006901B2">
              <w:rPr>
                <w:sz w:val="28"/>
                <w:szCs w:val="28"/>
              </w:rPr>
              <w:t>Plānotās sabiedrības līdzdalības un komunikācijas aktivitātes saistībā ar projektu</w:t>
            </w:r>
          </w:p>
        </w:tc>
        <w:tc>
          <w:tcPr>
            <w:tcW w:w="5767" w:type="dxa"/>
            <w:gridSpan w:val="2"/>
            <w:tcBorders>
              <w:top w:val="outset" w:sz="6" w:space="0" w:color="auto"/>
              <w:left w:val="outset" w:sz="6" w:space="0" w:color="auto"/>
              <w:bottom w:val="outset" w:sz="6" w:space="0" w:color="auto"/>
              <w:right w:val="outset" w:sz="6" w:space="0" w:color="auto"/>
            </w:tcBorders>
          </w:tcPr>
          <w:p w14:paraId="5CDA3809" w14:textId="77777777" w:rsidR="00D0681A" w:rsidRPr="003C69CC" w:rsidRDefault="00D0681A" w:rsidP="00D0681A">
            <w:pPr>
              <w:ind w:left="56" w:firstLine="1"/>
              <w:rPr>
                <w:sz w:val="28"/>
                <w:szCs w:val="28"/>
              </w:rPr>
            </w:pPr>
            <w:r w:rsidRPr="003C69CC">
              <w:rPr>
                <w:sz w:val="28"/>
                <w:szCs w:val="28"/>
              </w:rPr>
              <w:t xml:space="preserve">Sabiedrības informēšanas pasākumi: </w:t>
            </w:r>
          </w:p>
          <w:p w14:paraId="3AA49034" w14:textId="2161C717" w:rsidR="00D0681A" w:rsidRDefault="006C35BB" w:rsidP="006C35BB">
            <w:pPr>
              <w:ind w:left="56" w:firstLine="1"/>
              <w:rPr>
                <w:sz w:val="28"/>
                <w:szCs w:val="28"/>
              </w:rPr>
            </w:pPr>
            <w:r>
              <w:rPr>
                <w:sz w:val="28"/>
                <w:szCs w:val="28"/>
              </w:rPr>
              <w:t xml:space="preserve">2020. gada 1. oktobrī </w:t>
            </w:r>
            <w:r w:rsidR="000A4A30">
              <w:rPr>
                <w:sz w:val="28"/>
                <w:szCs w:val="28"/>
              </w:rPr>
              <w:t xml:space="preserve">noteikumu projekts </w:t>
            </w:r>
            <w:r w:rsidR="006A23EC">
              <w:rPr>
                <w:sz w:val="28"/>
                <w:szCs w:val="28"/>
              </w:rPr>
              <w:t xml:space="preserve">nosūtīts </w:t>
            </w:r>
            <w:r w:rsidR="003C69CC" w:rsidRPr="003C69CC">
              <w:rPr>
                <w:sz w:val="28"/>
                <w:szCs w:val="28"/>
              </w:rPr>
              <w:t xml:space="preserve">Latvijas Izglītības un zinātnes darbinieku arodbiedrībai, </w:t>
            </w:r>
            <w:r w:rsidR="00D75216" w:rsidRPr="00D75216">
              <w:rPr>
                <w:sz w:val="28"/>
                <w:szCs w:val="28"/>
              </w:rPr>
              <w:t>arodbiedrībai “Latvijas izglītības vadītāju asociācijai”,</w:t>
            </w:r>
            <w:r w:rsidR="00D75216">
              <w:rPr>
                <w:sz w:val="28"/>
                <w:szCs w:val="28"/>
              </w:rPr>
              <w:t xml:space="preserve"> </w:t>
            </w:r>
            <w:r w:rsidR="00D0681A">
              <w:rPr>
                <w:sz w:val="28"/>
                <w:szCs w:val="28"/>
              </w:rPr>
              <w:t xml:space="preserve">Latvijas Pašvaldību savienībai, </w:t>
            </w:r>
            <w:r w:rsidR="009B33A2">
              <w:rPr>
                <w:sz w:val="28"/>
                <w:szCs w:val="28"/>
              </w:rPr>
              <w:t xml:space="preserve">Latvijas Privātskolu asociācijai, </w:t>
            </w:r>
            <w:r w:rsidR="003C69CC" w:rsidRPr="003C69CC">
              <w:rPr>
                <w:sz w:val="28"/>
                <w:szCs w:val="28"/>
              </w:rPr>
              <w:t>biedrībai “Latvijas Vecāku kustība”</w:t>
            </w:r>
            <w:r w:rsidR="000A4A30">
              <w:rPr>
                <w:sz w:val="28"/>
                <w:szCs w:val="28"/>
              </w:rPr>
              <w:t xml:space="preserve">; </w:t>
            </w:r>
          </w:p>
          <w:p w14:paraId="649E2E48" w14:textId="3F1F7B19" w:rsidR="00B5401B" w:rsidRPr="006901B2" w:rsidRDefault="006C35BB" w:rsidP="00AD7AD7">
            <w:pPr>
              <w:ind w:left="56" w:firstLine="1"/>
              <w:rPr>
                <w:iCs/>
                <w:sz w:val="28"/>
                <w:szCs w:val="28"/>
              </w:rPr>
            </w:pPr>
            <w:r>
              <w:rPr>
                <w:sz w:val="28"/>
                <w:szCs w:val="28"/>
              </w:rPr>
              <w:t xml:space="preserve">2020.gada 2. oktobrī </w:t>
            </w:r>
            <w:r w:rsidR="00AD7AD7" w:rsidRPr="004F5CA9">
              <w:rPr>
                <w:iCs/>
                <w:sz w:val="28"/>
                <w:szCs w:val="28"/>
              </w:rPr>
              <w:t>noteikumu projekts nosūtīts</w:t>
            </w:r>
            <w:r w:rsidR="00AD7AD7" w:rsidRPr="003C69CC">
              <w:rPr>
                <w:sz w:val="28"/>
                <w:szCs w:val="28"/>
              </w:rPr>
              <w:t xml:space="preserve"> </w:t>
            </w:r>
            <w:r w:rsidR="003C69CC" w:rsidRPr="003C69CC">
              <w:rPr>
                <w:sz w:val="28"/>
                <w:szCs w:val="28"/>
              </w:rPr>
              <w:t>novadu un republikas pilsētu izglītības</w:t>
            </w:r>
            <w:r w:rsidR="00AD7AD7">
              <w:rPr>
                <w:sz w:val="28"/>
                <w:szCs w:val="28"/>
              </w:rPr>
              <w:t xml:space="preserve"> pārvalžu vadītājiem un izglītības</w:t>
            </w:r>
            <w:r w:rsidR="003C69CC" w:rsidRPr="003C69CC">
              <w:rPr>
                <w:sz w:val="28"/>
                <w:szCs w:val="28"/>
              </w:rPr>
              <w:t xml:space="preserve"> speciālistiem.</w:t>
            </w:r>
          </w:p>
        </w:tc>
      </w:tr>
      <w:tr w:rsidR="006E4556" w:rsidRPr="006901B2" w14:paraId="380AE0E3" w14:textId="77777777" w:rsidTr="0041475F">
        <w:trPr>
          <w:trHeight w:val="860"/>
          <w:tblCellSpacing w:w="0" w:type="dxa"/>
        </w:trPr>
        <w:tc>
          <w:tcPr>
            <w:tcW w:w="483" w:type="dxa"/>
            <w:tcBorders>
              <w:top w:val="outset" w:sz="6" w:space="0" w:color="auto"/>
              <w:left w:val="outset" w:sz="6" w:space="0" w:color="auto"/>
              <w:bottom w:val="outset" w:sz="6" w:space="0" w:color="auto"/>
              <w:right w:val="outset" w:sz="6" w:space="0" w:color="auto"/>
            </w:tcBorders>
          </w:tcPr>
          <w:p w14:paraId="148CDEFA" w14:textId="77777777" w:rsidR="00E414DF" w:rsidRPr="006901B2" w:rsidRDefault="00E414DF" w:rsidP="007345A9">
            <w:pPr>
              <w:spacing w:before="50" w:after="50"/>
              <w:rPr>
                <w:sz w:val="28"/>
                <w:szCs w:val="28"/>
              </w:rPr>
            </w:pPr>
            <w:r w:rsidRPr="006901B2">
              <w:rPr>
                <w:sz w:val="28"/>
                <w:szCs w:val="28"/>
              </w:rPr>
              <w:t>2.</w:t>
            </w:r>
          </w:p>
        </w:tc>
        <w:tc>
          <w:tcPr>
            <w:tcW w:w="2761" w:type="dxa"/>
            <w:gridSpan w:val="2"/>
            <w:tcBorders>
              <w:top w:val="outset" w:sz="6" w:space="0" w:color="auto"/>
              <w:left w:val="outset" w:sz="6" w:space="0" w:color="auto"/>
              <w:bottom w:val="outset" w:sz="6" w:space="0" w:color="auto"/>
              <w:right w:val="outset" w:sz="6" w:space="0" w:color="auto"/>
            </w:tcBorders>
          </w:tcPr>
          <w:p w14:paraId="7B52D863" w14:textId="77777777" w:rsidR="00E414DF" w:rsidRPr="006901B2" w:rsidRDefault="00E414DF" w:rsidP="00921997">
            <w:pPr>
              <w:spacing w:before="50" w:after="50"/>
              <w:jc w:val="left"/>
              <w:rPr>
                <w:sz w:val="28"/>
                <w:szCs w:val="28"/>
              </w:rPr>
            </w:pPr>
            <w:r w:rsidRPr="006901B2">
              <w:rPr>
                <w:sz w:val="28"/>
                <w:szCs w:val="28"/>
              </w:rPr>
              <w:t>Sabiedrības līdzdalības projekta izst</w:t>
            </w:r>
            <w:r w:rsidR="004D3179" w:rsidRPr="006901B2">
              <w:rPr>
                <w:sz w:val="28"/>
                <w:szCs w:val="28"/>
              </w:rPr>
              <w:t>r</w:t>
            </w:r>
            <w:r w:rsidRPr="006901B2">
              <w:rPr>
                <w:sz w:val="28"/>
                <w:szCs w:val="28"/>
              </w:rPr>
              <w:t>ādē</w:t>
            </w:r>
          </w:p>
        </w:tc>
        <w:tc>
          <w:tcPr>
            <w:tcW w:w="5767" w:type="dxa"/>
            <w:gridSpan w:val="2"/>
            <w:tcBorders>
              <w:top w:val="outset" w:sz="6" w:space="0" w:color="auto"/>
              <w:left w:val="outset" w:sz="6" w:space="0" w:color="auto"/>
              <w:bottom w:val="outset" w:sz="6" w:space="0" w:color="auto"/>
              <w:right w:val="outset" w:sz="6" w:space="0" w:color="auto"/>
            </w:tcBorders>
            <w:shd w:val="clear" w:color="auto" w:fill="FFFFFF"/>
          </w:tcPr>
          <w:p w14:paraId="08DB59A7" w14:textId="79B7C5EC" w:rsidR="00D0681A" w:rsidRDefault="0050668D" w:rsidP="00D0681A">
            <w:pPr>
              <w:ind w:left="56" w:firstLine="1"/>
              <w:rPr>
                <w:sz w:val="28"/>
                <w:szCs w:val="28"/>
              </w:rPr>
            </w:pPr>
            <w:r w:rsidRPr="0050668D">
              <w:rPr>
                <w:iCs/>
                <w:sz w:val="28"/>
                <w:szCs w:val="28"/>
              </w:rPr>
              <w:t xml:space="preserve">2020. gada 1. oktobrī </w:t>
            </w:r>
            <w:r w:rsidR="00D0681A" w:rsidRPr="004F5CA9">
              <w:rPr>
                <w:iCs/>
                <w:sz w:val="28"/>
                <w:szCs w:val="28"/>
              </w:rPr>
              <w:t>noteikumu projekts  nosūtīts</w:t>
            </w:r>
            <w:r w:rsidR="00A14933">
              <w:rPr>
                <w:iCs/>
                <w:sz w:val="28"/>
                <w:szCs w:val="28"/>
              </w:rPr>
              <w:t xml:space="preserve"> (vēstules Nr.</w:t>
            </w:r>
            <w:r w:rsidR="00A14933">
              <w:t xml:space="preserve"> </w:t>
            </w:r>
            <w:r w:rsidR="00A14933" w:rsidRPr="00A14933">
              <w:rPr>
                <w:iCs/>
                <w:sz w:val="28"/>
                <w:szCs w:val="28"/>
              </w:rPr>
              <w:t>4-10e/20/3315</w:t>
            </w:r>
            <w:r w:rsidR="00A14933">
              <w:rPr>
                <w:iCs/>
                <w:sz w:val="28"/>
                <w:szCs w:val="28"/>
              </w:rPr>
              <w:t>)</w:t>
            </w:r>
            <w:r w:rsidR="00D0681A" w:rsidRPr="004F5CA9">
              <w:rPr>
                <w:iCs/>
                <w:sz w:val="28"/>
                <w:szCs w:val="28"/>
              </w:rPr>
              <w:t xml:space="preserve"> Latvijas Izglītības un zinātnes darbinieku arodbiedrībai, </w:t>
            </w:r>
            <w:r w:rsidR="008B5C6E">
              <w:rPr>
                <w:iCs/>
                <w:sz w:val="28"/>
                <w:szCs w:val="28"/>
              </w:rPr>
              <w:t>arodbiedrībai “Latvijas i</w:t>
            </w:r>
            <w:r w:rsidR="00D0681A" w:rsidRPr="004F5CA9">
              <w:rPr>
                <w:iCs/>
                <w:sz w:val="28"/>
                <w:szCs w:val="28"/>
              </w:rPr>
              <w:t>zglītības vadītāju asociācijai</w:t>
            </w:r>
            <w:r w:rsidR="008B5C6E">
              <w:rPr>
                <w:iCs/>
                <w:sz w:val="28"/>
                <w:szCs w:val="28"/>
              </w:rPr>
              <w:t>”</w:t>
            </w:r>
            <w:r w:rsidR="00D0681A" w:rsidRPr="004F5CA9">
              <w:rPr>
                <w:iCs/>
                <w:sz w:val="28"/>
                <w:szCs w:val="28"/>
              </w:rPr>
              <w:t xml:space="preserve">, </w:t>
            </w:r>
            <w:r w:rsidR="00D0681A">
              <w:rPr>
                <w:iCs/>
                <w:sz w:val="28"/>
                <w:szCs w:val="28"/>
              </w:rPr>
              <w:t xml:space="preserve">Latvijas Pašvaldību savienībai, </w:t>
            </w:r>
            <w:r w:rsidR="00D0681A">
              <w:rPr>
                <w:sz w:val="28"/>
                <w:szCs w:val="28"/>
              </w:rPr>
              <w:t>Latvijas Privātskolu asociācijai,</w:t>
            </w:r>
            <w:r w:rsidR="00D0681A" w:rsidRPr="004F5CA9">
              <w:rPr>
                <w:iCs/>
                <w:sz w:val="28"/>
                <w:szCs w:val="28"/>
              </w:rPr>
              <w:t xml:space="preserve"> biedrībai “Latvijas Vecāku kustība”</w:t>
            </w:r>
            <w:r w:rsidR="00AD7AD7">
              <w:rPr>
                <w:iCs/>
                <w:sz w:val="28"/>
                <w:szCs w:val="28"/>
              </w:rPr>
              <w:t xml:space="preserve">, lūdzot sniegt atzinumu līdz </w:t>
            </w:r>
            <w:r w:rsidR="009C6FB1">
              <w:rPr>
                <w:iCs/>
                <w:sz w:val="28"/>
                <w:szCs w:val="28"/>
              </w:rPr>
              <w:t>2020</w:t>
            </w:r>
            <w:r w:rsidR="00AD7AD7">
              <w:rPr>
                <w:iCs/>
                <w:sz w:val="28"/>
                <w:szCs w:val="28"/>
              </w:rPr>
              <w:t>.g</w:t>
            </w:r>
            <w:r w:rsidR="009C6FB1">
              <w:rPr>
                <w:iCs/>
                <w:sz w:val="28"/>
                <w:szCs w:val="28"/>
              </w:rPr>
              <w:t>ada</w:t>
            </w:r>
            <w:r w:rsidR="00AD7AD7">
              <w:rPr>
                <w:iCs/>
                <w:sz w:val="28"/>
                <w:szCs w:val="28"/>
              </w:rPr>
              <w:t xml:space="preserve"> 9.oktobrim.</w:t>
            </w:r>
            <w:r w:rsidR="00D0681A">
              <w:rPr>
                <w:sz w:val="28"/>
                <w:szCs w:val="28"/>
              </w:rPr>
              <w:t xml:space="preserve"> </w:t>
            </w:r>
          </w:p>
          <w:p w14:paraId="66BF7CE1" w14:textId="35C23B56" w:rsidR="00AD7AD7" w:rsidRDefault="00AD7AD7" w:rsidP="00D0681A">
            <w:pPr>
              <w:ind w:left="56" w:firstLine="1"/>
              <w:rPr>
                <w:sz w:val="28"/>
                <w:szCs w:val="28"/>
              </w:rPr>
            </w:pPr>
            <w:r w:rsidRPr="00AD7AD7">
              <w:rPr>
                <w:sz w:val="28"/>
                <w:szCs w:val="28"/>
              </w:rPr>
              <w:t xml:space="preserve">2020.gada 2. oktobrī </w:t>
            </w:r>
            <w:r w:rsidRPr="004F5CA9">
              <w:rPr>
                <w:iCs/>
                <w:sz w:val="28"/>
                <w:szCs w:val="28"/>
              </w:rPr>
              <w:t>noteikumu projekts nosūtīts</w:t>
            </w:r>
            <w:r w:rsidRPr="00AD7AD7">
              <w:rPr>
                <w:sz w:val="28"/>
                <w:szCs w:val="28"/>
              </w:rPr>
              <w:t xml:space="preserve"> novadu un republikas pilsētu izglītības</w:t>
            </w:r>
            <w:r>
              <w:rPr>
                <w:sz w:val="28"/>
                <w:szCs w:val="28"/>
              </w:rPr>
              <w:t xml:space="preserve"> pārvalžu vadītājiem un izglītības </w:t>
            </w:r>
            <w:r w:rsidRPr="00AD7AD7">
              <w:rPr>
                <w:sz w:val="28"/>
                <w:szCs w:val="28"/>
              </w:rPr>
              <w:t>speciālistiem</w:t>
            </w:r>
            <w:r>
              <w:rPr>
                <w:sz w:val="28"/>
                <w:szCs w:val="28"/>
              </w:rPr>
              <w:t xml:space="preserve">, lūdzot sniegt atzinumu līdz </w:t>
            </w:r>
            <w:r w:rsidR="009C6FB1">
              <w:rPr>
                <w:sz w:val="28"/>
                <w:szCs w:val="28"/>
              </w:rPr>
              <w:t>2020</w:t>
            </w:r>
            <w:r>
              <w:rPr>
                <w:sz w:val="28"/>
                <w:szCs w:val="28"/>
              </w:rPr>
              <w:t>.g</w:t>
            </w:r>
            <w:r w:rsidR="009C6FB1">
              <w:rPr>
                <w:sz w:val="28"/>
                <w:szCs w:val="28"/>
              </w:rPr>
              <w:t>ada</w:t>
            </w:r>
            <w:r>
              <w:rPr>
                <w:sz w:val="28"/>
                <w:szCs w:val="28"/>
              </w:rPr>
              <w:t xml:space="preserve"> 9. oktobrim.</w:t>
            </w:r>
          </w:p>
          <w:p w14:paraId="34443751" w14:textId="0FD78FCE" w:rsidR="00D73BDB" w:rsidRPr="00A14933" w:rsidRDefault="00D0681A" w:rsidP="002127DE">
            <w:pPr>
              <w:rPr>
                <w:i/>
                <w:iCs/>
                <w:sz w:val="28"/>
                <w:szCs w:val="28"/>
              </w:rPr>
            </w:pPr>
            <w:r w:rsidRPr="00A14933">
              <w:rPr>
                <w:i/>
                <w:sz w:val="28"/>
                <w:szCs w:val="28"/>
              </w:rPr>
              <w:t xml:space="preserve">Noteikumu projekts 2020. gada </w:t>
            </w:r>
            <w:r w:rsidR="002127DE">
              <w:rPr>
                <w:i/>
                <w:sz w:val="28"/>
                <w:szCs w:val="28"/>
              </w:rPr>
              <w:t>________</w:t>
            </w:r>
            <w:r w:rsidRPr="00A14933">
              <w:rPr>
                <w:i/>
                <w:sz w:val="28"/>
                <w:szCs w:val="28"/>
              </w:rPr>
              <w:t xml:space="preserve"> ievietots Izglītības un zinātnes ministrijas mājas lapā (http://www.izm.gov.lv/lv/sabiedribas-lidzdaliba/sabiedriskajai-apspriesanai-nodotie-normativo-aktu-projekti).</w:t>
            </w:r>
          </w:p>
        </w:tc>
      </w:tr>
      <w:tr w:rsidR="006E4556" w:rsidRPr="006901B2" w14:paraId="41A5DF16" w14:textId="77777777" w:rsidTr="0041475F">
        <w:trPr>
          <w:trHeight w:val="553"/>
          <w:tblCellSpacing w:w="0" w:type="dxa"/>
        </w:trPr>
        <w:tc>
          <w:tcPr>
            <w:tcW w:w="483" w:type="dxa"/>
            <w:tcBorders>
              <w:top w:val="outset" w:sz="6" w:space="0" w:color="auto"/>
              <w:left w:val="outset" w:sz="6" w:space="0" w:color="auto"/>
              <w:bottom w:val="outset" w:sz="6" w:space="0" w:color="auto"/>
              <w:right w:val="outset" w:sz="6" w:space="0" w:color="auto"/>
            </w:tcBorders>
          </w:tcPr>
          <w:p w14:paraId="146242BA" w14:textId="77777777" w:rsidR="00E414DF" w:rsidRPr="006901B2" w:rsidRDefault="00E414DF" w:rsidP="007345A9">
            <w:pPr>
              <w:spacing w:before="50" w:after="50"/>
              <w:rPr>
                <w:sz w:val="28"/>
                <w:szCs w:val="28"/>
              </w:rPr>
            </w:pPr>
            <w:r w:rsidRPr="006901B2">
              <w:rPr>
                <w:sz w:val="28"/>
                <w:szCs w:val="28"/>
              </w:rPr>
              <w:lastRenderedPageBreak/>
              <w:t>3.</w:t>
            </w:r>
          </w:p>
        </w:tc>
        <w:tc>
          <w:tcPr>
            <w:tcW w:w="2761" w:type="dxa"/>
            <w:gridSpan w:val="2"/>
            <w:tcBorders>
              <w:top w:val="outset" w:sz="6" w:space="0" w:color="auto"/>
              <w:left w:val="outset" w:sz="6" w:space="0" w:color="auto"/>
              <w:bottom w:val="outset" w:sz="6" w:space="0" w:color="auto"/>
              <w:right w:val="outset" w:sz="6" w:space="0" w:color="auto"/>
            </w:tcBorders>
          </w:tcPr>
          <w:p w14:paraId="18A6A061" w14:textId="77777777" w:rsidR="00E414DF" w:rsidRPr="006901B2" w:rsidRDefault="00E414DF" w:rsidP="00921997">
            <w:pPr>
              <w:spacing w:before="50" w:after="50"/>
              <w:jc w:val="left"/>
              <w:rPr>
                <w:sz w:val="28"/>
                <w:szCs w:val="28"/>
              </w:rPr>
            </w:pPr>
            <w:r w:rsidRPr="006901B2">
              <w:rPr>
                <w:sz w:val="28"/>
                <w:szCs w:val="28"/>
              </w:rPr>
              <w:t>Sabiedrības līdzdalības rezultāti</w:t>
            </w:r>
          </w:p>
        </w:tc>
        <w:tc>
          <w:tcPr>
            <w:tcW w:w="5767" w:type="dxa"/>
            <w:gridSpan w:val="2"/>
            <w:tcBorders>
              <w:top w:val="outset" w:sz="6" w:space="0" w:color="auto"/>
              <w:left w:val="outset" w:sz="6" w:space="0" w:color="auto"/>
              <w:bottom w:val="outset" w:sz="6" w:space="0" w:color="auto"/>
              <w:right w:val="outset" w:sz="6" w:space="0" w:color="auto"/>
            </w:tcBorders>
          </w:tcPr>
          <w:p w14:paraId="61F81A80" w14:textId="6DF77566" w:rsidR="00AD7AD7" w:rsidRPr="00AD7AD7" w:rsidRDefault="00B03442" w:rsidP="00AD7AD7">
            <w:pPr>
              <w:spacing w:before="50" w:after="50"/>
              <w:ind w:left="56" w:firstLine="1"/>
              <w:rPr>
                <w:iCs/>
                <w:sz w:val="28"/>
                <w:szCs w:val="28"/>
              </w:rPr>
            </w:pPr>
            <w:r>
              <w:rPr>
                <w:iCs/>
                <w:sz w:val="28"/>
                <w:szCs w:val="28"/>
              </w:rPr>
              <w:t>Latvijas Privātskolu asociācija</w:t>
            </w:r>
            <w:r w:rsidR="001F4C9F">
              <w:rPr>
                <w:iCs/>
                <w:sz w:val="28"/>
                <w:szCs w:val="28"/>
              </w:rPr>
              <w:t>, Latvijas Pašvaldību savienība</w:t>
            </w:r>
            <w:r w:rsidR="002A550E">
              <w:rPr>
                <w:iCs/>
                <w:sz w:val="28"/>
                <w:szCs w:val="28"/>
              </w:rPr>
              <w:t>, arodbiedrība “Latvijas izglītības vadītāju asociācija”</w:t>
            </w:r>
            <w:r>
              <w:rPr>
                <w:iCs/>
                <w:sz w:val="28"/>
                <w:szCs w:val="28"/>
              </w:rPr>
              <w:t xml:space="preserve"> atbalsta noteikumu projekta tālāku virzību</w:t>
            </w:r>
            <w:r w:rsidR="00A14933">
              <w:rPr>
                <w:iCs/>
                <w:sz w:val="28"/>
                <w:szCs w:val="28"/>
              </w:rPr>
              <w:t xml:space="preserve">. </w:t>
            </w:r>
          </w:p>
          <w:p w14:paraId="4FBCF093" w14:textId="7D2A3CB7" w:rsidR="002127DE" w:rsidRDefault="002127DE" w:rsidP="000A4A30">
            <w:pPr>
              <w:spacing w:before="50" w:after="50"/>
              <w:ind w:left="56" w:firstLine="1"/>
              <w:rPr>
                <w:iCs/>
                <w:sz w:val="28"/>
                <w:szCs w:val="28"/>
              </w:rPr>
            </w:pPr>
            <w:r>
              <w:rPr>
                <w:iCs/>
                <w:sz w:val="28"/>
                <w:szCs w:val="28"/>
              </w:rPr>
              <w:t xml:space="preserve">Iebildumi un priekšlikumi netika saņemti no </w:t>
            </w:r>
            <w:r w:rsidR="00A14933" w:rsidRPr="00A14933">
              <w:rPr>
                <w:iCs/>
                <w:sz w:val="28"/>
                <w:szCs w:val="28"/>
              </w:rPr>
              <w:t>Latvijas Izglītības un zinātnes darbinieku arodb</w:t>
            </w:r>
            <w:r w:rsidR="00A14933">
              <w:rPr>
                <w:iCs/>
                <w:sz w:val="28"/>
                <w:szCs w:val="28"/>
              </w:rPr>
              <w:t>iedrība</w:t>
            </w:r>
            <w:r>
              <w:rPr>
                <w:iCs/>
                <w:sz w:val="28"/>
                <w:szCs w:val="28"/>
              </w:rPr>
              <w:t>s</w:t>
            </w:r>
            <w:r w:rsidR="00A14933">
              <w:rPr>
                <w:iCs/>
                <w:sz w:val="28"/>
                <w:szCs w:val="28"/>
              </w:rPr>
              <w:t xml:space="preserve">, </w:t>
            </w:r>
            <w:r>
              <w:rPr>
                <w:iCs/>
                <w:sz w:val="28"/>
                <w:szCs w:val="28"/>
              </w:rPr>
              <w:t>b</w:t>
            </w:r>
            <w:r w:rsidR="00A14933" w:rsidRPr="00A14933">
              <w:rPr>
                <w:iCs/>
                <w:sz w:val="28"/>
                <w:szCs w:val="28"/>
              </w:rPr>
              <w:t>iedrība</w:t>
            </w:r>
            <w:r>
              <w:rPr>
                <w:iCs/>
                <w:sz w:val="28"/>
                <w:szCs w:val="28"/>
              </w:rPr>
              <w:t>s</w:t>
            </w:r>
            <w:r w:rsidR="00A14933" w:rsidRPr="00A14933">
              <w:rPr>
                <w:iCs/>
                <w:sz w:val="28"/>
                <w:szCs w:val="28"/>
              </w:rPr>
              <w:t xml:space="preserve"> “Latvijas Vecāku kustība”</w:t>
            </w:r>
            <w:r>
              <w:rPr>
                <w:iCs/>
                <w:sz w:val="28"/>
                <w:szCs w:val="28"/>
              </w:rPr>
              <w:t xml:space="preserve"> un </w:t>
            </w:r>
            <w:r w:rsidR="002A550E">
              <w:rPr>
                <w:iCs/>
                <w:sz w:val="28"/>
                <w:szCs w:val="28"/>
              </w:rPr>
              <w:t>n</w:t>
            </w:r>
            <w:r w:rsidRPr="002127DE">
              <w:rPr>
                <w:iCs/>
                <w:sz w:val="28"/>
                <w:szCs w:val="28"/>
              </w:rPr>
              <w:t>ovadu un republikas pilsētu izglītības pārvalžu vadītāj</w:t>
            </w:r>
            <w:r>
              <w:rPr>
                <w:iCs/>
                <w:sz w:val="28"/>
                <w:szCs w:val="28"/>
              </w:rPr>
              <w:t>iem un izglītības speciālistiem.</w:t>
            </w:r>
          </w:p>
          <w:p w14:paraId="46DB9E76" w14:textId="77777777" w:rsidR="000A4A30" w:rsidRPr="00A14933" w:rsidRDefault="000A4A30" w:rsidP="000A4A30">
            <w:pPr>
              <w:spacing w:before="50" w:after="50"/>
              <w:ind w:left="56" w:firstLine="1"/>
              <w:rPr>
                <w:i/>
                <w:iCs/>
                <w:sz w:val="28"/>
                <w:szCs w:val="28"/>
              </w:rPr>
            </w:pPr>
            <w:r w:rsidRPr="00A14933">
              <w:rPr>
                <w:i/>
                <w:iCs/>
                <w:sz w:val="28"/>
                <w:szCs w:val="28"/>
              </w:rPr>
              <w:t>Sabiedrības grupu viedoklis tiks apkopots, izmantojot sabiedrības līdzdalības un komunikācijas aktivitāšu rezultātus.</w:t>
            </w:r>
          </w:p>
          <w:p w14:paraId="4B6375AA" w14:textId="517AA330" w:rsidR="00D73BDB" w:rsidRPr="0073602B" w:rsidRDefault="000A4A30" w:rsidP="000A4A30">
            <w:pPr>
              <w:spacing w:before="50" w:after="50"/>
              <w:ind w:left="56" w:firstLine="1"/>
              <w:rPr>
                <w:iCs/>
                <w:sz w:val="28"/>
                <w:szCs w:val="28"/>
              </w:rPr>
            </w:pPr>
            <w:r w:rsidRPr="00A14933">
              <w:rPr>
                <w:i/>
                <w:iCs/>
                <w:sz w:val="28"/>
                <w:szCs w:val="28"/>
              </w:rPr>
              <w:t>Ja līdz sabiedrības līdzdalības procesa beigām tiks saņemti sabiedrības pārstāvju viedokļi, tad attiecīgi tie tiks vērtēti noteikumu projekta saskaņošanas procesā un attiecīgi tiks precizēts noteikumu projekts un tā anotācija pirms noteikumu projekta iesniegšanas izskatīšanai Ministru kabineta sēdē.</w:t>
            </w:r>
          </w:p>
        </w:tc>
      </w:tr>
      <w:tr w:rsidR="006E4556" w:rsidRPr="006901B2" w14:paraId="48D63644" w14:textId="77777777" w:rsidTr="0041475F">
        <w:trPr>
          <w:trHeight w:val="476"/>
          <w:tblCellSpacing w:w="0" w:type="dxa"/>
        </w:trPr>
        <w:tc>
          <w:tcPr>
            <w:tcW w:w="483" w:type="dxa"/>
            <w:tcBorders>
              <w:top w:val="outset" w:sz="6" w:space="0" w:color="auto"/>
              <w:left w:val="outset" w:sz="6" w:space="0" w:color="auto"/>
              <w:bottom w:val="outset" w:sz="6" w:space="0" w:color="auto"/>
              <w:right w:val="outset" w:sz="6" w:space="0" w:color="auto"/>
            </w:tcBorders>
            <w:hideMark/>
          </w:tcPr>
          <w:p w14:paraId="136C3127" w14:textId="77777777" w:rsidR="00101A58" w:rsidRPr="006901B2" w:rsidRDefault="00E414DF" w:rsidP="007345A9">
            <w:pPr>
              <w:spacing w:before="50" w:after="50"/>
              <w:rPr>
                <w:sz w:val="28"/>
                <w:szCs w:val="28"/>
              </w:rPr>
            </w:pPr>
            <w:r w:rsidRPr="006901B2">
              <w:rPr>
                <w:sz w:val="28"/>
                <w:szCs w:val="28"/>
              </w:rPr>
              <w:t> 4</w:t>
            </w:r>
            <w:r w:rsidR="00101A58" w:rsidRPr="006901B2">
              <w:rPr>
                <w:sz w:val="28"/>
                <w:szCs w:val="28"/>
              </w:rPr>
              <w:t>.</w:t>
            </w:r>
          </w:p>
        </w:tc>
        <w:tc>
          <w:tcPr>
            <w:tcW w:w="2761" w:type="dxa"/>
            <w:gridSpan w:val="2"/>
            <w:tcBorders>
              <w:top w:val="outset" w:sz="6" w:space="0" w:color="auto"/>
              <w:left w:val="outset" w:sz="6" w:space="0" w:color="auto"/>
              <w:bottom w:val="outset" w:sz="6" w:space="0" w:color="auto"/>
              <w:right w:val="outset" w:sz="6" w:space="0" w:color="auto"/>
            </w:tcBorders>
            <w:hideMark/>
          </w:tcPr>
          <w:p w14:paraId="38A656B2" w14:textId="77777777" w:rsidR="00101A58" w:rsidRPr="006901B2" w:rsidRDefault="00101A58" w:rsidP="00921997">
            <w:pPr>
              <w:spacing w:before="50" w:after="50"/>
              <w:jc w:val="left"/>
              <w:rPr>
                <w:sz w:val="28"/>
                <w:szCs w:val="28"/>
              </w:rPr>
            </w:pPr>
            <w:r w:rsidRPr="006901B2">
              <w:rPr>
                <w:sz w:val="28"/>
                <w:szCs w:val="28"/>
              </w:rPr>
              <w:t>Cita informācija</w:t>
            </w:r>
          </w:p>
        </w:tc>
        <w:tc>
          <w:tcPr>
            <w:tcW w:w="5767" w:type="dxa"/>
            <w:gridSpan w:val="2"/>
            <w:tcBorders>
              <w:top w:val="outset" w:sz="6" w:space="0" w:color="auto"/>
              <w:left w:val="outset" w:sz="6" w:space="0" w:color="auto"/>
              <w:bottom w:val="outset" w:sz="6" w:space="0" w:color="auto"/>
              <w:right w:val="outset" w:sz="6" w:space="0" w:color="auto"/>
            </w:tcBorders>
            <w:hideMark/>
          </w:tcPr>
          <w:p w14:paraId="6058C6F9" w14:textId="52411472" w:rsidR="00101A58" w:rsidRPr="006901B2" w:rsidRDefault="0073602B" w:rsidP="0073602B">
            <w:pPr>
              <w:spacing w:before="50" w:after="50"/>
              <w:ind w:left="56" w:firstLine="1"/>
              <w:rPr>
                <w:sz w:val="28"/>
                <w:szCs w:val="28"/>
              </w:rPr>
            </w:pPr>
            <w:r>
              <w:rPr>
                <w:sz w:val="28"/>
                <w:szCs w:val="28"/>
              </w:rPr>
              <w:t>Nav</w:t>
            </w:r>
            <w:r w:rsidR="00653473">
              <w:rPr>
                <w:sz w:val="28"/>
                <w:szCs w:val="28"/>
              </w:rPr>
              <w:t xml:space="preserve">  </w:t>
            </w:r>
          </w:p>
        </w:tc>
      </w:tr>
    </w:tbl>
    <w:p w14:paraId="5CECB98D" w14:textId="77777777" w:rsidR="00101A58" w:rsidRPr="006901B2" w:rsidRDefault="00101A58" w:rsidP="00101A58">
      <w:pPr>
        <w:spacing w:before="50" w:after="50"/>
        <w:ind w:firstLine="250"/>
        <w:rPr>
          <w:sz w:val="28"/>
          <w:szCs w:val="28"/>
        </w:rPr>
      </w:pPr>
      <w:r w:rsidRPr="006901B2">
        <w:rPr>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
        <w:gridCol w:w="3035"/>
        <w:gridCol w:w="5475"/>
      </w:tblGrid>
      <w:tr w:rsidR="00101A58" w:rsidRPr="006901B2" w14:paraId="43386631" w14:textId="77777777" w:rsidTr="005F5700">
        <w:trPr>
          <w:tblCellSpacing w:w="0" w:type="dxa"/>
        </w:trPr>
        <w:tc>
          <w:tcPr>
            <w:tcW w:w="9011" w:type="dxa"/>
            <w:gridSpan w:val="3"/>
            <w:tcBorders>
              <w:top w:val="outset" w:sz="6" w:space="0" w:color="auto"/>
              <w:left w:val="outset" w:sz="6" w:space="0" w:color="auto"/>
              <w:bottom w:val="outset" w:sz="6" w:space="0" w:color="auto"/>
              <w:right w:val="outset" w:sz="6" w:space="0" w:color="auto"/>
            </w:tcBorders>
            <w:hideMark/>
          </w:tcPr>
          <w:p w14:paraId="009730D1" w14:textId="77777777" w:rsidR="00101A58" w:rsidRPr="006901B2" w:rsidRDefault="00101A58" w:rsidP="007345A9">
            <w:pPr>
              <w:spacing w:before="50" w:after="50"/>
              <w:jc w:val="center"/>
              <w:rPr>
                <w:sz w:val="28"/>
                <w:szCs w:val="28"/>
              </w:rPr>
            </w:pPr>
            <w:r w:rsidRPr="006901B2">
              <w:rPr>
                <w:b/>
                <w:bCs/>
                <w:sz w:val="28"/>
                <w:szCs w:val="28"/>
              </w:rPr>
              <w:t> VII. Tiesību akta projekta izpildes nodrošināšana un tās ietekme uz institūcijām</w:t>
            </w:r>
          </w:p>
        </w:tc>
      </w:tr>
      <w:tr w:rsidR="00101A58" w:rsidRPr="006901B2" w14:paraId="67931A4D" w14:textId="77777777" w:rsidTr="005F5700">
        <w:trPr>
          <w:trHeight w:val="1152"/>
          <w:tblCellSpacing w:w="0" w:type="dxa"/>
        </w:trPr>
        <w:tc>
          <w:tcPr>
            <w:tcW w:w="501" w:type="dxa"/>
            <w:tcBorders>
              <w:top w:val="outset" w:sz="6" w:space="0" w:color="auto"/>
              <w:left w:val="outset" w:sz="6" w:space="0" w:color="auto"/>
              <w:bottom w:val="outset" w:sz="6" w:space="0" w:color="auto"/>
              <w:right w:val="outset" w:sz="6" w:space="0" w:color="auto"/>
            </w:tcBorders>
            <w:hideMark/>
          </w:tcPr>
          <w:p w14:paraId="65B53C58" w14:textId="77777777" w:rsidR="00101A58" w:rsidRPr="006901B2" w:rsidRDefault="00101A58" w:rsidP="007345A9">
            <w:pPr>
              <w:spacing w:before="50" w:after="50"/>
              <w:rPr>
                <w:sz w:val="28"/>
                <w:szCs w:val="28"/>
              </w:rPr>
            </w:pPr>
            <w:r w:rsidRPr="006901B2">
              <w:rPr>
                <w:sz w:val="28"/>
                <w:szCs w:val="28"/>
              </w:rPr>
              <w:t> 1.</w:t>
            </w:r>
          </w:p>
        </w:tc>
        <w:tc>
          <w:tcPr>
            <w:tcW w:w="3035" w:type="dxa"/>
            <w:tcBorders>
              <w:top w:val="outset" w:sz="6" w:space="0" w:color="auto"/>
              <w:left w:val="outset" w:sz="6" w:space="0" w:color="auto"/>
              <w:bottom w:val="outset" w:sz="6" w:space="0" w:color="auto"/>
              <w:right w:val="outset" w:sz="6" w:space="0" w:color="auto"/>
            </w:tcBorders>
            <w:hideMark/>
          </w:tcPr>
          <w:p w14:paraId="74D8D967" w14:textId="77777777" w:rsidR="00101A58" w:rsidRPr="006901B2" w:rsidRDefault="00101A58" w:rsidP="007345A9">
            <w:pPr>
              <w:spacing w:before="50" w:after="50"/>
              <w:rPr>
                <w:sz w:val="28"/>
                <w:szCs w:val="28"/>
              </w:rPr>
            </w:pPr>
            <w:r w:rsidRPr="006901B2">
              <w:rPr>
                <w:sz w:val="28"/>
                <w:szCs w:val="28"/>
              </w:rPr>
              <w:t> Projekta izpildē iesaistītās institūcijas</w:t>
            </w:r>
          </w:p>
        </w:tc>
        <w:tc>
          <w:tcPr>
            <w:tcW w:w="5475" w:type="dxa"/>
            <w:tcBorders>
              <w:top w:val="outset" w:sz="6" w:space="0" w:color="auto"/>
              <w:left w:val="outset" w:sz="6" w:space="0" w:color="auto"/>
              <w:bottom w:val="outset" w:sz="6" w:space="0" w:color="auto"/>
              <w:right w:val="outset" w:sz="6" w:space="0" w:color="auto"/>
            </w:tcBorders>
            <w:hideMark/>
          </w:tcPr>
          <w:p w14:paraId="3E1931AA" w14:textId="64F0965C" w:rsidR="00101A58" w:rsidRPr="006901B2" w:rsidRDefault="006E2254" w:rsidP="00E61158">
            <w:pPr>
              <w:spacing w:before="50" w:after="50"/>
              <w:rPr>
                <w:sz w:val="28"/>
                <w:szCs w:val="28"/>
              </w:rPr>
            </w:pPr>
            <w:r>
              <w:rPr>
                <w:bCs/>
                <w:sz w:val="28"/>
                <w:szCs w:val="28"/>
              </w:rPr>
              <w:t>I</w:t>
            </w:r>
            <w:r w:rsidR="00E91F9B" w:rsidRPr="006901B2">
              <w:rPr>
                <w:bCs/>
                <w:sz w:val="28"/>
                <w:szCs w:val="28"/>
              </w:rPr>
              <w:t>zglītības iestādes, kuras īsteno vispārējās izglītības programmas</w:t>
            </w:r>
            <w:r w:rsidR="006A23EC">
              <w:rPr>
                <w:bCs/>
                <w:sz w:val="28"/>
                <w:szCs w:val="28"/>
              </w:rPr>
              <w:t xml:space="preserve"> (izņemot pirmsskolas izglītības programmas)</w:t>
            </w:r>
            <w:r w:rsidR="00E91F9B" w:rsidRPr="006901B2">
              <w:rPr>
                <w:bCs/>
                <w:sz w:val="28"/>
                <w:szCs w:val="28"/>
              </w:rPr>
              <w:t xml:space="preserve">. </w:t>
            </w:r>
          </w:p>
        </w:tc>
      </w:tr>
      <w:tr w:rsidR="00101A58" w:rsidRPr="006901B2" w14:paraId="4C5B7A5D" w14:textId="77777777" w:rsidTr="005F5700">
        <w:trPr>
          <w:trHeight w:val="463"/>
          <w:tblCellSpacing w:w="0" w:type="dxa"/>
        </w:trPr>
        <w:tc>
          <w:tcPr>
            <w:tcW w:w="501" w:type="dxa"/>
            <w:tcBorders>
              <w:top w:val="outset" w:sz="6" w:space="0" w:color="auto"/>
              <w:left w:val="outset" w:sz="6" w:space="0" w:color="auto"/>
              <w:bottom w:val="outset" w:sz="6" w:space="0" w:color="auto"/>
              <w:right w:val="outset" w:sz="6" w:space="0" w:color="auto"/>
            </w:tcBorders>
            <w:hideMark/>
          </w:tcPr>
          <w:p w14:paraId="1164EA1F" w14:textId="77777777" w:rsidR="00101A58" w:rsidRPr="006901B2" w:rsidRDefault="00101A58" w:rsidP="007345A9">
            <w:pPr>
              <w:spacing w:before="50" w:after="50"/>
              <w:rPr>
                <w:sz w:val="28"/>
                <w:szCs w:val="28"/>
              </w:rPr>
            </w:pPr>
            <w:r w:rsidRPr="006901B2">
              <w:rPr>
                <w:sz w:val="28"/>
                <w:szCs w:val="28"/>
              </w:rPr>
              <w:t> 2.</w:t>
            </w:r>
          </w:p>
        </w:tc>
        <w:tc>
          <w:tcPr>
            <w:tcW w:w="3035" w:type="dxa"/>
            <w:tcBorders>
              <w:top w:val="outset" w:sz="6" w:space="0" w:color="auto"/>
              <w:left w:val="outset" w:sz="6" w:space="0" w:color="auto"/>
              <w:bottom w:val="outset" w:sz="6" w:space="0" w:color="auto"/>
              <w:right w:val="outset" w:sz="6" w:space="0" w:color="auto"/>
            </w:tcBorders>
            <w:hideMark/>
          </w:tcPr>
          <w:p w14:paraId="67765B2F" w14:textId="77777777" w:rsidR="00F2046E" w:rsidRPr="006901B2" w:rsidRDefault="00F2046E" w:rsidP="00921997">
            <w:pPr>
              <w:jc w:val="left"/>
              <w:rPr>
                <w:sz w:val="28"/>
                <w:szCs w:val="28"/>
                <w:lang w:eastAsia="lv-LV"/>
              </w:rPr>
            </w:pPr>
            <w:r w:rsidRPr="006901B2">
              <w:rPr>
                <w:sz w:val="28"/>
                <w:szCs w:val="28"/>
                <w:lang w:eastAsia="lv-LV"/>
              </w:rPr>
              <w:t>Projekta izpildes ietekme uz pārvaldes funkcijām un institucionālo struktūru.</w:t>
            </w:r>
          </w:p>
          <w:p w14:paraId="4295158E" w14:textId="77777777" w:rsidR="00101A58" w:rsidRPr="006901B2" w:rsidRDefault="00F2046E" w:rsidP="00921997">
            <w:pPr>
              <w:spacing w:before="50" w:after="50"/>
              <w:jc w:val="left"/>
              <w:rPr>
                <w:sz w:val="28"/>
                <w:szCs w:val="28"/>
              </w:rPr>
            </w:pPr>
            <w:r w:rsidRPr="006901B2">
              <w:rPr>
                <w:sz w:val="28"/>
                <w:szCs w:val="28"/>
                <w:lang w:eastAsia="lv-LV"/>
              </w:rPr>
              <w:t>Jaunu institūciju izveide, esošu institūciju likvidācija vai reorganizācija, to ietekme uz institūcijas cilvēkresursiem</w:t>
            </w:r>
          </w:p>
        </w:tc>
        <w:tc>
          <w:tcPr>
            <w:tcW w:w="5475" w:type="dxa"/>
            <w:tcBorders>
              <w:top w:val="outset" w:sz="6" w:space="0" w:color="auto"/>
              <w:left w:val="outset" w:sz="6" w:space="0" w:color="auto"/>
              <w:bottom w:val="outset" w:sz="6" w:space="0" w:color="auto"/>
              <w:right w:val="outset" w:sz="6" w:space="0" w:color="auto"/>
            </w:tcBorders>
            <w:hideMark/>
          </w:tcPr>
          <w:p w14:paraId="6C68CF9C" w14:textId="77777777" w:rsidR="00E91F9B" w:rsidRPr="006901B2" w:rsidRDefault="00E91F9B" w:rsidP="00E91F9B">
            <w:pPr>
              <w:ind w:left="68"/>
              <w:rPr>
                <w:rFonts w:eastAsia="Calibri"/>
                <w:color w:val="000000"/>
                <w:sz w:val="28"/>
                <w:szCs w:val="28"/>
                <w:lang w:eastAsia="zh-CN"/>
              </w:rPr>
            </w:pPr>
            <w:r w:rsidRPr="006901B2">
              <w:rPr>
                <w:rFonts w:eastAsia="Calibri"/>
                <w:color w:val="000000"/>
                <w:sz w:val="28"/>
                <w:szCs w:val="28"/>
                <w:lang w:eastAsia="zh-CN"/>
              </w:rPr>
              <w:t>Projekta izpilde neatstās ietekmi uz to institūciju, kuras piedalīsies projekta izpildē, funkcijām un uzdevumiem.</w:t>
            </w:r>
          </w:p>
          <w:p w14:paraId="0BF18A83" w14:textId="77777777" w:rsidR="00101A58" w:rsidRPr="006901B2" w:rsidRDefault="00101A58" w:rsidP="00E91F9B">
            <w:pPr>
              <w:spacing w:before="50" w:after="50"/>
              <w:ind w:left="68"/>
              <w:rPr>
                <w:sz w:val="28"/>
                <w:szCs w:val="28"/>
              </w:rPr>
            </w:pPr>
          </w:p>
        </w:tc>
      </w:tr>
      <w:tr w:rsidR="00101A58" w:rsidRPr="006901B2" w14:paraId="6A303EC2" w14:textId="77777777" w:rsidTr="005F5700">
        <w:trPr>
          <w:trHeight w:val="476"/>
          <w:tblCellSpacing w:w="0" w:type="dxa"/>
        </w:trPr>
        <w:tc>
          <w:tcPr>
            <w:tcW w:w="501" w:type="dxa"/>
            <w:tcBorders>
              <w:top w:val="outset" w:sz="6" w:space="0" w:color="auto"/>
              <w:left w:val="outset" w:sz="6" w:space="0" w:color="auto"/>
              <w:bottom w:val="outset" w:sz="6" w:space="0" w:color="auto"/>
              <w:right w:val="outset" w:sz="6" w:space="0" w:color="auto"/>
            </w:tcBorders>
            <w:hideMark/>
          </w:tcPr>
          <w:p w14:paraId="6C721328" w14:textId="77777777" w:rsidR="00101A58" w:rsidRPr="006901B2" w:rsidRDefault="00921997" w:rsidP="003F0DDD">
            <w:pPr>
              <w:spacing w:before="50" w:after="50"/>
              <w:jc w:val="center"/>
              <w:rPr>
                <w:sz w:val="28"/>
                <w:szCs w:val="28"/>
              </w:rPr>
            </w:pPr>
            <w:r w:rsidRPr="006901B2">
              <w:rPr>
                <w:sz w:val="28"/>
                <w:szCs w:val="28"/>
              </w:rPr>
              <w:t>3</w:t>
            </w:r>
            <w:r w:rsidR="003F0DDD" w:rsidRPr="006901B2">
              <w:rPr>
                <w:sz w:val="28"/>
                <w:szCs w:val="28"/>
              </w:rPr>
              <w:t>.</w:t>
            </w:r>
          </w:p>
        </w:tc>
        <w:tc>
          <w:tcPr>
            <w:tcW w:w="3035" w:type="dxa"/>
            <w:tcBorders>
              <w:top w:val="outset" w:sz="6" w:space="0" w:color="auto"/>
              <w:left w:val="outset" w:sz="6" w:space="0" w:color="auto"/>
              <w:bottom w:val="outset" w:sz="6" w:space="0" w:color="auto"/>
              <w:right w:val="outset" w:sz="6" w:space="0" w:color="auto"/>
            </w:tcBorders>
            <w:hideMark/>
          </w:tcPr>
          <w:p w14:paraId="6F55C968" w14:textId="77777777" w:rsidR="00101A58" w:rsidRPr="006901B2" w:rsidRDefault="00101A58" w:rsidP="007345A9">
            <w:pPr>
              <w:spacing w:before="50" w:after="50"/>
              <w:rPr>
                <w:sz w:val="28"/>
                <w:szCs w:val="28"/>
              </w:rPr>
            </w:pPr>
            <w:r w:rsidRPr="006901B2">
              <w:rPr>
                <w:sz w:val="28"/>
                <w:szCs w:val="28"/>
              </w:rPr>
              <w:t>Cita informācija</w:t>
            </w:r>
          </w:p>
        </w:tc>
        <w:tc>
          <w:tcPr>
            <w:tcW w:w="5475" w:type="dxa"/>
            <w:tcBorders>
              <w:top w:val="outset" w:sz="6" w:space="0" w:color="auto"/>
              <w:left w:val="outset" w:sz="6" w:space="0" w:color="auto"/>
              <w:bottom w:val="outset" w:sz="6" w:space="0" w:color="auto"/>
              <w:right w:val="outset" w:sz="6" w:space="0" w:color="auto"/>
            </w:tcBorders>
            <w:hideMark/>
          </w:tcPr>
          <w:p w14:paraId="491C9FEE" w14:textId="7A9D1973" w:rsidR="00101A58" w:rsidRPr="006901B2" w:rsidRDefault="00101A58" w:rsidP="0096321F">
            <w:pPr>
              <w:spacing w:before="50" w:after="50"/>
              <w:rPr>
                <w:sz w:val="28"/>
                <w:szCs w:val="28"/>
              </w:rPr>
            </w:pPr>
            <w:r w:rsidRPr="006901B2">
              <w:rPr>
                <w:sz w:val="28"/>
                <w:szCs w:val="28"/>
              </w:rPr>
              <w:t> Nav</w:t>
            </w:r>
          </w:p>
        </w:tc>
      </w:tr>
    </w:tbl>
    <w:p w14:paraId="25C6C0FD" w14:textId="77777777" w:rsidR="005F5700" w:rsidRPr="006901B2" w:rsidRDefault="005F5700" w:rsidP="00E91F9B">
      <w:pPr>
        <w:ind w:firstLine="709"/>
        <w:rPr>
          <w:sz w:val="28"/>
          <w:szCs w:val="28"/>
        </w:rPr>
      </w:pPr>
    </w:p>
    <w:p w14:paraId="49A52F9C" w14:textId="77777777" w:rsidR="008E4448" w:rsidRPr="006901B2" w:rsidRDefault="008E4448" w:rsidP="00E91F9B">
      <w:pPr>
        <w:ind w:firstLine="709"/>
        <w:rPr>
          <w:sz w:val="28"/>
          <w:szCs w:val="28"/>
        </w:rPr>
      </w:pPr>
    </w:p>
    <w:p w14:paraId="663C77B2" w14:textId="470D89BA" w:rsidR="00E91F9B" w:rsidRPr="006901B2" w:rsidRDefault="000F4FC7" w:rsidP="00E91F9B">
      <w:pPr>
        <w:ind w:firstLine="709"/>
        <w:rPr>
          <w:sz w:val="28"/>
          <w:szCs w:val="28"/>
        </w:rPr>
      </w:pPr>
      <w:r w:rsidRPr="006901B2">
        <w:rPr>
          <w:sz w:val="28"/>
          <w:szCs w:val="28"/>
        </w:rPr>
        <w:t>Izglītības un zinātnes ministr</w:t>
      </w:r>
      <w:r w:rsidR="00145DD8">
        <w:rPr>
          <w:sz w:val="28"/>
          <w:szCs w:val="28"/>
        </w:rPr>
        <w:t>e</w:t>
      </w:r>
      <w:r w:rsidR="00E91F9B" w:rsidRPr="006901B2">
        <w:rPr>
          <w:sz w:val="28"/>
          <w:szCs w:val="28"/>
        </w:rPr>
        <w:tab/>
      </w:r>
      <w:r w:rsidR="00E91F9B" w:rsidRPr="006901B2">
        <w:rPr>
          <w:sz w:val="28"/>
          <w:szCs w:val="28"/>
        </w:rPr>
        <w:tab/>
      </w:r>
      <w:r w:rsidR="00E91F9B" w:rsidRPr="006901B2">
        <w:rPr>
          <w:sz w:val="28"/>
          <w:szCs w:val="28"/>
        </w:rPr>
        <w:tab/>
      </w:r>
      <w:r w:rsidR="00E91F9B" w:rsidRPr="006901B2">
        <w:rPr>
          <w:sz w:val="28"/>
          <w:szCs w:val="28"/>
        </w:rPr>
        <w:tab/>
      </w:r>
      <w:r w:rsidR="00145DD8">
        <w:rPr>
          <w:sz w:val="28"/>
          <w:szCs w:val="28"/>
        </w:rPr>
        <w:t>Ilga Šuplinska</w:t>
      </w:r>
    </w:p>
    <w:p w14:paraId="38C8D0F0" w14:textId="77777777" w:rsidR="00E91F9B" w:rsidRDefault="00E91F9B" w:rsidP="00E91F9B">
      <w:pPr>
        <w:ind w:firstLine="720"/>
        <w:rPr>
          <w:sz w:val="28"/>
          <w:szCs w:val="28"/>
        </w:rPr>
      </w:pPr>
    </w:p>
    <w:p w14:paraId="399F5749" w14:textId="77777777" w:rsidR="006901B2" w:rsidRPr="006901B2" w:rsidRDefault="006901B2" w:rsidP="00E91F9B">
      <w:pPr>
        <w:ind w:firstLine="720"/>
        <w:rPr>
          <w:sz w:val="28"/>
          <w:szCs w:val="28"/>
        </w:rPr>
      </w:pPr>
    </w:p>
    <w:p w14:paraId="4338EDA3" w14:textId="77777777" w:rsidR="00E91F9B" w:rsidRPr="006901B2" w:rsidRDefault="00E91F9B" w:rsidP="00E91F9B">
      <w:pPr>
        <w:ind w:firstLine="720"/>
        <w:rPr>
          <w:sz w:val="28"/>
          <w:szCs w:val="28"/>
        </w:rPr>
      </w:pPr>
      <w:r w:rsidRPr="006901B2">
        <w:rPr>
          <w:sz w:val="28"/>
          <w:szCs w:val="28"/>
        </w:rPr>
        <w:t xml:space="preserve">Vizē: </w:t>
      </w:r>
    </w:p>
    <w:p w14:paraId="1AA76617" w14:textId="776B1021" w:rsidR="006A23EC" w:rsidRDefault="00F673C9" w:rsidP="00387DBB">
      <w:pPr>
        <w:widowControl w:val="0"/>
        <w:ind w:firstLine="720"/>
        <w:jc w:val="left"/>
        <w:rPr>
          <w:rFonts w:eastAsia="Calibri"/>
          <w:sz w:val="28"/>
          <w:szCs w:val="28"/>
        </w:rPr>
      </w:pPr>
      <w:r w:rsidRPr="006901B2">
        <w:rPr>
          <w:rFonts w:eastAsia="Calibri"/>
          <w:sz w:val="28"/>
          <w:szCs w:val="28"/>
        </w:rPr>
        <w:t>Valsts sekretār</w:t>
      </w:r>
      <w:r w:rsidR="00E61158">
        <w:rPr>
          <w:rFonts w:eastAsia="Calibri"/>
          <w:sz w:val="28"/>
          <w:szCs w:val="28"/>
        </w:rPr>
        <w:t xml:space="preserve">a </w:t>
      </w:r>
    </w:p>
    <w:p w14:paraId="7A0154E3" w14:textId="66DEF446" w:rsidR="00387DBB" w:rsidRPr="006901B2" w:rsidRDefault="006A23EC" w:rsidP="00387DBB">
      <w:pPr>
        <w:widowControl w:val="0"/>
        <w:ind w:firstLine="720"/>
        <w:jc w:val="left"/>
        <w:rPr>
          <w:rFonts w:eastAsia="Calibri"/>
          <w:sz w:val="28"/>
          <w:szCs w:val="28"/>
        </w:rPr>
      </w:pPr>
      <w:r>
        <w:rPr>
          <w:rFonts w:eastAsia="Calibri"/>
          <w:sz w:val="28"/>
          <w:szCs w:val="28"/>
        </w:rPr>
        <w:t>pienākumu izpildītājs</w:t>
      </w:r>
      <w:r w:rsidR="00F673C9" w:rsidRPr="006901B2">
        <w:rPr>
          <w:rFonts w:eastAsia="Calibri"/>
          <w:sz w:val="28"/>
          <w:szCs w:val="28"/>
        </w:rPr>
        <w:tab/>
      </w:r>
      <w:r w:rsidR="00F673C9" w:rsidRPr="006901B2">
        <w:rPr>
          <w:rFonts w:eastAsia="Calibri"/>
          <w:sz w:val="28"/>
          <w:szCs w:val="28"/>
        </w:rPr>
        <w:tab/>
      </w:r>
      <w:r w:rsidR="00F673C9" w:rsidRPr="006901B2">
        <w:rPr>
          <w:rFonts w:eastAsia="Calibri"/>
          <w:sz w:val="28"/>
          <w:szCs w:val="28"/>
        </w:rPr>
        <w:tab/>
      </w:r>
      <w:r w:rsidR="00F673C9" w:rsidRPr="006901B2">
        <w:rPr>
          <w:rFonts w:eastAsia="Calibri"/>
          <w:sz w:val="28"/>
          <w:szCs w:val="28"/>
        </w:rPr>
        <w:tab/>
      </w:r>
      <w:r w:rsidR="00F673C9" w:rsidRPr="006901B2">
        <w:rPr>
          <w:rFonts w:eastAsia="Calibri"/>
          <w:sz w:val="28"/>
          <w:szCs w:val="28"/>
        </w:rPr>
        <w:tab/>
      </w:r>
      <w:r w:rsidR="00E61158">
        <w:rPr>
          <w:rFonts w:eastAsia="Calibri"/>
          <w:sz w:val="28"/>
          <w:szCs w:val="28"/>
        </w:rPr>
        <w:t>Jānis Volberts</w:t>
      </w:r>
    </w:p>
    <w:p w14:paraId="20227E08" w14:textId="77777777" w:rsidR="00E91F9B" w:rsidRPr="006901B2" w:rsidRDefault="00E91F9B" w:rsidP="00E91F9B">
      <w:pPr>
        <w:ind w:left="426" w:firstLine="294"/>
        <w:rPr>
          <w:sz w:val="28"/>
          <w:szCs w:val="28"/>
        </w:rPr>
      </w:pPr>
    </w:p>
    <w:p w14:paraId="2A544F8E" w14:textId="77777777" w:rsidR="0072646E" w:rsidRDefault="0072646E" w:rsidP="00E91F9B">
      <w:pPr>
        <w:ind w:firstLine="720"/>
      </w:pPr>
    </w:p>
    <w:p w14:paraId="0A77891D" w14:textId="72382503" w:rsidR="00E91F9B" w:rsidRPr="006901B2" w:rsidRDefault="00E91F9B" w:rsidP="00E91F9B">
      <w:pPr>
        <w:ind w:firstLine="720"/>
      </w:pPr>
      <w:r w:rsidRPr="006901B2">
        <w:t>Mergupe-Kutraite</w:t>
      </w:r>
      <w:r w:rsidR="00DE42ED">
        <w:t xml:space="preserve"> 67047817</w:t>
      </w:r>
    </w:p>
    <w:p w14:paraId="25F7FDEC" w14:textId="5799DF77" w:rsidR="000C1576" w:rsidRPr="006901B2" w:rsidRDefault="00E91F9B" w:rsidP="000B5FD2">
      <w:pPr>
        <w:ind w:firstLine="720"/>
      </w:pPr>
      <w:r w:rsidRPr="006901B2">
        <w:t>dzintra.mergupe</w:t>
      </w:r>
      <w:r w:rsidR="006901B2">
        <w:t>-kutraite</w:t>
      </w:r>
      <w:r w:rsidRPr="006901B2">
        <w:t>@izm.gov.lv</w:t>
      </w:r>
      <w:bookmarkStart w:id="4" w:name="str06"/>
      <w:bookmarkEnd w:id="4"/>
    </w:p>
    <w:p w14:paraId="35D4FD82" w14:textId="77777777" w:rsidR="000C1576" w:rsidRPr="006901B2" w:rsidRDefault="000C1576" w:rsidP="000C1576"/>
    <w:p w14:paraId="7F055C7A" w14:textId="0BB9C05D" w:rsidR="00190B37" w:rsidRPr="00D92B87" w:rsidRDefault="00D92B87" w:rsidP="00D92B87">
      <w:pPr>
        <w:tabs>
          <w:tab w:val="left" w:pos="1305"/>
        </w:tabs>
      </w:pPr>
      <w:r>
        <w:tab/>
      </w:r>
    </w:p>
    <w:sectPr w:rsidR="00190B37" w:rsidRPr="00D92B87" w:rsidSect="00820D5A">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CD08" w16cex:dateUtc="2020-11-06T11:24:00Z"/>
  <w16cex:commentExtensible w16cex:durableId="234FCDCD" w16cex:dateUtc="2020-11-06T11:27:00Z"/>
  <w16cex:commentExtensible w16cex:durableId="234FCF94" w16cex:dateUtc="2020-11-06T11:35:00Z"/>
  <w16cex:commentExtensible w16cex:durableId="234FD08B" w16cex:dateUtc="2020-11-06T11:39:00Z"/>
  <w16cex:commentExtensible w16cex:durableId="234FD1B9" w16cex:dateUtc="2020-11-06T11:44:00Z"/>
  <w16cex:commentExtensible w16cex:durableId="234FD1E2" w16cex:dateUtc="2020-11-06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FF546F" w16cid:durableId="234FCD08"/>
  <w16cid:commentId w16cid:paraId="1F755980" w16cid:durableId="234FCDCD"/>
  <w16cid:commentId w16cid:paraId="203F7CA7" w16cid:durableId="234FCF94"/>
  <w16cid:commentId w16cid:paraId="7551C417" w16cid:durableId="234FD08B"/>
  <w16cid:commentId w16cid:paraId="08430816" w16cid:durableId="234FD1B9"/>
  <w16cid:commentId w16cid:paraId="398FCF2D" w16cid:durableId="234FD1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8431F" w14:textId="77777777" w:rsidR="004230FA" w:rsidRDefault="004230FA" w:rsidP="004F7F51">
      <w:r>
        <w:separator/>
      </w:r>
    </w:p>
  </w:endnote>
  <w:endnote w:type="continuationSeparator" w:id="0">
    <w:p w14:paraId="3EBDE528" w14:textId="77777777" w:rsidR="004230FA" w:rsidRDefault="004230FA" w:rsidP="004F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altName w:val="Arial Unicode MS"/>
    <w:panose1 w:val="020B0604020202020204"/>
    <w:charset w:val="00"/>
    <w:family w:val="swiss"/>
    <w:pitch w:val="variable"/>
    <w:sig w:usb0="03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1786" w14:textId="77777777" w:rsidR="008C55D7" w:rsidRDefault="008C55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16FE6" w14:textId="77777777" w:rsidR="0085138B" w:rsidRDefault="0085138B" w:rsidP="00940A06">
    <w:pPr>
      <w:pStyle w:val="Header"/>
      <w:jc w:val="center"/>
    </w:pPr>
  </w:p>
  <w:p w14:paraId="5BBEBD45" w14:textId="77777777" w:rsidR="0085138B" w:rsidRDefault="0085138B" w:rsidP="00940A06"/>
  <w:p w14:paraId="55E34D5E" w14:textId="655A10FC" w:rsidR="0085138B" w:rsidRPr="00272CE6" w:rsidRDefault="0085138B" w:rsidP="003E0EDB">
    <w:pPr>
      <w:rPr>
        <w:b/>
        <w:sz w:val="20"/>
        <w:szCs w:val="20"/>
      </w:rPr>
    </w:pPr>
    <w:r w:rsidRPr="00813461">
      <w:t>IZMAnot_</w:t>
    </w:r>
    <w:r w:rsidR="0042069C">
      <w:t>0</w:t>
    </w:r>
    <w:r w:rsidR="008C55D7">
      <w:t>6</w:t>
    </w:r>
    <w:r w:rsidR="0042069C">
      <w:t>11</w:t>
    </w:r>
    <w:r w:rsidRPr="00813461">
      <w:t>20_macibug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92B3" w14:textId="4410CE5A" w:rsidR="0085138B" w:rsidRPr="00BB3A02" w:rsidRDefault="0085138B" w:rsidP="00E42B4B">
    <w:pPr>
      <w:rPr>
        <w:b/>
        <w:bCs/>
      </w:rPr>
    </w:pPr>
    <w:r w:rsidRPr="00BB3A02">
      <w:t>IZMAnot_</w:t>
    </w:r>
    <w:r w:rsidR="00C77099">
      <w:t>0</w:t>
    </w:r>
    <w:r w:rsidR="008C55D7">
      <w:t>6</w:t>
    </w:r>
    <w:r>
      <w:t>1</w:t>
    </w:r>
    <w:r w:rsidR="008C55D7">
      <w:t>1</w:t>
    </w:r>
    <w:r>
      <w:t>20</w:t>
    </w:r>
    <w:r w:rsidRPr="00BB3A02">
      <w:t xml:space="preserve">_macibug </w:t>
    </w:r>
  </w:p>
  <w:p w14:paraId="0C7C9F31" w14:textId="77777777" w:rsidR="0085138B" w:rsidRPr="0084148D" w:rsidRDefault="0085138B" w:rsidP="00841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4E7B6" w14:textId="77777777" w:rsidR="004230FA" w:rsidRDefault="004230FA" w:rsidP="004F7F51">
      <w:r>
        <w:separator/>
      </w:r>
    </w:p>
  </w:footnote>
  <w:footnote w:type="continuationSeparator" w:id="0">
    <w:p w14:paraId="3B7863A3" w14:textId="77777777" w:rsidR="004230FA" w:rsidRDefault="004230FA" w:rsidP="004F7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8AA84" w14:textId="77777777" w:rsidR="008C55D7" w:rsidRDefault="008C5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6FE83" w14:textId="77777777" w:rsidR="0085138B" w:rsidRDefault="0085138B">
    <w:pPr>
      <w:pStyle w:val="Header"/>
      <w:jc w:val="center"/>
    </w:pPr>
    <w:r>
      <w:fldChar w:fldCharType="begin"/>
    </w:r>
    <w:r>
      <w:instrText xml:space="preserve"> PAGE   \* MERGEFORMAT </w:instrText>
    </w:r>
    <w:r>
      <w:fldChar w:fldCharType="separate"/>
    </w:r>
    <w:r w:rsidR="005D4007">
      <w:rPr>
        <w:noProof/>
      </w:rPr>
      <w:t>8</w:t>
    </w:r>
    <w:r>
      <w:fldChar w:fldCharType="end"/>
    </w:r>
  </w:p>
  <w:p w14:paraId="667EAAB9" w14:textId="77777777" w:rsidR="0085138B" w:rsidRDefault="008513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7DCF1" w14:textId="77777777" w:rsidR="0085138B" w:rsidRDefault="0085138B" w:rsidP="00D92B8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25E1E"/>
    <w:multiLevelType w:val="multilevel"/>
    <w:tmpl w:val="04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8D1785"/>
    <w:multiLevelType w:val="hybridMultilevel"/>
    <w:tmpl w:val="7C9E60E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824FC8"/>
    <w:multiLevelType w:val="hybridMultilevel"/>
    <w:tmpl w:val="FFAE3C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7D0DC3"/>
    <w:multiLevelType w:val="hybridMultilevel"/>
    <w:tmpl w:val="B5BC7906"/>
    <w:lvl w:ilvl="0" w:tplc="C1A2E3AC">
      <w:start w:val="2012"/>
      <w:numFmt w:val="bullet"/>
      <w:lvlText w:val="-"/>
      <w:lvlJc w:val="left"/>
      <w:pPr>
        <w:ind w:left="537" w:hanging="360"/>
      </w:pPr>
      <w:rPr>
        <w:rFonts w:ascii="Times New Roman" w:eastAsia="Times New Roman" w:hAnsi="Times New Roman" w:cs="Times New Roman" w:hint="default"/>
      </w:rPr>
    </w:lvl>
    <w:lvl w:ilvl="1" w:tplc="04260003" w:tentative="1">
      <w:start w:val="1"/>
      <w:numFmt w:val="bullet"/>
      <w:lvlText w:val="o"/>
      <w:lvlJc w:val="left"/>
      <w:pPr>
        <w:ind w:left="1257" w:hanging="360"/>
      </w:pPr>
      <w:rPr>
        <w:rFonts w:ascii="Courier New" w:hAnsi="Courier New" w:cs="Courier New" w:hint="default"/>
      </w:rPr>
    </w:lvl>
    <w:lvl w:ilvl="2" w:tplc="04260005" w:tentative="1">
      <w:start w:val="1"/>
      <w:numFmt w:val="bullet"/>
      <w:lvlText w:val=""/>
      <w:lvlJc w:val="left"/>
      <w:pPr>
        <w:ind w:left="1977" w:hanging="360"/>
      </w:pPr>
      <w:rPr>
        <w:rFonts w:ascii="Wingdings" w:hAnsi="Wingdings" w:hint="default"/>
      </w:rPr>
    </w:lvl>
    <w:lvl w:ilvl="3" w:tplc="04260001" w:tentative="1">
      <w:start w:val="1"/>
      <w:numFmt w:val="bullet"/>
      <w:lvlText w:val=""/>
      <w:lvlJc w:val="left"/>
      <w:pPr>
        <w:ind w:left="2697" w:hanging="360"/>
      </w:pPr>
      <w:rPr>
        <w:rFonts w:ascii="Symbol" w:hAnsi="Symbol" w:hint="default"/>
      </w:rPr>
    </w:lvl>
    <w:lvl w:ilvl="4" w:tplc="04260003" w:tentative="1">
      <w:start w:val="1"/>
      <w:numFmt w:val="bullet"/>
      <w:lvlText w:val="o"/>
      <w:lvlJc w:val="left"/>
      <w:pPr>
        <w:ind w:left="3417" w:hanging="360"/>
      </w:pPr>
      <w:rPr>
        <w:rFonts w:ascii="Courier New" w:hAnsi="Courier New" w:cs="Courier New" w:hint="default"/>
      </w:rPr>
    </w:lvl>
    <w:lvl w:ilvl="5" w:tplc="04260005" w:tentative="1">
      <w:start w:val="1"/>
      <w:numFmt w:val="bullet"/>
      <w:lvlText w:val=""/>
      <w:lvlJc w:val="left"/>
      <w:pPr>
        <w:ind w:left="4137" w:hanging="360"/>
      </w:pPr>
      <w:rPr>
        <w:rFonts w:ascii="Wingdings" w:hAnsi="Wingdings" w:hint="default"/>
      </w:rPr>
    </w:lvl>
    <w:lvl w:ilvl="6" w:tplc="04260001" w:tentative="1">
      <w:start w:val="1"/>
      <w:numFmt w:val="bullet"/>
      <w:lvlText w:val=""/>
      <w:lvlJc w:val="left"/>
      <w:pPr>
        <w:ind w:left="4857" w:hanging="360"/>
      </w:pPr>
      <w:rPr>
        <w:rFonts w:ascii="Symbol" w:hAnsi="Symbol" w:hint="default"/>
      </w:rPr>
    </w:lvl>
    <w:lvl w:ilvl="7" w:tplc="04260003" w:tentative="1">
      <w:start w:val="1"/>
      <w:numFmt w:val="bullet"/>
      <w:lvlText w:val="o"/>
      <w:lvlJc w:val="left"/>
      <w:pPr>
        <w:ind w:left="5577" w:hanging="360"/>
      </w:pPr>
      <w:rPr>
        <w:rFonts w:ascii="Courier New" w:hAnsi="Courier New" w:cs="Courier New" w:hint="default"/>
      </w:rPr>
    </w:lvl>
    <w:lvl w:ilvl="8" w:tplc="04260005" w:tentative="1">
      <w:start w:val="1"/>
      <w:numFmt w:val="bullet"/>
      <w:lvlText w:val=""/>
      <w:lvlJc w:val="left"/>
      <w:pPr>
        <w:ind w:left="629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58"/>
    <w:rsid w:val="000011E9"/>
    <w:rsid w:val="00014503"/>
    <w:rsid w:val="00014B8C"/>
    <w:rsid w:val="00015F36"/>
    <w:rsid w:val="00016F63"/>
    <w:rsid w:val="00023399"/>
    <w:rsid w:val="000239EA"/>
    <w:rsid w:val="000317FA"/>
    <w:rsid w:val="0003292F"/>
    <w:rsid w:val="00035FC6"/>
    <w:rsid w:val="00036635"/>
    <w:rsid w:val="000471C2"/>
    <w:rsid w:val="00050751"/>
    <w:rsid w:val="000833D5"/>
    <w:rsid w:val="00086BCB"/>
    <w:rsid w:val="0009451C"/>
    <w:rsid w:val="00094C27"/>
    <w:rsid w:val="0009516F"/>
    <w:rsid w:val="000A30F8"/>
    <w:rsid w:val="000A3CC5"/>
    <w:rsid w:val="000A4A30"/>
    <w:rsid w:val="000A5337"/>
    <w:rsid w:val="000A6657"/>
    <w:rsid w:val="000B28A8"/>
    <w:rsid w:val="000B32BC"/>
    <w:rsid w:val="000B4E63"/>
    <w:rsid w:val="000B5FD2"/>
    <w:rsid w:val="000B6B88"/>
    <w:rsid w:val="000C0F81"/>
    <w:rsid w:val="000C1576"/>
    <w:rsid w:val="000D175D"/>
    <w:rsid w:val="000D675B"/>
    <w:rsid w:val="000D7A9F"/>
    <w:rsid w:val="000E2149"/>
    <w:rsid w:val="000E4B58"/>
    <w:rsid w:val="000E7B3E"/>
    <w:rsid w:val="000F4FC7"/>
    <w:rsid w:val="00101805"/>
    <w:rsid w:val="00101A58"/>
    <w:rsid w:val="00102717"/>
    <w:rsid w:val="00105119"/>
    <w:rsid w:val="00111445"/>
    <w:rsid w:val="00111CDD"/>
    <w:rsid w:val="0011246F"/>
    <w:rsid w:val="001176D3"/>
    <w:rsid w:val="00122BA3"/>
    <w:rsid w:val="001247D7"/>
    <w:rsid w:val="00127A12"/>
    <w:rsid w:val="00127A55"/>
    <w:rsid w:val="00131B5C"/>
    <w:rsid w:val="001358AB"/>
    <w:rsid w:val="00142BA6"/>
    <w:rsid w:val="00145DD8"/>
    <w:rsid w:val="00153C21"/>
    <w:rsid w:val="00160AB6"/>
    <w:rsid w:val="00161FC2"/>
    <w:rsid w:val="00164817"/>
    <w:rsid w:val="001649AB"/>
    <w:rsid w:val="00164A7B"/>
    <w:rsid w:val="00170516"/>
    <w:rsid w:val="0017278E"/>
    <w:rsid w:val="00181A13"/>
    <w:rsid w:val="00185DFB"/>
    <w:rsid w:val="00190B37"/>
    <w:rsid w:val="00193C47"/>
    <w:rsid w:val="001941CB"/>
    <w:rsid w:val="00194F0E"/>
    <w:rsid w:val="0019562B"/>
    <w:rsid w:val="001B1D2F"/>
    <w:rsid w:val="001C0E44"/>
    <w:rsid w:val="001C0ED1"/>
    <w:rsid w:val="001C2808"/>
    <w:rsid w:val="001C7DB4"/>
    <w:rsid w:val="001D28D2"/>
    <w:rsid w:val="001D3243"/>
    <w:rsid w:val="001D44BB"/>
    <w:rsid w:val="001D548F"/>
    <w:rsid w:val="001E2088"/>
    <w:rsid w:val="001E3602"/>
    <w:rsid w:val="001F4C9F"/>
    <w:rsid w:val="002106BB"/>
    <w:rsid w:val="002127DE"/>
    <w:rsid w:val="002129F2"/>
    <w:rsid w:val="002136A8"/>
    <w:rsid w:val="002300CF"/>
    <w:rsid w:val="00233363"/>
    <w:rsid w:val="0023521B"/>
    <w:rsid w:val="00236ED2"/>
    <w:rsid w:val="002406BF"/>
    <w:rsid w:val="00240AC7"/>
    <w:rsid w:val="00241A1F"/>
    <w:rsid w:val="0024254F"/>
    <w:rsid w:val="00251972"/>
    <w:rsid w:val="00260F97"/>
    <w:rsid w:val="00267473"/>
    <w:rsid w:val="00272CE6"/>
    <w:rsid w:val="00272EA0"/>
    <w:rsid w:val="00274921"/>
    <w:rsid w:val="00282CCC"/>
    <w:rsid w:val="002830B7"/>
    <w:rsid w:val="00290157"/>
    <w:rsid w:val="00291D08"/>
    <w:rsid w:val="00291DBE"/>
    <w:rsid w:val="00297D21"/>
    <w:rsid w:val="002A38DB"/>
    <w:rsid w:val="002A550E"/>
    <w:rsid w:val="002B0511"/>
    <w:rsid w:val="002B46A9"/>
    <w:rsid w:val="002B5B1B"/>
    <w:rsid w:val="002B70C2"/>
    <w:rsid w:val="002C088C"/>
    <w:rsid w:val="002C0BFC"/>
    <w:rsid w:val="002C7741"/>
    <w:rsid w:val="002E1671"/>
    <w:rsid w:val="002E4509"/>
    <w:rsid w:val="002E4D33"/>
    <w:rsid w:val="002F0357"/>
    <w:rsid w:val="002F0442"/>
    <w:rsid w:val="002F2A58"/>
    <w:rsid w:val="002F4AB5"/>
    <w:rsid w:val="002F5025"/>
    <w:rsid w:val="00302930"/>
    <w:rsid w:val="00306D38"/>
    <w:rsid w:val="00322445"/>
    <w:rsid w:val="00322F73"/>
    <w:rsid w:val="00323496"/>
    <w:rsid w:val="0032415A"/>
    <w:rsid w:val="00326929"/>
    <w:rsid w:val="0033207E"/>
    <w:rsid w:val="00332385"/>
    <w:rsid w:val="00333835"/>
    <w:rsid w:val="00341307"/>
    <w:rsid w:val="0034704A"/>
    <w:rsid w:val="00354648"/>
    <w:rsid w:val="00355646"/>
    <w:rsid w:val="0036350F"/>
    <w:rsid w:val="003670DC"/>
    <w:rsid w:val="00385CD0"/>
    <w:rsid w:val="00387DBB"/>
    <w:rsid w:val="003A3108"/>
    <w:rsid w:val="003A66E2"/>
    <w:rsid w:val="003A70EB"/>
    <w:rsid w:val="003B330B"/>
    <w:rsid w:val="003B388C"/>
    <w:rsid w:val="003B4369"/>
    <w:rsid w:val="003C0379"/>
    <w:rsid w:val="003C4CA9"/>
    <w:rsid w:val="003C69CC"/>
    <w:rsid w:val="003C7B47"/>
    <w:rsid w:val="003D202D"/>
    <w:rsid w:val="003D347B"/>
    <w:rsid w:val="003D34B0"/>
    <w:rsid w:val="003D6B74"/>
    <w:rsid w:val="003E0EDB"/>
    <w:rsid w:val="003E215D"/>
    <w:rsid w:val="003E78FD"/>
    <w:rsid w:val="003F0DDD"/>
    <w:rsid w:val="003F0E82"/>
    <w:rsid w:val="003F3DF1"/>
    <w:rsid w:val="003F4936"/>
    <w:rsid w:val="00400979"/>
    <w:rsid w:val="0041475F"/>
    <w:rsid w:val="00416ACC"/>
    <w:rsid w:val="00416DA5"/>
    <w:rsid w:val="00417EA8"/>
    <w:rsid w:val="004203CE"/>
    <w:rsid w:val="0042069C"/>
    <w:rsid w:val="00420CCB"/>
    <w:rsid w:val="00422671"/>
    <w:rsid w:val="004230FA"/>
    <w:rsid w:val="004255BF"/>
    <w:rsid w:val="00426F75"/>
    <w:rsid w:val="004313B3"/>
    <w:rsid w:val="00435202"/>
    <w:rsid w:val="0043725E"/>
    <w:rsid w:val="004407AC"/>
    <w:rsid w:val="00441C8B"/>
    <w:rsid w:val="00442325"/>
    <w:rsid w:val="0046314A"/>
    <w:rsid w:val="00465367"/>
    <w:rsid w:val="00484891"/>
    <w:rsid w:val="004A0ACB"/>
    <w:rsid w:val="004A1473"/>
    <w:rsid w:val="004A3955"/>
    <w:rsid w:val="004A53FF"/>
    <w:rsid w:val="004A6D6D"/>
    <w:rsid w:val="004A7BF2"/>
    <w:rsid w:val="004B2AFA"/>
    <w:rsid w:val="004D3179"/>
    <w:rsid w:val="004D32FF"/>
    <w:rsid w:val="004D5739"/>
    <w:rsid w:val="004D5DDD"/>
    <w:rsid w:val="004E59EA"/>
    <w:rsid w:val="004F5CA9"/>
    <w:rsid w:val="004F634B"/>
    <w:rsid w:val="004F7F51"/>
    <w:rsid w:val="0050033C"/>
    <w:rsid w:val="00506263"/>
    <w:rsid w:val="0050668D"/>
    <w:rsid w:val="00514D1C"/>
    <w:rsid w:val="0052337B"/>
    <w:rsid w:val="005257E4"/>
    <w:rsid w:val="00531CE9"/>
    <w:rsid w:val="00535B58"/>
    <w:rsid w:val="00535BA3"/>
    <w:rsid w:val="00540E4C"/>
    <w:rsid w:val="005455F6"/>
    <w:rsid w:val="00546F28"/>
    <w:rsid w:val="0055780B"/>
    <w:rsid w:val="00557E35"/>
    <w:rsid w:val="0056249F"/>
    <w:rsid w:val="00570441"/>
    <w:rsid w:val="00571918"/>
    <w:rsid w:val="00574486"/>
    <w:rsid w:val="005773C6"/>
    <w:rsid w:val="00585EFA"/>
    <w:rsid w:val="0059390A"/>
    <w:rsid w:val="005966BD"/>
    <w:rsid w:val="005A02A7"/>
    <w:rsid w:val="005A10BA"/>
    <w:rsid w:val="005A4A1E"/>
    <w:rsid w:val="005B1F0A"/>
    <w:rsid w:val="005B23C6"/>
    <w:rsid w:val="005B671A"/>
    <w:rsid w:val="005D06BB"/>
    <w:rsid w:val="005D32B0"/>
    <w:rsid w:val="005D4007"/>
    <w:rsid w:val="005D49C2"/>
    <w:rsid w:val="005E60B8"/>
    <w:rsid w:val="005F5700"/>
    <w:rsid w:val="0060013C"/>
    <w:rsid w:val="0060386E"/>
    <w:rsid w:val="00604E82"/>
    <w:rsid w:val="006079BC"/>
    <w:rsid w:val="00615476"/>
    <w:rsid w:val="006167F0"/>
    <w:rsid w:val="00620470"/>
    <w:rsid w:val="00626277"/>
    <w:rsid w:val="00626FDE"/>
    <w:rsid w:val="006317C3"/>
    <w:rsid w:val="0063223E"/>
    <w:rsid w:val="00637F9B"/>
    <w:rsid w:val="00643782"/>
    <w:rsid w:val="00653473"/>
    <w:rsid w:val="006604B1"/>
    <w:rsid w:val="006743DA"/>
    <w:rsid w:val="00676B05"/>
    <w:rsid w:val="006816D0"/>
    <w:rsid w:val="00684780"/>
    <w:rsid w:val="006901B2"/>
    <w:rsid w:val="00694C27"/>
    <w:rsid w:val="00695EEF"/>
    <w:rsid w:val="006A23EC"/>
    <w:rsid w:val="006A5D90"/>
    <w:rsid w:val="006B767C"/>
    <w:rsid w:val="006C35BB"/>
    <w:rsid w:val="006D1851"/>
    <w:rsid w:val="006D3255"/>
    <w:rsid w:val="006D37AA"/>
    <w:rsid w:val="006E2254"/>
    <w:rsid w:val="006E27F0"/>
    <w:rsid w:val="006E4556"/>
    <w:rsid w:val="006F3B32"/>
    <w:rsid w:val="00701263"/>
    <w:rsid w:val="007016EF"/>
    <w:rsid w:val="00702F20"/>
    <w:rsid w:val="00710CEB"/>
    <w:rsid w:val="007152CB"/>
    <w:rsid w:val="00725C7C"/>
    <w:rsid w:val="0072646E"/>
    <w:rsid w:val="00731534"/>
    <w:rsid w:val="007345A9"/>
    <w:rsid w:val="00735306"/>
    <w:rsid w:val="0073602B"/>
    <w:rsid w:val="00740B42"/>
    <w:rsid w:val="00741F74"/>
    <w:rsid w:val="007441F1"/>
    <w:rsid w:val="0074557A"/>
    <w:rsid w:val="00750B97"/>
    <w:rsid w:val="00756722"/>
    <w:rsid w:val="00757853"/>
    <w:rsid w:val="00757AF2"/>
    <w:rsid w:val="00767A59"/>
    <w:rsid w:val="00776C1B"/>
    <w:rsid w:val="00783058"/>
    <w:rsid w:val="00784D7D"/>
    <w:rsid w:val="00787DCA"/>
    <w:rsid w:val="00790C2D"/>
    <w:rsid w:val="007933EC"/>
    <w:rsid w:val="00795A91"/>
    <w:rsid w:val="007972F9"/>
    <w:rsid w:val="00797897"/>
    <w:rsid w:val="007A4030"/>
    <w:rsid w:val="007A54DC"/>
    <w:rsid w:val="007A75D7"/>
    <w:rsid w:val="007A77AE"/>
    <w:rsid w:val="007B35BC"/>
    <w:rsid w:val="007B3C2A"/>
    <w:rsid w:val="007B5A1F"/>
    <w:rsid w:val="007C2E0F"/>
    <w:rsid w:val="007C6B28"/>
    <w:rsid w:val="007C7DAD"/>
    <w:rsid w:val="007D57A1"/>
    <w:rsid w:val="007D69A7"/>
    <w:rsid w:val="007E57A9"/>
    <w:rsid w:val="007F699D"/>
    <w:rsid w:val="00802B33"/>
    <w:rsid w:val="008052CA"/>
    <w:rsid w:val="00805AE7"/>
    <w:rsid w:val="00813388"/>
    <w:rsid w:val="00813461"/>
    <w:rsid w:val="00820D5A"/>
    <w:rsid w:val="008339C1"/>
    <w:rsid w:val="0084148D"/>
    <w:rsid w:val="008415FD"/>
    <w:rsid w:val="008423AC"/>
    <w:rsid w:val="008457FF"/>
    <w:rsid w:val="00846BE5"/>
    <w:rsid w:val="0085138B"/>
    <w:rsid w:val="00857A3C"/>
    <w:rsid w:val="008614EE"/>
    <w:rsid w:val="00871FB3"/>
    <w:rsid w:val="0087283D"/>
    <w:rsid w:val="00873C57"/>
    <w:rsid w:val="00875203"/>
    <w:rsid w:val="0088413A"/>
    <w:rsid w:val="00893933"/>
    <w:rsid w:val="00893D12"/>
    <w:rsid w:val="00894277"/>
    <w:rsid w:val="008A1B73"/>
    <w:rsid w:val="008B16DB"/>
    <w:rsid w:val="008B30FD"/>
    <w:rsid w:val="008B45A5"/>
    <w:rsid w:val="008B468A"/>
    <w:rsid w:val="008B5C6E"/>
    <w:rsid w:val="008C1731"/>
    <w:rsid w:val="008C55D7"/>
    <w:rsid w:val="008C67C6"/>
    <w:rsid w:val="008D4040"/>
    <w:rsid w:val="008D511A"/>
    <w:rsid w:val="008D6CA2"/>
    <w:rsid w:val="008E267E"/>
    <w:rsid w:val="008E28D5"/>
    <w:rsid w:val="008E4448"/>
    <w:rsid w:val="008E5122"/>
    <w:rsid w:val="008E624B"/>
    <w:rsid w:val="008F0A5B"/>
    <w:rsid w:val="008F3E48"/>
    <w:rsid w:val="008F7F70"/>
    <w:rsid w:val="00900DD6"/>
    <w:rsid w:val="00900FA4"/>
    <w:rsid w:val="00901C79"/>
    <w:rsid w:val="0090244B"/>
    <w:rsid w:val="00902717"/>
    <w:rsid w:val="009038E7"/>
    <w:rsid w:val="009044AC"/>
    <w:rsid w:val="00914C66"/>
    <w:rsid w:val="00920C1A"/>
    <w:rsid w:val="00921997"/>
    <w:rsid w:val="00921EDF"/>
    <w:rsid w:val="00924467"/>
    <w:rsid w:val="00924D4D"/>
    <w:rsid w:val="00925D09"/>
    <w:rsid w:val="00934BCB"/>
    <w:rsid w:val="00940A06"/>
    <w:rsid w:val="00942A9B"/>
    <w:rsid w:val="00944A84"/>
    <w:rsid w:val="0094569C"/>
    <w:rsid w:val="00946454"/>
    <w:rsid w:val="00946A63"/>
    <w:rsid w:val="00953402"/>
    <w:rsid w:val="00955533"/>
    <w:rsid w:val="0096061B"/>
    <w:rsid w:val="0096321F"/>
    <w:rsid w:val="0097263A"/>
    <w:rsid w:val="00973D10"/>
    <w:rsid w:val="009767FB"/>
    <w:rsid w:val="009825C3"/>
    <w:rsid w:val="00982928"/>
    <w:rsid w:val="00982FC2"/>
    <w:rsid w:val="00985453"/>
    <w:rsid w:val="00985847"/>
    <w:rsid w:val="009878CC"/>
    <w:rsid w:val="00992BEE"/>
    <w:rsid w:val="009943B0"/>
    <w:rsid w:val="009A0928"/>
    <w:rsid w:val="009A0B83"/>
    <w:rsid w:val="009A1784"/>
    <w:rsid w:val="009A272C"/>
    <w:rsid w:val="009A2EAC"/>
    <w:rsid w:val="009B1655"/>
    <w:rsid w:val="009B3096"/>
    <w:rsid w:val="009B33A2"/>
    <w:rsid w:val="009B58A0"/>
    <w:rsid w:val="009C17E0"/>
    <w:rsid w:val="009C4A2D"/>
    <w:rsid w:val="009C6FB1"/>
    <w:rsid w:val="009D3D4D"/>
    <w:rsid w:val="009D560B"/>
    <w:rsid w:val="009E1484"/>
    <w:rsid w:val="009E3370"/>
    <w:rsid w:val="009F0A63"/>
    <w:rsid w:val="00A12F49"/>
    <w:rsid w:val="00A14933"/>
    <w:rsid w:val="00A2318B"/>
    <w:rsid w:val="00A24556"/>
    <w:rsid w:val="00A25DC0"/>
    <w:rsid w:val="00A30E85"/>
    <w:rsid w:val="00A326DF"/>
    <w:rsid w:val="00A352F7"/>
    <w:rsid w:val="00A432C8"/>
    <w:rsid w:val="00A44EF3"/>
    <w:rsid w:val="00A463FA"/>
    <w:rsid w:val="00A5193B"/>
    <w:rsid w:val="00A52154"/>
    <w:rsid w:val="00A545B4"/>
    <w:rsid w:val="00A5672C"/>
    <w:rsid w:val="00A56B10"/>
    <w:rsid w:val="00A63F35"/>
    <w:rsid w:val="00A71576"/>
    <w:rsid w:val="00A72E45"/>
    <w:rsid w:val="00A755A5"/>
    <w:rsid w:val="00A75C6C"/>
    <w:rsid w:val="00A85F62"/>
    <w:rsid w:val="00A97A29"/>
    <w:rsid w:val="00AA6773"/>
    <w:rsid w:val="00AB0303"/>
    <w:rsid w:val="00AB2F68"/>
    <w:rsid w:val="00AB5773"/>
    <w:rsid w:val="00AC0571"/>
    <w:rsid w:val="00AC23FE"/>
    <w:rsid w:val="00AC5C3A"/>
    <w:rsid w:val="00AD3B3E"/>
    <w:rsid w:val="00AD63CC"/>
    <w:rsid w:val="00AD7586"/>
    <w:rsid w:val="00AD7AD7"/>
    <w:rsid w:val="00AE2497"/>
    <w:rsid w:val="00AE407A"/>
    <w:rsid w:val="00B01FCB"/>
    <w:rsid w:val="00B03442"/>
    <w:rsid w:val="00B11320"/>
    <w:rsid w:val="00B150EF"/>
    <w:rsid w:val="00B15855"/>
    <w:rsid w:val="00B17B44"/>
    <w:rsid w:val="00B2659E"/>
    <w:rsid w:val="00B27647"/>
    <w:rsid w:val="00B326F3"/>
    <w:rsid w:val="00B37B25"/>
    <w:rsid w:val="00B44354"/>
    <w:rsid w:val="00B51E9B"/>
    <w:rsid w:val="00B53406"/>
    <w:rsid w:val="00B5401B"/>
    <w:rsid w:val="00B5649A"/>
    <w:rsid w:val="00B567CD"/>
    <w:rsid w:val="00B614D3"/>
    <w:rsid w:val="00B70B3D"/>
    <w:rsid w:val="00B713DE"/>
    <w:rsid w:val="00B84BDB"/>
    <w:rsid w:val="00B85007"/>
    <w:rsid w:val="00B927CC"/>
    <w:rsid w:val="00BA007F"/>
    <w:rsid w:val="00BA34E7"/>
    <w:rsid w:val="00BA50C6"/>
    <w:rsid w:val="00BB3B1B"/>
    <w:rsid w:val="00BB49D5"/>
    <w:rsid w:val="00BC00C6"/>
    <w:rsid w:val="00BD0FE1"/>
    <w:rsid w:val="00BD5DE6"/>
    <w:rsid w:val="00BD6BFF"/>
    <w:rsid w:val="00BD761D"/>
    <w:rsid w:val="00BD7986"/>
    <w:rsid w:val="00BE05DF"/>
    <w:rsid w:val="00BE0DD3"/>
    <w:rsid w:val="00BE74F2"/>
    <w:rsid w:val="00BE752C"/>
    <w:rsid w:val="00BF0D13"/>
    <w:rsid w:val="00BF5B3A"/>
    <w:rsid w:val="00C02098"/>
    <w:rsid w:val="00C036EE"/>
    <w:rsid w:val="00C0370B"/>
    <w:rsid w:val="00C135E1"/>
    <w:rsid w:val="00C139FC"/>
    <w:rsid w:val="00C235B5"/>
    <w:rsid w:val="00C23602"/>
    <w:rsid w:val="00C23C32"/>
    <w:rsid w:val="00C36E83"/>
    <w:rsid w:val="00C37227"/>
    <w:rsid w:val="00C42E8F"/>
    <w:rsid w:val="00C444D8"/>
    <w:rsid w:val="00C53C5C"/>
    <w:rsid w:val="00C60A24"/>
    <w:rsid w:val="00C6546E"/>
    <w:rsid w:val="00C67FC4"/>
    <w:rsid w:val="00C77099"/>
    <w:rsid w:val="00C773FE"/>
    <w:rsid w:val="00C868AF"/>
    <w:rsid w:val="00CA4207"/>
    <w:rsid w:val="00CA4272"/>
    <w:rsid w:val="00CB0287"/>
    <w:rsid w:val="00CB0B85"/>
    <w:rsid w:val="00CB4DD7"/>
    <w:rsid w:val="00CD2200"/>
    <w:rsid w:val="00CD5176"/>
    <w:rsid w:val="00CD7615"/>
    <w:rsid w:val="00CE4472"/>
    <w:rsid w:val="00CE67D9"/>
    <w:rsid w:val="00CF3FA4"/>
    <w:rsid w:val="00D05342"/>
    <w:rsid w:val="00D0681A"/>
    <w:rsid w:val="00D115A4"/>
    <w:rsid w:val="00D1327E"/>
    <w:rsid w:val="00D177B0"/>
    <w:rsid w:val="00D3186B"/>
    <w:rsid w:val="00D330B0"/>
    <w:rsid w:val="00D348F2"/>
    <w:rsid w:val="00D34E45"/>
    <w:rsid w:val="00D36093"/>
    <w:rsid w:val="00D3610A"/>
    <w:rsid w:val="00D37A33"/>
    <w:rsid w:val="00D45633"/>
    <w:rsid w:val="00D56656"/>
    <w:rsid w:val="00D569C9"/>
    <w:rsid w:val="00D66D70"/>
    <w:rsid w:val="00D67E6B"/>
    <w:rsid w:val="00D71AAD"/>
    <w:rsid w:val="00D73BDB"/>
    <w:rsid w:val="00D75216"/>
    <w:rsid w:val="00D7596C"/>
    <w:rsid w:val="00D75CBE"/>
    <w:rsid w:val="00D8564E"/>
    <w:rsid w:val="00D92B87"/>
    <w:rsid w:val="00D9344F"/>
    <w:rsid w:val="00D95039"/>
    <w:rsid w:val="00DA0E39"/>
    <w:rsid w:val="00DA2A93"/>
    <w:rsid w:val="00DA3CB8"/>
    <w:rsid w:val="00DA6AB4"/>
    <w:rsid w:val="00DA6D3E"/>
    <w:rsid w:val="00DB6136"/>
    <w:rsid w:val="00DB7A3F"/>
    <w:rsid w:val="00DD306E"/>
    <w:rsid w:val="00DE086C"/>
    <w:rsid w:val="00DE256F"/>
    <w:rsid w:val="00DE30AF"/>
    <w:rsid w:val="00DE42ED"/>
    <w:rsid w:val="00DE5DF3"/>
    <w:rsid w:val="00DF0A16"/>
    <w:rsid w:val="00E040B8"/>
    <w:rsid w:val="00E05CBD"/>
    <w:rsid w:val="00E160F8"/>
    <w:rsid w:val="00E1718D"/>
    <w:rsid w:val="00E246B6"/>
    <w:rsid w:val="00E26EC5"/>
    <w:rsid w:val="00E34CBE"/>
    <w:rsid w:val="00E414DF"/>
    <w:rsid w:val="00E42B4B"/>
    <w:rsid w:val="00E454CB"/>
    <w:rsid w:val="00E545C0"/>
    <w:rsid w:val="00E56154"/>
    <w:rsid w:val="00E600CD"/>
    <w:rsid w:val="00E61158"/>
    <w:rsid w:val="00E6448B"/>
    <w:rsid w:val="00E71D56"/>
    <w:rsid w:val="00E7286A"/>
    <w:rsid w:val="00E739B9"/>
    <w:rsid w:val="00E76BB3"/>
    <w:rsid w:val="00E77C79"/>
    <w:rsid w:val="00E8403F"/>
    <w:rsid w:val="00E87946"/>
    <w:rsid w:val="00E90067"/>
    <w:rsid w:val="00E90E85"/>
    <w:rsid w:val="00E91F9B"/>
    <w:rsid w:val="00E921E7"/>
    <w:rsid w:val="00E94DC7"/>
    <w:rsid w:val="00E958F2"/>
    <w:rsid w:val="00EA6BD2"/>
    <w:rsid w:val="00EC1D0F"/>
    <w:rsid w:val="00EC31F1"/>
    <w:rsid w:val="00EC69F7"/>
    <w:rsid w:val="00ED35F0"/>
    <w:rsid w:val="00EE1599"/>
    <w:rsid w:val="00EE2115"/>
    <w:rsid w:val="00EE438B"/>
    <w:rsid w:val="00EE794A"/>
    <w:rsid w:val="00EF07B3"/>
    <w:rsid w:val="00F01CDA"/>
    <w:rsid w:val="00F036C0"/>
    <w:rsid w:val="00F04605"/>
    <w:rsid w:val="00F102C2"/>
    <w:rsid w:val="00F2046E"/>
    <w:rsid w:val="00F25301"/>
    <w:rsid w:val="00F25CD8"/>
    <w:rsid w:val="00F264C8"/>
    <w:rsid w:val="00F42BD9"/>
    <w:rsid w:val="00F433BB"/>
    <w:rsid w:val="00F43775"/>
    <w:rsid w:val="00F501B6"/>
    <w:rsid w:val="00F52831"/>
    <w:rsid w:val="00F54DD5"/>
    <w:rsid w:val="00F569C6"/>
    <w:rsid w:val="00F610BB"/>
    <w:rsid w:val="00F673C9"/>
    <w:rsid w:val="00F71343"/>
    <w:rsid w:val="00F80A4D"/>
    <w:rsid w:val="00F9052E"/>
    <w:rsid w:val="00F90B69"/>
    <w:rsid w:val="00F90D21"/>
    <w:rsid w:val="00F94421"/>
    <w:rsid w:val="00FA317C"/>
    <w:rsid w:val="00FB0EFE"/>
    <w:rsid w:val="00FB2712"/>
    <w:rsid w:val="00FB2A5B"/>
    <w:rsid w:val="00FB67CE"/>
    <w:rsid w:val="00FB79C1"/>
    <w:rsid w:val="00FC5450"/>
    <w:rsid w:val="00FC7C6D"/>
    <w:rsid w:val="00FD1CE3"/>
    <w:rsid w:val="00FD2388"/>
    <w:rsid w:val="00FD2D7C"/>
    <w:rsid w:val="00FD4C83"/>
    <w:rsid w:val="00FF4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F1356"/>
  <w15:docId w15:val="{7B0F565C-2A49-49CF-9DF0-8B3F2F4C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A58"/>
    <w:pPr>
      <w:jc w:val="both"/>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01A58"/>
    <w:rPr>
      <w:color w:val="0000FF"/>
      <w:u w:val="single"/>
    </w:rPr>
  </w:style>
  <w:style w:type="paragraph" w:styleId="Header">
    <w:name w:val="header"/>
    <w:basedOn w:val="Normal"/>
    <w:link w:val="HeaderChar"/>
    <w:uiPriority w:val="99"/>
    <w:unhideWhenUsed/>
    <w:rsid w:val="00101A58"/>
    <w:pPr>
      <w:tabs>
        <w:tab w:val="center" w:pos="4680"/>
        <w:tab w:val="right" w:pos="9360"/>
      </w:tabs>
    </w:pPr>
  </w:style>
  <w:style w:type="character" w:customStyle="1" w:styleId="HeaderChar">
    <w:name w:val="Header Char"/>
    <w:link w:val="Header"/>
    <w:uiPriority w:val="99"/>
    <w:rsid w:val="00101A58"/>
    <w:rPr>
      <w:rFonts w:ascii="Times New Roman" w:eastAsia="Times New Roman" w:hAnsi="Times New Roman" w:cs="Times New Roman"/>
      <w:sz w:val="24"/>
      <w:szCs w:val="24"/>
      <w:lang w:val="lv-LV"/>
    </w:rPr>
  </w:style>
  <w:style w:type="paragraph" w:styleId="Footer">
    <w:name w:val="footer"/>
    <w:basedOn w:val="Normal"/>
    <w:link w:val="FooterChar"/>
    <w:uiPriority w:val="99"/>
    <w:unhideWhenUsed/>
    <w:rsid w:val="00101A58"/>
    <w:pPr>
      <w:tabs>
        <w:tab w:val="center" w:pos="4680"/>
        <w:tab w:val="right" w:pos="9360"/>
      </w:tabs>
    </w:pPr>
  </w:style>
  <w:style w:type="character" w:customStyle="1" w:styleId="FooterChar">
    <w:name w:val="Footer Char"/>
    <w:link w:val="Footer"/>
    <w:uiPriority w:val="99"/>
    <w:rsid w:val="00101A58"/>
    <w:rPr>
      <w:rFonts w:ascii="Times New Roman" w:eastAsia="Times New Roman" w:hAnsi="Times New Roman" w:cs="Times New Roman"/>
      <w:sz w:val="24"/>
      <w:szCs w:val="24"/>
      <w:lang w:val="lv-LV"/>
    </w:rPr>
  </w:style>
  <w:style w:type="character" w:customStyle="1" w:styleId="spelle">
    <w:name w:val="spelle"/>
    <w:basedOn w:val="DefaultParagraphFont"/>
    <w:rsid w:val="00101A58"/>
  </w:style>
  <w:style w:type="paragraph" w:customStyle="1" w:styleId="naislab">
    <w:name w:val="naislab"/>
    <w:basedOn w:val="Normal"/>
    <w:uiPriority w:val="99"/>
    <w:rsid w:val="00101A58"/>
    <w:pPr>
      <w:spacing w:before="100" w:beforeAutospacing="1" w:after="100" w:afterAutospacing="1"/>
      <w:jc w:val="right"/>
    </w:pPr>
    <w:rPr>
      <w:rFonts w:eastAsia="Calibri"/>
    </w:rPr>
  </w:style>
  <w:style w:type="paragraph" w:styleId="ListParagraph">
    <w:name w:val="List Paragraph"/>
    <w:basedOn w:val="Normal"/>
    <w:qFormat/>
    <w:rsid w:val="00101A58"/>
    <w:pPr>
      <w:spacing w:after="200" w:line="276" w:lineRule="auto"/>
      <w:ind w:left="720"/>
      <w:jc w:val="left"/>
    </w:pPr>
    <w:rPr>
      <w:rFonts w:ascii="Calibri" w:eastAsia="Calibri" w:hAnsi="Calibri" w:cs="Calibri"/>
      <w:sz w:val="22"/>
      <w:szCs w:val="22"/>
    </w:rPr>
  </w:style>
  <w:style w:type="paragraph" w:customStyle="1" w:styleId="naisnod">
    <w:name w:val="naisnod"/>
    <w:basedOn w:val="Normal"/>
    <w:uiPriority w:val="99"/>
    <w:rsid w:val="004F7F51"/>
    <w:pPr>
      <w:spacing w:before="100" w:beforeAutospacing="1" w:after="100" w:afterAutospacing="1"/>
      <w:jc w:val="center"/>
    </w:pPr>
    <w:rPr>
      <w:rFonts w:eastAsia="Arial Unicode MS"/>
      <w:b/>
      <w:bCs/>
    </w:rPr>
  </w:style>
  <w:style w:type="paragraph" w:customStyle="1" w:styleId="tv2131">
    <w:name w:val="tv2131"/>
    <w:basedOn w:val="Normal"/>
    <w:rsid w:val="00985847"/>
    <w:pPr>
      <w:spacing w:line="360" w:lineRule="auto"/>
      <w:ind w:firstLine="300"/>
      <w:jc w:val="left"/>
    </w:pPr>
    <w:rPr>
      <w:color w:val="414142"/>
      <w:sz w:val="20"/>
      <w:szCs w:val="20"/>
      <w:lang w:val="en-US" w:bidi="lo-LA"/>
    </w:rPr>
  </w:style>
  <w:style w:type="paragraph" w:styleId="BalloonText">
    <w:name w:val="Balloon Text"/>
    <w:basedOn w:val="Normal"/>
    <w:link w:val="BalloonTextChar"/>
    <w:uiPriority w:val="99"/>
    <w:semiHidden/>
    <w:unhideWhenUsed/>
    <w:rsid w:val="00B53406"/>
    <w:rPr>
      <w:rFonts w:ascii="Segoe UI" w:hAnsi="Segoe UI" w:cs="Segoe UI"/>
      <w:sz w:val="18"/>
      <w:szCs w:val="18"/>
    </w:rPr>
  </w:style>
  <w:style w:type="character" w:customStyle="1" w:styleId="BalloonTextChar">
    <w:name w:val="Balloon Text Char"/>
    <w:link w:val="BalloonText"/>
    <w:uiPriority w:val="99"/>
    <w:semiHidden/>
    <w:rsid w:val="00B53406"/>
    <w:rPr>
      <w:rFonts w:ascii="Segoe UI" w:eastAsia="Times New Roman" w:hAnsi="Segoe UI" w:cs="Segoe UI"/>
      <w:sz w:val="18"/>
      <w:szCs w:val="18"/>
      <w:lang w:val="lv-LV"/>
    </w:rPr>
  </w:style>
  <w:style w:type="paragraph" w:styleId="NoSpacing">
    <w:name w:val="No Spacing"/>
    <w:uiPriority w:val="1"/>
    <w:qFormat/>
    <w:rsid w:val="0011246F"/>
    <w:pPr>
      <w:jc w:val="both"/>
    </w:pPr>
    <w:rPr>
      <w:rFonts w:ascii="Times New Roman" w:eastAsia="Times New Roman" w:hAnsi="Times New Roman" w:cs="Times New Roman"/>
      <w:sz w:val="24"/>
      <w:szCs w:val="24"/>
      <w:lang w:eastAsia="en-US"/>
    </w:rPr>
  </w:style>
  <w:style w:type="character" w:styleId="CommentReference">
    <w:name w:val="annotation reference"/>
    <w:uiPriority w:val="99"/>
    <w:semiHidden/>
    <w:unhideWhenUsed/>
    <w:rsid w:val="00F80A4D"/>
    <w:rPr>
      <w:sz w:val="16"/>
      <w:szCs w:val="16"/>
    </w:rPr>
  </w:style>
  <w:style w:type="paragraph" w:styleId="CommentText">
    <w:name w:val="annotation text"/>
    <w:basedOn w:val="Normal"/>
    <w:link w:val="CommentTextChar"/>
    <w:uiPriority w:val="99"/>
    <w:unhideWhenUsed/>
    <w:rsid w:val="00F80A4D"/>
    <w:rPr>
      <w:sz w:val="20"/>
      <w:szCs w:val="20"/>
    </w:rPr>
  </w:style>
  <w:style w:type="character" w:customStyle="1" w:styleId="CommentTextChar">
    <w:name w:val="Comment Text Char"/>
    <w:link w:val="CommentText"/>
    <w:uiPriority w:val="99"/>
    <w:rsid w:val="00F80A4D"/>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F80A4D"/>
    <w:rPr>
      <w:b/>
      <w:bCs/>
    </w:rPr>
  </w:style>
  <w:style w:type="character" w:customStyle="1" w:styleId="CommentSubjectChar">
    <w:name w:val="Comment Subject Char"/>
    <w:link w:val="CommentSubject"/>
    <w:uiPriority w:val="99"/>
    <w:semiHidden/>
    <w:rsid w:val="00F80A4D"/>
    <w:rPr>
      <w:rFonts w:ascii="Times New Roman" w:eastAsia="Times New Roman" w:hAnsi="Times New Roman" w:cs="Times New Roman"/>
      <w:b/>
      <w:bCs/>
      <w:sz w:val="20"/>
      <w:szCs w:val="20"/>
      <w:lang w:val="lv-LV"/>
    </w:rPr>
  </w:style>
  <w:style w:type="paragraph" w:customStyle="1" w:styleId="naiskr">
    <w:name w:val="naiskr"/>
    <w:basedOn w:val="Normal"/>
    <w:rsid w:val="00802B33"/>
    <w:pPr>
      <w:spacing w:before="75" w:after="75"/>
      <w:jc w:val="left"/>
    </w:pPr>
    <w:rPr>
      <w:lang w:eastAsia="lv-LV"/>
    </w:rPr>
  </w:style>
  <w:style w:type="paragraph" w:styleId="BodyText2">
    <w:name w:val="Body Text 2"/>
    <w:basedOn w:val="Normal"/>
    <w:link w:val="BodyText2Char"/>
    <w:uiPriority w:val="99"/>
    <w:rsid w:val="00802B33"/>
    <w:pPr>
      <w:spacing w:after="120" w:line="480" w:lineRule="auto"/>
      <w:jc w:val="left"/>
    </w:pPr>
    <w:rPr>
      <w:rFonts w:ascii="Calibri" w:hAnsi="Calibri" w:cs="Calibri"/>
      <w:sz w:val="22"/>
      <w:szCs w:val="22"/>
      <w:lang w:eastAsia="lv-LV"/>
    </w:rPr>
  </w:style>
  <w:style w:type="character" w:customStyle="1" w:styleId="BodyText2Char">
    <w:name w:val="Body Text 2 Char"/>
    <w:link w:val="BodyText2"/>
    <w:uiPriority w:val="99"/>
    <w:rsid w:val="00802B33"/>
    <w:rPr>
      <w:rFonts w:ascii="Calibri" w:eastAsia="Times New Roman" w:hAnsi="Calibri" w:cs="Calibri"/>
      <w:lang w:val="lv-LV" w:eastAsia="lv-LV"/>
    </w:rPr>
  </w:style>
  <w:style w:type="paragraph" w:customStyle="1" w:styleId="tv213">
    <w:name w:val="tv213"/>
    <w:basedOn w:val="Normal"/>
    <w:rsid w:val="008D6CA2"/>
    <w:pPr>
      <w:spacing w:before="100" w:beforeAutospacing="1" w:after="100" w:afterAutospacing="1"/>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299800">
      <w:bodyDiv w:val="1"/>
      <w:marLeft w:val="0"/>
      <w:marRight w:val="0"/>
      <w:marTop w:val="0"/>
      <w:marBottom w:val="0"/>
      <w:divBdr>
        <w:top w:val="none" w:sz="0" w:space="0" w:color="auto"/>
        <w:left w:val="none" w:sz="0" w:space="0" w:color="auto"/>
        <w:bottom w:val="none" w:sz="0" w:space="0" w:color="auto"/>
        <w:right w:val="none" w:sz="0" w:space="0" w:color="auto"/>
      </w:divBdr>
      <w:divsChild>
        <w:div w:id="1271089158">
          <w:marLeft w:val="0"/>
          <w:marRight w:val="0"/>
          <w:marTop w:val="0"/>
          <w:marBottom w:val="0"/>
          <w:divBdr>
            <w:top w:val="none" w:sz="0" w:space="0" w:color="auto"/>
            <w:left w:val="none" w:sz="0" w:space="0" w:color="auto"/>
            <w:bottom w:val="none" w:sz="0" w:space="0" w:color="auto"/>
            <w:right w:val="none" w:sz="0" w:space="0" w:color="auto"/>
          </w:divBdr>
          <w:divsChild>
            <w:div w:id="1508135223">
              <w:marLeft w:val="0"/>
              <w:marRight w:val="0"/>
              <w:marTop w:val="0"/>
              <w:marBottom w:val="0"/>
              <w:divBdr>
                <w:top w:val="none" w:sz="0" w:space="0" w:color="auto"/>
                <w:left w:val="none" w:sz="0" w:space="0" w:color="auto"/>
                <w:bottom w:val="none" w:sz="0" w:space="0" w:color="auto"/>
                <w:right w:val="none" w:sz="0" w:space="0" w:color="auto"/>
              </w:divBdr>
              <w:divsChild>
                <w:div w:id="1645037505">
                  <w:marLeft w:val="0"/>
                  <w:marRight w:val="0"/>
                  <w:marTop w:val="0"/>
                  <w:marBottom w:val="0"/>
                  <w:divBdr>
                    <w:top w:val="none" w:sz="0" w:space="0" w:color="auto"/>
                    <w:left w:val="none" w:sz="0" w:space="0" w:color="auto"/>
                    <w:bottom w:val="none" w:sz="0" w:space="0" w:color="auto"/>
                    <w:right w:val="none" w:sz="0" w:space="0" w:color="auto"/>
                  </w:divBdr>
                  <w:divsChild>
                    <w:div w:id="2068141782">
                      <w:marLeft w:val="0"/>
                      <w:marRight w:val="0"/>
                      <w:marTop w:val="0"/>
                      <w:marBottom w:val="0"/>
                      <w:divBdr>
                        <w:top w:val="none" w:sz="0" w:space="0" w:color="auto"/>
                        <w:left w:val="none" w:sz="0" w:space="0" w:color="auto"/>
                        <w:bottom w:val="none" w:sz="0" w:space="0" w:color="auto"/>
                        <w:right w:val="none" w:sz="0" w:space="0" w:color="auto"/>
                      </w:divBdr>
                      <w:divsChild>
                        <w:div w:id="1522205389">
                          <w:marLeft w:val="0"/>
                          <w:marRight w:val="0"/>
                          <w:marTop w:val="300"/>
                          <w:marBottom w:val="0"/>
                          <w:divBdr>
                            <w:top w:val="none" w:sz="0" w:space="0" w:color="auto"/>
                            <w:left w:val="none" w:sz="0" w:space="0" w:color="auto"/>
                            <w:bottom w:val="none" w:sz="0" w:space="0" w:color="auto"/>
                            <w:right w:val="none" w:sz="0" w:space="0" w:color="auto"/>
                          </w:divBdr>
                          <w:divsChild>
                            <w:div w:id="8681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914237">
      <w:bodyDiv w:val="1"/>
      <w:marLeft w:val="0"/>
      <w:marRight w:val="0"/>
      <w:marTop w:val="0"/>
      <w:marBottom w:val="0"/>
      <w:divBdr>
        <w:top w:val="none" w:sz="0" w:space="0" w:color="auto"/>
        <w:left w:val="none" w:sz="0" w:space="0" w:color="auto"/>
        <w:bottom w:val="none" w:sz="0" w:space="0" w:color="auto"/>
        <w:right w:val="none" w:sz="0" w:space="0" w:color="auto"/>
      </w:divBdr>
    </w:div>
    <w:div w:id="1326738627">
      <w:bodyDiv w:val="1"/>
      <w:marLeft w:val="0"/>
      <w:marRight w:val="0"/>
      <w:marTop w:val="0"/>
      <w:marBottom w:val="0"/>
      <w:divBdr>
        <w:top w:val="none" w:sz="0" w:space="0" w:color="auto"/>
        <w:left w:val="none" w:sz="0" w:space="0" w:color="auto"/>
        <w:bottom w:val="none" w:sz="0" w:space="0" w:color="auto"/>
        <w:right w:val="none" w:sz="0" w:space="0" w:color="auto"/>
      </w:divBdr>
    </w:div>
    <w:div w:id="1399792131">
      <w:bodyDiv w:val="1"/>
      <w:marLeft w:val="0"/>
      <w:marRight w:val="0"/>
      <w:marTop w:val="0"/>
      <w:marBottom w:val="0"/>
      <w:divBdr>
        <w:top w:val="none" w:sz="0" w:space="0" w:color="auto"/>
        <w:left w:val="none" w:sz="0" w:space="0" w:color="auto"/>
        <w:bottom w:val="none" w:sz="0" w:space="0" w:color="auto"/>
        <w:right w:val="none" w:sz="0" w:space="0" w:color="auto"/>
      </w:divBdr>
    </w:div>
    <w:div w:id="1531411872">
      <w:bodyDiv w:val="1"/>
      <w:marLeft w:val="0"/>
      <w:marRight w:val="0"/>
      <w:marTop w:val="0"/>
      <w:marBottom w:val="0"/>
      <w:divBdr>
        <w:top w:val="none" w:sz="0" w:space="0" w:color="auto"/>
        <w:left w:val="none" w:sz="0" w:space="0" w:color="auto"/>
        <w:bottom w:val="none" w:sz="0" w:space="0" w:color="auto"/>
        <w:right w:val="none" w:sz="0" w:space="0" w:color="auto"/>
      </w:divBdr>
    </w:div>
    <w:div w:id="159477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A8889-7119-4DFF-8C5F-112175EE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8310</Words>
  <Characters>4737</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“Noteikumi par 2021. /2022. mācību gada un mācību semestru sākuma un beigu laiku un brīvdienu laiku” sākotnējās ietekmes novērtējuma ziņojums (anotācija)</vt:lpstr>
      <vt:lpstr>Ministru kabineta noteikumu projekta „Kārtība un vērtēšanas nosacījumi valsts un pašvaldību izglītības iestāžu (izņemot augstskolas un koledžas) vadītāju un pašvaldību izglītības pārvalžu vadītāju amatu pretendentu atlasei” sākotnējās ietekmes  novērtējum</vt:lpstr>
    </vt:vector>
  </TitlesOfParts>
  <Company>IZM</Company>
  <LinksUpToDate>false</LinksUpToDate>
  <CharactersWithSpaces>13021</CharactersWithSpaces>
  <SharedDoc>false</SharedDoc>
  <HLinks>
    <vt:vector size="6" baseType="variant">
      <vt:variant>
        <vt:i4>18</vt:i4>
      </vt:variant>
      <vt:variant>
        <vt:i4>0</vt:i4>
      </vt:variant>
      <vt:variant>
        <vt:i4>0</vt:i4>
      </vt:variant>
      <vt:variant>
        <vt:i4>5</vt:i4>
      </vt:variant>
      <vt:variant>
        <vt:lpwstr>http://www.izm.gov.lv/lv/normativie-akti/normativo-aktu-projekti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2021. /2022. mācību gada un mācību semestru sākuma un beigu laiku un brīvdienu laiku” sākotnējās ietekmes novērtējuma ziņojums (anotācija)</dc:title>
  <dc:subject>Anotacija</dc:subject>
  <dc:creator>IZM</dc:creator>
  <dc:description>Dzintra Mergupe-Kutraite
Izglītības un zinātnes ministrijas Izglītības departamenta eksperte
67047817, dzintra.mergupe@izm.gov.lv</dc:description>
  <cp:lastModifiedBy>Dzintra Mergupe-Kutraite</cp:lastModifiedBy>
  <cp:revision>2</cp:revision>
  <cp:lastPrinted>2020-10-16T09:32:00Z</cp:lastPrinted>
  <dcterms:created xsi:type="dcterms:W3CDTF">2020-11-16T10:35:00Z</dcterms:created>
  <dcterms:modified xsi:type="dcterms:W3CDTF">2020-11-16T10:35:00Z</dcterms:modified>
</cp:coreProperties>
</file>