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ACE28" w14:textId="626EA1A3" w:rsidR="00B21CFE" w:rsidRPr="00B21CFE" w:rsidRDefault="00B21CFE" w:rsidP="00B21CFE">
      <w:pPr>
        <w:tabs>
          <w:tab w:val="left" w:pos="1134"/>
        </w:tabs>
        <w:spacing w:after="120"/>
        <w:contextualSpacing/>
        <w:jc w:val="right"/>
        <w:rPr>
          <w:rFonts w:cs="Times New Roman"/>
          <w:i/>
        </w:rPr>
      </w:pPr>
      <w:r w:rsidRPr="00B21CFE">
        <w:rPr>
          <w:rFonts w:cs="Times New Roman"/>
          <w:i/>
        </w:rPr>
        <w:t>Projekts</w:t>
      </w:r>
    </w:p>
    <w:p w14:paraId="5952799A" w14:textId="77777777" w:rsidR="00B21CFE" w:rsidRDefault="00575737" w:rsidP="00757CA0">
      <w:pPr>
        <w:tabs>
          <w:tab w:val="left" w:pos="1134"/>
        </w:tabs>
        <w:spacing w:after="120"/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Informatīvais ziņojums </w:t>
      </w:r>
    </w:p>
    <w:p w14:paraId="665723C3" w14:textId="4C0FF1FF" w:rsidR="000F6A3F" w:rsidRPr="00B83AD3" w:rsidRDefault="00575737" w:rsidP="00757CA0">
      <w:pPr>
        <w:tabs>
          <w:tab w:val="left" w:pos="1134"/>
        </w:tabs>
        <w:spacing w:after="120"/>
        <w:contextualSpacing/>
        <w:jc w:val="center"/>
        <w:rPr>
          <w:rFonts w:eastAsia="Times New Roman" w:cs="Times New Roman"/>
          <w:bCs/>
          <w:color w:val="000000" w:themeColor="text1"/>
        </w:rPr>
      </w:pPr>
      <w:r>
        <w:rPr>
          <w:rFonts w:cs="Times New Roman"/>
          <w:b/>
        </w:rPr>
        <w:t>“</w:t>
      </w:r>
      <w:r w:rsidR="00757CA0" w:rsidRPr="00757CA0">
        <w:rPr>
          <w:rFonts w:cs="Times New Roman"/>
          <w:b/>
        </w:rPr>
        <w:t>Par Latvijas Republikas valdības  un Eiropas Inovāciju un tehnoloģiju</w:t>
      </w:r>
      <w:r>
        <w:rPr>
          <w:rFonts w:cs="Times New Roman"/>
          <w:b/>
        </w:rPr>
        <w:t xml:space="preserve"> institūta saprašanās memorandu”</w:t>
      </w:r>
    </w:p>
    <w:p w14:paraId="3CFF72EA" w14:textId="77777777" w:rsidR="00896903" w:rsidRDefault="004A5A0B" w:rsidP="00097393">
      <w:pPr>
        <w:tabs>
          <w:tab w:val="left" w:pos="720"/>
        </w:tabs>
        <w:spacing w:after="120"/>
        <w:contextualSpacing/>
        <w:rPr>
          <w:rFonts w:eastAsia="Times New Roman" w:cs="Times New Roman"/>
          <w:bCs/>
          <w:color w:val="000000" w:themeColor="text1"/>
        </w:rPr>
      </w:pPr>
      <w:r w:rsidRPr="00B83AD3">
        <w:rPr>
          <w:rFonts w:eastAsia="Times New Roman" w:cs="Times New Roman"/>
          <w:bCs/>
          <w:color w:val="000000" w:themeColor="text1"/>
        </w:rPr>
        <w:tab/>
      </w:r>
    </w:p>
    <w:p w14:paraId="7EAEEDC7" w14:textId="0475B73E" w:rsidR="00B21CFE" w:rsidRPr="00B21CFE" w:rsidRDefault="00896903" w:rsidP="00B21CFE">
      <w:pPr>
        <w:tabs>
          <w:tab w:val="left" w:pos="1134"/>
        </w:tabs>
        <w:spacing w:after="120"/>
        <w:contextualSpacing/>
        <w:jc w:val="right"/>
        <w:rPr>
          <w:rFonts w:cs="Times New Roman"/>
          <w:i/>
        </w:rPr>
      </w:pPr>
      <w:r>
        <w:rPr>
          <w:rFonts w:eastAsia="Times New Roman" w:cs="Times New Roman"/>
          <w:bCs/>
          <w:color w:val="000000" w:themeColor="text1"/>
        </w:rPr>
        <w:tab/>
      </w:r>
    </w:p>
    <w:p w14:paraId="4D76D93E" w14:textId="15A9B78A" w:rsidR="00B21CFE" w:rsidRPr="00E41F4F" w:rsidRDefault="00B21CFE" w:rsidP="00003D97">
      <w:pPr>
        <w:tabs>
          <w:tab w:val="left" w:pos="709"/>
        </w:tabs>
        <w:spacing w:after="120"/>
        <w:contextualSpacing/>
        <w:rPr>
          <w:rFonts w:cs="Times New Roman"/>
          <w:noProof/>
        </w:rPr>
      </w:pPr>
      <w:r>
        <w:rPr>
          <w:rFonts w:cs="Times New Roman"/>
          <w:sz w:val="24"/>
          <w:szCs w:val="24"/>
        </w:rPr>
        <w:tab/>
      </w:r>
      <w:r w:rsidRPr="00E41F4F">
        <w:rPr>
          <w:rFonts w:cs="Times New Roman"/>
        </w:rPr>
        <w:t xml:space="preserve">Informatīvā  ziņojuma “Par Latvijas Republikas valdības  un Eiropas Inovāciju un tehnoloģiju institūta saprašanās memorandu” </w:t>
      </w:r>
      <w:r w:rsidR="00003D97" w:rsidRPr="00E41F4F">
        <w:rPr>
          <w:rFonts w:cs="Times New Roman"/>
        </w:rPr>
        <w:t xml:space="preserve">(turpmāk – ziņojums) mērķis ir informēt Ministru kabinetu par līdzšinējo Latvijas dalībnieku un EIT sadarbību un nepieciešamību </w:t>
      </w:r>
      <w:r w:rsidR="00815731">
        <w:rPr>
          <w:rFonts w:cs="Times New Roman"/>
        </w:rPr>
        <w:t>no</w:t>
      </w:r>
      <w:r w:rsidR="00003D97" w:rsidRPr="00E41F4F">
        <w:rPr>
          <w:rFonts w:cs="Times New Roman"/>
        </w:rPr>
        <w:t>slē</w:t>
      </w:r>
      <w:r w:rsidR="00815731">
        <w:rPr>
          <w:rFonts w:cs="Times New Roman"/>
        </w:rPr>
        <w:t>gt Latvijas Republikas valdības</w:t>
      </w:r>
      <w:r w:rsidR="00003D97" w:rsidRPr="00E41F4F">
        <w:rPr>
          <w:rFonts w:cs="Times New Roman"/>
        </w:rPr>
        <w:t xml:space="preserve"> un Eiropas Inovāciju un tehnoloģiju institūta saprašanās memorandu (turpmāk – memorands). </w:t>
      </w:r>
      <w:r w:rsidRPr="00E41F4F">
        <w:rPr>
          <w:rFonts w:cs="Times New Roman"/>
        </w:rPr>
        <w:t>Ziņojums izstrādāts, pamatojoties</w:t>
      </w:r>
      <w:r w:rsidR="00003D97" w:rsidRPr="00E41F4F">
        <w:rPr>
          <w:rFonts w:cs="Times New Roman"/>
        </w:rPr>
        <w:t xml:space="preserve"> uz Ministru kabineta 2009. gada 7. aprīļa noteikumu Nr.300 “Ministru kabineta kārtības rullis” 58.punktu.</w:t>
      </w:r>
    </w:p>
    <w:p w14:paraId="77B0DCDA" w14:textId="77777777" w:rsidR="00B21CFE" w:rsidRPr="00B21CFE" w:rsidRDefault="00B21CFE" w:rsidP="00815731">
      <w:pPr>
        <w:ind w:right="41"/>
        <w:rPr>
          <w:rFonts w:eastAsia="Times New Roman" w:cs="Times New Roman"/>
          <w:b/>
          <w:bCs/>
          <w:color w:val="000000" w:themeColor="text1"/>
        </w:rPr>
      </w:pPr>
    </w:p>
    <w:p w14:paraId="344807D8" w14:textId="6FDA12C5" w:rsidR="00B21CFE" w:rsidRPr="00B21CFE" w:rsidRDefault="00B21CFE" w:rsidP="002F0F2F">
      <w:pPr>
        <w:ind w:right="41"/>
        <w:jc w:val="center"/>
        <w:rPr>
          <w:rFonts w:eastAsia="Times New Roman" w:cs="Times New Roman"/>
          <w:b/>
          <w:bCs/>
          <w:color w:val="000000" w:themeColor="text1"/>
        </w:rPr>
      </w:pPr>
      <w:r w:rsidRPr="00B21CFE">
        <w:rPr>
          <w:rFonts w:eastAsia="Times New Roman" w:cs="Times New Roman"/>
          <w:b/>
          <w:bCs/>
          <w:color w:val="000000" w:themeColor="text1"/>
        </w:rPr>
        <w:t>Eiropas Inovāciju un tehnoloģiju institūts</w:t>
      </w:r>
    </w:p>
    <w:p w14:paraId="208AA090" w14:textId="77777777" w:rsidR="00B21CFE" w:rsidRDefault="00896903" w:rsidP="00B21CFE">
      <w:pPr>
        <w:tabs>
          <w:tab w:val="left" w:pos="720"/>
        </w:tabs>
        <w:spacing w:after="120"/>
        <w:contextualSpacing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>
        <w:rPr>
          <w:rFonts w:eastAsia="Times New Roman" w:cs="Times New Roman"/>
          <w:bCs/>
          <w:color w:val="000000" w:themeColor="text1"/>
        </w:rPr>
        <w:tab/>
      </w:r>
      <w:r w:rsidR="00B21CFE" w:rsidRPr="00B21CFE">
        <w:rPr>
          <w:rFonts w:ascii="Arial" w:hAnsi="Arial" w:cs="Arial"/>
          <w:color w:val="414142"/>
          <w:sz w:val="20"/>
          <w:szCs w:val="20"/>
          <w:shd w:val="clear" w:color="auto" w:fill="FFFFFF"/>
        </w:rPr>
        <w:t> </w:t>
      </w:r>
    </w:p>
    <w:p w14:paraId="0DB443AA" w14:textId="562DF72F" w:rsidR="00B21CFE" w:rsidRDefault="00B21CFE" w:rsidP="00B21CFE">
      <w:pPr>
        <w:tabs>
          <w:tab w:val="left" w:pos="720"/>
        </w:tabs>
        <w:spacing w:after="120"/>
        <w:contextualSpacing/>
        <w:rPr>
          <w:color w:val="000000"/>
        </w:rPr>
      </w:pP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ab/>
      </w:r>
      <w:r w:rsidRPr="00B21CFE">
        <w:rPr>
          <w:rFonts w:eastAsia="Times New Roman" w:cs="Times New Roman"/>
          <w:bCs/>
          <w:color w:val="000000" w:themeColor="text1"/>
        </w:rPr>
        <w:t>Eiropas Inovāciju un tehnol</w:t>
      </w:r>
      <w:r w:rsidR="00815731">
        <w:rPr>
          <w:rFonts w:eastAsia="Times New Roman" w:cs="Times New Roman"/>
          <w:bCs/>
          <w:color w:val="000000" w:themeColor="text1"/>
        </w:rPr>
        <w:t>oģiju institūts (turpmāk – EIT)</w:t>
      </w:r>
      <w:r w:rsidRPr="00B21CFE">
        <w:rPr>
          <w:rFonts w:eastAsia="Times New Roman" w:cs="Times New Roman"/>
          <w:bCs/>
          <w:color w:val="000000" w:themeColor="text1"/>
        </w:rPr>
        <w:t xml:space="preserve"> </w:t>
      </w:r>
      <w:r w:rsidRPr="00B21CFE">
        <w:rPr>
          <w:bCs/>
          <w:color w:val="000000" w:themeColor="text1"/>
        </w:rPr>
        <w:t xml:space="preserve">izveidots, pamatojoties uz </w:t>
      </w:r>
      <w:r w:rsidRPr="00B21CFE">
        <w:rPr>
          <w:bCs/>
          <w:color w:val="000000"/>
        </w:rPr>
        <w:t xml:space="preserve">Eiropas Parlamenta un Padomes 2008. gada 11. marta regulu (EK) Nr. 294/2008 </w:t>
      </w:r>
      <w:r w:rsidRPr="00B21CFE">
        <w:rPr>
          <w:color w:val="000000"/>
        </w:rPr>
        <w:t>par Eiropas Inovāciju un tehnoloģiju institūta izveidi</w:t>
      </w:r>
      <w:r>
        <w:rPr>
          <w:rStyle w:val="FootnoteReference"/>
          <w:color w:val="000000"/>
        </w:rPr>
        <w:footnoteReference w:id="1"/>
      </w:r>
      <w:r>
        <w:rPr>
          <w:color w:val="000000"/>
        </w:rPr>
        <w:t>.</w:t>
      </w:r>
      <w:r w:rsidR="00F24826">
        <w:rPr>
          <w:color w:val="000000"/>
        </w:rPr>
        <w:t xml:space="preserve"> </w:t>
      </w:r>
      <w:r w:rsidR="00F24826" w:rsidRPr="00757CA0">
        <w:rPr>
          <w:rFonts w:eastAsia="Times New Roman" w:cs="Times New Roman"/>
          <w:bCs/>
          <w:color w:val="000000" w:themeColor="text1"/>
        </w:rPr>
        <w:t xml:space="preserve">EIT </w:t>
      </w:r>
      <w:r w:rsidR="00F24826">
        <w:rPr>
          <w:rFonts w:eastAsia="Times New Roman" w:cs="Times New Roman"/>
          <w:bCs/>
          <w:color w:val="000000" w:themeColor="text1"/>
        </w:rPr>
        <w:t>mērķis ir</w:t>
      </w:r>
      <w:r w:rsidR="00F24826" w:rsidRPr="00757CA0">
        <w:rPr>
          <w:rFonts w:eastAsia="Times New Roman" w:cs="Times New Roman"/>
          <w:bCs/>
          <w:color w:val="000000" w:themeColor="text1"/>
        </w:rPr>
        <w:t xml:space="preserve"> sekmēt ilgtspējīgu ekonomisko izaugsmi un konkurētspēju, stiprinot dalībvalstu un </w:t>
      </w:r>
      <w:r w:rsidR="00815731" w:rsidRPr="00757CA0">
        <w:rPr>
          <w:rFonts w:eastAsia="Times New Roman" w:cs="Times New Roman"/>
          <w:bCs/>
          <w:color w:val="000000" w:themeColor="text1"/>
        </w:rPr>
        <w:t xml:space="preserve">Eiropas Savienības (turpmāk – ES) </w:t>
      </w:r>
      <w:r w:rsidR="00F24826" w:rsidRPr="00757CA0">
        <w:rPr>
          <w:rFonts w:eastAsia="Times New Roman" w:cs="Times New Roman"/>
          <w:bCs/>
          <w:color w:val="000000" w:themeColor="text1"/>
        </w:rPr>
        <w:t>spējas inovāciju jomā</w:t>
      </w:r>
      <w:r w:rsidR="00F24826">
        <w:rPr>
          <w:rFonts w:eastAsia="Times New Roman" w:cs="Times New Roman"/>
          <w:bCs/>
          <w:color w:val="000000" w:themeColor="text1"/>
        </w:rPr>
        <w:t>, īstenojot aktivitātes</w:t>
      </w:r>
      <w:r w:rsidR="00F24826" w:rsidRPr="00757CA0">
        <w:rPr>
          <w:rFonts w:eastAsia="Times New Roman" w:cs="Times New Roman"/>
          <w:bCs/>
          <w:color w:val="000000" w:themeColor="text1"/>
        </w:rPr>
        <w:t>.</w:t>
      </w:r>
      <w:r w:rsidR="00003D97">
        <w:rPr>
          <w:color w:val="000000"/>
        </w:rPr>
        <w:t xml:space="preserve"> </w:t>
      </w:r>
      <w:r w:rsidR="00E41F4F" w:rsidRPr="00757CA0">
        <w:rPr>
          <w:rFonts w:eastAsia="Times New Roman" w:cs="Times New Roman"/>
          <w:bCs/>
          <w:color w:val="000000" w:themeColor="text1"/>
        </w:rPr>
        <w:t xml:space="preserve">EIT ir </w:t>
      </w:r>
      <w:r w:rsidR="00815731">
        <w:rPr>
          <w:rFonts w:eastAsia="Times New Roman" w:cs="Times New Roman"/>
          <w:bCs/>
          <w:color w:val="000000" w:themeColor="text1"/>
        </w:rPr>
        <w:t>ES</w:t>
      </w:r>
      <w:r w:rsidR="00E41F4F" w:rsidRPr="00757CA0">
        <w:rPr>
          <w:rFonts w:eastAsia="Times New Roman" w:cs="Times New Roman"/>
          <w:bCs/>
          <w:color w:val="000000" w:themeColor="text1"/>
        </w:rPr>
        <w:t xml:space="preserve"> iestāde</w:t>
      </w:r>
      <w:r w:rsidR="00E41F4F">
        <w:rPr>
          <w:rFonts w:eastAsia="Times New Roman" w:cs="Times New Roman"/>
          <w:bCs/>
          <w:color w:val="000000" w:themeColor="text1"/>
        </w:rPr>
        <w:t xml:space="preserve"> </w:t>
      </w:r>
      <w:r w:rsidR="00E41F4F">
        <w:rPr>
          <w:color w:val="000000"/>
        </w:rPr>
        <w:t>ar</w:t>
      </w:r>
      <w:r w:rsidR="00E41F4F" w:rsidRPr="00E41F4F">
        <w:rPr>
          <w:color w:val="000000"/>
        </w:rPr>
        <w:t xml:space="preserve"> Kopienas struktūr</w:t>
      </w:r>
      <w:r w:rsidR="00E41F4F">
        <w:rPr>
          <w:color w:val="000000"/>
        </w:rPr>
        <w:t>u</w:t>
      </w:r>
      <w:r w:rsidR="00E41F4F" w:rsidRPr="00E41F4F">
        <w:rPr>
          <w:color w:val="000000"/>
        </w:rPr>
        <w:t xml:space="preserve">, un tā ir tiesību subjekts. EIT visās dalībvalstīs ir visplašākā tiesībspēja, ko šo valstu tiesību akti paredz juridiskām personām. </w:t>
      </w:r>
      <w:r w:rsidR="00003D97">
        <w:rPr>
          <w:color w:val="000000"/>
        </w:rPr>
        <w:t>EIT</w:t>
      </w:r>
      <w:r w:rsidR="00003D97" w:rsidRPr="00003D97">
        <w:rPr>
          <w:color w:val="000000"/>
        </w:rPr>
        <w:t xml:space="preserve"> papildin</w:t>
      </w:r>
      <w:r w:rsidR="00003D97">
        <w:rPr>
          <w:color w:val="000000"/>
        </w:rPr>
        <w:t>a Eiropas K</w:t>
      </w:r>
      <w:r w:rsidR="00003D97" w:rsidRPr="00003D97">
        <w:rPr>
          <w:color w:val="000000"/>
        </w:rPr>
        <w:t xml:space="preserve">opienas un valstu pastāvošo politiku un iniciatīvas, veicinot zinību triādes – augstākās izglītības, pētniecības un inovāciju – integrāciju visā </w:t>
      </w:r>
      <w:r w:rsidR="00815731">
        <w:rPr>
          <w:color w:val="000000"/>
        </w:rPr>
        <w:t>ES</w:t>
      </w:r>
      <w:r w:rsidR="00E41F4F">
        <w:rPr>
          <w:color w:val="000000"/>
        </w:rPr>
        <w:t xml:space="preserve">. </w:t>
      </w:r>
      <w:r w:rsidR="00E41F4F" w:rsidRPr="00E41F4F">
        <w:rPr>
          <w:color w:val="000000"/>
        </w:rPr>
        <w:t xml:space="preserve">EIT finansē no </w:t>
      </w:r>
      <w:r w:rsidR="00815731">
        <w:rPr>
          <w:color w:val="000000"/>
        </w:rPr>
        <w:t>ES</w:t>
      </w:r>
      <w:r w:rsidR="00E41F4F" w:rsidRPr="00E41F4F">
        <w:rPr>
          <w:color w:val="000000"/>
        </w:rPr>
        <w:t xml:space="preserve"> vispārējā budžeta iemaksas un no citiem privātiem un publiskiem avotiem.</w:t>
      </w:r>
    </w:p>
    <w:p w14:paraId="6B0324AD" w14:textId="77777777" w:rsidR="008A60C1" w:rsidRDefault="00B21CFE" w:rsidP="00B21CFE">
      <w:pPr>
        <w:tabs>
          <w:tab w:val="left" w:pos="720"/>
        </w:tabs>
        <w:spacing w:after="120"/>
        <w:contextualSpacing/>
        <w:rPr>
          <w:color w:val="000000"/>
        </w:rPr>
      </w:pPr>
      <w:r>
        <w:rPr>
          <w:color w:val="000000"/>
        </w:rPr>
        <w:tab/>
      </w:r>
    </w:p>
    <w:p w14:paraId="591E8893" w14:textId="01F9081C" w:rsidR="00757CA0" w:rsidRDefault="008459D8" w:rsidP="00757CA0">
      <w:pPr>
        <w:tabs>
          <w:tab w:val="left" w:pos="720"/>
        </w:tabs>
        <w:spacing w:after="120"/>
        <w:contextualSpacing/>
        <w:rPr>
          <w:rFonts w:eastAsia="Times New Roman" w:cs="Times New Roman"/>
          <w:bCs/>
          <w:color w:val="000000" w:themeColor="text1"/>
        </w:rPr>
      </w:pPr>
      <w:r>
        <w:tab/>
      </w:r>
      <w:r w:rsidR="00B21CFE">
        <w:t>EIT stratēģiskā inovāciju programma laikposmam no 2014. līdz 2020. gadam</w:t>
      </w:r>
      <w:r w:rsidR="00B21CFE">
        <w:rPr>
          <w:rStyle w:val="FootnoteReference"/>
        </w:rPr>
        <w:footnoteReference w:id="2"/>
      </w:r>
      <w:r w:rsidR="008B0712">
        <w:t xml:space="preserve"> (turpmāk – SIP)</w:t>
      </w:r>
      <w:r w:rsidR="008A60C1">
        <w:t xml:space="preserve"> </w:t>
      </w:r>
      <w:r w:rsidR="008B0712">
        <w:t>nosaka</w:t>
      </w:r>
      <w:r w:rsidR="008A60C1">
        <w:t xml:space="preserve"> </w:t>
      </w:r>
      <w:r w:rsidR="008B0712" w:rsidRPr="008B0712">
        <w:t>EIT prioritātes laikposmam no 20</w:t>
      </w:r>
      <w:r w:rsidR="008B0712">
        <w:t>14. līdz 2020. gadam, kā arī EIT darbības noteikumus</w:t>
      </w:r>
      <w:r w:rsidR="008B0712" w:rsidRPr="008B0712">
        <w:t xml:space="preserve">, </w:t>
      </w:r>
      <w:r w:rsidR="008B0712">
        <w:t xml:space="preserve">Eiropas politikas veidotāju noteiktai </w:t>
      </w:r>
      <w:r w:rsidR="008B0712" w:rsidRPr="008B0712">
        <w:t>EIT stratēģisk</w:t>
      </w:r>
      <w:r w:rsidR="008B0712">
        <w:t>ās koordinācijas īstenošanai</w:t>
      </w:r>
      <w:r w:rsidR="008B0712" w:rsidRPr="008B0712">
        <w:t>, vienlaikus nodrošinot institūtam ievērojamu autonomiju tādos jautājumos kā noteikto mērķu sasniegšanas veidi un līdzekļi</w:t>
      </w:r>
      <w:r w:rsidR="00757CA0" w:rsidRPr="00757CA0">
        <w:rPr>
          <w:rFonts w:eastAsia="Times New Roman" w:cs="Times New Roman"/>
          <w:bCs/>
          <w:color w:val="000000" w:themeColor="text1"/>
        </w:rPr>
        <w:t>,</w:t>
      </w:r>
      <w:r w:rsidR="00F24826">
        <w:rPr>
          <w:rFonts w:eastAsia="Times New Roman" w:cs="Times New Roman"/>
          <w:bCs/>
          <w:color w:val="000000" w:themeColor="text1"/>
        </w:rPr>
        <w:t xml:space="preserve"> </w:t>
      </w:r>
      <w:r w:rsidR="00757CA0" w:rsidRPr="00757CA0">
        <w:rPr>
          <w:rFonts w:eastAsia="Times New Roman" w:cs="Times New Roman"/>
          <w:bCs/>
          <w:color w:val="000000" w:themeColor="text1"/>
        </w:rPr>
        <w:t xml:space="preserve">kas </w:t>
      </w:r>
      <w:r w:rsidR="00387872">
        <w:rPr>
          <w:rFonts w:eastAsia="Times New Roman" w:cs="Times New Roman"/>
          <w:bCs/>
          <w:color w:val="000000" w:themeColor="text1"/>
        </w:rPr>
        <w:t>caur Z</w:t>
      </w:r>
      <w:r w:rsidR="00387872" w:rsidRPr="00757CA0">
        <w:rPr>
          <w:rFonts w:eastAsia="Times New Roman" w:cs="Times New Roman"/>
          <w:bCs/>
          <w:color w:val="000000" w:themeColor="text1"/>
        </w:rPr>
        <w:t>ināšanu un inovāciju kopien</w:t>
      </w:r>
      <w:r w:rsidR="00387872">
        <w:rPr>
          <w:rFonts w:eastAsia="Times New Roman" w:cs="Times New Roman"/>
          <w:bCs/>
          <w:color w:val="000000" w:themeColor="text1"/>
        </w:rPr>
        <w:t>ām</w:t>
      </w:r>
      <w:r w:rsidR="008B0712">
        <w:rPr>
          <w:rFonts w:eastAsia="Times New Roman" w:cs="Times New Roman"/>
          <w:bCs/>
          <w:color w:val="000000" w:themeColor="text1"/>
        </w:rPr>
        <w:t xml:space="preserve"> </w:t>
      </w:r>
      <w:r w:rsidR="008B0712" w:rsidRPr="008B0712">
        <w:rPr>
          <w:rFonts w:eastAsia="Times New Roman" w:cs="Times New Roman"/>
          <w:bCs/>
          <w:i/>
          <w:color w:val="000000" w:themeColor="text1"/>
        </w:rPr>
        <w:t>(</w:t>
      </w:r>
      <w:proofErr w:type="spellStart"/>
      <w:r w:rsidR="008B0712" w:rsidRPr="008B0712">
        <w:rPr>
          <w:rFonts w:eastAsia="Times New Roman" w:cs="Times New Roman"/>
          <w:bCs/>
          <w:i/>
          <w:color w:val="000000" w:themeColor="text1"/>
        </w:rPr>
        <w:t>Knowledge</w:t>
      </w:r>
      <w:proofErr w:type="spellEnd"/>
      <w:r w:rsidR="008B0712" w:rsidRPr="008B0712">
        <w:rPr>
          <w:rFonts w:eastAsia="Times New Roman" w:cs="Times New Roman"/>
          <w:bCs/>
          <w:i/>
          <w:color w:val="000000" w:themeColor="text1"/>
        </w:rPr>
        <w:t xml:space="preserve"> </w:t>
      </w:r>
      <w:proofErr w:type="spellStart"/>
      <w:r w:rsidR="008B0712" w:rsidRPr="008B0712">
        <w:rPr>
          <w:rFonts w:eastAsia="Times New Roman" w:cs="Times New Roman"/>
          <w:bCs/>
          <w:i/>
          <w:color w:val="000000" w:themeColor="text1"/>
        </w:rPr>
        <w:t>and</w:t>
      </w:r>
      <w:proofErr w:type="spellEnd"/>
      <w:r w:rsidR="008B0712" w:rsidRPr="008B0712">
        <w:rPr>
          <w:rFonts w:eastAsia="Times New Roman" w:cs="Times New Roman"/>
          <w:bCs/>
          <w:i/>
          <w:color w:val="000000" w:themeColor="text1"/>
        </w:rPr>
        <w:t xml:space="preserve"> Innovation </w:t>
      </w:r>
      <w:proofErr w:type="spellStart"/>
      <w:r w:rsidR="008B0712" w:rsidRPr="008B0712">
        <w:rPr>
          <w:rFonts w:eastAsia="Times New Roman" w:cs="Times New Roman"/>
          <w:bCs/>
          <w:i/>
          <w:color w:val="000000" w:themeColor="text1"/>
        </w:rPr>
        <w:t>Communities</w:t>
      </w:r>
      <w:proofErr w:type="spellEnd"/>
      <w:r w:rsidR="008B0712" w:rsidRPr="008B0712">
        <w:rPr>
          <w:rFonts w:eastAsia="Times New Roman" w:cs="Times New Roman"/>
          <w:bCs/>
          <w:i/>
          <w:color w:val="000000" w:themeColor="text1"/>
        </w:rPr>
        <w:t>)</w:t>
      </w:r>
      <w:r w:rsidR="00387872">
        <w:rPr>
          <w:rFonts w:eastAsia="Times New Roman" w:cs="Times New Roman"/>
          <w:bCs/>
          <w:color w:val="000000" w:themeColor="text1"/>
        </w:rPr>
        <w:t xml:space="preserve"> (</w:t>
      </w:r>
      <w:proofErr w:type="spellStart"/>
      <w:r w:rsidR="00387872">
        <w:rPr>
          <w:rFonts w:eastAsia="Times New Roman" w:cs="Times New Roman"/>
          <w:bCs/>
          <w:color w:val="000000" w:themeColor="text1"/>
        </w:rPr>
        <w:t>tupmāk</w:t>
      </w:r>
      <w:proofErr w:type="spellEnd"/>
      <w:r w:rsidR="00387872">
        <w:rPr>
          <w:rFonts w:eastAsia="Times New Roman" w:cs="Times New Roman"/>
          <w:bCs/>
          <w:color w:val="000000" w:themeColor="text1"/>
        </w:rPr>
        <w:t xml:space="preserve"> – KIC), </w:t>
      </w:r>
      <w:r w:rsidR="00757CA0" w:rsidRPr="00757CA0">
        <w:rPr>
          <w:rFonts w:eastAsia="Times New Roman" w:cs="Times New Roman"/>
          <w:bCs/>
          <w:color w:val="000000" w:themeColor="text1"/>
        </w:rPr>
        <w:t>veicina uzņēmumu, izglītības un pētniecības iestāžu sadarbību, lai radītu inovācijai un uzņēmējdarbībai labvēlīgu vidi ES.</w:t>
      </w:r>
      <w:r w:rsidR="00F24826">
        <w:rPr>
          <w:rFonts w:eastAsia="Times New Roman" w:cs="Times New Roman"/>
          <w:bCs/>
          <w:color w:val="000000" w:themeColor="text1"/>
        </w:rPr>
        <w:t xml:space="preserve"> Uz 2020. gada decembri darbojās 8 KIC –</w:t>
      </w:r>
      <w:r w:rsidR="00F24826" w:rsidRPr="00F24826">
        <w:rPr>
          <w:rFonts w:eastAsia="Times New Roman" w:cs="Times New Roman"/>
          <w:bCs/>
          <w:i/>
          <w:color w:val="000000" w:themeColor="text1"/>
        </w:rPr>
        <w:t xml:space="preserve"> </w:t>
      </w:r>
      <w:proofErr w:type="spellStart"/>
      <w:r w:rsidR="00F24826" w:rsidRPr="00F24826">
        <w:rPr>
          <w:rFonts w:eastAsia="Times New Roman" w:cs="Times New Roman"/>
          <w:bCs/>
          <w:i/>
          <w:color w:val="000000" w:themeColor="text1"/>
        </w:rPr>
        <w:t>Climate-Kic</w:t>
      </w:r>
      <w:proofErr w:type="spellEnd"/>
      <w:r w:rsidR="00F24826" w:rsidRPr="00F24826">
        <w:rPr>
          <w:rFonts w:eastAsia="Times New Roman" w:cs="Times New Roman"/>
          <w:bCs/>
          <w:i/>
          <w:color w:val="000000" w:themeColor="text1"/>
        </w:rPr>
        <w:t xml:space="preserve">, </w:t>
      </w:r>
      <w:proofErr w:type="spellStart"/>
      <w:r w:rsidR="00F24826" w:rsidRPr="00F24826">
        <w:rPr>
          <w:rFonts w:eastAsia="Times New Roman" w:cs="Times New Roman"/>
          <w:bCs/>
          <w:i/>
          <w:color w:val="000000" w:themeColor="text1"/>
        </w:rPr>
        <w:t>Digital</w:t>
      </w:r>
      <w:proofErr w:type="spellEnd"/>
      <w:r w:rsidR="00F24826" w:rsidRPr="00F24826">
        <w:rPr>
          <w:rFonts w:eastAsia="Times New Roman" w:cs="Times New Roman"/>
          <w:bCs/>
          <w:i/>
          <w:color w:val="000000" w:themeColor="text1"/>
        </w:rPr>
        <w:t xml:space="preserve">, </w:t>
      </w:r>
      <w:proofErr w:type="spellStart"/>
      <w:r w:rsidR="00F24826" w:rsidRPr="00F24826">
        <w:rPr>
          <w:rFonts w:eastAsia="Times New Roman" w:cs="Times New Roman"/>
          <w:bCs/>
          <w:i/>
          <w:color w:val="000000" w:themeColor="text1"/>
        </w:rPr>
        <w:t>Food</w:t>
      </w:r>
      <w:proofErr w:type="spellEnd"/>
      <w:r w:rsidR="00F24826" w:rsidRPr="00F24826">
        <w:rPr>
          <w:rFonts w:eastAsia="Times New Roman" w:cs="Times New Roman"/>
          <w:bCs/>
          <w:i/>
          <w:color w:val="000000" w:themeColor="text1"/>
        </w:rPr>
        <w:t xml:space="preserve">, </w:t>
      </w:r>
      <w:proofErr w:type="spellStart"/>
      <w:r w:rsidR="00F24826" w:rsidRPr="00F24826">
        <w:rPr>
          <w:rFonts w:eastAsia="Times New Roman" w:cs="Times New Roman"/>
          <w:bCs/>
          <w:i/>
          <w:color w:val="000000" w:themeColor="text1"/>
        </w:rPr>
        <w:t>Helath</w:t>
      </w:r>
      <w:proofErr w:type="spellEnd"/>
      <w:r w:rsidR="00F24826" w:rsidRPr="00F24826">
        <w:rPr>
          <w:rFonts w:eastAsia="Times New Roman" w:cs="Times New Roman"/>
          <w:bCs/>
          <w:i/>
          <w:color w:val="000000" w:themeColor="text1"/>
        </w:rPr>
        <w:t xml:space="preserve">, </w:t>
      </w:r>
      <w:proofErr w:type="spellStart"/>
      <w:r w:rsidR="00F24826" w:rsidRPr="00F24826">
        <w:rPr>
          <w:rFonts w:eastAsia="Times New Roman" w:cs="Times New Roman"/>
          <w:bCs/>
          <w:i/>
          <w:color w:val="000000" w:themeColor="text1"/>
        </w:rPr>
        <w:t>InnoEnergy</w:t>
      </w:r>
      <w:proofErr w:type="spellEnd"/>
      <w:r w:rsidR="00F24826" w:rsidRPr="00F24826">
        <w:rPr>
          <w:rFonts w:eastAsia="Times New Roman" w:cs="Times New Roman"/>
          <w:bCs/>
          <w:i/>
          <w:color w:val="000000" w:themeColor="text1"/>
        </w:rPr>
        <w:t xml:space="preserve">, </w:t>
      </w:r>
      <w:proofErr w:type="spellStart"/>
      <w:r w:rsidR="00F24826" w:rsidRPr="00F24826">
        <w:rPr>
          <w:rFonts w:eastAsia="Times New Roman" w:cs="Times New Roman"/>
          <w:bCs/>
          <w:i/>
          <w:color w:val="000000" w:themeColor="text1"/>
        </w:rPr>
        <w:t>Manufacturing</w:t>
      </w:r>
      <w:proofErr w:type="spellEnd"/>
      <w:r w:rsidR="00F24826" w:rsidRPr="00F24826">
        <w:rPr>
          <w:rFonts w:eastAsia="Times New Roman" w:cs="Times New Roman"/>
          <w:bCs/>
          <w:i/>
          <w:color w:val="000000" w:themeColor="text1"/>
        </w:rPr>
        <w:t xml:space="preserve">, </w:t>
      </w:r>
      <w:proofErr w:type="spellStart"/>
      <w:r w:rsidR="00F24826" w:rsidRPr="00F24826">
        <w:rPr>
          <w:rFonts w:eastAsia="Times New Roman" w:cs="Times New Roman"/>
          <w:bCs/>
          <w:i/>
          <w:color w:val="000000" w:themeColor="text1"/>
        </w:rPr>
        <w:t>RawMaterials</w:t>
      </w:r>
      <w:proofErr w:type="spellEnd"/>
      <w:r w:rsidR="00F24826" w:rsidRPr="00F24826">
        <w:rPr>
          <w:rFonts w:eastAsia="Times New Roman" w:cs="Times New Roman"/>
          <w:bCs/>
          <w:i/>
          <w:color w:val="000000" w:themeColor="text1"/>
        </w:rPr>
        <w:t xml:space="preserve">,  </w:t>
      </w:r>
      <w:r w:rsidR="00F24826" w:rsidRPr="00F24826">
        <w:rPr>
          <w:rFonts w:eastAsia="Times New Roman" w:cs="Times New Roman"/>
          <w:bCs/>
          <w:color w:val="000000" w:themeColor="text1"/>
        </w:rPr>
        <w:t>un</w:t>
      </w:r>
      <w:r w:rsidR="00F24826" w:rsidRPr="00F24826">
        <w:rPr>
          <w:rFonts w:eastAsia="Times New Roman" w:cs="Times New Roman"/>
          <w:bCs/>
          <w:i/>
          <w:color w:val="000000" w:themeColor="text1"/>
        </w:rPr>
        <w:t xml:space="preserve"> </w:t>
      </w:r>
      <w:proofErr w:type="spellStart"/>
      <w:r w:rsidR="00F24826" w:rsidRPr="00F24826">
        <w:rPr>
          <w:rFonts w:eastAsia="Times New Roman" w:cs="Times New Roman"/>
          <w:bCs/>
          <w:i/>
          <w:color w:val="000000" w:themeColor="text1"/>
        </w:rPr>
        <w:t>Urban</w:t>
      </w:r>
      <w:proofErr w:type="spellEnd"/>
      <w:r w:rsidR="00F24826" w:rsidRPr="00F24826">
        <w:rPr>
          <w:rFonts w:eastAsia="Times New Roman" w:cs="Times New Roman"/>
          <w:bCs/>
          <w:i/>
          <w:color w:val="000000" w:themeColor="text1"/>
        </w:rPr>
        <w:t xml:space="preserve"> </w:t>
      </w:r>
      <w:proofErr w:type="spellStart"/>
      <w:r w:rsidR="00F24826" w:rsidRPr="00F24826">
        <w:rPr>
          <w:rFonts w:eastAsia="Times New Roman" w:cs="Times New Roman"/>
          <w:bCs/>
          <w:i/>
          <w:color w:val="000000" w:themeColor="text1"/>
        </w:rPr>
        <w:t>Mobility</w:t>
      </w:r>
      <w:proofErr w:type="spellEnd"/>
      <w:r w:rsidR="00F24826" w:rsidRPr="00F24826">
        <w:rPr>
          <w:rFonts w:eastAsia="Times New Roman" w:cs="Times New Roman"/>
          <w:bCs/>
          <w:i/>
          <w:color w:val="000000" w:themeColor="text1"/>
        </w:rPr>
        <w:t>.</w:t>
      </w:r>
      <w:r w:rsidR="00F24826">
        <w:rPr>
          <w:rFonts w:eastAsia="Times New Roman" w:cs="Times New Roman"/>
          <w:bCs/>
          <w:i/>
          <w:color w:val="000000" w:themeColor="text1"/>
        </w:rPr>
        <w:t xml:space="preserve"> </w:t>
      </w:r>
      <w:r w:rsidR="00F24826">
        <w:rPr>
          <w:rFonts w:eastAsia="Times New Roman" w:cs="Times New Roman"/>
          <w:bCs/>
          <w:color w:val="000000" w:themeColor="text1"/>
        </w:rPr>
        <w:t xml:space="preserve">Šobrīd </w:t>
      </w:r>
      <w:r w:rsidR="00757CA0" w:rsidRPr="00757CA0">
        <w:rPr>
          <w:rFonts w:eastAsia="Times New Roman" w:cs="Times New Roman"/>
          <w:bCs/>
          <w:color w:val="000000" w:themeColor="text1"/>
        </w:rPr>
        <w:t xml:space="preserve">Koordinētas sadarbības nodrošināšanai, </w:t>
      </w:r>
      <w:r w:rsidR="007A0EE9">
        <w:rPr>
          <w:rFonts w:eastAsia="Times New Roman" w:cs="Times New Roman"/>
          <w:bCs/>
          <w:color w:val="000000" w:themeColor="text1"/>
        </w:rPr>
        <w:t xml:space="preserve">EIT aicina </w:t>
      </w:r>
      <w:r w:rsidR="00757CA0" w:rsidRPr="00757CA0">
        <w:rPr>
          <w:rFonts w:eastAsia="Times New Roman" w:cs="Times New Roman"/>
          <w:bCs/>
          <w:color w:val="000000" w:themeColor="text1"/>
        </w:rPr>
        <w:t xml:space="preserve">ES dalībvalstis </w:t>
      </w:r>
      <w:r w:rsidR="007A0EE9">
        <w:rPr>
          <w:rFonts w:eastAsia="Times New Roman" w:cs="Times New Roman"/>
          <w:bCs/>
          <w:color w:val="000000" w:themeColor="text1"/>
        </w:rPr>
        <w:t>slēgt</w:t>
      </w:r>
      <w:r w:rsidR="00757CA0" w:rsidRPr="00757CA0">
        <w:rPr>
          <w:rFonts w:eastAsia="Times New Roman" w:cs="Times New Roman"/>
          <w:bCs/>
          <w:color w:val="000000" w:themeColor="text1"/>
        </w:rPr>
        <w:t xml:space="preserve"> valdības līmeņa saprašanās memorandus ar EIT, kas nodrošina informācijas apriti un padziļinātas sadarbības īstenošanu. </w:t>
      </w:r>
    </w:p>
    <w:p w14:paraId="30A87866" w14:textId="77777777" w:rsidR="007A0EE9" w:rsidRDefault="007A0EE9" w:rsidP="007A0EE9">
      <w:pPr>
        <w:tabs>
          <w:tab w:val="left" w:pos="720"/>
        </w:tabs>
        <w:spacing w:after="120"/>
        <w:contextualSpacing/>
        <w:rPr>
          <w:rFonts w:eastAsia="Times New Roman" w:cs="Times New Roman"/>
          <w:bCs/>
          <w:color w:val="000000" w:themeColor="text1"/>
        </w:rPr>
      </w:pPr>
    </w:p>
    <w:p w14:paraId="47AC21EC" w14:textId="21CF548F" w:rsidR="007A0EE9" w:rsidRPr="00757CA0" w:rsidRDefault="007A0EE9" w:rsidP="007A0EE9">
      <w:pPr>
        <w:tabs>
          <w:tab w:val="left" w:pos="720"/>
        </w:tabs>
        <w:spacing w:after="120"/>
        <w:contextualSpacing/>
        <w:rPr>
          <w:rFonts w:eastAsia="Times New Roman" w:cs="Times New Roman"/>
          <w:bCs/>
          <w:color w:val="000000" w:themeColor="text1"/>
        </w:rPr>
      </w:pPr>
      <w:r>
        <w:rPr>
          <w:rFonts w:eastAsia="Times New Roman" w:cs="Times New Roman"/>
          <w:bCs/>
          <w:color w:val="000000" w:themeColor="text1"/>
        </w:rPr>
        <w:tab/>
      </w:r>
      <w:r w:rsidRPr="00757CA0">
        <w:rPr>
          <w:rFonts w:eastAsia="Times New Roman" w:cs="Times New Roman"/>
          <w:bCs/>
          <w:color w:val="000000" w:themeColor="text1"/>
        </w:rPr>
        <w:t>EIT un Latvijas Republikas valdības sadarbības memoranda parakstīšana ir būtisks solis sadarbības attīstīšanā ar EIT, kas veicinās</w:t>
      </w:r>
      <w:r w:rsidR="00387872" w:rsidRPr="00387872">
        <w:rPr>
          <w:rFonts w:eastAsia="Times New Roman" w:cs="Times New Roman"/>
          <w:bCs/>
          <w:color w:val="000000" w:themeColor="text1"/>
        </w:rPr>
        <w:t xml:space="preserve"> </w:t>
      </w:r>
      <w:r w:rsidR="00387872">
        <w:rPr>
          <w:rFonts w:eastAsia="Times New Roman" w:cs="Times New Roman"/>
          <w:bCs/>
          <w:color w:val="000000" w:themeColor="text1"/>
        </w:rPr>
        <w:t>KIC</w:t>
      </w:r>
      <w:r w:rsidRPr="00757CA0">
        <w:rPr>
          <w:rFonts w:eastAsia="Times New Roman" w:cs="Times New Roman"/>
          <w:bCs/>
          <w:color w:val="000000" w:themeColor="text1"/>
        </w:rPr>
        <w:t xml:space="preserve"> </w:t>
      </w:r>
      <w:proofErr w:type="spellStart"/>
      <w:r w:rsidRPr="00757CA0">
        <w:rPr>
          <w:rFonts w:eastAsia="Times New Roman" w:cs="Times New Roman"/>
          <w:bCs/>
          <w:color w:val="000000" w:themeColor="text1"/>
        </w:rPr>
        <w:t>līdzatrašanās</w:t>
      </w:r>
      <w:proofErr w:type="spellEnd"/>
      <w:r w:rsidRPr="00757CA0">
        <w:rPr>
          <w:rFonts w:eastAsia="Times New Roman" w:cs="Times New Roman"/>
          <w:bCs/>
          <w:color w:val="000000" w:themeColor="text1"/>
        </w:rPr>
        <w:t xml:space="preserve"> centra izveidi Latvijā. Memorands  nodrošinās savlaicīgu informācijas apmaiņu, fokusējot aktivitātes Latvijas Viedās specializācijas stratēģijas</w:t>
      </w:r>
      <w:r w:rsidR="00081A72">
        <w:rPr>
          <w:rStyle w:val="FootnoteReference"/>
          <w:rFonts w:eastAsia="Times New Roman" w:cs="Times New Roman"/>
          <w:bCs/>
          <w:color w:val="000000" w:themeColor="text1"/>
        </w:rPr>
        <w:footnoteReference w:id="3"/>
      </w:r>
      <w:r w:rsidRPr="00757CA0">
        <w:rPr>
          <w:rFonts w:eastAsia="Times New Roman" w:cs="Times New Roman"/>
          <w:bCs/>
          <w:color w:val="000000" w:themeColor="text1"/>
        </w:rPr>
        <w:t xml:space="preserve"> (turpmāk – RIS3) jomās</w:t>
      </w:r>
      <w:r w:rsidR="00081A72">
        <w:rPr>
          <w:rFonts w:eastAsia="Times New Roman" w:cs="Times New Roman"/>
          <w:bCs/>
          <w:color w:val="000000" w:themeColor="text1"/>
        </w:rPr>
        <w:t>.</w:t>
      </w:r>
    </w:p>
    <w:p w14:paraId="6A54862B" w14:textId="77777777" w:rsidR="007A0EE9" w:rsidRPr="00757CA0" w:rsidRDefault="007A0EE9" w:rsidP="00757CA0">
      <w:pPr>
        <w:tabs>
          <w:tab w:val="left" w:pos="720"/>
        </w:tabs>
        <w:spacing w:after="120"/>
        <w:contextualSpacing/>
        <w:rPr>
          <w:rFonts w:eastAsia="Times New Roman" w:cs="Times New Roman"/>
          <w:bCs/>
          <w:color w:val="000000" w:themeColor="text1"/>
        </w:rPr>
      </w:pPr>
    </w:p>
    <w:p w14:paraId="377AFC09" w14:textId="77777777" w:rsidR="00757CA0" w:rsidRDefault="00757CA0" w:rsidP="00757CA0">
      <w:pPr>
        <w:tabs>
          <w:tab w:val="left" w:pos="720"/>
        </w:tabs>
        <w:spacing w:after="120"/>
        <w:contextualSpacing/>
        <w:rPr>
          <w:rFonts w:eastAsia="Times New Roman" w:cs="Times New Roman"/>
          <w:b/>
          <w:bCs/>
          <w:color w:val="000000" w:themeColor="text1"/>
        </w:rPr>
      </w:pPr>
    </w:p>
    <w:p w14:paraId="665723CC" w14:textId="13F14D6A" w:rsidR="004A5A0B" w:rsidRDefault="007A0EE9" w:rsidP="005A235B">
      <w:pPr>
        <w:tabs>
          <w:tab w:val="left" w:pos="720"/>
        </w:tabs>
        <w:spacing w:after="120"/>
        <w:contextualSpacing/>
        <w:jc w:val="center"/>
        <w:rPr>
          <w:rFonts w:eastAsia="Times New Roman" w:cs="Times New Roman"/>
          <w:b/>
          <w:bCs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</w:rPr>
        <w:t xml:space="preserve">Līdzšinējā </w:t>
      </w:r>
      <w:r w:rsidR="00B11012">
        <w:rPr>
          <w:rFonts w:eastAsia="Times New Roman" w:cs="Times New Roman"/>
          <w:b/>
          <w:bCs/>
          <w:color w:val="000000" w:themeColor="text1"/>
        </w:rPr>
        <w:t>Latvi</w:t>
      </w:r>
      <w:r w:rsidR="00B11012" w:rsidRPr="00593E3A">
        <w:rPr>
          <w:rFonts w:eastAsia="Times New Roman" w:cs="Times New Roman"/>
          <w:b/>
          <w:bCs/>
          <w:color w:val="000000" w:themeColor="text1"/>
        </w:rPr>
        <w:t>j</w:t>
      </w:r>
      <w:r w:rsidR="00B11012">
        <w:rPr>
          <w:rFonts w:eastAsia="Times New Roman" w:cs="Times New Roman"/>
          <w:b/>
          <w:bCs/>
          <w:color w:val="000000" w:themeColor="text1"/>
        </w:rPr>
        <w:t>as</w:t>
      </w:r>
      <w:r w:rsidR="00081A72">
        <w:rPr>
          <w:rFonts w:eastAsia="Times New Roman" w:cs="Times New Roman"/>
          <w:b/>
          <w:bCs/>
          <w:color w:val="000000" w:themeColor="text1"/>
        </w:rPr>
        <w:t xml:space="preserve"> dalībnieku</w:t>
      </w:r>
      <w:r w:rsidR="00B11012">
        <w:rPr>
          <w:rFonts w:eastAsia="Times New Roman" w:cs="Times New Roman"/>
          <w:b/>
          <w:bCs/>
          <w:color w:val="000000" w:themeColor="text1"/>
        </w:rPr>
        <w:t xml:space="preserve"> un EIT sadarbība</w:t>
      </w:r>
    </w:p>
    <w:p w14:paraId="78965A69" w14:textId="77777777" w:rsidR="007A0EE9" w:rsidRPr="00B83AD3" w:rsidRDefault="007A0EE9" w:rsidP="005A235B">
      <w:pPr>
        <w:tabs>
          <w:tab w:val="left" w:pos="720"/>
        </w:tabs>
        <w:spacing w:after="120"/>
        <w:contextualSpacing/>
        <w:jc w:val="center"/>
        <w:rPr>
          <w:rFonts w:eastAsia="Times New Roman" w:cs="Times New Roman"/>
          <w:b/>
          <w:bCs/>
          <w:color w:val="000000" w:themeColor="text1"/>
        </w:rPr>
      </w:pPr>
    </w:p>
    <w:p w14:paraId="278A5579" w14:textId="33A40C80" w:rsidR="00AF6A20" w:rsidRDefault="007A0EE9" w:rsidP="007A0EE9">
      <w:pPr>
        <w:tabs>
          <w:tab w:val="left" w:pos="720"/>
        </w:tabs>
        <w:spacing w:after="120"/>
        <w:contextualSpacing/>
        <w:rPr>
          <w:rFonts w:eastAsia="Times New Roman" w:cs="Times New Roman"/>
          <w:bCs/>
          <w:color w:val="000000" w:themeColor="text1"/>
        </w:rPr>
      </w:pPr>
      <w:r>
        <w:rPr>
          <w:rFonts w:eastAsia="Times New Roman" w:cs="Times New Roman"/>
          <w:bCs/>
          <w:color w:val="000000" w:themeColor="text1"/>
        </w:rPr>
        <w:tab/>
      </w:r>
      <w:r w:rsidRPr="007A0EE9">
        <w:rPr>
          <w:rFonts w:eastAsia="Times New Roman" w:cs="Times New Roman"/>
          <w:bCs/>
          <w:color w:val="000000" w:themeColor="text1"/>
        </w:rPr>
        <w:t>Šobrīd Latvijas dalībnieku iesaiste EIT KIC aktivitātēs pamatā notiek caur Reģionālo inovācijas shēmu</w:t>
      </w:r>
      <w:r w:rsidR="008459D8">
        <w:rPr>
          <w:rFonts w:eastAsia="Times New Roman" w:cs="Times New Roman"/>
          <w:bCs/>
          <w:color w:val="000000" w:themeColor="text1"/>
        </w:rPr>
        <w:t xml:space="preserve"> </w:t>
      </w:r>
      <w:r w:rsidR="008459D8" w:rsidRPr="008459D8">
        <w:rPr>
          <w:rFonts w:eastAsia="Times New Roman" w:cs="Times New Roman"/>
          <w:bCs/>
          <w:i/>
          <w:color w:val="000000" w:themeColor="text1"/>
        </w:rPr>
        <w:t>(</w:t>
      </w:r>
      <w:proofErr w:type="spellStart"/>
      <w:r w:rsidR="008459D8" w:rsidRPr="008459D8">
        <w:rPr>
          <w:rFonts w:eastAsia="Times New Roman" w:cs="Times New Roman"/>
          <w:bCs/>
          <w:i/>
          <w:color w:val="000000" w:themeColor="text1"/>
        </w:rPr>
        <w:t>Regional</w:t>
      </w:r>
      <w:proofErr w:type="spellEnd"/>
      <w:r w:rsidR="008459D8" w:rsidRPr="008459D8">
        <w:rPr>
          <w:rFonts w:eastAsia="Times New Roman" w:cs="Times New Roman"/>
          <w:bCs/>
          <w:i/>
          <w:color w:val="000000" w:themeColor="text1"/>
        </w:rPr>
        <w:t xml:space="preserve"> Innovation </w:t>
      </w:r>
      <w:proofErr w:type="spellStart"/>
      <w:r w:rsidR="008459D8" w:rsidRPr="008459D8">
        <w:rPr>
          <w:rFonts w:eastAsia="Times New Roman" w:cs="Times New Roman"/>
          <w:bCs/>
          <w:i/>
          <w:color w:val="000000" w:themeColor="text1"/>
        </w:rPr>
        <w:t>Scheme</w:t>
      </w:r>
      <w:proofErr w:type="spellEnd"/>
      <w:r w:rsidR="008459D8" w:rsidRPr="008459D8">
        <w:rPr>
          <w:rFonts w:eastAsia="Times New Roman" w:cs="Times New Roman"/>
          <w:bCs/>
          <w:i/>
          <w:color w:val="000000" w:themeColor="text1"/>
        </w:rPr>
        <w:t>)</w:t>
      </w:r>
      <w:r w:rsidR="008459D8">
        <w:rPr>
          <w:rFonts w:eastAsia="Times New Roman" w:cs="Times New Roman"/>
          <w:bCs/>
          <w:color w:val="000000" w:themeColor="text1"/>
        </w:rPr>
        <w:t xml:space="preserve"> </w:t>
      </w:r>
      <w:r>
        <w:rPr>
          <w:rStyle w:val="FootnoteReference"/>
          <w:rFonts w:eastAsia="Times New Roman" w:cs="Times New Roman"/>
          <w:bCs/>
          <w:color w:val="000000" w:themeColor="text1"/>
        </w:rPr>
        <w:footnoteReference w:id="4"/>
      </w:r>
      <w:r w:rsidRPr="007A0EE9">
        <w:rPr>
          <w:rFonts w:eastAsia="Times New Roman" w:cs="Times New Roman"/>
          <w:bCs/>
          <w:color w:val="000000" w:themeColor="text1"/>
        </w:rPr>
        <w:t xml:space="preserve"> (turpmāk - RIS), saņemot finansējumu no EIT koordinācijas un atbalsta un kapacitātes stiprināšanas aktivitātēm. </w:t>
      </w:r>
    </w:p>
    <w:p w14:paraId="35F42CAA" w14:textId="582379AF" w:rsidR="00AF6A20" w:rsidRDefault="008459D8" w:rsidP="007A0EE9">
      <w:pPr>
        <w:tabs>
          <w:tab w:val="left" w:pos="720"/>
        </w:tabs>
        <w:spacing w:after="120"/>
        <w:contextualSpacing/>
        <w:rPr>
          <w:rFonts w:eastAsia="Times New Roman" w:cs="Times New Roman"/>
          <w:bCs/>
          <w:color w:val="000000" w:themeColor="text1"/>
        </w:rPr>
      </w:pPr>
      <w:r>
        <w:rPr>
          <w:rFonts w:eastAsia="Times New Roman" w:cs="Times New Roman"/>
          <w:bCs/>
          <w:color w:val="000000" w:themeColor="text1"/>
        </w:rPr>
        <w:t>EIT inovācijas mezgli</w:t>
      </w:r>
      <w:r w:rsidR="007A0EE9" w:rsidRPr="007A0EE9">
        <w:rPr>
          <w:rFonts w:eastAsia="Times New Roman" w:cs="Times New Roman"/>
          <w:bCs/>
          <w:color w:val="000000" w:themeColor="text1"/>
        </w:rPr>
        <w:t xml:space="preserve"> </w:t>
      </w:r>
      <w:r w:rsidR="007A0EE9" w:rsidRPr="008459D8">
        <w:rPr>
          <w:rFonts w:eastAsia="Times New Roman" w:cs="Times New Roman"/>
          <w:bCs/>
          <w:i/>
          <w:color w:val="000000" w:themeColor="text1"/>
        </w:rPr>
        <w:t>(</w:t>
      </w:r>
      <w:r w:rsidRPr="008459D8">
        <w:rPr>
          <w:rFonts w:eastAsia="Times New Roman" w:cs="Times New Roman"/>
          <w:bCs/>
          <w:i/>
          <w:color w:val="000000" w:themeColor="text1"/>
        </w:rPr>
        <w:t xml:space="preserve">EIT Innovation </w:t>
      </w:r>
      <w:proofErr w:type="spellStart"/>
      <w:r w:rsidRPr="008459D8">
        <w:rPr>
          <w:rFonts w:eastAsia="Times New Roman" w:cs="Times New Roman"/>
          <w:bCs/>
          <w:i/>
          <w:color w:val="000000" w:themeColor="text1"/>
        </w:rPr>
        <w:t>Hubs</w:t>
      </w:r>
      <w:proofErr w:type="spellEnd"/>
      <w:r w:rsidRPr="008459D8">
        <w:rPr>
          <w:rFonts w:eastAsia="Times New Roman" w:cs="Times New Roman"/>
          <w:bCs/>
          <w:color w:val="000000" w:themeColor="text1"/>
        </w:rPr>
        <w:t>)</w:t>
      </w:r>
      <w:r>
        <w:rPr>
          <w:rFonts w:eastAsia="Times New Roman" w:cs="Times New Roman"/>
          <w:bCs/>
          <w:color w:val="000000" w:themeColor="text1"/>
        </w:rPr>
        <w:t xml:space="preserve"> (turpmāk – mezgli),</w:t>
      </w:r>
      <w:r w:rsidRPr="008459D8">
        <w:rPr>
          <w:rFonts w:eastAsia="Times New Roman" w:cs="Times New Roman"/>
          <w:bCs/>
          <w:color w:val="000000" w:themeColor="text1"/>
        </w:rPr>
        <w:t xml:space="preserve"> </w:t>
      </w:r>
      <w:r>
        <w:rPr>
          <w:rFonts w:eastAsia="Times New Roman" w:cs="Times New Roman"/>
          <w:bCs/>
          <w:color w:val="000000" w:themeColor="text1"/>
        </w:rPr>
        <w:t xml:space="preserve">atbalsta KIC attīstību un īsteno aktivitātes dalībvalstīs. </w:t>
      </w:r>
      <w:r w:rsidR="007A0EE9" w:rsidRPr="007A0EE9">
        <w:rPr>
          <w:rFonts w:eastAsia="Times New Roman" w:cs="Times New Roman"/>
          <w:bCs/>
          <w:color w:val="000000" w:themeColor="text1"/>
        </w:rPr>
        <w:t>Latvijā</w:t>
      </w:r>
      <w:r>
        <w:rPr>
          <w:rFonts w:eastAsia="Times New Roman" w:cs="Times New Roman"/>
          <w:bCs/>
          <w:color w:val="000000" w:themeColor="text1"/>
        </w:rPr>
        <w:t xml:space="preserve"> šobrīd</w:t>
      </w:r>
      <w:r w:rsidR="007A0EE9" w:rsidRPr="007A0EE9">
        <w:rPr>
          <w:rFonts w:eastAsia="Times New Roman" w:cs="Times New Roman"/>
          <w:bCs/>
          <w:color w:val="000000" w:themeColor="text1"/>
        </w:rPr>
        <w:t xml:space="preserve"> aktīvi darbojas 3 </w:t>
      </w:r>
      <w:r>
        <w:rPr>
          <w:rFonts w:eastAsia="Times New Roman" w:cs="Times New Roman"/>
          <w:bCs/>
          <w:color w:val="000000" w:themeColor="text1"/>
        </w:rPr>
        <w:t>mezgli</w:t>
      </w:r>
      <w:r w:rsidR="007A0EE9" w:rsidRPr="007A0EE9">
        <w:rPr>
          <w:rFonts w:eastAsia="Times New Roman" w:cs="Times New Roman"/>
          <w:bCs/>
          <w:color w:val="000000" w:themeColor="text1"/>
        </w:rPr>
        <w:t>, kā arī mazāk aktīvi darbojās pārējie EIT KIC.</w:t>
      </w:r>
    </w:p>
    <w:p w14:paraId="3B175BEA" w14:textId="2D198955" w:rsidR="007A0EE9" w:rsidRDefault="00AF6A20" w:rsidP="007A0EE9">
      <w:pPr>
        <w:tabs>
          <w:tab w:val="left" w:pos="720"/>
        </w:tabs>
        <w:spacing w:after="120"/>
        <w:contextualSpacing/>
        <w:rPr>
          <w:rFonts w:eastAsia="Times New Roman" w:cs="Times New Roman"/>
          <w:bCs/>
          <w:color w:val="000000" w:themeColor="text1"/>
        </w:rPr>
      </w:pPr>
      <w:r>
        <w:rPr>
          <w:rFonts w:eastAsia="Times New Roman" w:cs="Times New Roman"/>
          <w:bCs/>
          <w:color w:val="000000" w:themeColor="text1"/>
        </w:rPr>
        <w:tab/>
      </w:r>
      <w:r w:rsidR="007A0EE9" w:rsidRPr="007A0EE9">
        <w:rPr>
          <w:rFonts w:eastAsia="Times New Roman" w:cs="Times New Roman"/>
          <w:bCs/>
          <w:color w:val="000000" w:themeColor="text1"/>
        </w:rPr>
        <w:t xml:space="preserve">2019. gadā EIT sadarbībā ar </w:t>
      </w:r>
      <w:r w:rsidR="00FB64E2">
        <w:rPr>
          <w:rFonts w:eastAsia="Times New Roman" w:cs="Times New Roman"/>
          <w:bCs/>
          <w:color w:val="000000" w:themeColor="text1"/>
        </w:rPr>
        <w:t>Izglītības un zinātnes ministriju</w:t>
      </w:r>
      <w:r w:rsidR="007A0EE9" w:rsidRPr="007A0EE9">
        <w:rPr>
          <w:rFonts w:eastAsia="Times New Roman" w:cs="Times New Roman"/>
          <w:bCs/>
          <w:color w:val="000000" w:themeColor="text1"/>
        </w:rPr>
        <w:t xml:space="preserve"> un </w:t>
      </w:r>
      <w:r w:rsidR="00FB64E2">
        <w:rPr>
          <w:rFonts w:eastAsia="Times New Roman" w:cs="Times New Roman"/>
          <w:bCs/>
          <w:color w:val="000000" w:themeColor="text1"/>
        </w:rPr>
        <w:t>Rīgas Tehnisko universitāti</w:t>
      </w:r>
      <w:r w:rsidR="007A0EE9" w:rsidRPr="007A0EE9">
        <w:rPr>
          <w:rFonts w:eastAsia="Times New Roman" w:cs="Times New Roman"/>
          <w:bCs/>
          <w:color w:val="000000" w:themeColor="text1"/>
        </w:rPr>
        <w:t xml:space="preserve"> organizēja plaši apmeklētu pasākumu “EIT informācijas diena”</w:t>
      </w:r>
      <w:r w:rsidR="007A0EE9">
        <w:rPr>
          <w:rStyle w:val="FootnoteReference"/>
          <w:rFonts w:eastAsia="Times New Roman" w:cs="Times New Roman"/>
          <w:bCs/>
          <w:color w:val="000000" w:themeColor="text1"/>
        </w:rPr>
        <w:footnoteReference w:id="5"/>
      </w:r>
      <w:r w:rsidR="00FB64E2">
        <w:rPr>
          <w:rFonts w:eastAsia="Times New Roman" w:cs="Times New Roman"/>
          <w:bCs/>
          <w:color w:val="000000" w:themeColor="text1"/>
        </w:rPr>
        <w:t>, kas veicināja zinātnisko institūciju un augstākās izglītības iestāžu interesi par EIT programmām</w:t>
      </w:r>
      <w:r w:rsidR="007A0EE9" w:rsidRPr="007A0EE9">
        <w:rPr>
          <w:rFonts w:eastAsia="Times New Roman" w:cs="Times New Roman"/>
          <w:bCs/>
          <w:color w:val="000000" w:themeColor="text1"/>
        </w:rPr>
        <w:t>.</w:t>
      </w:r>
    </w:p>
    <w:p w14:paraId="3FD713CA" w14:textId="6CCF37E3" w:rsidR="00F47CE5" w:rsidRPr="00F47CE5" w:rsidRDefault="00F47CE5" w:rsidP="00F47CE5">
      <w:pPr>
        <w:spacing w:before="100" w:beforeAutospacing="1" w:after="120"/>
        <w:jc w:val="left"/>
        <w:rPr>
          <w:noProof/>
          <w:u w:val="single"/>
        </w:rPr>
      </w:pPr>
      <w:r w:rsidRPr="00F47CE5">
        <w:rPr>
          <w:noProof/>
          <w:u w:val="single"/>
        </w:rPr>
        <w:t xml:space="preserve">EIT KIC </w:t>
      </w:r>
      <w:r>
        <w:rPr>
          <w:noProof/>
          <w:u w:val="single"/>
        </w:rPr>
        <w:t>aktivitāt</w:t>
      </w:r>
      <w:r w:rsidR="002F0F2F">
        <w:rPr>
          <w:noProof/>
          <w:u w:val="single"/>
        </w:rPr>
        <w:t>es</w:t>
      </w:r>
      <w:r w:rsidRPr="00F47CE5">
        <w:rPr>
          <w:noProof/>
          <w:u w:val="single"/>
        </w:rPr>
        <w:t xml:space="preserve"> Latvijā: </w:t>
      </w:r>
    </w:p>
    <w:p w14:paraId="76FF21B6" w14:textId="63CF09B1" w:rsidR="00F47CE5" w:rsidRPr="00F47CE5" w:rsidRDefault="00F47CE5" w:rsidP="00F47CE5">
      <w:pPr>
        <w:spacing w:before="100" w:beforeAutospacing="1" w:after="120"/>
        <w:jc w:val="left"/>
        <w:rPr>
          <w:noProof/>
        </w:rPr>
      </w:pPr>
      <w:r w:rsidRPr="00F47CE5">
        <w:rPr>
          <w:noProof/>
        </w:rPr>
        <w:t>1) “EIT Climate-KIC”</w:t>
      </w:r>
      <w:r>
        <w:rPr>
          <w:rStyle w:val="FootnoteReference"/>
          <w:noProof/>
        </w:rPr>
        <w:footnoteReference w:id="6"/>
      </w:r>
      <w:r w:rsidRPr="00F47CE5">
        <w:rPr>
          <w:noProof/>
        </w:rPr>
        <w:t xml:space="preserve">: Klimata inovāciju virzītājs Eiropā un ārpus tās. </w:t>
      </w:r>
    </w:p>
    <w:p w14:paraId="5A98E04C" w14:textId="189AB8D4" w:rsidR="00F47CE5" w:rsidRPr="00F47CE5" w:rsidRDefault="00F47CE5" w:rsidP="00F47CE5">
      <w:pPr>
        <w:spacing w:before="100" w:beforeAutospacing="1" w:after="120"/>
        <w:jc w:val="left"/>
        <w:rPr>
          <w:noProof/>
        </w:rPr>
      </w:pPr>
      <w:r>
        <w:rPr>
          <w:noProof/>
        </w:rPr>
        <w:t xml:space="preserve">“EIT Climate-KIC” </w:t>
      </w:r>
      <w:r w:rsidR="00226F44">
        <w:rPr>
          <w:noProof/>
        </w:rPr>
        <w:t>aktivitātes</w:t>
      </w:r>
      <w:r w:rsidRPr="00F47CE5">
        <w:rPr>
          <w:noProof/>
        </w:rPr>
        <w:t xml:space="preserve"> Latvijā </w:t>
      </w:r>
      <w:r w:rsidR="00226F44">
        <w:rPr>
          <w:noProof/>
        </w:rPr>
        <w:t>īsteno</w:t>
      </w:r>
      <w:r w:rsidRPr="00F47CE5">
        <w:rPr>
          <w:noProof/>
        </w:rPr>
        <w:t xml:space="preserve"> RTU Dizaina fabrikas „EIT Climate-KIC HUB Latvia”</w:t>
      </w:r>
      <w:r>
        <w:rPr>
          <w:rStyle w:val="FootnoteReference"/>
          <w:noProof/>
        </w:rPr>
        <w:footnoteReference w:id="7"/>
      </w:r>
      <w:r w:rsidRPr="00F47CE5">
        <w:rPr>
          <w:noProof/>
        </w:rPr>
        <w:t xml:space="preserve">. </w:t>
      </w:r>
      <w:r w:rsidR="00226F44">
        <w:rPr>
          <w:noProof/>
        </w:rPr>
        <w:t>Aktivitātes</w:t>
      </w:r>
      <w:r w:rsidRPr="00F47CE5">
        <w:rPr>
          <w:noProof/>
        </w:rPr>
        <w:t xml:space="preserve"> tiek īstenotas divos virzienos – uzņēmējdarbības atbalsta un izglītības programmas. </w:t>
      </w:r>
    </w:p>
    <w:p w14:paraId="35E1AFF5" w14:textId="544E7316" w:rsidR="00F47CE5" w:rsidRPr="00F47CE5" w:rsidRDefault="00F47CE5" w:rsidP="00F47CE5">
      <w:pPr>
        <w:spacing w:before="100" w:beforeAutospacing="1" w:after="120"/>
        <w:jc w:val="left"/>
        <w:rPr>
          <w:noProof/>
        </w:rPr>
      </w:pPr>
      <w:r w:rsidRPr="00F47CE5">
        <w:rPr>
          <w:noProof/>
        </w:rPr>
        <w:t>2) “EIT Digital”</w:t>
      </w:r>
      <w:r>
        <w:rPr>
          <w:rStyle w:val="FootnoteReference"/>
          <w:noProof/>
        </w:rPr>
        <w:footnoteReference w:id="8"/>
      </w:r>
      <w:r w:rsidRPr="00F47CE5">
        <w:rPr>
          <w:noProof/>
        </w:rPr>
        <w:t>: Stiprai digitālai Eiropai</w:t>
      </w:r>
    </w:p>
    <w:p w14:paraId="52F43E29" w14:textId="79157729" w:rsidR="00F47CE5" w:rsidRPr="00F47CE5" w:rsidRDefault="00F47CE5" w:rsidP="00F47CE5">
      <w:pPr>
        <w:spacing w:before="100" w:beforeAutospacing="1" w:after="120"/>
        <w:jc w:val="left"/>
        <w:rPr>
          <w:noProof/>
        </w:rPr>
      </w:pPr>
      <w:r w:rsidRPr="00F47CE5">
        <w:rPr>
          <w:noProof/>
        </w:rPr>
        <w:t>Sadarbīb</w:t>
      </w:r>
      <w:r w:rsidR="00226F44">
        <w:rPr>
          <w:noProof/>
        </w:rPr>
        <w:t>u</w:t>
      </w:r>
      <w:r w:rsidRPr="00F47CE5">
        <w:rPr>
          <w:noProof/>
        </w:rPr>
        <w:t xml:space="preserve"> ar “EIT Digital”</w:t>
      </w:r>
      <w:r w:rsidR="00226F44">
        <w:rPr>
          <w:noProof/>
        </w:rPr>
        <w:t xml:space="preserve"> Latvijā īsteno</w:t>
      </w:r>
      <w:r w:rsidRPr="00F47CE5">
        <w:rPr>
          <w:noProof/>
        </w:rPr>
        <w:t xml:space="preserve"> </w:t>
      </w:r>
      <w:r w:rsidR="002F0F2F" w:rsidRPr="002F0F2F">
        <w:rPr>
          <w:noProof/>
        </w:rPr>
        <w:t xml:space="preserve">jaunuzņēmumu akselerators </w:t>
      </w:r>
      <w:r w:rsidRPr="00F47CE5">
        <w:rPr>
          <w:noProof/>
        </w:rPr>
        <w:t>„Startup Wise Guys”</w:t>
      </w:r>
      <w:r>
        <w:rPr>
          <w:rStyle w:val="FootnoteReference"/>
          <w:noProof/>
        </w:rPr>
        <w:footnoteReference w:id="9"/>
      </w:r>
      <w:r w:rsidR="00226F44">
        <w:rPr>
          <w:noProof/>
        </w:rPr>
        <w:t xml:space="preserve">, kā arī </w:t>
      </w:r>
      <w:r w:rsidRPr="00F47CE5">
        <w:rPr>
          <w:noProof/>
        </w:rPr>
        <w:t>Latvijas Universitāte</w:t>
      </w:r>
      <w:r>
        <w:rPr>
          <w:noProof/>
        </w:rPr>
        <w:t>.</w:t>
      </w:r>
    </w:p>
    <w:p w14:paraId="7F0188ED" w14:textId="7ED501D4" w:rsidR="00F47CE5" w:rsidRPr="00F47CE5" w:rsidRDefault="00F47CE5" w:rsidP="00F47CE5">
      <w:pPr>
        <w:spacing w:before="100" w:beforeAutospacing="1" w:after="120"/>
        <w:jc w:val="left"/>
        <w:rPr>
          <w:noProof/>
        </w:rPr>
      </w:pPr>
      <w:r w:rsidRPr="00F47CE5">
        <w:rPr>
          <w:noProof/>
        </w:rPr>
        <w:t>3) “EIT Food”</w:t>
      </w:r>
      <w:r>
        <w:rPr>
          <w:rStyle w:val="FootnoteReference"/>
          <w:noProof/>
        </w:rPr>
        <w:footnoteReference w:id="10"/>
      </w:r>
    </w:p>
    <w:p w14:paraId="00AFBA84" w14:textId="0572D1DF" w:rsidR="00F47CE5" w:rsidRPr="00F47CE5" w:rsidRDefault="00226F44" w:rsidP="00F47CE5">
      <w:pPr>
        <w:spacing w:before="100" w:beforeAutospacing="1" w:after="120"/>
        <w:jc w:val="left"/>
        <w:rPr>
          <w:noProof/>
        </w:rPr>
      </w:pPr>
      <w:r>
        <w:rPr>
          <w:noProof/>
        </w:rPr>
        <w:t xml:space="preserve">Sadarbību ar </w:t>
      </w:r>
      <w:r w:rsidR="00F47CE5" w:rsidRPr="00F47CE5">
        <w:rPr>
          <w:noProof/>
        </w:rPr>
        <w:t xml:space="preserve">EIT Food </w:t>
      </w:r>
      <w:r>
        <w:rPr>
          <w:noProof/>
        </w:rPr>
        <w:t>īsteno</w:t>
      </w:r>
      <w:r w:rsidR="00F47CE5" w:rsidRPr="00F47CE5">
        <w:rPr>
          <w:noProof/>
        </w:rPr>
        <w:t xml:space="preserve"> RTU Dizaina fabrikas „EIT Food HUB Latvia”</w:t>
      </w:r>
      <w:r w:rsidR="00F47CE5">
        <w:rPr>
          <w:rStyle w:val="FootnoteReference"/>
          <w:noProof/>
        </w:rPr>
        <w:footnoteReference w:id="11"/>
      </w:r>
      <w:r w:rsidR="00F47CE5" w:rsidRPr="00F47CE5">
        <w:rPr>
          <w:noProof/>
        </w:rPr>
        <w:t xml:space="preserve"> sadarbībā ar Rīgas Stradiņa universitāti, Latvijas Lauksaimniecības universitāti, Pārtikas un veterināro dienestu un Pārtikas drošības, dzīvnieku veselības un v</w:t>
      </w:r>
      <w:r w:rsidR="00F47CE5">
        <w:rPr>
          <w:noProof/>
        </w:rPr>
        <w:t>ides zinātnisko institūtu BIOR.</w:t>
      </w:r>
    </w:p>
    <w:p w14:paraId="489F5B13" w14:textId="77777777" w:rsidR="00815731" w:rsidRDefault="00F47CE5" w:rsidP="00F47CE5">
      <w:pPr>
        <w:spacing w:before="100" w:beforeAutospacing="1" w:after="120"/>
        <w:jc w:val="left"/>
        <w:rPr>
          <w:noProof/>
        </w:rPr>
      </w:pPr>
      <w:r w:rsidRPr="00F47CE5">
        <w:rPr>
          <w:noProof/>
        </w:rPr>
        <w:t>4) “EIT Health”</w:t>
      </w:r>
      <w:r>
        <w:rPr>
          <w:rStyle w:val="FootnoteReference"/>
          <w:noProof/>
        </w:rPr>
        <w:footnoteReference w:id="12"/>
      </w:r>
      <w:r w:rsidRPr="00F47CE5">
        <w:rPr>
          <w:noProof/>
        </w:rPr>
        <w:t>: Kopīga virzība veselīgai Eiropai</w:t>
      </w:r>
    </w:p>
    <w:p w14:paraId="4E439FA6" w14:textId="2475C8A3" w:rsidR="00F47CE5" w:rsidRPr="00F47CE5" w:rsidRDefault="00226F44" w:rsidP="00F47CE5">
      <w:pPr>
        <w:spacing w:before="100" w:beforeAutospacing="1" w:after="120"/>
        <w:jc w:val="left"/>
        <w:rPr>
          <w:noProof/>
        </w:rPr>
      </w:pPr>
      <w:r>
        <w:rPr>
          <w:noProof/>
        </w:rPr>
        <w:lastRenderedPageBreak/>
        <w:t>Rīgas Stradiņa Universitāte</w:t>
      </w:r>
      <w:r w:rsidR="00F47CE5" w:rsidRPr="00F47CE5">
        <w:rPr>
          <w:noProof/>
        </w:rPr>
        <w:t xml:space="preserve"> piedalās EIT Health KIC RIS aktivitātē</w:t>
      </w:r>
      <w:r w:rsidR="00F47CE5">
        <w:rPr>
          <w:noProof/>
        </w:rPr>
        <w:t>, kurā darbojā</w:t>
      </w:r>
      <w:r>
        <w:rPr>
          <w:noProof/>
        </w:rPr>
        <w:t>s 14 institūcijas no 13 valstīm</w:t>
      </w:r>
      <w:r w:rsidR="00F47CE5">
        <w:rPr>
          <w:rStyle w:val="FootnoteReference"/>
          <w:noProof/>
        </w:rPr>
        <w:footnoteReference w:id="13"/>
      </w:r>
      <w:r w:rsidR="00F47CE5">
        <w:rPr>
          <w:noProof/>
        </w:rPr>
        <w:t>.</w:t>
      </w:r>
    </w:p>
    <w:p w14:paraId="13507248" w14:textId="78F089F7" w:rsidR="00F47CE5" w:rsidRPr="00F47CE5" w:rsidRDefault="00F47CE5" w:rsidP="00F47CE5">
      <w:pPr>
        <w:spacing w:before="100" w:beforeAutospacing="1" w:after="120"/>
        <w:jc w:val="left"/>
        <w:rPr>
          <w:noProof/>
        </w:rPr>
      </w:pPr>
      <w:r w:rsidRPr="00F47CE5">
        <w:rPr>
          <w:noProof/>
        </w:rPr>
        <w:t>5) “EIT InnoEnergy”</w:t>
      </w:r>
      <w:r>
        <w:rPr>
          <w:rStyle w:val="FootnoteReference"/>
          <w:noProof/>
        </w:rPr>
        <w:footnoteReference w:id="14"/>
      </w:r>
      <w:r w:rsidRPr="00F47CE5">
        <w:rPr>
          <w:noProof/>
        </w:rPr>
        <w:t xml:space="preserve">: </w:t>
      </w:r>
      <w:r w:rsidR="00D52902" w:rsidRPr="00F47CE5">
        <w:rPr>
          <w:noProof/>
        </w:rPr>
        <w:t>Ilgtspējīg</w:t>
      </w:r>
      <w:r w:rsidR="00D52902">
        <w:rPr>
          <w:noProof/>
        </w:rPr>
        <w:t>u enerģijas inovāciju sekmēšana</w:t>
      </w:r>
    </w:p>
    <w:p w14:paraId="0E2425C8" w14:textId="04E315C8" w:rsidR="00F47CE5" w:rsidRPr="00F47CE5" w:rsidRDefault="00D52902" w:rsidP="00F47CE5">
      <w:pPr>
        <w:spacing w:before="100" w:beforeAutospacing="1" w:after="120"/>
        <w:jc w:val="left"/>
        <w:rPr>
          <w:noProof/>
        </w:rPr>
      </w:pPr>
      <w:r>
        <w:rPr>
          <w:noProof/>
        </w:rPr>
        <w:t xml:space="preserve">2018. gadā tika parakstīts sadarbības memorands starp EIT InnoEnergy un </w:t>
      </w:r>
      <w:r w:rsidR="00F47CE5" w:rsidRPr="00F47CE5">
        <w:rPr>
          <w:noProof/>
        </w:rPr>
        <w:t>Ekonomikas ministriju</w:t>
      </w:r>
      <w:r>
        <w:rPr>
          <w:rStyle w:val="FootnoteReference"/>
          <w:noProof/>
        </w:rPr>
        <w:footnoteReference w:id="15"/>
      </w:r>
      <w:r>
        <w:rPr>
          <w:noProof/>
        </w:rPr>
        <w:t xml:space="preserve"> </w:t>
      </w:r>
      <w:r w:rsidRPr="00F47CE5">
        <w:rPr>
          <w:noProof/>
        </w:rPr>
        <w:t>ar mērķi Latvijā nodrošināt inovatīvu enerģētikas un viedu risinājumu projektu īstenošanu. SIA “Attīstības projektu institūts”</w:t>
      </w:r>
      <w:r w:rsidRPr="00D52902">
        <w:rPr>
          <w:rStyle w:val="FootnoteReference"/>
          <w:noProof/>
        </w:rPr>
        <w:t xml:space="preserve"> </w:t>
      </w:r>
      <w:r>
        <w:rPr>
          <w:rStyle w:val="FootnoteReference"/>
          <w:noProof/>
        </w:rPr>
        <w:footnoteReference w:id="16"/>
      </w:r>
      <w:r w:rsidRPr="00F47CE5">
        <w:rPr>
          <w:noProof/>
        </w:rPr>
        <w:t xml:space="preserve"> vada „EIT InnoEnergy” mezglu (“hub”) Latvijā. Dažādu “EIT InnoEnergy” </w:t>
      </w:r>
      <w:r w:rsidR="00226F44">
        <w:rPr>
          <w:noProof/>
        </w:rPr>
        <w:t>aktivitāšu</w:t>
      </w:r>
      <w:r w:rsidRPr="00F47CE5">
        <w:rPr>
          <w:noProof/>
        </w:rPr>
        <w:t xml:space="preserve"> veiksmes piemēri ir uzņēmumi HYGEN, ALINA, PVStream un Energo Plus.</w:t>
      </w:r>
    </w:p>
    <w:p w14:paraId="1BCA27ED" w14:textId="3BB0BDD2" w:rsidR="00F47CE5" w:rsidRPr="00F47CE5" w:rsidRDefault="00F47CE5" w:rsidP="00F47CE5">
      <w:pPr>
        <w:spacing w:before="100" w:beforeAutospacing="1" w:after="120"/>
        <w:jc w:val="left"/>
        <w:rPr>
          <w:noProof/>
        </w:rPr>
      </w:pPr>
      <w:r w:rsidRPr="00F47CE5">
        <w:rPr>
          <w:noProof/>
        </w:rPr>
        <w:t>6) “EIT Raw Materials”</w:t>
      </w:r>
      <w:r w:rsidR="00D52902">
        <w:rPr>
          <w:rStyle w:val="FootnoteReference"/>
          <w:noProof/>
        </w:rPr>
        <w:footnoteReference w:id="17"/>
      </w:r>
      <w:r w:rsidRPr="00F47CE5">
        <w:rPr>
          <w:noProof/>
        </w:rPr>
        <w:t>: Izejvielu iegūšanas pārvēršana par Eiropas priekšrocību</w:t>
      </w:r>
    </w:p>
    <w:p w14:paraId="4D0116D3" w14:textId="2EF22486" w:rsidR="00F47CE5" w:rsidRPr="00F47CE5" w:rsidRDefault="00F47CE5" w:rsidP="00F47CE5">
      <w:pPr>
        <w:spacing w:before="100" w:beforeAutospacing="1" w:after="120"/>
        <w:jc w:val="left"/>
        <w:rPr>
          <w:noProof/>
        </w:rPr>
      </w:pPr>
      <w:r w:rsidRPr="00F47CE5">
        <w:rPr>
          <w:noProof/>
        </w:rPr>
        <w:t>RTU, Kauņas Tehnoloģiju universitāte un Tallinas Tehnoloģiju universitāte 2019.gada septembrī vienojās par zināšanu un inovāciju kontaktpunkta „EIT RawMaterials Baltic Hub”</w:t>
      </w:r>
      <w:r w:rsidR="00D52902">
        <w:rPr>
          <w:rStyle w:val="FootnoteReference"/>
          <w:noProof/>
        </w:rPr>
        <w:footnoteReference w:id="18"/>
      </w:r>
      <w:r w:rsidRPr="00F47CE5">
        <w:rPr>
          <w:noProof/>
        </w:rPr>
        <w:t xml:space="preserve"> dibināšanu RIS </w:t>
      </w:r>
      <w:r w:rsidR="00D52902">
        <w:rPr>
          <w:noProof/>
        </w:rPr>
        <w:t>ietvaros.</w:t>
      </w:r>
    </w:p>
    <w:p w14:paraId="74F9B298" w14:textId="5007243B" w:rsidR="007A0EE9" w:rsidRDefault="007A0EE9" w:rsidP="007A0EE9">
      <w:pPr>
        <w:spacing w:before="100" w:beforeAutospacing="1" w:after="120"/>
        <w:jc w:val="center"/>
        <w:rPr>
          <w:b/>
          <w:noProof/>
        </w:rPr>
      </w:pPr>
      <w:r>
        <w:rPr>
          <w:b/>
          <w:noProof/>
        </w:rPr>
        <w:t xml:space="preserve">Memoranda </w:t>
      </w:r>
      <w:r w:rsidR="009858AD">
        <w:rPr>
          <w:b/>
          <w:noProof/>
        </w:rPr>
        <w:t>īstenošana</w:t>
      </w:r>
    </w:p>
    <w:p w14:paraId="3C22B5FA" w14:textId="772BCBD9" w:rsidR="00FB64E2" w:rsidRDefault="00FB64E2" w:rsidP="00FB64E2">
      <w:pPr>
        <w:spacing w:before="100" w:beforeAutospacing="1" w:after="120"/>
        <w:ind w:firstLine="720"/>
        <w:rPr>
          <w:rFonts w:eastAsia="Times New Roman" w:cs="Times New Roman"/>
          <w:bCs/>
          <w:color w:val="000000" w:themeColor="text1"/>
        </w:rPr>
      </w:pPr>
      <w:r>
        <w:rPr>
          <w:rFonts w:eastAsia="Times New Roman" w:cs="Times New Roman"/>
          <w:bCs/>
          <w:color w:val="000000" w:themeColor="text1"/>
        </w:rPr>
        <w:t xml:space="preserve">Memoranda slēgšana </w:t>
      </w:r>
      <w:r w:rsidR="006A26C6">
        <w:rPr>
          <w:rFonts w:eastAsia="Times New Roman" w:cs="Times New Roman"/>
          <w:bCs/>
          <w:color w:val="000000" w:themeColor="text1"/>
        </w:rPr>
        <w:t>ir būtisks solis, lai veicinātu</w:t>
      </w:r>
      <w:r>
        <w:rPr>
          <w:rFonts w:eastAsia="Times New Roman" w:cs="Times New Roman"/>
          <w:bCs/>
          <w:color w:val="000000" w:themeColor="text1"/>
        </w:rPr>
        <w:t xml:space="preserve"> </w:t>
      </w:r>
      <w:r w:rsidRPr="00757CA0">
        <w:rPr>
          <w:rFonts w:eastAsia="Times New Roman" w:cs="Times New Roman"/>
          <w:bCs/>
          <w:color w:val="000000" w:themeColor="text1"/>
        </w:rPr>
        <w:t xml:space="preserve">EIT KIC </w:t>
      </w:r>
      <w:proofErr w:type="spellStart"/>
      <w:r w:rsidRPr="00757CA0">
        <w:rPr>
          <w:rFonts w:eastAsia="Times New Roman" w:cs="Times New Roman"/>
          <w:bCs/>
          <w:color w:val="000000" w:themeColor="text1"/>
        </w:rPr>
        <w:t>līdzatrašanās</w:t>
      </w:r>
      <w:proofErr w:type="spellEnd"/>
      <w:r w:rsidRPr="00757CA0">
        <w:rPr>
          <w:rFonts w:eastAsia="Times New Roman" w:cs="Times New Roman"/>
          <w:bCs/>
          <w:color w:val="000000" w:themeColor="text1"/>
        </w:rPr>
        <w:t xml:space="preserve"> centr</w:t>
      </w:r>
      <w:r>
        <w:rPr>
          <w:rFonts w:eastAsia="Times New Roman" w:cs="Times New Roman"/>
          <w:bCs/>
          <w:color w:val="000000" w:themeColor="text1"/>
        </w:rPr>
        <w:t>a</w:t>
      </w:r>
      <w:r>
        <w:rPr>
          <w:rStyle w:val="FootnoteReference"/>
          <w:rFonts w:eastAsia="Times New Roman" w:cs="Times New Roman"/>
          <w:bCs/>
          <w:color w:val="000000" w:themeColor="text1"/>
        </w:rPr>
        <w:footnoteReference w:id="19"/>
      </w:r>
      <w:r w:rsidRPr="00757CA0">
        <w:rPr>
          <w:rFonts w:eastAsia="Times New Roman" w:cs="Times New Roman"/>
          <w:bCs/>
          <w:color w:val="000000" w:themeColor="text1"/>
        </w:rPr>
        <w:t xml:space="preserve"> (</w:t>
      </w:r>
      <w:proofErr w:type="spellStart"/>
      <w:r w:rsidRPr="00757CA0">
        <w:rPr>
          <w:rFonts w:eastAsia="Times New Roman" w:cs="Times New Roman"/>
          <w:bCs/>
          <w:color w:val="000000" w:themeColor="text1"/>
        </w:rPr>
        <w:t>co-location</w:t>
      </w:r>
      <w:proofErr w:type="spellEnd"/>
      <w:r w:rsidRPr="00757CA0">
        <w:rPr>
          <w:rFonts w:eastAsia="Times New Roman" w:cs="Times New Roman"/>
          <w:bCs/>
          <w:color w:val="000000" w:themeColor="text1"/>
        </w:rPr>
        <w:t xml:space="preserve"> </w:t>
      </w:r>
      <w:proofErr w:type="spellStart"/>
      <w:r w:rsidRPr="00757CA0">
        <w:rPr>
          <w:rFonts w:eastAsia="Times New Roman" w:cs="Times New Roman"/>
          <w:bCs/>
          <w:color w:val="000000" w:themeColor="text1"/>
        </w:rPr>
        <w:t>centre</w:t>
      </w:r>
      <w:proofErr w:type="spellEnd"/>
      <w:r w:rsidRPr="00757CA0">
        <w:rPr>
          <w:rFonts w:eastAsia="Times New Roman" w:cs="Times New Roman"/>
          <w:bCs/>
          <w:color w:val="000000" w:themeColor="text1"/>
        </w:rPr>
        <w:t xml:space="preserve">) </w:t>
      </w:r>
      <w:r>
        <w:rPr>
          <w:rFonts w:eastAsia="Times New Roman" w:cs="Times New Roman"/>
          <w:bCs/>
          <w:color w:val="000000" w:themeColor="text1"/>
        </w:rPr>
        <w:t xml:space="preserve">izveidi Latvijā </w:t>
      </w:r>
      <w:r w:rsidRPr="00757CA0">
        <w:rPr>
          <w:rFonts w:eastAsia="Times New Roman" w:cs="Times New Roman"/>
          <w:bCs/>
          <w:color w:val="000000" w:themeColor="text1"/>
        </w:rPr>
        <w:t>un Latvija</w:t>
      </w:r>
      <w:r w:rsidR="006A26C6">
        <w:rPr>
          <w:rFonts w:eastAsia="Times New Roman" w:cs="Times New Roman"/>
          <w:bCs/>
          <w:color w:val="000000" w:themeColor="text1"/>
        </w:rPr>
        <w:t>s dalībnieku sekmes kļūt par</w:t>
      </w:r>
      <w:r w:rsidRPr="00757CA0">
        <w:rPr>
          <w:rFonts w:eastAsia="Times New Roman" w:cs="Times New Roman"/>
          <w:bCs/>
          <w:color w:val="000000" w:themeColor="text1"/>
        </w:rPr>
        <w:t xml:space="preserve"> partneri (</w:t>
      </w:r>
      <w:proofErr w:type="spellStart"/>
      <w:r w:rsidRPr="00757CA0">
        <w:rPr>
          <w:rFonts w:eastAsia="Times New Roman" w:cs="Times New Roman"/>
          <w:bCs/>
          <w:color w:val="000000" w:themeColor="text1"/>
        </w:rPr>
        <w:t>core</w:t>
      </w:r>
      <w:proofErr w:type="spellEnd"/>
      <w:r w:rsidRPr="00757CA0">
        <w:rPr>
          <w:rFonts w:eastAsia="Times New Roman" w:cs="Times New Roman"/>
          <w:bCs/>
          <w:color w:val="000000" w:themeColor="text1"/>
        </w:rPr>
        <w:t xml:space="preserve"> </w:t>
      </w:r>
      <w:proofErr w:type="spellStart"/>
      <w:r w:rsidRPr="00757CA0">
        <w:rPr>
          <w:rFonts w:eastAsia="Times New Roman" w:cs="Times New Roman"/>
          <w:bCs/>
          <w:color w:val="000000" w:themeColor="text1"/>
        </w:rPr>
        <w:t>partner</w:t>
      </w:r>
      <w:proofErr w:type="spellEnd"/>
      <w:r w:rsidRPr="00757CA0">
        <w:rPr>
          <w:rFonts w:eastAsia="Times New Roman" w:cs="Times New Roman"/>
          <w:bCs/>
          <w:color w:val="000000" w:themeColor="text1"/>
        </w:rPr>
        <w:t xml:space="preserve">) </w:t>
      </w:r>
      <w:r w:rsidR="006A26C6">
        <w:rPr>
          <w:rFonts w:eastAsia="Times New Roman" w:cs="Times New Roman"/>
          <w:bCs/>
          <w:color w:val="000000" w:themeColor="text1"/>
        </w:rPr>
        <w:t xml:space="preserve">kādā KIC. Memoranda neesamība </w:t>
      </w:r>
      <w:r w:rsidRPr="00757CA0">
        <w:rPr>
          <w:rFonts w:eastAsia="Times New Roman" w:cs="Times New Roman"/>
          <w:bCs/>
          <w:color w:val="000000" w:themeColor="text1"/>
        </w:rPr>
        <w:t xml:space="preserve"> </w:t>
      </w:r>
      <w:r w:rsidR="006A26C6">
        <w:rPr>
          <w:rFonts w:eastAsia="Times New Roman" w:cs="Times New Roman"/>
          <w:bCs/>
          <w:color w:val="000000" w:themeColor="text1"/>
        </w:rPr>
        <w:t>kavē sasniegt potenciālu</w:t>
      </w:r>
      <w:r w:rsidRPr="00757CA0">
        <w:rPr>
          <w:rFonts w:eastAsia="Times New Roman" w:cs="Times New Roman"/>
          <w:bCs/>
          <w:color w:val="000000" w:themeColor="text1"/>
        </w:rPr>
        <w:t xml:space="preserve"> starptautiskā</w:t>
      </w:r>
      <w:r>
        <w:rPr>
          <w:rFonts w:eastAsia="Times New Roman" w:cs="Times New Roman"/>
          <w:bCs/>
          <w:color w:val="000000" w:themeColor="text1"/>
        </w:rPr>
        <w:t>s</w:t>
      </w:r>
      <w:r w:rsidRPr="00757CA0">
        <w:rPr>
          <w:rFonts w:eastAsia="Times New Roman" w:cs="Times New Roman"/>
          <w:bCs/>
          <w:color w:val="000000" w:themeColor="text1"/>
        </w:rPr>
        <w:t xml:space="preserve"> sadarbība</w:t>
      </w:r>
      <w:r>
        <w:rPr>
          <w:rFonts w:eastAsia="Times New Roman" w:cs="Times New Roman"/>
          <w:bCs/>
          <w:color w:val="000000" w:themeColor="text1"/>
        </w:rPr>
        <w:t>s</w:t>
      </w:r>
      <w:r w:rsidRPr="00757CA0">
        <w:rPr>
          <w:rFonts w:eastAsia="Times New Roman" w:cs="Times New Roman"/>
          <w:bCs/>
          <w:color w:val="000000" w:themeColor="text1"/>
        </w:rPr>
        <w:t xml:space="preserve"> zinātnes un inovācijas jomās, kā arī  </w:t>
      </w:r>
      <w:r w:rsidR="006A26C6">
        <w:rPr>
          <w:rFonts w:eastAsia="Times New Roman" w:cs="Times New Roman"/>
          <w:bCs/>
          <w:color w:val="000000" w:themeColor="text1"/>
        </w:rPr>
        <w:t>lielāku</w:t>
      </w:r>
      <w:r w:rsidRPr="00757CA0">
        <w:rPr>
          <w:rFonts w:eastAsia="Times New Roman" w:cs="Times New Roman"/>
          <w:bCs/>
          <w:color w:val="000000" w:themeColor="text1"/>
        </w:rPr>
        <w:t xml:space="preserve"> EIT finansējuma piesaist</w:t>
      </w:r>
      <w:r w:rsidR="006A26C6">
        <w:rPr>
          <w:rFonts w:eastAsia="Times New Roman" w:cs="Times New Roman"/>
          <w:bCs/>
          <w:color w:val="000000" w:themeColor="text1"/>
        </w:rPr>
        <w:t>i</w:t>
      </w:r>
      <w:r>
        <w:rPr>
          <w:rFonts w:eastAsia="Times New Roman" w:cs="Times New Roman"/>
          <w:bCs/>
          <w:color w:val="000000" w:themeColor="text1"/>
        </w:rPr>
        <w:t>.</w:t>
      </w:r>
    </w:p>
    <w:p w14:paraId="5B923343" w14:textId="61070C52" w:rsidR="00FB64E2" w:rsidRPr="00815731" w:rsidRDefault="006A26C6" w:rsidP="00815731">
      <w:pPr>
        <w:spacing w:before="100" w:beforeAutospacing="1" w:after="120"/>
        <w:ind w:firstLine="720"/>
        <w:rPr>
          <w:b/>
          <w:noProof/>
        </w:rPr>
      </w:pPr>
      <w:r w:rsidRPr="00757CA0">
        <w:rPr>
          <w:rFonts w:eastAsia="Times New Roman" w:cs="Times New Roman"/>
          <w:bCs/>
          <w:color w:val="000000" w:themeColor="text1"/>
        </w:rPr>
        <w:t xml:space="preserve">Ņemot vērā līdzšinējo sadarbību ar EIT, augsto zinātnisko institūciju aktivitāti EIT </w:t>
      </w:r>
      <w:r>
        <w:rPr>
          <w:rFonts w:eastAsia="Times New Roman" w:cs="Times New Roman"/>
          <w:bCs/>
          <w:color w:val="000000" w:themeColor="text1"/>
        </w:rPr>
        <w:t>KIC</w:t>
      </w:r>
      <w:r w:rsidRPr="00757CA0">
        <w:rPr>
          <w:rFonts w:eastAsia="Times New Roman" w:cs="Times New Roman"/>
          <w:bCs/>
          <w:color w:val="000000" w:themeColor="text1"/>
        </w:rPr>
        <w:t xml:space="preserve">, kā arī EIT ciešo sasaisti ar nākošo ES pētniecības un inovāciju  </w:t>
      </w:r>
      <w:proofErr w:type="spellStart"/>
      <w:r w:rsidRPr="00757CA0">
        <w:rPr>
          <w:rFonts w:eastAsia="Times New Roman" w:cs="Times New Roman"/>
          <w:bCs/>
          <w:color w:val="000000" w:themeColor="text1"/>
        </w:rPr>
        <w:t>ietvarprogrammu</w:t>
      </w:r>
      <w:proofErr w:type="spellEnd"/>
      <w:r w:rsidRPr="00757CA0">
        <w:rPr>
          <w:rFonts w:eastAsia="Times New Roman" w:cs="Times New Roman"/>
          <w:bCs/>
          <w:color w:val="000000" w:themeColor="text1"/>
        </w:rPr>
        <w:t xml:space="preserve"> “Apvārsnis Eiropa”</w:t>
      </w:r>
      <w:r>
        <w:rPr>
          <w:rStyle w:val="FootnoteReference"/>
          <w:rFonts w:eastAsia="Times New Roman" w:cs="Times New Roman"/>
          <w:bCs/>
          <w:color w:val="000000" w:themeColor="text1"/>
        </w:rPr>
        <w:footnoteReference w:id="20"/>
      </w:r>
      <w:r w:rsidRPr="00757CA0">
        <w:rPr>
          <w:rFonts w:eastAsia="Times New Roman" w:cs="Times New Roman"/>
          <w:bCs/>
          <w:color w:val="000000" w:themeColor="text1"/>
        </w:rPr>
        <w:t xml:space="preserve">, </w:t>
      </w:r>
      <w:r>
        <w:rPr>
          <w:rFonts w:eastAsia="Times New Roman" w:cs="Times New Roman"/>
          <w:bCs/>
          <w:color w:val="000000" w:themeColor="text1"/>
        </w:rPr>
        <w:t xml:space="preserve">memorandu Latvijas Republikas valdības pusē parakstīs Izglītības un zinātnes ministrs. </w:t>
      </w:r>
      <w:r w:rsidRPr="00757CA0">
        <w:rPr>
          <w:rFonts w:eastAsia="Times New Roman" w:cs="Times New Roman"/>
          <w:bCs/>
          <w:color w:val="000000" w:themeColor="text1"/>
        </w:rPr>
        <w:t xml:space="preserve">Izglītības un zinātnes ministrija ir </w:t>
      </w:r>
      <w:r w:rsidR="00E3502D">
        <w:rPr>
          <w:rFonts w:eastAsia="Times New Roman" w:cs="Times New Roman"/>
          <w:bCs/>
          <w:color w:val="000000" w:themeColor="text1"/>
        </w:rPr>
        <w:t>atbildīgā institūcija</w:t>
      </w:r>
      <w:r w:rsidRPr="00757CA0">
        <w:rPr>
          <w:rFonts w:eastAsia="Times New Roman" w:cs="Times New Roman"/>
          <w:bCs/>
          <w:color w:val="000000" w:themeColor="text1"/>
        </w:rPr>
        <w:t xml:space="preserve"> memoranda </w:t>
      </w:r>
      <w:r w:rsidR="00C504C5">
        <w:rPr>
          <w:rFonts w:eastAsia="Times New Roman" w:cs="Times New Roman"/>
          <w:bCs/>
          <w:color w:val="000000" w:themeColor="text1"/>
        </w:rPr>
        <w:t>īstenošanā</w:t>
      </w:r>
      <w:r w:rsidRPr="00757CA0">
        <w:rPr>
          <w:rFonts w:eastAsia="Times New Roman" w:cs="Times New Roman"/>
          <w:bCs/>
          <w:color w:val="000000" w:themeColor="text1"/>
        </w:rPr>
        <w:t xml:space="preserve"> Latvijas pusē un Ekonomikas ministrija ir līdzatbildīgā </w:t>
      </w:r>
      <w:r w:rsidR="00E3502D">
        <w:rPr>
          <w:rFonts w:eastAsia="Times New Roman" w:cs="Times New Roman"/>
          <w:bCs/>
          <w:color w:val="000000" w:themeColor="text1"/>
        </w:rPr>
        <w:t>institūcija.</w:t>
      </w:r>
    </w:p>
    <w:p w14:paraId="6DD2319D" w14:textId="504946C0" w:rsidR="007A0EE9" w:rsidRDefault="00815731" w:rsidP="007A0EE9">
      <w:pPr>
        <w:tabs>
          <w:tab w:val="left" w:pos="720"/>
        </w:tabs>
        <w:spacing w:after="120"/>
        <w:contextualSpacing/>
        <w:rPr>
          <w:rFonts w:eastAsia="Times New Roman" w:cs="Times New Roman"/>
          <w:bCs/>
          <w:color w:val="000000" w:themeColor="text1"/>
        </w:rPr>
      </w:pPr>
      <w:r>
        <w:rPr>
          <w:rFonts w:eastAsia="Times New Roman" w:cs="Times New Roman"/>
          <w:bCs/>
          <w:color w:val="000000" w:themeColor="text1"/>
        </w:rPr>
        <w:tab/>
      </w:r>
      <w:r w:rsidR="007A0EE9" w:rsidRPr="00757CA0">
        <w:rPr>
          <w:rFonts w:eastAsia="Times New Roman" w:cs="Times New Roman"/>
          <w:bCs/>
          <w:color w:val="000000" w:themeColor="text1"/>
        </w:rPr>
        <w:t xml:space="preserve">Uz memoranda pamata </w:t>
      </w:r>
      <w:r w:rsidR="00C3321B">
        <w:rPr>
          <w:rFonts w:eastAsia="Times New Roman" w:cs="Times New Roman"/>
          <w:bCs/>
          <w:color w:val="000000" w:themeColor="text1"/>
        </w:rPr>
        <w:t>plānots veidot</w:t>
      </w:r>
      <w:r w:rsidR="007A0EE9" w:rsidRPr="00757CA0">
        <w:rPr>
          <w:rFonts w:eastAsia="Times New Roman" w:cs="Times New Roman"/>
          <w:bCs/>
          <w:color w:val="000000" w:themeColor="text1"/>
        </w:rPr>
        <w:t xml:space="preserve"> n</w:t>
      </w:r>
      <w:r w:rsidR="00C3321B">
        <w:rPr>
          <w:rFonts w:eastAsia="Times New Roman" w:cs="Times New Roman"/>
          <w:bCs/>
          <w:color w:val="000000" w:themeColor="text1"/>
        </w:rPr>
        <w:t>acionālo</w:t>
      </w:r>
      <w:r w:rsidR="007A0EE9" w:rsidRPr="00757CA0">
        <w:rPr>
          <w:rFonts w:eastAsia="Times New Roman" w:cs="Times New Roman"/>
          <w:bCs/>
          <w:color w:val="000000" w:themeColor="text1"/>
        </w:rPr>
        <w:t xml:space="preserve"> memoranda darbības plān</w:t>
      </w:r>
      <w:r w:rsidR="00C3321B">
        <w:rPr>
          <w:rFonts w:eastAsia="Times New Roman" w:cs="Times New Roman"/>
          <w:bCs/>
          <w:color w:val="000000" w:themeColor="text1"/>
        </w:rPr>
        <w:t>u</w:t>
      </w:r>
      <w:r w:rsidR="007A0EE9" w:rsidRPr="00757CA0">
        <w:rPr>
          <w:rFonts w:eastAsia="Times New Roman" w:cs="Times New Roman"/>
          <w:bCs/>
          <w:color w:val="000000" w:themeColor="text1"/>
        </w:rPr>
        <w:t xml:space="preserve"> (turpmāk – darbības plāns),</w:t>
      </w:r>
      <w:r w:rsidR="00226F44">
        <w:rPr>
          <w:rFonts w:eastAsia="Times New Roman" w:cs="Times New Roman"/>
          <w:bCs/>
          <w:color w:val="000000" w:themeColor="text1"/>
        </w:rPr>
        <w:t xml:space="preserve"> kas nepieciešams, lai īstenotu sadarbības aktivitātes </w:t>
      </w:r>
      <w:r w:rsidR="00226F44" w:rsidRPr="00226F44">
        <w:rPr>
          <w:rFonts w:eastAsia="Times New Roman" w:cs="Times New Roman"/>
          <w:bCs/>
          <w:color w:val="000000" w:themeColor="text1"/>
        </w:rPr>
        <w:t>sinerģiski ar izaugsmes prioritātēm, kas definētas Latvijas Viedās specializācijas stratēģijā, Zinātnes, tehnoloģijas attīstības un inovācijas pamatnostādnēs 2014. – 2020.gadam, un  Zinātnes, tehnoloģijas attīstības un inovācijas pamatnostādnēs 2021. – 2027. gadam</w:t>
      </w:r>
      <w:r w:rsidR="00226F44">
        <w:rPr>
          <w:rFonts w:eastAsia="Times New Roman" w:cs="Times New Roman"/>
          <w:bCs/>
          <w:color w:val="000000" w:themeColor="text1"/>
        </w:rPr>
        <w:t>. Darbības plānu</w:t>
      </w:r>
      <w:r w:rsidR="007A0EE9" w:rsidRPr="00757CA0">
        <w:rPr>
          <w:rFonts w:eastAsia="Times New Roman" w:cs="Times New Roman"/>
          <w:bCs/>
          <w:color w:val="000000" w:themeColor="text1"/>
        </w:rPr>
        <w:t xml:space="preserve"> īstenos </w:t>
      </w:r>
      <w:r w:rsidR="00D52902">
        <w:rPr>
          <w:rFonts w:eastAsia="Times New Roman" w:cs="Times New Roman"/>
          <w:bCs/>
          <w:color w:val="000000" w:themeColor="text1"/>
        </w:rPr>
        <w:t>Izglītības un zinātnes ministrijas</w:t>
      </w:r>
      <w:r w:rsidR="003E21EC">
        <w:rPr>
          <w:rFonts w:eastAsia="Times New Roman" w:cs="Times New Roman"/>
          <w:bCs/>
          <w:color w:val="000000" w:themeColor="text1"/>
        </w:rPr>
        <w:t xml:space="preserve"> nozīmēta</w:t>
      </w:r>
      <w:r w:rsidR="007A0EE9" w:rsidRPr="00757CA0">
        <w:rPr>
          <w:rFonts w:eastAsia="Times New Roman" w:cs="Times New Roman"/>
          <w:bCs/>
          <w:color w:val="000000" w:themeColor="text1"/>
        </w:rPr>
        <w:t xml:space="preserve"> </w:t>
      </w:r>
      <w:r w:rsidR="003E21EC">
        <w:rPr>
          <w:rFonts w:cs="Times New Roman"/>
        </w:rPr>
        <w:t>valsts zinātniskā institūcija – atvasināta publiskā persona.</w:t>
      </w:r>
    </w:p>
    <w:p w14:paraId="7F977661" w14:textId="77777777" w:rsidR="002F0F2F" w:rsidRDefault="002F0F2F" w:rsidP="002F0F2F">
      <w:pPr>
        <w:spacing w:before="100" w:beforeAutospacing="1" w:after="120"/>
        <w:jc w:val="center"/>
        <w:rPr>
          <w:b/>
          <w:noProof/>
        </w:rPr>
      </w:pPr>
    </w:p>
    <w:p w14:paraId="2A45764B" w14:textId="79F350F7" w:rsidR="007A0EE9" w:rsidRPr="00E41F4F" w:rsidRDefault="002F0F2F" w:rsidP="00E41F4F">
      <w:pPr>
        <w:spacing w:before="100" w:beforeAutospacing="1" w:after="120"/>
        <w:jc w:val="center"/>
        <w:rPr>
          <w:b/>
          <w:noProof/>
        </w:rPr>
      </w:pPr>
      <w:r>
        <w:rPr>
          <w:b/>
          <w:noProof/>
        </w:rPr>
        <w:t>Turpmākā rīcība</w:t>
      </w:r>
    </w:p>
    <w:p w14:paraId="45D7E580" w14:textId="33AA5CBC" w:rsidR="007A0EE9" w:rsidRDefault="00E41F4F" w:rsidP="00B92528">
      <w:pPr>
        <w:spacing w:before="100" w:beforeAutospacing="1" w:after="120"/>
        <w:ind w:firstLine="720"/>
        <w:rPr>
          <w:noProof/>
        </w:rPr>
      </w:pPr>
      <w:r>
        <w:rPr>
          <w:noProof/>
        </w:rPr>
        <w:t>1. Izglītības un zinātnes ministram nodrošināt memoranda parakstīšanu uz pilnvarojuma vēstules</w:t>
      </w:r>
      <w:r w:rsidRPr="00E41F4F">
        <w:rPr>
          <w:noProof/>
        </w:rPr>
        <w:t xml:space="preserve"> </w:t>
      </w:r>
      <w:r>
        <w:rPr>
          <w:noProof/>
        </w:rPr>
        <w:t>pamata.</w:t>
      </w:r>
    </w:p>
    <w:p w14:paraId="07C527B3" w14:textId="77777777" w:rsidR="009A2CA5" w:rsidRDefault="009A2CA5" w:rsidP="001302DC">
      <w:pPr>
        <w:rPr>
          <w:rFonts w:cs="Times New Roman"/>
        </w:rPr>
      </w:pPr>
    </w:p>
    <w:p w14:paraId="3190BC72" w14:textId="77777777" w:rsidR="009A2CA5" w:rsidRDefault="009A2CA5" w:rsidP="001302DC">
      <w:pPr>
        <w:rPr>
          <w:rFonts w:cs="Times New Roman"/>
        </w:rPr>
      </w:pPr>
    </w:p>
    <w:p w14:paraId="6657255D" w14:textId="77777777" w:rsidR="001302DC" w:rsidRPr="00B83AD3" w:rsidRDefault="001302DC" w:rsidP="001302DC">
      <w:pPr>
        <w:rPr>
          <w:rFonts w:cs="Times New Roman"/>
        </w:rPr>
      </w:pPr>
      <w:r w:rsidRPr="00B83AD3">
        <w:rPr>
          <w:rFonts w:cs="Times New Roman"/>
        </w:rPr>
        <w:t>Iesniedzējs:</w:t>
      </w:r>
    </w:p>
    <w:p w14:paraId="6657255E" w14:textId="77777777" w:rsidR="001302DC" w:rsidRPr="00B83AD3" w:rsidRDefault="001302DC" w:rsidP="00DB1C37">
      <w:pPr>
        <w:ind w:right="1133"/>
        <w:rPr>
          <w:rFonts w:cs="Times New Roman"/>
        </w:rPr>
      </w:pPr>
      <w:r w:rsidRPr="00B83AD3">
        <w:rPr>
          <w:rFonts w:cs="Times New Roman"/>
        </w:rPr>
        <w:t>Izglītības un zinātnes ministre</w:t>
      </w:r>
      <w:r w:rsidRPr="00B83AD3">
        <w:rPr>
          <w:rFonts w:cs="Times New Roman"/>
        </w:rPr>
        <w:tab/>
      </w:r>
      <w:r w:rsidRPr="00B83AD3">
        <w:rPr>
          <w:rFonts w:cs="Times New Roman"/>
        </w:rPr>
        <w:tab/>
      </w:r>
      <w:r w:rsidRPr="00B83AD3">
        <w:rPr>
          <w:rFonts w:cs="Times New Roman"/>
        </w:rPr>
        <w:tab/>
      </w:r>
      <w:r w:rsidRPr="00B83AD3">
        <w:rPr>
          <w:rFonts w:cs="Times New Roman"/>
        </w:rPr>
        <w:tab/>
      </w:r>
      <w:r w:rsidRPr="00B83AD3">
        <w:rPr>
          <w:rFonts w:cs="Times New Roman"/>
        </w:rPr>
        <w:tab/>
        <w:t>I</w:t>
      </w:r>
      <w:r w:rsidR="00D65389" w:rsidRPr="00B83AD3">
        <w:rPr>
          <w:rFonts w:cs="Times New Roman"/>
        </w:rPr>
        <w:t xml:space="preserve">. </w:t>
      </w:r>
      <w:r w:rsidRPr="00B83AD3">
        <w:rPr>
          <w:rFonts w:cs="Times New Roman"/>
        </w:rPr>
        <w:t>Šuplinska</w:t>
      </w:r>
    </w:p>
    <w:p w14:paraId="6657255F" w14:textId="77777777" w:rsidR="001302DC" w:rsidRPr="00B83AD3" w:rsidRDefault="001302DC" w:rsidP="00DB1C37">
      <w:pPr>
        <w:ind w:right="1133"/>
        <w:rPr>
          <w:rFonts w:cs="Times New Roman"/>
        </w:rPr>
      </w:pPr>
    </w:p>
    <w:p w14:paraId="66572560" w14:textId="77777777" w:rsidR="001302DC" w:rsidRPr="00B83AD3" w:rsidRDefault="001302DC" w:rsidP="00DB1C37">
      <w:pPr>
        <w:ind w:right="1133"/>
        <w:rPr>
          <w:rFonts w:cs="Times New Roman"/>
        </w:rPr>
      </w:pPr>
    </w:p>
    <w:p w14:paraId="66572561" w14:textId="77777777" w:rsidR="001302DC" w:rsidRPr="00B83AD3" w:rsidRDefault="001302DC" w:rsidP="00DB1C37">
      <w:pPr>
        <w:ind w:right="1133"/>
        <w:rPr>
          <w:rFonts w:cs="Times New Roman"/>
        </w:rPr>
      </w:pPr>
      <w:r w:rsidRPr="00B83AD3">
        <w:rPr>
          <w:rFonts w:cs="Times New Roman"/>
        </w:rPr>
        <w:t>Vizē:</w:t>
      </w:r>
    </w:p>
    <w:p w14:paraId="66572562" w14:textId="058A9534" w:rsidR="001302DC" w:rsidRPr="00B83AD3" w:rsidRDefault="00815731" w:rsidP="00DB1C37">
      <w:pPr>
        <w:ind w:right="1416"/>
        <w:rPr>
          <w:rFonts w:cs="Times New Roman"/>
        </w:rPr>
      </w:pPr>
      <w:r>
        <w:rPr>
          <w:rFonts w:cs="Times New Roman"/>
        </w:rPr>
        <w:t>Valsts sekretārs</w:t>
      </w:r>
      <w:r w:rsidR="001302DC" w:rsidRPr="00B83AD3">
        <w:rPr>
          <w:rFonts w:cs="Times New Roman"/>
        </w:rPr>
        <w:t xml:space="preserve"> </w:t>
      </w:r>
      <w:r w:rsidR="001302DC" w:rsidRPr="00B83AD3">
        <w:rPr>
          <w:rFonts w:cs="Times New Roman"/>
        </w:rPr>
        <w:tab/>
      </w:r>
      <w:r w:rsidR="001302DC" w:rsidRPr="00B83AD3">
        <w:rPr>
          <w:rFonts w:cs="Times New Roman"/>
        </w:rPr>
        <w:tab/>
      </w:r>
      <w:r w:rsidR="001302DC" w:rsidRPr="00B83AD3">
        <w:rPr>
          <w:rFonts w:cs="Times New Roman"/>
        </w:rPr>
        <w:tab/>
      </w:r>
      <w:r w:rsidR="001302DC" w:rsidRPr="00B83AD3">
        <w:rPr>
          <w:rFonts w:cs="Times New Roman"/>
        </w:rPr>
        <w:tab/>
      </w:r>
      <w:r w:rsidR="001302DC" w:rsidRPr="00B83AD3">
        <w:rPr>
          <w:rFonts w:cs="Times New Roman"/>
        </w:rPr>
        <w:tab/>
      </w:r>
      <w:r w:rsidR="001302DC" w:rsidRPr="00B83AD3">
        <w:rPr>
          <w:rFonts w:cs="Times New Roman"/>
        </w:rPr>
        <w:tab/>
      </w:r>
      <w:r w:rsidR="001302DC" w:rsidRPr="00B83AD3">
        <w:rPr>
          <w:rFonts w:cs="Times New Roman"/>
        </w:rPr>
        <w:tab/>
      </w:r>
      <w:r w:rsidR="00757CA0">
        <w:rPr>
          <w:rFonts w:cs="Times New Roman"/>
        </w:rPr>
        <w:t>J. Volberts</w:t>
      </w:r>
    </w:p>
    <w:p w14:paraId="66572563" w14:textId="77777777" w:rsidR="001302DC" w:rsidRPr="00B83AD3" w:rsidRDefault="001302DC" w:rsidP="001302DC">
      <w:pPr>
        <w:tabs>
          <w:tab w:val="left" w:pos="3360"/>
        </w:tabs>
        <w:rPr>
          <w:rFonts w:cs="Times New Roman"/>
          <w:color w:val="000000" w:themeColor="text1"/>
        </w:rPr>
      </w:pPr>
    </w:p>
    <w:p w14:paraId="66572564" w14:textId="77777777" w:rsidR="00267909" w:rsidRPr="00B83AD3" w:rsidRDefault="00267909">
      <w:pPr>
        <w:rPr>
          <w:rFonts w:cs="Times New Roman"/>
        </w:rPr>
      </w:pPr>
    </w:p>
    <w:p w14:paraId="308A9A46" w14:textId="77777777" w:rsidR="00815731" w:rsidRDefault="00815731">
      <w:pPr>
        <w:rPr>
          <w:rFonts w:cs="Times New Roman"/>
          <w:sz w:val="20"/>
          <w:szCs w:val="20"/>
        </w:rPr>
      </w:pPr>
    </w:p>
    <w:p w14:paraId="504D339D" w14:textId="77777777" w:rsidR="00815731" w:rsidRDefault="00815731">
      <w:pPr>
        <w:rPr>
          <w:rFonts w:cs="Times New Roman"/>
          <w:sz w:val="20"/>
          <w:szCs w:val="20"/>
        </w:rPr>
      </w:pPr>
    </w:p>
    <w:p w14:paraId="3CC1F31D" w14:textId="77777777" w:rsidR="00815731" w:rsidRDefault="00815731">
      <w:pPr>
        <w:rPr>
          <w:rFonts w:cs="Times New Roman"/>
          <w:sz w:val="20"/>
          <w:szCs w:val="20"/>
        </w:rPr>
      </w:pPr>
    </w:p>
    <w:p w14:paraId="77987AA5" w14:textId="77777777" w:rsidR="00815731" w:rsidRDefault="00815731">
      <w:pPr>
        <w:rPr>
          <w:rFonts w:cs="Times New Roman"/>
          <w:sz w:val="20"/>
          <w:szCs w:val="20"/>
        </w:rPr>
      </w:pPr>
    </w:p>
    <w:p w14:paraId="2FA6075A" w14:textId="77777777" w:rsidR="00815731" w:rsidRDefault="00815731">
      <w:pPr>
        <w:rPr>
          <w:rFonts w:cs="Times New Roman"/>
          <w:sz w:val="20"/>
          <w:szCs w:val="20"/>
        </w:rPr>
      </w:pPr>
    </w:p>
    <w:p w14:paraId="0F74C178" w14:textId="77777777" w:rsidR="00815731" w:rsidRDefault="00815731">
      <w:pPr>
        <w:rPr>
          <w:rFonts w:cs="Times New Roman"/>
          <w:sz w:val="20"/>
          <w:szCs w:val="20"/>
        </w:rPr>
      </w:pPr>
    </w:p>
    <w:p w14:paraId="0D2ECDCC" w14:textId="77777777" w:rsidR="00815731" w:rsidRDefault="00815731">
      <w:pPr>
        <w:rPr>
          <w:rFonts w:cs="Times New Roman"/>
          <w:sz w:val="20"/>
          <w:szCs w:val="20"/>
        </w:rPr>
      </w:pPr>
    </w:p>
    <w:p w14:paraId="5799BD3C" w14:textId="77777777" w:rsidR="00815731" w:rsidRDefault="00815731">
      <w:pPr>
        <w:rPr>
          <w:rFonts w:cs="Times New Roman"/>
          <w:sz w:val="20"/>
          <w:szCs w:val="20"/>
        </w:rPr>
      </w:pPr>
    </w:p>
    <w:p w14:paraId="3FFD947E" w14:textId="77777777" w:rsidR="00815731" w:rsidRDefault="00815731">
      <w:pPr>
        <w:rPr>
          <w:rFonts w:cs="Times New Roman"/>
          <w:sz w:val="20"/>
          <w:szCs w:val="20"/>
        </w:rPr>
      </w:pPr>
    </w:p>
    <w:p w14:paraId="7E367C9D" w14:textId="77777777" w:rsidR="00815731" w:rsidRDefault="00815731">
      <w:pPr>
        <w:rPr>
          <w:rFonts w:cs="Times New Roman"/>
          <w:sz w:val="20"/>
          <w:szCs w:val="20"/>
        </w:rPr>
      </w:pPr>
    </w:p>
    <w:p w14:paraId="0B5780E2" w14:textId="77777777" w:rsidR="00815731" w:rsidRDefault="00815731">
      <w:pPr>
        <w:rPr>
          <w:rFonts w:cs="Times New Roman"/>
          <w:sz w:val="20"/>
          <w:szCs w:val="20"/>
        </w:rPr>
      </w:pPr>
    </w:p>
    <w:p w14:paraId="36F81CAB" w14:textId="77777777" w:rsidR="00815731" w:rsidRDefault="00815731">
      <w:pPr>
        <w:rPr>
          <w:rFonts w:cs="Times New Roman"/>
          <w:sz w:val="20"/>
          <w:szCs w:val="20"/>
        </w:rPr>
      </w:pPr>
    </w:p>
    <w:p w14:paraId="6770994C" w14:textId="77777777" w:rsidR="00815731" w:rsidRDefault="00815731">
      <w:pPr>
        <w:rPr>
          <w:rFonts w:cs="Times New Roman"/>
          <w:sz w:val="20"/>
          <w:szCs w:val="20"/>
        </w:rPr>
      </w:pPr>
    </w:p>
    <w:p w14:paraId="65B5D5E5" w14:textId="77777777" w:rsidR="00815731" w:rsidRDefault="00815731">
      <w:pPr>
        <w:rPr>
          <w:rFonts w:cs="Times New Roman"/>
          <w:sz w:val="20"/>
          <w:szCs w:val="20"/>
        </w:rPr>
      </w:pPr>
    </w:p>
    <w:p w14:paraId="0DD41948" w14:textId="77777777" w:rsidR="009A2CA5" w:rsidRDefault="009A2CA5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Blūms</w:t>
      </w:r>
      <w:r w:rsidR="00267909" w:rsidRPr="00B83AD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67047798</w:t>
      </w:r>
    </w:p>
    <w:p w14:paraId="66572566" w14:textId="1CDA8FA3" w:rsidR="00267909" w:rsidRPr="00B83AD3" w:rsidRDefault="00836302">
      <w:pPr>
        <w:rPr>
          <w:rFonts w:cs="Times New Roman"/>
          <w:sz w:val="20"/>
          <w:szCs w:val="20"/>
        </w:rPr>
      </w:pPr>
      <w:hyperlink r:id="rId8" w:history="1">
        <w:r w:rsidR="009A2CA5" w:rsidRPr="00071A87">
          <w:rPr>
            <w:rStyle w:val="Hyperlink"/>
            <w:sz w:val="20"/>
            <w:szCs w:val="20"/>
          </w:rPr>
          <w:t>Aleksandrs-martins.blums@izm.gov.lv</w:t>
        </w:r>
      </w:hyperlink>
    </w:p>
    <w:sectPr w:rsidR="00267909" w:rsidRPr="00B83AD3" w:rsidSect="00815731">
      <w:headerReference w:type="default" r:id="rId9"/>
      <w:footerReference w:type="default" r:id="rId10"/>
      <w:footerReference w:type="first" r:id="rId11"/>
      <w:pgSz w:w="11906" w:h="16838"/>
      <w:pgMar w:top="1134" w:right="1134" w:bottom="426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8EB8FA" w16cid:durableId="236A57A5"/>
  <w16cid:commentId w16cid:paraId="7D0B38C3" w16cid:durableId="236A57A6"/>
  <w16cid:commentId w16cid:paraId="669E22B2" w16cid:durableId="236A57A7"/>
  <w16cid:commentId w16cid:paraId="510FFD29" w16cid:durableId="236A57A8"/>
  <w16cid:commentId w16cid:paraId="6BB2050A" w16cid:durableId="236A57A9"/>
  <w16cid:commentId w16cid:paraId="4D678CBF" w16cid:durableId="236A57AA"/>
  <w16cid:commentId w16cid:paraId="1ED1DA09" w16cid:durableId="236A57AB"/>
  <w16cid:commentId w16cid:paraId="5F4FB7DC" w16cid:durableId="236A57AC"/>
  <w16cid:commentId w16cid:paraId="70AC5C31" w16cid:durableId="236A57B0"/>
  <w16cid:commentId w16cid:paraId="5732D3A6" w16cid:durableId="236A57B1"/>
  <w16cid:commentId w16cid:paraId="32ABDFA6" w16cid:durableId="236A57B2"/>
  <w16cid:commentId w16cid:paraId="167B1C99" w16cid:durableId="236A57B3"/>
  <w16cid:commentId w16cid:paraId="1E1DC882" w16cid:durableId="236A57B4"/>
  <w16cid:commentId w16cid:paraId="15222F54" w16cid:durableId="236A57B5"/>
  <w16cid:commentId w16cid:paraId="356FA853" w16cid:durableId="236A57B6"/>
  <w16cid:commentId w16cid:paraId="2AE3EF6F" w16cid:durableId="236A57B7"/>
  <w16cid:commentId w16cid:paraId="4677F494" w16cid:durableId="236A57B8"/>
  <w16cid:commentId w16cid:paraId="439C4C46" w16cid:durableId="236A57B9"/>
  <w16cid:commentId w16cid:paraId="13D168DD" w16cid:durableId="236A57BA"/>
  <w16cid:commentId w16cid:paraId="17CEC044" w16cid:durableId="236A57BB"/>
  <w16cid:commentId w16cid:paraId="28DFFFBD" w16cid:durableId="236A57BE"/>
  <w16cid:commentId w16cid:paraId="5F48D33B" w16cid:durableId="236A57BF"/>
  <w16cid:commentId w16cid:paraId="7412E90C" w16cid:durableId="236A57C0"/>
  <w16cid:commentId w16cid:paraId="3194448F" w16cid:durableId="236A57C1"/>
  <w16cid:commentId w16cid:paraId="4C66FF1E" w16cid:durableId="236A57C2"/>
  <w16cid:commentId w16cid:paraId="244CE0A7" w16cid:durableId="236A57C5"/>
  <w16cid:commentId w16cid:paraId="10595746" w16cid:durableId="236A57C6"/>
  <w16cid:commentId w16cid:paraId="346B181F" w16cid:durableId="236A57C7"/>
  <w16cid:commentId w16cid:paraId="30B57D12" w16cid:durableId="236A57C8"/>
  <w16cid:commentId w16cid:paraId="0CED5C2B" w16cid:durableId="236A57C9"/>
  <w16cid:commentId w16cid:paraId="74DFF7A6" w16cid:durableId="236A57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DFC78" w14:textId="77777777" w:rsidR="00836302" w:rsidRDefault="00836302" w:rsidP="001302DC">
      <w:r>
        <w:separator/>
      </w:r>
    </w:p>
  </w:endnote>
  <w:endnote w:type="continuationSeparator" w:id="0">
    <w:p w14:paraId="2292C093" w14:textId="77777777" w:rsidR="00836302" w:rsidRDefault="00836302" w:rsidP="0013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B4472" w14:textId="77777777" w:rsidR="0041108B" w:rsidRDefault="0041108B" w:rsidP="0041108B">
    <w:pPr>
      <w:pStyle w:val="Footer"/>
      <w:jc w:val="left"/>
      <w:rPr>
        <w:noProof/>
        <w:sz w:val="22"/>
      </w:rPr>
    </w:pPr>
  </w:p>
  <w:p w14:paraId="6657259A" w14:textId="693DAA25" w:rsidR="004A4210" w:rsidRPr="00D709B6" w:rsidRDefault="0041108B" w:rsidP="0041108B">
    <w:pPr>
      <w:pStyle w:val="Footer"/>
      <w:jc w:val="left"/>
      <w:rPr>
        <w:sz w:val="22"/>
      </w:rPr>
    </w:pPr>
    <w:r>
      <w:rPr>
        <w:noProof/>
        <w:sz w:val="22"/>
      </w:rPr>
      <w:t>IZMzino</w:t>
    </w:r>
    <w:r w:rsidRPr="00D52902">
      <w:rPr>
        <w:noProof/>
        <w:sz w:val="22"/>
      </w:rPr>
      <w:t>_</w:t>
    </w:r>
    <w:r>
      <w:rPr>
        <w:noProof/>
        <w:sz w:val="22"/>
      </w:rPr>
      <w:t>040121</w:t>
    </w:r>
    <w:r w:rsidRPr="00D52902">
      <w:rPr>
        <w:noProof/>
        <w:sz w:val="22"/>
      </w:rPr>
      <w:t>_EIT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7259C" w14:textId="6F4C391E" w:rsidR="004A4210" w:rsidRPr="00387872" w:rsidRDefault="00387872" w:rsidP="00387872">
    <w:pPr>
      <w:pStyle w:val="Footer"/>
      <w:jc w:val="left"/>
      <w:rPr>
        <w:sz w:val="22"/>
      </w:rPr>
    </w:pPr>
    <w:r>
      <w:rPr>
        <w:noProof/>
        <w:sz w:val="22"/>
      </w:rPr>
      <w:t>IZMzino</w:t>
    </w:r>
    <w:r w:rsidRPr="00D52902">
      <w:rPr>
        <w:noProof/>
        <w:sz w:val="22"/>
      </w:rPr>
      <w:t>_</w:t>
    </w:r>
    <w:r w:rsidR="0041108B">
      <w:rPr>
        <w:noProof/>
        <w:sz w:val="22"/>
      </w:rPr>
      <w:t>040121</w:t>
    </w:r>
    <w:r w:rsidRPr="00D52902">
      <w:rPr>
        <w:noProof/>
        <w:sz w:val="22"/>
      </w:rPr>
      <w:t>_EIT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29D30" w14:textId="77777777" w:rsidR="00836302" w:rsidRDefault="00836302" w:rsidP="001302DC">
      <w:r>
        <w:separator/>
      </w:r>
    </w:p>
  </w:footnote>
  <w:footnote w:type="continuationSeparator" w:id="0">
    <w:p w14:paraId="524FB316" w14:textId="77777777" w:rsidR="00836302" w:rsidRDefault="00836302" w:rsidP="001302DC">
      <w:r>
        <w:continuationSeparator/>
      </w:r>
    </w:p>
  </w:footnote>
  <w:footnote w:id="1">
    <w:p w14:paraId="03C4F9EA" w14:textId="37B82C7A" w:rsidR="00B21CFE" w:rsidRPr="002F0F2F" w:rsidRDefault="00B21CFE" w:rsidP="002F0F2F">
      <w:pPr>
        <w:pStyle w:val="FootnoteText"/>
        <w:rPr>
          <w:rFonts w:cstheme="minorHAnsi"/>
        </w:rPr>
      </w:pPr>
      <w:r w:rsidRPr="002F0F2F">
        <w:rPr>
          <w:rStyle w:val="FootnoteReference"/>
          <w:rFonts w:cstheme="minorHAnsi"/>
        </w:rPr>
        <w:footnoteRef/>
      </w:r>
      <w:r w:rsidRPr="002F0F2F">
        <w:rPr>
          <w:rFonts w:cstheme="minorHAnsi"/>
        </w:rPr>
        <w:t xml:space="preserve"> https://eur-lex.europa.eu/legal-content/EN/TXT/?uri=CELEX%3A02008R0294-20140101</w:t>
      </w:r>
    </w:p>
  </w:footnote>
  <w:footnote w:id="2">
    <w:p w14:paraId="428D37E4" w14:textId="71891B6F" w:rsidR="00B21CFE" w:rsidRPr="002F0F2F" w:rsidRDefault="00B21CFE" w:rsidP="002F0F2F">
      <w:pPr>
        <w:tabs>
          <w:tab w:val="left" w:pos="720"/>
        </w:tabs>
        <w:spacing w:after="120"/>
        <w:contextualSpacing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2F0F2F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2F0F2F">
        <w:rPr>
          <w:rFonts w:asciiTheme="minorHAnsi" w:hAnsiTheme="minorHAnsi" w:cstheme="minorHAnsi"/>
          <w:sz w:val="20"/>
          <w:szCs w:val="20"/>
        </w:rPr>
        <w:t xml:space="preserve"> </w:t>
      </w:r>
      <w:r w:rsidRPr="002F0F2F">
        <w:rPr>
          <w:rFonts w:asciiTheme="minorHAnsi" w:hAnsiTheme="minorHAnsi" w:cstheme="minorHAnsi"/>
          <w:sz w:val="20"/>
          <w:szCs w:val="20"/>
          <w:shd w:val="clear" w:color="auto" w:fill="FFFFFF"/>
        </w:rPr>
        <w:t>Eiropas Parlamenta un Padomes 2013. gada 11. decembra Lēmumam Nr. </w:t>
      </w:r>
      <w:hyperlink r:id="rId1" w:tgtFrame="_blank" w:history="1">
        <w:r w:rsidRPr="002F0F2F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>1312/2013/ES</w:t>
        </w:r>
      </w:hyperlink>
      <w:r w:rsidRPr="002F0F2F">
        <w:rPr>
          <w:rFonts w:asciiTheme="minorHAnsi" w:hAnsiTheme="minorHAnsi" w:cstheme="minorHAnsi"/>
          <w:sz w:val="20"/>
          <w:szCs w:val="20"/>
          <w:shd w:val="clear" w:color="auto" w:fill="FFFFFF"/>
        </w:rPr>
        <w:t> par Eiropas inovāciju un tehnoloģiju institūta (</w:t>
      </w:r>
      <w:r w:rsidRPr="002F0F2F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EIT</w:t>
      </w:r>
      <w:r w:rsidRPr="002F0F2F">
        <w:rPr>
          <w:rFonts w:asciiTheme="minorHAnsi" w:hAnsiTheme="minorHAnsi" w:cstheme="minorHAnsi"/>
          <w:sz w:val="20"/>
          <w:szCs w:val="20"/>
          <w:shd w:val="clear" w:color="auto" w:fill="FFFFFF"/>
        </w:rPr>
        <w:t>) stratēģisko inovāciju programmu: </w:t>
      </w:r>
      <w:r w:rsidRPr="002F0F2F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EIT</w:t>
      </w:r>
      <w:r w:rsidRPr="002F0F2F">
        <w:rPr>
          <w:rFonts w:asciiTheme="minorHAnsi" w:hAnsiTheme="minorHAnsi" w:cstheme="minorHAnsi"/>
          <w:sz w:val="20"/>
          <w:szCs w:val="20"/>
          <w:shd w:val="clear" w:color="auto" w:fill="FFFFFF"/>
        </w:rPr>
        <w:t> ieguldījums inovācijas veicināšanā Eiropā (Eiropas Savienības Oficiālais Vēstnesis, 2013. gada 20. decembris, Nr. L 347);</w:t>
      </w:r>
    </w:p>
  </w:footnote>
  <w:footnote w:id="3">
    <w:p w14:paraId="3B6610B3" w14:textId="044E8FC1" w:rsidR="00081A72" w:rsidRPr="00081A72" w:rsidRDefault="00081A7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81A72">
        <w:t>https://www.izm.gov.lv/lv/viedas-specializacijas-strategija</w:t>
      </w:r>
    </w:p>
  </w:footnote>
  <w:footnote w:id="4">
    <w:p w14:paraId="0B107839" w14:textId="4D8F7E9B" w:rsidR="007A0EE9" w:rsidRPr="002F0F2F" w:rsidRDefault="007A0E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0EE9">
        <w:t>https://eit.europa.eu/our-activities/eit-regional-innovation-scheme-ris</w:t>
      </w:r>
    </w:p>
  </w:footnote>
  <w:footnote w:id="5">
    <w:p w14:paraId="68E58859" w14:textId="23994455" w:rsidR="007A0EE9" w:rsidRPr="007A0EE9" w:rsidRDefault="007A0EE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A0EE9">
        <w:t>https://www.rtu.lv/lv/universitate/masu-medijiem/zinas/atvert/eit-informacijas-diena-2019-informes-par-atbalsta-rikiem-inovacijam</w:t>
      </w:r>
    </w:p>
  </w:footnote>
  <w:footnote w:id="6">
    <w:p w14:paraId="18B3C2BD" w14:textId="631BEBEA" w:rsidR="00F47CE5" w:rsidRPr="00F47CE5" w:rsidRDefault="00F47C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47CE5">
        <w:t>https://www.climate-kic.org/</w:t>
      </w:r>
    </w:p>
  </w:footnote>
  <w:footnote w:id="7">
    <w:p w14:paraId="7BFA1A05" w14:textId="6E272CD2" w:rsidR="00F47CE5" w:rsidRPr="00F47CE5" w:rsidRDefault="00F47C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47CE5">
        <w:t>https://www.rtu.lv/lv/zinatne/dizaina-fabrika/climate-kic</w:t>
      </w:r>
    </w:p>
  </w:footnote>
  <w:footnote w:id="8">
    <w:p w14:paraId="60A20315" w14:textId="499A4169" w:rsidR="00F47CE5" w:rsidRPr="00F47CE5" w:rsidRDefault="00F47C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47CE5">
        <w:t>https://www.eitdigital.eu/</w:t>
      </w:r>
    </w:p>
  </w:footnote>
  <w:footnote w:id="9">
    <w:p w14:paraId="15B15830" w14:textId="25AAAD38" w:rsidR="00F47CE5" w:rsidRPr="00F47CE5" w:rsidRDefault="00F47C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47CE5">
        <w:t>https://startupwiseguys.com/</w:t>
      </w:r>
    </w:p>
  </w:footnote>
  <w:footnote w:id="10">
    <w:p w14:paraId="4CB42105" w14:textId="7567A0B6" w:rsidR="00F47CE5" w:rsidRPr="00F47CE5" w:rsidRDefault="00F47C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47CE5">
        <w:t>https://www.eitfood.eu/</w:t>
      </w:r>
    </w:p>
  </w:footnote>
  <w:footnote w:id="11">
    <w:p w14:paraId="0EB8B86B" w14:textId="3DFF9C70" w:rsidR="00F47CE5" w:rsidRPr="00F47CE5" w:rsidRDefault="00F47C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47CE5">
        <w:t>https://www.rtu.lv/lv/zinatne/dizaina-fabrika/eit-food</w:t>
      </w:r>
    </w:p>
  </w:footnote>
  <w:footnote w:id="12">
    <w:p w14:paraId="6F210AF1" w14:textId="15480862" w:rsidR="00F47CE5" w:rsidRPr="00F47CE5" w:rsidRDefault="00F47C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47CE5">
        <w:t>https://eithealth.eu/</w:t>
      </w:r>
    </w:p>
  </w:footnote>
  <w:footnote w:id="13">
    <w:p w14:paraId="2C0055AD" w14:textId="2BC4C3F8" w:rsidR="00F47CE5" w:rsidRPr="00F47CE5" w:rsidRDefault="00F47C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47CE5">
        <w:t>https://www.rsu.lv/en/international-cooperation/eit-health-hub</w:t>
      </w:r>
    </w:p>
  </w:footnote>
  <w:footnote w:id="14">
    <w:p w14:paraId="2782DF14" w14:textId="60A8DBF6" w:rsidR="00F47CE5" w:rsidRPr="00F47CE5" w:rsidRDefault="00F47C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47CE5">
        <w:t>https://www.innoenergy.com/</w:t>
      </w:r>
    </w:p>
  </w:footnote>
  <w:footnote w:id="15">
    <w:p w14:paraId="2EAAD326" w14:textId="046C51F7" w:rsidR="00D52902" w:rsidRPr="00D52902" w:rsidRDefault="00D5290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52902">
        <w:t>https://www.em.gov.lv/lv/jaunums/parakstits-sadarbibas-memorands-starp-ekonomikas-ministriju-un-innoenergy</w:t>
      </w:r>
    </w:p>
  </w:footnote>
  <w:footnote w:id="16">
    <w:p w14:paraId="531F08A2" w14:textId="77777777" w:rsidR="00D52902" w:rsidRPr="00D52902" w:rsidRDefault="00D52902" w:rsidP="00D5290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52902">
        <w:t>http://www.projekti.lv/lv/</w:t>
      </w:r>
    </w:p>
  </w:footnote>
  <w:footnote w:id="17">
    <w:p w14:paraId="066EEFD1" w14:textId="2BBA92EC" w:rsidR="00D52902" w:rsidRPr="00D52902" w:rsidRDefault="00D5290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52902">
        <w:t>https://eitrawmaterials.eu/</w:t>
      </w:r>
    </w:p>
  </w:footnote>
  <w:footnote w:id="18">
    <w:p w14:paraId="0CEFF001" w14:textId="2C426C6F" w:rsidR="00D52902" w:rsidRPr="00D52902" w:rsidRDefault="00D5290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52902">
        <w:t>https://eitrawmaterials.eu/regional-center-baltic/</w:t>
      </w:r>
    </w:p>
  </w:footnote>
  <w:footnote w:id="19">
    <w:p w14:paraId="68884609" w14:textId="77777777" w:rsidR="00FB64E2" w:rsidRPr="007A0EE9" w:rsidRDefault="00FB64E2" w:rsidP="00FB64E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A0EE9">
        <w:t>https://eit.europa.eu/map-types/co-location-centre-clc</w:t>
      </w:r>
    </w:p>
  </w:footnote>
  <w:footnote w:id="20">
    <w:p w14:paraId="7300FC3C" w14:textId="77777777" w:rsidR="006A26C6" w:rsidRPr="002F0F2F" w:rsidRDefault="006A26C6" w:rsidP="006A26C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F0F2F">
        <w:t>EIROPAS PARLAMENTA UN PADOMES REGULA par pētniecības un inovācijas pamatprogrammas "Apvārsnis Eiropa" izveidi un dalības un rezultātu izplatīšanas noteikumiem</w:t>
      </w:r>
      <w:r>
        <w:t xml:space="preserve"> (</w:t>
      </w:r>
      <w:r w:rsidRPr="002F0F2F">
        <w:t>Eiropas Savienības Oficiālais Vēstnesis, 201</w:t>
      </w:r>
      <w:r>
        <w:t>8</w:t>
      </w:r>
      <w:r w:rsidRPr="002F0F2F">
        <w:t xml:space="preserve">. gada </w:t>
      </w:r>
      <w:r>
        <w:t>7. jūnijs</w:t>
      </w:r>
      <w:r w:rsidRPr="002F0F2F">
        <w:t xml:space="preserve">, Nr. L </w:t>
      </w:r>
      <w:r>
        <w:t>435</w:t>
      </w:r>
      <w:r w:rsidRPr="002F0F2F">
        <w:t>)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020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572597" w14:textId="77777777" w:rsidR="004A4210" w:rsidRDefault="004A42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0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72598" w14:textId="77777777" w:rsidR="004A4210" w:rsidRDefault="004A42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442"/>
    <w:multiLevelType w:val="hybridMultilevel"/>
    <w:tmpl w:val="12C8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944"/>
    <w:multiLevelType w:val="multilevel"/>
    <w:tmpl w:val="0E566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5821E5"/>
    <w:multiLevelType w:val="hybridMultilevel"/>
    <w:tmpl w:val="1E0AEAA8"/>
    <w:lvl w:ilvl="0" w:tplc="DD6E6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F94390"/>
    <w:multiLevelType w:val="hybridMultilevel"/>
    <w:tmpl w:val="3C4241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2DEA"/>
    <w:multiLevelType w:val="hybridMultilevel"/>
    <w:tmpl w:val="54B62996"/>
    <w:lvl w:ilvl="0" w:tplc="C71E7B0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A0462"/>
    <w:multiLevelType w:val="hybridMultilevel"/>
    <w:tmpl w:val="ACC6982C"/>
    <w:lvl w:ilvl="0" w:tplc="DD6E6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357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530B95"/>
    <w:multiLevelType w:val="hybridMultilevel"/>
    <w:tmpl w:val="6F4409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171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F6597B"/>
    <w:multiLevelType w:val="hybridMultilevel"/>
    <w:tmpl w:val="D7985AC4"/>
    <w:lvl w:ilvl="0" w:tplc="48BA8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C12DF0"/>
    <w:multiLevelType w:val="hybridMultilevel"/>
    <w:tmpl w:val="03F2D3E6"/>
    <w:lvl w:ilvl="0" w:tplc="675E0E2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ACE242E"/>
    <w:multiLevelType w:val="hybridMultilevel"/>
    <w:tmpl w:val="702E0A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E2FFD"/>
    <w:multiLevelType w:val="multilevel"/>
    <w:tmpl w:val="355EA91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3" w15:restartNumberingAfterBreak="0">
    <w:nsid w:val="3BDE7A0E"/>
    <w:multiLevelType w:val="hybridMultilevel"/>
    <w:tmpl w:val="58BEE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87860"/>
    <w:multiLevelType w:val="hybridMultilevel"/>
    <w:tmpl w:val="7FD468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043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F35A9B"/>
    <w:multiLevelType w:val="hybridMultilevel"/>
    <w:tmpl w:val="4A1A2486"/>
    <w:lvl w:ilvl="0" w:tplc="88662E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B46CE"/>
    <w:multiLevelType w:val="hybridMultilevel"/>
    <w:tmpl w:val="8CE4A398"/>
    <w:lvl w:ilvl="0" w:tplc="A5424EC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165CA5"/>
    <w:multiLevelType w:val="multilevel"/>
    <w:tmpl w:val="0E566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F82F06"/>
    <w:multiLevelType w:val="hybridMultilevel"/>
    <w:tmpl w:val="8580F804"/>
    <w:lvl w:ilvl="0" w:tplc="BD56FE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F6278"/>
    <w:multiLevelType w:val="hybridMultilevel"/>
    <w:tmpl w:val="2A44E4A8"/>
    <w:lvl w:ilvl="0" w:tplc="7DC21ED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64C0"/>
    <w:multiLevelType w:val="hybridMultilevel"/>
    <w:tmpl w:val="C24695D4"/>
    <w:lvl w:ilvl="0" w:tplc="E214C5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639F3"/>
    <w:multiLevelType w:val="hybridMultilevel"/>
    <w:tmpl w:val="652CC754"/>
    <w:lvl w:ilvl="0" w:tplc="B554D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D2148"/>
    <w:multiLevelType w:val="hybridMultilevel"/>
    <w:tmpl w:val="9A7275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E000C9D"/>
    <w:multiLevelType w:val="hybridMultilevel"/>
    <w:tmpl w:val="9A7275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E7347FD"/>
    <w:multiLevelType w:val="hybridMultilevel"/>
    <w:tmpl w:val="C79C5594"/>
    <w:lvl w:ilvl="0" w:tplc="AA562A1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555755"/>
    <w:multiLevelType w:val="hybridMultilevel"/>
    <w:tmpl w:val="A22E3A08"/>
    <w:lvl w:ilvl="0" w:tplc="0D84BC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C7829"/>
    <w:multiLevelType w:val="hybridMultilevel"/>
    <w:tmpl w:val="1F7AE95C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A22123B"/>
    <w:multiLevelType w:val="multilevel"/>
    <w:tmpl w:val="1FBA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775B41"/>
    <w:multiLevelType w:val="hybridMultilevel"/>
    <w:tmpl w:val="230E3EA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D77573"/>
    <w:multiLevelType w:val="hybridMultilevel"/>
    <w:tmpl w:val="B05E7A86"/>
    <w:lvl w:ilvl="0" w:tplc="F1D88E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2B34AA"/>
    <w:multiLevelType w:val="hybridMultilevel"/>
    <w:tmpl w:val="530E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9762E"/>
    <w:multiLevelType w:val="hybridMultilevel"/>
    <w:tmpl w:val="334C60D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7E3C45"/>
    <w:multiLevelType w:val="hybridMultilevel"/>
    <w:tmpl w:val="933282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F34B7"/>
    <w:multiLevelType w:val="hybridMultilevel"/>
    <w:tmpl w:val="2B388EB6"/>
    <w:lvl w:ilvl="0" w:tplc="7BC4B58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1A0414"/>
    <w:multiLevelType w:val="hybridMultilevel"/>
    <w:tmpl w:val="D654FB7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1F3F2D"/>
    <w:multiLevelType w:val="hybridMultilevel"/>
    <w:tmpl w:val="84D69EC6"/>
    <w:lvl w:ilvl="0" w:tplc="20885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0"/>
  </w:num>
  <w:num w:numId="6">
    <w:abstractNumId w:val="2"/>
  </w:num>
  <w:num w:numId="7">
    <w:abstractNumId w:val="16"/>
  </w:num>
  <w:num w:numId="8">
    <w:abstractNumId w:val="5"/>
  </w:num>
  <w:num w:numId="9">
    <w:abstractNumId w:val="19"/>
  </w:num>
  <w:num w:numId="10">
    <w:abstractNumId w:val="27"/>
  </w:num>
  <w:num w:numId="11">
    <w:abstractNumId w:val="10"/>
  </w:num>
  <w:num w:numId="12">
    <w:abstractNumId w:val="25"/>
  </w:num>
  <w:num w:numId="13">
    <w:abstractNumId w:val="18"/>
  </w:num>
  <w:num w:numId="14">
    <w:abstractNumId w:val="36"/>
  </w:num>
  <w:num w:numId="15">
    <w:abstractNumId w:val="23"/>
  </w:num>
  <w:num w:numId="16">
    <w:abstractNumId w:val="9"/>
  </w:num>
  <w:num w:numId="17">
    <w:abstractNumId w:val="3"/>
  </w:num>
  <w:num w:numId="18">
    <w:abstractNumId w:val="14"/>
  </w:num>
  <w:num w:numId="19">
    <w:abstractNumId w:val="28"/>
  </w:num>
  <w:num w:numId="20">
    <w:abstractNumId w:val="7"/>
  </w:num>
  <w:num w:numId="21">
    <w:abstractNumId w:val="20"/>
  </w:num>
  <w:num w:numId="22">
    <w:abstractNumId w:val="29"/>
  </w:num>
  <w:num w:numId="23">
    <w:abstractNumId w:val="4"/>
  </w:num>
  <w:num w:numId="24">
    <w:abstractNumId w:val="32"/>
  </w:num>
  <w:num w:numId="25">
    <w:abstractNumId w:val="34"/>
  </w:num>
  <w:num w:numId="26">
    <w:abstractNumId w:val="24"/>
  </w:num>
  <w:num w:numId="27">
    <w:abstractNumId w:val="22"/>
  </w:num>
  <w:num w:numId="28">
    <w:abstractNumId w:val="26"/>
  </w:num>
  <w:num w:numId="29">
    <w:abstractNumId w:val="31"/>
  </w:num>
  <w:num w:numId="30">
    <w:abstractNumId w:val="0"/>
  </w:num>
  <w:num w:numId="31">
    <w:abstractNumId w:val="13"/>
  </w:num>
  <w:num w:numId="32">
    <w:abstractNumId w:val="11"/>
  </w:num>
  <w:num w:numId="33">
    <w:abstractNumId w:val="33"/>
  </w:num>
  <w:num w:numId="34">
    <w:abstractNumId w:val="17"/>
  </w:num>
  <w:num w:numId="35">
    <w:abstractNumId w:val="15"/>
  </w:num>
  <w:num w:numId="36">
    <w:abstractNumId w:val="12"/>
  </w:num>
  <w:num w:numId="37">
    <w:abstractNumId w:val="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zIzNjM3NDY3MDJV0lEKTi0uzszPAykwqgUAEpfDKSwAAAA="/>
  </w:docVars>
  <w:rsids>
    <w:rsidRoot w:val="001302DC"/>
    <w:rsid w:val="00000657"/>
    <w:rsid w:val="000019CC"/>
    <w:rsid w:val="00003D97"/>
    <w:rsid w:val="00026C6F"/>
    <w:rsid w:val="00030AC0"/>
    <w:rsid w:val="000312EC"/>
    <w:rsid w:val="00031B3A"/>
    <w:rsid w:val="000414B7"/>
    <w:rsid w:val="00043B13"/>
    <w:rsid w:val="00053DE0"/>
    <w:rsid w:val="0005610E"/>
    <w:rsid w:val="00066114"/>
    <w:rsid w:val="00081A72"/>
    <w:rsid w:val="00082855"/>
    <w:rsid w:val="00097393"/>
    <w:rsid w:val="000B1D33"/>
    <w:rsid w:val="000B409C"/>
    <w:rsid w:val="000C3814"/>
    <w:rsid w:val="000C4A32"/>
    <w:rsid w:val="000C7E5A"/>
    <w:rsid w:val="000D66CC"/>
    <w:rsid w:val="000E69C9"/>
    <w:rsid w:val="000F6A3F"/>
    <w:rsid w:val="0010395A"/>
    <w:rsid w:val="0010640B"/>
    <w:rsid w:val="00110D56"/>
    <w:rsid w:val="00111A5F"/>
    <w:rsid w:val="00115895"/>
    <w:rsid w:val="001178A3"/>
    <w:rsid w:val="00125044"/>
    <w:rsid w:val="001302DC"/>
    <w:rsid w:val="00143F01"/>
    <w:rsid w:val="00144506"/>
    <w:rsid w:val="0014681D"/>
    <w:rsid w:val="00147490"/>
    <w:rsid w:val="00151EED"/>
    <w:rsid w:val="001522FA"/>
    <w:rsid w:val="00156859"/>
    <w:rsid w:val="00171E0D"/>
    <w:rsid w:val="001734D8"/>
    <w:rsid w:val="00174545"/>
    <w:rsid w:val="00176428"/>
    <w:rsid w:val="0018031E"/>
    <w:rsid w:val="00193004"/>
    <w:rsid w:val="001957E7"/>
    <w:rsid w:val="001C71DE"/>
    <w:rsid w:val="001D40F0"/>
    <w:rsid w:val="001D4872"/>
    <w:rsid w:val="001E3182"/>
    <w:rsid w:val="001F4331"/>
    <w:rsid w:val="0020385A"/>
    <w:rsid w:val="00207850"/>
    <w:rsid w:val="00214BBF"/>
    <w:rsid w:val="0021650B"/>
    <w:rsid w:val="00226F44"/>
    <w:rsid w:val="00235A65"/>
    <w:rsid w:val="0023704B"/>
    <w:rsid w:val="00242686"/>
    <w:rsid w:val="00252AF4"/>
    <w:rsid w:val="00265F69"/>
    <w:rsid w:val="00267909"/>
    <w:rsid w:val="002742D5"/>
    <w:rsid w:val="00275A47"/>
    <w:rsid w:val="002760D9"/>
    <w:rsid w:val="002813F3"/>
    <w:rsid w:val="002835D2"/>
    <w:rsid w:val="002919BF"/>
    <w:rsid w:val="00294E4E"/>
    <w:rsid w:val="002A7D92"/>
    <w:rsid w:val="002B0DA2"/>
    <w:rsid w:val="002B4A49"/>
    <w:rsid w:val="002C418A"/>
    <w:rsid w:val="002D2240"/>
    <w:rsid w:val="002E04AB"/>
    <w:rsid w:val="002E06AA"/>
    <w:rsid w:val="002E75B2"/>
    <w:rsid w:val="002F0F2F"/>
    <w:rsid w:val="002F1DB6"/>
    <w:rsid w:val="002F2574"/>
    <w:rsid w:val="002F6439"/>
    <w:rsid w:val="003006B7"/>
    <w:rsid w:val="00302937"/>
    <w:rsid w:val="0030486A"/>
    <w:rsid w:val="00312EE9"/>
    <w:rsid w:val="003274D0"/>
    <w:rsid w:val="00343C60"/>
    <w:rsid w:val="0035010A"/>
    <w:rsid w:val="00361DA0"/>
    <w:rsid w:val="00363CA8"/>
    <w:rsid w:val="00365259"/>
    <w:rsid w:val="00366E44"/>
    <w:rsid w:val="003670DE"/>
    <w:rsid w:val="00373A8E"/>
    <w:rsid w:val="00374FEC"/>
    <w:rsid w:val="003753B4"/>
    <w:rsid w:val="00387872"/>
    <w:rsid w:val="00387ED9"/>
    <w:rsid w:val="00393DB9"/>
    <w:rsid w:val="003A2541"/>
    <w:rsid w:val="003B5821"/>
    <w:rsid w:val="003C4308"/>
    <w:rsid w:val="003C4510"/>
    <w:rsid w:val="003C7D6C"/>
    <w:rsid w:val="003E0D70"/>
    <w:rsid w:val="003E21EC"/>
    <w:rsid w:val="003E58A1"/>
    <w:rsid w:val="003F7E8D"/>
    <w:rsid w:val="0041108B"/>
    <w:rsid w:val="004224A5"/>
    <w:rsid w:val="00426E74"/>
    <w:rsid w:val="004315FA"/>
    <w:rsid w:val="00437294"/>
    <w:rsid w:val="004418EF"/>
    <w:rsid w:val="0044225D"/>
    <w:rsid w:val="00451B4C"/>
    <w:rsid w:val="00452737"/>
    <w:rsid w:val="0045537D"/>
    <w:rsid w:val="0046393E"/>
    <w:rsid w:val="004651C8"/>
    <w:rsid w:val="00474184"/>
    <w:rsid w:val="00474753"/>
    <w:rsid w:val="00477DDC"/>
    <w:rsid w:val="00485489"/>
    <w:rsid w:val="004A4210"/>
    <w:rsid w:val="004A5A0B"/>
    <w:rsid w:val="004B09E3"/>
    <w:rsid w:val="004B27E1"/>
    <w:rsid w:val="004B2A96"/>
    <w:rsid w:val="004B5AAE"/>
    <w:rsid w:val="004B5C65"/>
    <w:rsid w:val="004C4E90"/>
    <w:rsid w:val="004C5920"/>
    <w:rsid w:val="004D4F1F"/>
    <w:rsid w:val="004E0FF1"/>
    <w:rsid w:val="004E5D53"/>
    <w:rsid w:val="004E6BDC"/>
    <w:rsid w:val="004F66DB"/>
    <w:rsid w:val="005219E2"/>
    <w:rsid w:val="005236FA"/>
    <w:rsid w:val="00532227"/>
    <w:rsid w:val="0053248A"/>
    <w:rsid w:val="00540320"/>
    <w:rsid w:val="00547358"/>
    <w:rsid w:val="00554BF8"/>
    <w:rsid w:val="00571027"/>
    <w:rsid w:val="00575737"/>
    <w:rsid w:val="00581FA6"/>
    <w:rsid w:val="00593E3A"/>
    <w:rsid w:val="005A235B"/>
    <w:rsid w:val="005A3CF5"/>
    <w:rsid w:val="005A6705"/>
    <w:rsid w:val="005A7BF2"/>
    <w:rsid w:val="005B3939"/>
    <w:rsid w:val="005B4516"/>
    <w:rsid w:val="005B6DA0"/>
    <w:rsid w:val="005C269C"/>
    <w:rsid w:val="005C3249"/>
    <w:rsid w:val="005C40CD"/>
    <w:rsid w:val="005C63E9"/>
    <w:rsid w:val="005D66B9"/>
    <w:rsid w:val="005E485C"/>
    <w:rsid w:val="005E4A70"/>
    <w:rsid w:val="005E7F8E"/>
    <w:rsid w:val="005F12CC"/>
    <w:rsid w:val="0060318D"/>
    <w:rsid w:val="00611299"/>
    <w:rsid w:val="00614D88"/>
    <w:rsid w:val="00624CA8"/>
    <w:rsid w:val="006256F8"/>
    <w:rsid w:val="00650D16"/>
    <w:rsid w:val="006532F0"/>
    <w:rsid w:val="0066209A"/>
    <w:rsid w:val="00663EFB"/>
    <w:rsid w:val="00694232"/>
    <w:rsid w:val="00694DF7"/>
    <w:rsid w:val="006A26C6"/>
    <w:rsid w:val="006A651D"/>
    <w:rsid w:val="006B6C5B"/>
    <w:rsid w:val="006C4C3E"/>
    <w:rsid w:val="006C691F"/>
    <w:rsid w:val="006D2B2E"/>
    <w:rsid w:val="006D421C"/>
    <w:rsid w:val="006E3FD6"/>
    <w:rsid w:val="006F3A15"/>
    <w:rsid w:val="006F797B"/>
    <w:rsid w:val="00700116"/>
    <w:rsid w:val="0070301A"/>
    <w:rsid w:val="007179DD"/>
    <w:rsid w:val="007204D6"/>
    <w:rsid w:val="00720B00"/>
    <w:rsid w:val="007217C9"/>
    <w:rsid w:val="0072311E"/>
    <w:rsid w:val="00725BF3"/>
    <w:rsid w:val="007264E8"/>
    <w:rsid w:val="007270F2"/>
    <w:rsid w:val="00733F1D"/>
    <w:rsid w:val="0074711C"/>
    <w:rsid w:val="00750A35"/>
    <w:rsid w:val="00750C3F"/>
    <w:rsid w:val="007513B6"/>
    <w:rsid w:val="0075302A"/>
    <w:rsid w:val="0075419F"/>
    <w:rsid w:val="007559B7"/>
    <w:rsid w:val="00757CA0"/>
    <w:rsid w:val="00761663"/>
    <w:rsid w:val="00774BBE"/>
    <w:rsid w:val="00781943"/>
    <w:rsid w:val="00781C35"/>
    <w:rsid w:val="007847CF"/>
    <w:rsid w:val="00796453"/>
    <w:rsid w:val="007A055A"/>
    <w:rsid w:val="007A0EE9"/>
    <w:rsid w:val="007B19F8"/>
    <w:rsid w:val="007C5DD5"/>
    <w:rsid w:val="007D5E88"/>
    <w:rsid w:val="007F2EFD"/>
    <w:rsid w:val="007F3B45"/>
    <w:rsid w:val="007F54A9"/>
    <w:rsid w:val="00812293"/>
    <w:rsid w:val="008148E5"/>
    <w:rsid w:val="00815731"/>
    <w:rsid w:val="00817C89"/>
    <w:rsid w:val="0082282B"/>
    <w:rsid w:val="00822E10"/>
    <w:rsid w:val="00824A1C"/>
    <w:rsid w:val="00835314"/>
    <w:rsid w:val="0083586E"/>
    <w:rsid w:val="00836302"/>
    <w:rsid w:val="00840787"/>
    <w:rsid w:val="00843FDC"/>
    <w:rsid w:val="008459D8"/>
    <w:rsid w:val="00853CED"/>
    <w:rsid w:val="008747C2"/>
    <w:rsid w:val="00875A5F"/>
    <w:rsid w:val="008761FF"/>
    <w:rsid w:val="00881272"/>
    <w:rsid w:val="00883DA6"/>
    <w:rsid w:val="00895F93"/>
    <w:rsid w:val="00896903"/>
    <w:rsid w:val="008A162D"/>
    <w:rsid w:val="008A3538"/>
    <w:rsid w:val="008A56D2"/>
    <w:rsid w:val="008A60C1"/>
    <w:rsid w:val="008B0712"/>
    <w:rsid w:val="008B3B74"/>
    <w:rsid w:val="008B4C7F"/>
    <w:rsid w:val="008B7A99"/>
    <w:rsid w:val="008C05A3"/>
    <w:rsid w:val="008C4F01"/>
    <w:rsid w:val="008D54E8"/>
    <w:rsid w:val="008E0614"/>
    <w:rsid w:val="008E2F56"/>
    <w:rsid w:val="008F44BD"/>
    <w:rsid w:val="008F5506"/>
    <w:rsid w:val="008F63A4"/>
    <w:rsid w:val="009042ED"/>
    <w:rsid w:val="00907F12"/>
    <w:rsid w:val="00915013"/>
    <w:rsid w:val="00921985"/>
    <w:rsid w:val="009244B3"/>
    <w:rsid w:val="00927222"/>
    <w:rsid w:val="00935BE7"/>
    <w:rsid w:val="009376BB"/>
    <w:rsid w:val="00947C6C"/>
    <w:rsid w:val="009550E4"/>
    <w:rsid w:val="00957022"/>
    <w:rsid w:val="00985253"/>
    <w:rsid w:val="009858AD"/>
    <w:rsid w:val="009A132C"/>
    <w:rsid w:val="009A2CA5"/>
    <w:rsid w:val="009A74BB"/>
    <w:rsid w:val="009B0EC5"/>
    <w:rsid w:val="009C2D5E"/>
    <w:rsid w:val="009C3357"/>
    <w:rsid w:val="009D4A31"/>
    <w:rsid w:val="009D748A"/>
    <w:rsid w:val="009E08BA"/>
    <w:rsid w:val="009E5836"/>
    <w:rsid w:val="009F0FD7"/>
    <w:rsid w:val="00A0309B"/>
    <w:rsid w:val="00A06DF9"/>
    <w:rsid w:val="00A11073"/>
    <w:rsid w:val="00A25BE9"/>
    <w:rsid w:val="00A331ED"/>
    <w:rsid w:val="00A42456"/>
    <w:rsid w:val="00A543D0"/>
    <w:rsid w:val="00A57E27"/>
    <w:rsid w:val="00A62DC1"/>
    <w:rsid w:val="00A70355"/>
    <w:rsid w:val="00A81C85"/>
    <w:rsid w:val="00A957FA"/>
    <w:rsid w:val="00AB58C5"/>
    <w:rsid w:val="00AC03CC"/>
    <w:rsid w:val="00AC3249"/>
    <w:rsid w:val="00AC56CA"/>
    <w:rsid w:val="00AE4D40"/>
    <w:rsid w:val="00AF1CA3"/>
    <w:rsid w:val="00AF351D"/>
    <w:rsid w:val="00AF6A20"/>
    <w:rsid w:val="00B0047E"/>
    <w:rsid w:val="00B11012"/>
    <w:rsid w:val="00B1687D"/>
    <w:rsid w:val="00B21CFE"/>
    <w:rsid w:val="00B2312A"/>
    <w:rsid w:val="00B36902"/>
    <w:rsid w:val="00B43104"/>
    <w:rsid w:val="00B458BA"/>
    <w:rsid w:val="00B519C6"/>
    <w:rsid w:val="00B558E6"/>
    <w:rsid w:val="00B55C29"/>
    <w:rsid w:val="00B607AA"/>
    <w:rsid w:val="00B6543A"/>
    <w:rsid w:val="00B7653A"/>
    <w:rsid w:val="00B83AD3"/>
    <w:rsid w:val="00B92528"/>
    <w:rsid w:val="00B941E7"/>
    <w:rsid w:val="00BA46D2"/>
    <w:rsid w:val="00BA5B6F"/>
    <w:rsid w:val="00BB5822"/>
    <w:rsid w:val="00BB6A88"/>
    <w:rsid w:val="00BC783A"/>
    <w:rsid w:val="00BD284D"/>
    <w:rsid w:val="00BD3BA7"/>
    <w:rsid w:val="00BD560B"/>
    <w:rsid w:val="00BD5EAD"/>
    <w:rsid w:val="00BE60CA"/>
    <w:rsid w:val="00BF4E58"/>
    <w:rsid w:val="00BF5CD0"/>
    <w:rsid w:val="00BF5D9D"/>
    <w:rsid w:val="00BF7CEB"/>
    <w:rsid w:val="00C02CE9"/>
    <w:rsid w:val="00C054C7"/>
    <w:rsid w:val="00C077CA"/>
    <w:rsid w:val="00C11F52"/>
    <w:rsid w:val="00C1617F"/>
    <w:rsid w:val="00C175BA"/>
    <w:rsid w:val="00C3321B"/>
    <w:rsid w:val="00C34FD6"/>
    <w:rsid w:val="00C37F38"/>
    <w:rsid w:val="00C50446"/>
    <w:rsid w:val="00C504C5"/>
    <w:rsid w:val="00C64762"/>
    <w:rsid w:val="00C647F6"/>
    <w:rsid w:val="00C73225"/>
    <w:rsid w:val="00C74738"/>
    <w:rsid w:val="00C76410"/>
    <w:rsid w:val="00C77EE4"/>
    <w:rsid w:val="00C80669"/>
    <w:rsid w:val="00C80AC4"/>
    <w:rsid w:val="00C82BC2"/>
    <w:rsid w:val="00C82E12"/>
    <w:rsid w:val="00C82F71"/>
    <w:rsid w:val="00C930C4"/>
    <w:rsid w:val="00C96F88"/>
    <w:rsid w:val="00CB2ED6"/>
    <w:rsid w:val="00CB2F5A"/>
    <w:rsid w:val="00CB7DEA"/>
    <w:rsid w:val="00CD4932"/>
    <w:rsid w:val="00CD66F8"/>
    <w:rsid w:val="00CE5BF3"/>
    <w:rsid w:val="00D036E4"/>
    <w:rsid w:val="00D0489C"/>
    <w:rsid w:val="00D12EEA"/>
    <w:rsid w:val="00D12FE0"/>
    <w:rsid w:val="00D26C13"/>
    <w:rsid w:val="00D37CC0"/>
    <w:rsid w:val="00D52902"/>
    <w:rsid w:val="00D53F42"/>
    <w:rsid w:val="00D65389"/>
    <w:rsid w:val="00D70B15"/>
    <w:rsid w:val="00D72602"/>
    <w:rsid w:val="00D934D1"/>
    <w:rsid w:val="00D94534"/>
    <w:rsid w:val="00DA25A3"/>
    <w:rsid w:val="00DB1C37"/>
    <w:rsid w:val="00DB609A"/>
    <w:rsid w:val="00DC11CC"/>
    <w:rsid w:val="00DC4555"/>
    <w:rsid w:val="00DC4811"/>
    <w:rsid w:val="00DC6116"/>
    <w:rsid w:val="00DC6F08"/>
    <w:rsid w:val="00DC7F54"/>
    <w:rsid w:val="00DE0088"/>
    <w:rsid w:val="00DE0FA5"/>
    <w:rsid w:val="00DF198A"/>
    <w:rsid w:val="00DF37C2"/>
    <w:rsid w:val="00E07AD5"/>
    <w:rsid w:val="00E1348D"/>
    <w:rsid w:val="00E14789"/>
    <w:rsid w:val="00E1537F"/>
    <w:rsid w:val="00E15CD5"/>
    <w:rsid w:val="00E16BF8"/>
    <w:rsid w:val="00E258CF"/>
    <w:rsid w:val="00E26108"/>
    <w:rsid w:val="00E325A5"/>
    <w:rsid w:val="00E3502D"/>
    <w:rsid w:val="00E41F4F"/>
    <w:rsid w:val="00E86433"/>
    <w:rsid w:val="00E86FC2"/>
    <w:rsid w:val="00E90C46"/>
    <w:rsid w:val="00E95960"/>
    <w:rsid w:val="00EA5284"/>
    <w:rsid w:val="00EA63A5"/>
    <w:rsid w:val="00EB0D15"/>
    <w:rsid w:val="00EB1412"/>
    <w:rsid w:val="00EB3769"/>
    <w:rsid w:val="00EB51E8"/>
    <w:rsid w:val="00EC2C56"/>
    <w:rsid w:val="00ED3DF7"/>
    <w:rsid w:val="00EE215A"/>
    <w:rsid w:val="00EF5157"/>
    <w:rsid w:val="00F043BA"/>
    <w:rsid w:val="00F06B0A"/>
    <w:rsid w:val="00F07262"/>
    <w:rsid w:val="00F11160"/>
    <w:rsid w:val="00F15CD5"/>
    <w:rsid w:val="00F23938"/>
    <w:rsid w:val="00F24826"/>
    <w:rsid w:val="00F432E9"/>
    <w:rsid w:val="00F470A9"/>
    <w:rsid w:val="00F47CE5"/>
    <w:rsid w:val="00F52326"/>
    <w:rsid w:val="00F53002"/>
    <w:rsid w:val="00F608EE"/>
    <w:rsid w:val="00F71053"/>
    <w:rsid w:val="00F80200"/>
    <w:rsid w:val="00F80737"/>
    <w:rsid w:val="00F85736"/>
    <w:rsid w:val="00F907C0"/>
    <w:rsid w:val="00F914CD"/>
    <w:rsid w:val="00F92775"/>
    <w:rsid w:val="00F9455D"/>
    <w:rsid w:val="00FB3235"/>
    <w:rsid w:val="00FB4F72"/>
    <w:rsid w:val="00FB64E2"/>
    <w:rsid w:val="00FC1431"/>
    <w:rsid w:val="00FC33C6"/>
    <w:rsid w:val="00FD0F18"/>
    <w:rsid w:val="00FD3091"/>
    <w:rsid w:val="00FD5356"/>
    <w:rsid w:val="00FE05E7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23C1"/>
  <w15:docId w15:val="{FD0BF2D3-4676-47B8-9B24-A97FD523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1C8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2DC"/>
    <w:rPr>
      <w:rFonts w:ascii="Times New Roman" w:hAnsi="Times New Roman" w:cs="Times New Roman" w:hint="default"/>
      <w:color w:val="0563C1"/>
      <w:u w:val="single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302DC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L"/>
    <w:basedOn w:val="Normal"/>
    <w:link w:val="ListParagraphChar"/>
    <w:uiPriority w:val="34"/>
    <w:qFormat/>
    <w:rsid w:val="001302DC"/>
    <w:pPr>
      <w:ind w:left="720"/>
      <w:jc w:val="left"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39"/>
    <w:rsid w:val="0013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2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2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02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2DC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aliases w:val="Footnote,Fußnote,single space,ft Rakstz. Rakstz.,ft Rakstz.,ft,-E Fußnotentext,Fußnotentext Ursprung,Vēres teksts Char Char Char Char Char,Char Char Char Char Char Char Char Char Char Char Char Char,Vēres teksts Char Char Char,footnote tex"/>
    <w:basedOn w:val="Normal"/>
    <w:link w:val="FootnoteTextChar"/>
    <w:uiPriority w:val="99"/>
    <w:unhideWhenUsed/>
    <w:qFormat/>
    <w:rsid w:val="001302DC"/>
    <w:pPr>
      <w:jc w:val="left"/>
    </w:pPr>
    <w:rPr>
      <w:rFonts w:asciiTheme="minorHAnsi" w:eastAsiaTheme="minorEastAsia" w:hAnsiTheme="minorHAnsi"/>
      <w:sz w:val="20"/>
      <w:szCs w:val="20"/>
      <w:lang w:eastAsia="lv-LV"/>
    </w:rPr>
  </w:style>
  <w:style w:type="character" w:customStyle="1" w:styleId="FootnoteTextChar">
    <w:name w:val="Footnote Text Char"/>
    <w:aliases w:val="Footnote Char,Fußnote Char,single space Char,ft Rakstz. Rakstz. Char,ft Rakstz. Char,ft Char,-E Fußnotentext Char,Fußnotentext Ursprung Char,Vēres teksts Char Char Char Char Char Char,Vēres teksts Char Char Char Char,footnote tex Char"/>
    <w:basedOn w:val="DefaultParagraphFont"/>
    <w:link w:val="FootnoteText"/>
    <w:uiPriority w:val="99"/>
    <w:qFormat/>
    <w:rsid w:val="001302DC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link w:val="CharCharCharChar"/>
    <w:uiPriority w:val="99"/>
    <w:unhideWhenUsed/>
    <w:qFormat/>
    <w:rsid w:val="001302D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30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2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2D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2D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DC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302DC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302DC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1302D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302DC"/>
    <w:rPr>
      <w:b/>
      <w:bCs/>
    </w:rPr>
  </w:style>
  <w:style w:type="table" w:styleId="GridTable4-Accent4">
    <w:name w:val="Grid Table 4 Accent 4"/>
    <w:basedOn w:val="TableNormal"/>
    <w:uiPriority w:val="49"/>
    <w:rsid w:val="0081229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256F8"/>
    <w:rPr>
      <w:color w:val="800080" w:themeColor="followedHyperlink"/>
      <w:u w:val="single"/>
    </w:rPr>
  </w:style>
  <w:style w:type="table" w:styleId="GridTable5Dark-Accent4">
    <w:name w:val="Grid Table 5 Dark Accent 4"/>
    <w:basedOn w:val="TableNormal"/>
    <w:uiPriority w:val="50"/>
    <w:rsid w:val="003048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3048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4">
    <w:name w:val="List Table 4 Accent 4"/>
    <w:basedOn w:val="TableNormal"/>
    <w:uiPriority w:val="49"/>
    <w:rsid w:val="0030486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30486A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853CED"/>
    <w:pPr>
      <w:spacing w:after="160" w:line="240" w:lineRule="exact"/>
      <w:textAlignment w:val="baseline"/>
    </w:pPr>
    <w:rPr>
      <w:vertAlign w:val="superscript"/>
    </w:rPr>
  </w:style>
  <w:style w:type="paragraph" w:customStyle="1" w:styleId="title-doc-first">
    <w:name w:val="title-doc-first"/>
    <w:basedOn w:val="Normal"/>
    <w:rsid w:val="00B21CF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lv-LV"/>
    </w:rPr>
  </w:style>
  <w:style w:type="paragraph" w:customStyle="1" w:styleId="title-doc-last">
    <w:name w:val="title-doc-last"/>
    <w:basedOn w:val="Normal"/>
    <w:rsid w:val="00B21CF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s-martins.blums@iz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eli/dec/1312/2013/oj/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D2B5-A9A4-4D4F-8E38-DDFC83BB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4380</Words>
  <Characters>2497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Aleksandrs Mārtiņš Blūms</cp:lastModifiedBy>
  <cp:revision>6</cp:revision>
  <cp:lastPrinted>2019-05-17T12:19:00Z</cp:lastPrinted>
  <dcterms:created xsi:type="dcterms:W3CDTF">2021-01-04T11:53:00Z</dcterms:created>
  <dcterms:modified xsi:type="dcterms:W3CDTF">2021-01-05T07:19:00Z</dcterms:modified>
</cp:coreProperties>
</file>