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08FB0" w14:textId="77777777" w:rsidR="006A12B2" w:rsidRPr="00164EAF" w:rsidRDefault="006A12B2" w:rsidP="00164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651ACC" w14:textId="0A1C5970" w:rsidR="006A12B2" w:rsidRPr="00164EAF" w:rsidRDefault="00427AC8" w:rsidP="00164EAF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E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6A12B2" w:rsidRPr="00164EAF">
        <w:rPr>
          <w:rFonts w:ascii="Times New Roman" w:hAnsi="Times New Roman" w:cs="Times New Roman"/>
          <w:sz w:val="28"/>
          <w:szCs w:val="28"/>
        </w:rPr>
        <w:t xml:space="preserve">. gada            </w:t>
      </w:r>
      <w:r w:rsidR="006A12B2" w:rsidRPr="00164EAF">
        <w:rPr>
          <w:rFonts w:ascii="Times New Roman" w:hAnsi="Times New Roman" w:cs="Times New Roman"/>
          <w:sz w:val="28"/>
          <w:szCs w:val="28"/>
        </w:rPr>
        <w:tab/>
        <w:t>Noteikumi Nr.</w:t>
      </w:r>
    </w:p>
    <w:p w14:paraId="11C1BF02" w14:textId="77777777" w:rsidR="006A12B2" w:rsidRPr="00164EAF" w:rsidRDefault="006A12B2" w:rsidP="00164EAF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EAF">
        <w:rPr>
          <w:rFonts w:ascii="Times New Roman" w:hAnsi="Times New Roman" w:cs="Times New Roman"/>
          <w:sz w:val="28"/>
          <w:szCs w:val="28"/>
        </w:rPr>
        <w:t>Rīgā</w:t>
      </w:r>
      <w:r w:rsidRPr="00164EAF">
        <w:rPr>
          <w:rFonts w:ascii="Times New Roman" w:hAnsi="Times New Roman" w:cs="Times New Roman"/>
          <w:sz w:val="28"/>
          <w:szCs w:val="28"/>
        </w:rPr>
        <w:tab/>
        <w:t>(prot. Nr.            . §)</w:t>
      </w:r>
    </w:p>
    <w:p w14:paraId="579C62D2" w14:textId="77777777" w:rsidR="006A12B2" w:rsidRPr="00164EAF" w:rsidRDefault="006A12B2" w:rsidP="00164EA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588059B" w14:textId="55A5E435" w:rsidR="006A12B2" w:rsidRPr="00164EAF" w:rsidRDefault="006A12B2" w:rsidP="00164EAF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eastAsia="lv-LV"/>
        </w:rPr>
      </w:pPr>
    </w:p>
    <w:p w14:paraId="6E4BD3B0" w14:textId="77777777" w:rsidR="006A12B2" w:rsidRPr="00164EAF" w:rsidRDefault="006A12B2" w:rsidP="0016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164EAF">
        <w:rPr>
          <w:rFonts w:ascii="Times New Roman" w:hAnsi="Times New Roman" w:cs="Times New Roman"/>
          <w:b/>
          <w:iCs/>
          <w:sz w:val="28"/>
          <w:szCs w:val="28"/>
          <w:lang w:eastAsia="lv-LV"/>
        </w:rPr>
        <w:t>Attālināto mācību organizēšanas un īstenošanas kārtība</w:t>
      </w:r>
    </w:p>
    <w:p w14:paraId="6E04F29B" w14:textId="77777777" w:rsidR="006A12B2" w:rsidRPr="00164EAF" w:rsidRDefault="006A12B2" w:rsidP="00164EAF">
      <w:pPr>
        <w:tabs>
          <w:tab w:val="left" w:pos="2552"/>
        </w:tabs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4EDC2542" w14:textId="77777777" w:rsidR="006A12B2" w:rsidRPr="00164EAF" w:rsidRDefault="006A12B2" w:rsidP="00164EAF">
      <w:pPr>
        <w:tabs>
          <w:tab w:val="left" w:pos="2552"/>
        </w:tabs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E8E460A" w14:textId="77777777" w:rsidR="006A12B2" w:rsidRPr="00164EAF" w:rsidRDefault="006A12B2" w:rsidP="00164EA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EA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Izdoti saskaņā ar </w:t>
      </w:r>
      <w:r w:rsidRPr="00164EAF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>Izglītības likuma</w:t>
      </w:r>
      <w:r w:rsidRPr="00164E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14.panta 45.punktu</w:t>
      </w:r>
    </w:p>
    <w:p w14:paraId="283AD614" w14:textId="77777777" w:rsidR="006A12B2" w:rsidRPr="00164EAF" w:rsidRDefault="006A12B2" w:rsidP="00164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4338C89" w14:textId="77777777" w:rsidR="00D23B63" w:rsidRPr="00164EAF" w:rsidRDefault="00D23B63" w:rsidP="00164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8A36AB6" w14:textId="1A6A26F5" w:rsidR="00D23B63" w:rsidRPr="00164EAF" w:rsidRDefault="00D23B63" w:rsidP="00164EAF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Noteikumi nosaka kārtību, kādā organizē un īsteno attālinātās mācības</w:t>
      </w:r>
      <w:r w:rsidR="00D96F8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041CD91" w14:textId="77777777" w:rsidR="006A12B2" w:rsidRPr="00164EAF" w:rsidRDefault="006A12B2" w:rsidP="00164E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77FA7B" w14:textId="4B13FB4D" w:rsidR="00D23B63" w:rsidRDefault="00D23B63" w:rsidP="00164EAF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Ārpus formālās izglītības attālinātās mācības organizē un īsteno atbilstoši attiecīgās izglītības programmas īstenotāja noteiktajai kārtībai.</w:t>
      </w:r>
    </w:p>
    <w:p w14:paraId="32D6BA80" w14:textId="77777777" w:rsidR="006104CC" w:rsidRPr="006104CC" w:rsidRDefault="006104CC" w:rsidP="006104CC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06B83D" w14:textId="588AD368" w:rsidR="006104CC" w:rsidRPr="00164EAF" w:rsidRDefault="006104CC" w:rsidP="00164EAF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Pirm</w:t>
      </w:r>
      <w:r w:rsidR="00263F0B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skolas izglītības pakāpē attālinātās mācības neorganizē.</w:t>
      </w:r>
    </w:p>
    <w:p w14:paraId="00D1337A" w14:textId="77777777" w:rsidR="006A12B2" w:rsidRPr="00164EAF" w:rsidRDefault="006A12B2" w:rsidP="00164E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B08D48" w14:textId="67DF5A3D" w:rsidR="00D23B63" w:rsidRDefault="006104CC" w:rsidP="00164EAF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</w:t>
      </w:r>
      <w:r w:rsidR="00D23B63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ormālajā izglītībā attālinātās mācības organizē</w:t>
      </w:r>
      <w:r w:rsidR="00DD1355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3B63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 īsteno atbilstoši </w:t>
      </w:r>
      <w:r w:rsidR="00A67535">
        <w:rPr>
          <w:rFonts w:ascii="Times New Roman" w:hAnsi="Times New Roman" w:cs="Times New Roman"/>
          <w:sz w:val="28"/>
          <w:szCs w:val="28"/>
          <w:shd w:val="clear" w:color="auto" w:fill="FFFFFF"/>
        </w:rPr>
        <w:t>šo noteikumu nosacījumiem</w:t>
      </w:r>
      <w:r w:rsidR="0079141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, ievērojot, ka:</w:t>
      </w:r>
    </w:p>
    <w:p w14:paraId="1895D48A" w14:textId="77777777" w:rsidR="00CB06DD" w:rsidRPr="00CB06DD" w:rsidRDefault="00CB06DD" w:rsidP="00CB06DD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00164E" w14:textId="44CEFFE7" w:rsidR="00203D31" w:rsidRDefault="00F47885" w:rsidP="006D6B81">
      <w:pPr>
        <w:pStyle w:val="ListParagraph"/>
        <w:numPr>
          <w:ilvl w:val="1"/>
          <w:numId w:val="6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CB0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ttālinātas mācības </w:t>
      </w:r>
      <w:r w:rsidR="00DA3EFB">
        <w:rPr>
          <w:rFonts w:ascii="Times New Roman" w:hAnsi="Times New Roman" w:cs="Times New Roman"/>
          <w:sz w:val="28"/>
          <w:szCs w:val="28"/>
          <w:shd w:val="clear" w:color="auto" w:fill="FFFFFF"/>
        </w:rPr>
        <w:t>ne</w:t>
      </w:r>
      <w:r w:rsidR="00CB06DD">
        <w:rPr>
          <w:rFonts w:ascii="Times New Roman" w:hAnsi="Times New Roman" w:cs="Times New Roman"/>
          <w:sz w:val="28"/>
          <w:szCs w:val="28"/>
          <w:shd w:val="clear" w:color="auto" w:fill="FFFFFF"/>
        </w:rPr>
        <w:t>organizē</w:t>
      </w:r>
      <w:r w:rsidR="00203D3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C2E4CDB" w14:textId="61F003BA" w:rsidR="00203D31" w:rsidRDefault="00203D31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1.klases izglītojamajiem;</w:t>
      </w:r>
    </w:p>
    <w:p w14:paraId="1883FE0C" w14:textId="500DF958" w:rsidR="00203D31" w:rsidRDefault="00CB06DD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speciālās </w:t>
      </w:r>
      <w:r w:rsidR="00263F0B">
        <w:rPr>
          <w:rFonts w:ascii="Times New Roman" w:hAnsi="Times New Roman" w:cs="Times New Roman"/>
          <w:sz w:val="28"/>
          <w:szCs w:val="28"/>
          <w:shd w:val="clear" w:color="auto" w:fill="FFFFFF"/>
        </w:rPr>
        <w:t>pamat</w:t>
      </w:r>
      <w:r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>izglītības programm</w:t>
      </w:r>
      <w:r w:rsidR="00C338EB"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>ā</w:t>
      </w:r>
      <w:r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 </w:t>
      </w:r>
      <w:r w:rsidR="00C338EB"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>izglītojam</w:t>
      </w:r>
      <w:r w:rsidR="00263F0B">
        <w:rPr>
          <w:rFonts w:ascii="Times New Roman" w:hAnsi="Times New Roman" w:cs="Times New Roman"/>
          <w:sz w:val="28"/>
          <w:szCs w:val="28"/>
          <w:shd w:val="clear" w:color="auto" w:fill="FFFFFF"/>
        </w:rPr>
        <w:t>aj</w:t>
      </w:r>
      <w:r w:rsidR="00C338EB"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>iem</w:t>
      </w:r>
      <w:r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ar garīgās attīstības traucējumiem un speciālās </w:t>
      </w:r>
      <w:r w:rsidR="00263F0B">
        <w:rPr>
          <w:rFonts w:ascii="Times New Roman" w:hAnsi="Times New Roman" w:cs="Times New Roman"/>
          <w:sz w:val="28"/>
          <w:szCs w:val="28"/>
          <w:shd w:val="clear" w:color="auto" w:fill="FFFFFF"/>
        </w:rPr>
        <w:t>pamat</w:t>
      </w:r>
      <w:r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>izglītības programm</w:t>
      </w:r>
      <w:r w:rsidR="00C338EB"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>ā</w:t>
      </w:r>
      <w:r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 </w:t>
      </w:r>
      <w:r w:rsidR="00263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izglītojamajiem </w:t>
      </w:r>
      <w:r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>ar smagiem garīgās attīstības traucējumiem vai vairākiem smagiem attīstības traucējumiem</w:t>
      </w:r>
      <w:r w:rsidR="000E3467" w:rsidRPr="00F4788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A2A83A1" w14:textId="14A99D7B" w:rsidR="00203D31" w:rsidRPr="00203D31" w:rsidRDefault="00203D31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izglītības programmās, kas tiek īstenotas ieslodzījuma vietās un sociālās korekcijas </w:t>
      </w:r>
      <w:r w:rsidR="00263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izglītības </w:t>
      </w:r>
      <w:r w:rsidR="006711DF">
        <w:rPr>
          <w:rFonts w:ascii="Times New Roman" w:hAnsi="Times New Roman" w:cs="Times New Roman"/>
          <w:sz w:val="28"/>
          <w:szCs w:val="28"/>
          <w:shd w:val="clear" w:color="auto" w:fill="FFFFFF"/>
        </w:rPr>
        <w:t>iestādēs;</w:t>
      </w:r>
    </w:p>
    <w:p w14:paraId="5745A01D" w14:textId="33E58CD2" w:rsidR="00164EAF" w:rsidRPr="00164EAF" w:rsidRDefault="00EA0145" w:rsidP="006D6B81">
      <w:pPr>
        <w:pStyle w:val="ListParagraph"/>
        <w:numPr>
          <w:ilvl w:val="1"/>
          <w:numId w:val="6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pamatizglītības</w:t>
      </w:r>
      <w:r w:rsidR="005534C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141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 vidējās izglītības pakāpē, kuru </w:t>
      </w:r>
      <w:r w:rsidR="0015683A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izglītības </w:t>
      </w:r>
      <w:r w:rsidR="0079141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programmu apguvi apliecina valsts atzīts izglītības vai profesionālās kvalifikācijas dokuments, kā arī izglītības un profesi</w:t>
      </w:r>
      <w:r w:rsidR="006A12B2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onālās kvalifikācijas dokuments</w:t>
      </w:r>
      <w:r w:rsidR="009A270C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, attālinātās mācības</w:t>
      </w:r>
      <w:r w:rsidR="000E3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1B5F">
        <w:rPr>
          <w:rFonts w:ascii="Times New Roman" w:hAnsi="Times New Roman" w:cs="Times New Roman"/>
          <w:sz w:val="28"/>
          <w:szCs w:val="28"/>
          <w:shd w:val="clear" w:color="auto" w:fill="FFFFFF"/>
        </w:rPr>
        <w:t>kā obligātu izglītības programmas klātienes formā sastāvdaļu</w:t>
      </w:r>
      <w:r w:rsidR="006A12B2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604E777" w14:textId="4A3135F4" w:rsidR="00164EAF" w:rsidRPr="00164EAF" w:rsidRDefault="00203D31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C07C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līdz </w:t>
      </w:r>
      <w:r w:rsidR="008F677C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C07C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klasei īsteno </w:t>
      </w:r>
      <w:r w:rsidR="00164EAF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līdz</w:t>
      </w:r>
      <w:r w:rsidR="005C07C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3F0B">
        <w:rPr>
          <w:rFonts w:ascii="Times New Roman" w:hAnsi="Times New Roman" w:cs="Times New Roman"/>
          <w:sz w:val="28"/>
          <w:szCs w:val="28"/>
          <w:shd w:val="clear" w:color="auto" w:fill="FFFFFF"/>
        </w:rPr>
        <w:t>pieciem</w:t>
      </w:r>
      <w:r w:rsidR="00263F0B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141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procent</w:t>
      </w:r>
      <w:r w:rsidR="00164EAF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iem </w:t>
      </w:r>
      <w:r w:rsidR="0079141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no </w:t>
      </w:r>
      <w:r w:rsidR="005534C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plānotā mācību stundu skaita mācību priekšmetos mācību gadā;</w:t>
      </w:r>
    </w:p>
    <w:p w14:paraId="5B51A889" w14:textId="20130537" w:rsidR="00164EAF" w:rsidRPr="00164EAF" w:rsidRDefault="008F677C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965006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C07C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līdz 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763D81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C07C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klasei īsteno 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līdz</w:t>
      </w:r>
      <w:r w:rsidR="005C07C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C07C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0 procent</w:t>
      </w:r>
      <w:r w:rsidR="0081399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iem</w:t>
      </w:r>
      <w:r w:rsidR="005C07C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 plānotā mācību stundu skaita mācību priekšmetos mācību gadā;</w:t>
      </w:r>
    </w:p>
    <w:p w14:paraId="2AC8B24D" w14:textId="01AE6EC1" w:rsidR="00164EAF" w:rsidRPr="00164EAF" w:rsidRDefault="008F677C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līdz 9.klasei īsteno līdz </w:t>
      </w:r>
      <w:r w:rsidR="002C55DF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2C55DF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procent</w:t>
      </w:r>
      <w:r w:rsidR="0081399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iem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 plānotā mācību stundu skaita mācību priekšmetos mācību gadā;</w:t>
      </w:r>
    </w:p>
    <w:p w14:paraId="5C5495FE" w14:textId="043569AE" w:rsidR="00164EAF" w:rsidRPr="00164EAF" w:rsidRDefault="00551B51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līdz 12. klasei īsteno </w:t>
      </w:r>
      <w:r w:rsidR="006104CC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8F677C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īdz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77C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643CE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procent</w:t>
      </w:r>
      <w:r w:rsidR="0081399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iem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 plānotā mācību stundu skaita mācību priekšmetos </w:t>
      </w:r>
      <w:r w:rsidR="00ED0B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(kursos) 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mācību gadā;</w:t>
      </w:r>
    </w:p>
    <w:p w14:paraId="032E26D4" w14:textId="05F12835" w:rsidR="00164EAF" w:rsidRPr="00164EAF" w:rsidRDefault="00406C55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profesionālās pamatizglītības programmās</w:t>
      </w:r>
      <w:r w:rsidR="00266902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īsteno </w:t>
      </w:r>
      <w:r w:rsidR="008F677C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līdz</w:t>
      </w:r>
      <w:r w:rsidR="00266902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3F0B">
        <w:rPr>
          <w:rFonts w:ascii="Times New Roman" w:hAnsi="Times New Roman" w:cs="Times New Roman"/>
          <w:sz w:val="28"/>
          <w:szCs w:val="28"/>
          <w:shd w:val="clear" w:color="auto" w:fill="FFFFFF"/>
        </w:rPr>
        <w:t>pieciem</w:t>
      </w:r>
      <w:r w:rsidR="00263F0B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6902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procent</w:t>
      </w:r>
      <w:r w:rsidR="0081399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iem</w:t>
      </w:r>
      <w:r w:rsidR="00266902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</w:t>
      </w:r>
      <w:r w:rsidR="007B77A5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0F3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plānotā kopīgo stundu skaita programmā gadā</w:t>
      </w:r>
      <w:r w:rsidR="00215A74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, ieskaitot moduļu praktisko daļu, prakses moduli vai kvalifikācijas praksi</w:t>
      </w:r>
      <w:r w:rsidR="00830F3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AE1144F" w14:textId="24BB49CD" w:rsidR="00F6699A" w:rsidRDefault="00F6699A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8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profesionālās ievirzes izglītības programmās</w:t>
      </w:r>
      <w:r w:rsidRPr="00762C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attālināt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as mācības īsteno līdz pieciem procentiem</w:t>
      </w:r>
      <w:r w:rsidRPr="00762C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 plānotā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kopīgo stundu skaita programmā;</w:t>
      </w:r>
    </w:p>
    <w:p w14:paraId="21BA3F68" w14:textId="1076066C" w:rsidR="00164EAF" w:rsidRDefault="007B77A5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profesionālās </w:t>
      </w:r>
      <w:r w:rsidR="00830F3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vidējās izglītības programmās</w:t>
      </w:r>
      <w:r w:rsidR="00F669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</w:t>
      </w:r>
      <w:r w:rsidR="00646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0F3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arodizglītības programmās</w:t>
      </w:r>
      <w:r w:rsidR="00DA562F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0F3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īsteno </w:t>
      </w:r>
      <w:r w:rsidR="008F677C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līdz</w:t>
      </w:r>
      <w:r w:rsidR="00830F3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77C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643CE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F677C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0F3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procent</w:t>
      </w:r>
      <w:r w:rsidR="0081399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iem</w:t>
      </w:r>
      <w:r w:rsidR="00830F3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 plānotā kopīgo stundu skaita programmā</w:t>
      </w:r>
      <w:r w:rsidR="00215A74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bookmarkStart w:id="0" w:name="_Hlk58507866"/>
      <w:r w:rsidR="00215A74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ieskaitot</w:t>
      </w:r>
      <w:r w:rsidR="00DD1355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5A74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moduļu praktisko daļu, prakses moduli vai kvalifikācijas praks</w:t>
      </w:r>
      <w:bookmarkEnd w:id="0"/>
      <w:r w:rsidR="00215A74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i;</w:t>
      </w:r>
    </w:p>
    <w:p w14:paraId="3FB5DE37" w14:textId="00F7A061" w:rsidR="00F6699A" w:rsidRPr="00164EAF" w:rsidRDefault="00F6699A" w:rsidP="006711DF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FB9">
        <w:rPr>
          <w:rFonts w:ascii="Times New Roman" w:hAnsi="Times New Roman" w:cs="Times New Roman"/>
          <w:sz w:val="28"/>
          <w:szCs w:val="28"/>
          <w:shd w:val="clear" w:color="auto" w:fill="FFFFFF"/>
        </w:rPr>
        <w:t>profesionālās tālākizglītības programmās</w:t>
      </w:r>
      <w:r w:rsidRPr="00F669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īsteno līdz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procentiem no plānotā kopīgo stundu skaita programmā</w:t>
      </w: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ieskaitot moduļu praktisko daļu, prakses moduli vai kvalifikācijas praksi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C0B86D5" w14:textId="4CECF297" w:rsidR="00172FE6" w:rsidRPr="006711DF" w:rsidRDefault="00F47885" w:rsidP="006711DF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profesionālās pilnveides izglītības programmās attālinātas mācības </w:t>
      </w:r>
      <w:r w:rsidR="00FF18B9" w:rsidRPr="00671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īsteno līdz </w:t>
      </w:r>
      <w:r w:rsidR="00826888" w:rsidRPr="006711D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F18B9" w:rsidRPr="006711DF">
        <w:rPr>
          <w:rFonts w:ascii="Times New Roman" w:hAnsi="Times New Roman" w:cs="Times New Roman"/>
          <w:sz w:val="28"/>
          <w:szCs w:val="28"/>
          <w:shd w:val="clear" w:color="auto" w:fill="FFFFFF"/>
        </w:rPr>
        <w:t>0 procentiem</w:t>
      </w:r>
      <w:r w:rsidRPr="00671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 plānotā kopīgo stundu skaita programmā</w:t>
      </w:r>
      <w:r w:rsidR="006711DF" w:rsidRPr="006711D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9D90CCB" w14:textId="61635F01" w:rsidR="00460F2F" w:rsidRDefault="005534CD" w:rsidP="006D6B81">
      <w:pPr>
        <w:pStyle w:val="ListParagraph"/>
        <w:numPr>
          <w:ilvl w:val="1"/>
          <w:numId w:val="6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augstākās izglītības pakāpē </w:t>
      </w:r>
      <w:r w:rsidR="0015683A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pilna laika studijās </w:t>
      </w:r>
      <w:r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attālinātās mācības īsteno</w:t>
      </w:r>
      <w:r w:rsidR="008C10C5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4EAF" w:rsidRPr="00826888">
        <w:rPr>
          <w:rFonts w:ascii="Times New Roman" w:hAnsi="Times New Roman" w:cs="Times New Roman"/>
          <w:sz w:val="28"/>
          <w:szCs w:val="28"/>
          <w:shd w:val="clear" w:color="auto" w:fill="FFFFFF"/>
        </w:rPr>
        <w:t>līdz</w:t>
      </w:r>
      <w:r w:rsidR="00551B51" w:rsidRPr="00826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6888" w:rsidRPr="0082688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51B51" w:rsidRPr="0082688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C10C5" w:rsidRPr="00826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procent</w:t>
      </w:r>
      <w:r w:rsidR="00164EAF" w:rsidRPr="00826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iem </w:t>
      </w:r>
      <w:r w:rsidR="008C10C5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no attiecīgā</w:t>
      </w:r>
      <w:r w:rsidR="00551B51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s studiju programmas</w:t>
      </w:r>
      <w:r w:rsidR="00091AA3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1AA3" w:rsidRPr="00164EAF">
        <w:rPr>
          <w:rFonts w:ascii="Times New Roman" w:hAnsi="Times New Roman" w:cs="Times New Roman"/>
          <w:sz w:val="28"/>
          <w:szCs w:val="28"/>
        </w:rPr>
        <w:t xml:space="preserve">īstenošanai noteiktā kontaktstundu </w:t>
      </w:r>
      <w:r w:rsidR="004E4ACF">
        <w:rPr>
          <w:rFonts w:ascii="Times New Roman" w:hAnsi="Times New Roman" w:cs="Times New Roman"/>
          <w:sz w:val="28"/>
          <w:szCs w:val="28"/>
        </w:rPr>
        <w:t>apjoma</w:t>
      </w:r>
      <w:r w:rsidR="00164EAF" w:rsidRPr="00164EAF">
        <w:rPr>
          <w:rFonts w:ascii="Times New Roman" w:hAnsi="Times New Roman" w:cs="Times New Roman"/>
          <w:sz w:val="28"/>
          <w:szCs w:val="28"/>
        </w:rPr>
        <w:t xml:space="preserve">, kas norādīts </w:t>
      </w:r>
      <w:r w:rsidR="0081399E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izglītības iestādes apstiprinātajā attiecīgās studiju programmas studiju plānā</w:t>
      </w:r>
      <w:r w:rsidR="008C10C5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366A53" w14:textId="77777777" w:rsidR="00976B9B" w:rsidRPr="00976B9B" w:rsidRDefault="00976B9B" w:rsidP="00976B9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F4F3BB" w14:textId="121DF4F6" w:rsidR="006D6B81" w:rsidRPr="006D6B81" w:rsidRDefault="00F26D3F" w:rsidP="006D6B81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6D6B81">
        <w:rPr>
          <w:rFonts w:ascii="Times New Roman" w:hAnsi="Times New Roman" w:cs="Times New Roman"/>
          <w:sz w:val="28"/>
          <w:szCs w:val="28"/>
        </w:rPr>
        <w:t xml:space="preserve">Attālinātās mācības tiek īstenotas kā efektīva, kvalitatīva, pilnvērtīga un iekļaujoša </w:t>
      </w:r>
      <w:r w:rsidR="000C34E3" w:rsidRPr="006D6B81">
        <w:rPr>
          <w:rFonts w:ascii="Times New Roman" w:hAnsi="Times New Roman" w:cs="Times New Roman"/>
          <w:sz w:val="28"/>
          <w:szCs w:val="28"/>
        </w:rPr>
        <w:t xml:space="preserve">klātienes </w:t>
      </w:r>
      <w:r w:rsidRPr="006D6B81">
        <w:rPr>
          <w:rFonts w:ascii="Times New Roman" w:hAnsi="Times New Roman" w:cs="Times New Roman"/>
          <w:sz w:val="28"/>
          <w:szCs w:val="28"/>
        </w:rPr>
        <w:t xml:space="preserve">mācību procesa daļa, lai nodrošinātu iespēju izglītojamam apgūt plānotos sasniedzamos rezultātus, attīstot izglītojamo </w:t>
      </w:r>
      <w:proofErr w:type="spellStart"/>
      <w:r w:rsidRPr="006D6B81">
        <w:rPr>
          <w:rFonts w:ascii="Times New Roman" w:hAnsi="Times New Roman" w:cs="Times New Roman"/>
          <w:sz w:val="28"/>
          <w:szCs w:val="28"/>
        </w:rPr>
        <w:t>pašvadītas</w:t>
      </w:r>
      <w:proofErr w:type="spellEnd"/>
      <w:r w:rsidRPr="006D6B81">
        <w:rPr>
          <w:rFonts w:ascii="Times New Roman" w:hAnsi="Times New Roman" w:cs="Times New Roman"/>
          <w:sz w:val="28"/>
          <w:szCs w:val="28"/>
        </w:rPr>
        <w:t xml:space="preserve"> mācīšanās, digitālās </w:t>
      </w:r>
      <w:proofErr w:type="spellStart"/>
      <w:r w:rsidRPr="006D6B81">
        <w:rPr>
          <w:rFonts w:ascii="Times New Roman" w:hAnsi="Times New Roman" w:cs="Times New Roman"/>
          <w:sz w:val="28"/>
          <w:szCs w:val="28"/>
        </w:rPr>
        <w:t>pratības</w:t>
      </w:r>
      <w:proofErr w:type="spellEnd"/>
      <w:r w:rsidRPr="006D6B81">
        <w:rPr>
          <w:rFonts w:ascii="Times New Roman" w:hAnsi="Times New Roman" w:cs="Times New Roman"/>
          <w:sz w:val="28"/>
          <w:szCs w:val="28"/>
        </w:rPr>
        <w:t>, krit</w:t>
      </w:r>
      <w:r w:rsidR="00A67535" w:rsidRPr="006D6B81">
        <w:rPr>
          <w:rFonts w:ascii="Times New Roman" w:hAnsi="Times New Roman" w:cs="Times New Roman"/>
          <w:sz w:val="28"/>
          <w:szCs w:val="28"/>
        </w:rPr>
        <w:t xml:space="preserve">iskās domāšanas, </w:t>
      </w:r>
      <w:proofErr w:type="spellStart"/>
      <w:r w:rsidR="00A67535" w:rsidRPr="006D6B81">
        <w:rPr>
          <w:rFonts w:ascii="Times New Roman" w:hAnsi="Times New Roman" w:cs="Times New Roman"/>
          <w:sz w:val="28"/>
          <w:szCs w:val="28"/>
        </w:rPr>
        <w:t>problēmrisināš</w:t>
      </w:r>
      <w:r w:rsidRPr="006D6B81">
        <w:rPr>
          <w:rFonts w:ascii="Times New Roman" w:hAnsi="Times New Roman" w:cs="Times New Roman"/>
          <w:sz w:val="28"/>
          <w:szCs w:val="28"/>
        </w:rPr>
        <w:t>anas</w:t>
      </w:r>
      <w:proofErr w:type="spellEnd"/>
      <w:r w:rsidRPr="006D6B81">
        <w:rPr>
          <w:rFonts w:ascii="Times New Roman" w:hAnsi="Times New Roman" w:cs="Times New Roman"/>
          <w:sz w:val="28"/>
          <w:szCs w:val="28"/>
        </w:rPr>
        <w:t xml:space="preserve"> un sadarbības caurviju prasmes, kā arī nodrošinātu izglītojamam diferencētu, personalizētu un starpdisciplināru mācību procesu. Atkarībā no attālināto mācību īstenošanas mērķa, uzdevuma un iespējām, izmanto:</w:t>
      </w:r>
    </w:p>
    <w:p w14:paraId="5053237A" w14:textId="77777777" w:rsidR="006D6B81" w:rsidRDefault="006D6B81" w:rsidP="006D6B81">
      <w:pPr>
        <w:pStyle w:val="ListParagraph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6630B6F" w14:textId="7A029676" w:rsidR="00F26D3F" w:rsidRPr="006D6B81" w:rsidRDefault="00F26D3F" w:rsidP="006D6B81">
      <w:pPr>
        <w:pStyle w:val="ListParagraph"/>
        <w:numPr>
          <w:ilvl w:val="1"/>
          <w:numId w:val="6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dažādas</w:t>
      </w:r>
      <w:r w:rsidRPr="006D6B81">
        <w:rPr>
          <w:rFonts w:ascii="Times New Roman" w:hAnsi="Times New Roman" w:cs="Times New Roman"/>
          <w:sz w:val="28"/>
          <w:szCs w:val="28"/>
        </w:rPr>
        <w:t xml:space="preserve"> mācību organizācijas formas, tai skaitā individuālu un grupu darbu, konsultācijas, projekta darbu</w:t>
      </w:r>
      <w:r w:rsidR="00263F0B" w:rsidRPr="006D6B81">
        <w:rPr>
          <w:rFonts w:ascii="Times New Roman" w:hAnsi="Times New Roman" w:cs="Times New Roman"/>
          <w:sz w:val="28"/>
          <w:szCs w:val="28"/>
        </w:rPr>
        <w:t>;</w:t>
      </w:r>
    </w:p>
    <w:p w14:paraId="00BA910C" w14:textId="36E9D2C4" w:rsidR="00F26D3F" w:rsidRPr="00F26D3F" w:rsidRDefault="00F26D3F" w:rsidP="006D6B81">
      <w:pPr>
        <w:pStyle w:val="ListParagraph"/>
        <w:numPr>
          <w:ilvl w:val="1"/>
          <w:numId w:val="6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dažādas</w:t>
      </w:r>
      <w:r w:rsidRPr="00F26D3F">
        <w:rPr>
          <w:rFonts w:ascii="Times New Roman" w:hAnsi="Times New Roman" w:cs="Times New Roman"/>
          <w:sz w:val="28"/>
          <w:szCs w:val="28"/>
        </w:rPr>
        <w:t xml:space="preserve"> norises vietas, tai skaitā skolas bibliotēku, laboratorijas, pētniecības iestādes, muzejus, dabu, mājas</w:t>
      </w:r>
      <w:r w:rsidR="00263F0B">
        <w:rPr>
          <w:rFonts w:ascii="Times New Roman" w:hAnsi="Times New Roman" w:cs="Times New Roman"/>
          <w:sz w:val="28"/>
          <w:szCs w:val="28"/>
        </w:rPr>
        <w:t>;</w:t>
      </w:r>
    </w:p>
    <w:p w14:paraId="27D0BDA7" w14:textId="011FA9FE" w:rsidR="00A67535" w:rsidRPr="00A67535" w:rsidRDefault="00F26D3F" w:rsidP="006D6B81">
      <w:pPr>
        <w:pStyle w:val="ListParagraph"/>
        <w:numPr>
          <w:ilvl w:val="1"/>
          <w:numId w:val="6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26D3F">
        <w:rPr>
          <w:rFonts w:ascii="Times New Roman" w:hAnsi="Times New Roman" w:cs="Times New Roman"/>
          <w:sz w:val="28"/>
          <w:szCs w:val="28"/>
        </w:rPr>
        <w:t>dažādus mācību līdzekļus, tai skaitā tehnoloģiju risinājumus.</w:t>
      </w:r>
    </w:p>
    <w:p w14:paraId="4CF2240E" w14:textId="77777777" w:rsidR="00DD2427" w:rsidRPr="00164EAF" w:rsidRDefault="00DD2427" w:rsidP="00762CA4">
      <w:pPr>
        <w:pStyle w:val="tv21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  <w:lang w:val="lv-LV"/>
        </w:rPr>
      </w:pPr>
    </w:p>
    <w:p w14:paraId="21E909CC" w14:textId="79579995" w:rsidR="0017166B" w:rsidRPr="00A67535" w:rsidRDefault="00D23B63" w:rsidP="006D6B81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7535">
        <w:rPr>
          <w:rFonts w:ascii="Times New Roman" w:hAnsi="Times New Roman" w:cs="Times New Roman"/>
          <w:sz w:val="28"/>
          <w:szCs w:val="28"/>
        </w:rPr>
        <w:t xml:space="preserve">Lai organizētu </w:t>
      </w:r>
      <w:r w:rsidR="008E2C46" w:rsidRPr="00A67535">
        <w:rPr>
          <w:rFonts w:ascii="Times New Roman" w:hAnsi="Times New Roman" w:cs="Times New Roman"/>
          <w:sz w:val="28"/>
          <w:szCs w:val="28"/>
        </w:rPr>
        <w:t xml:space="preserve">attālinātās </w:t>
      </w:r>
      <w:r w:rsidRPr="00A67535">
        <w:rPr>
          <w:rFonts w:ascii="Times New Roman" w:hAnsi="Times New Roman" w:cs="Times New Roman"/>
          <w:sz w:val="28"/>
          <w:szCs w:val="28"/>
        </w:rPr>
        <w:t>mācības</w:t>
      </w:r>
      <w:r w:rsidR="00FF18B9">
        <w:rPr>
          <w:rFonts w:ascii="Times New Roman" w:hAnsi="Times New Roman" w:cs="Times New Roman"/>
          <w:sz w:val="28"/>
          <w:szCs w:val="28"/>
        </w:rPr>
        <w:t xml:space="preserve"> šo noteikumu 4</w:t>
      </w:r>
      <w:r w:rsidR="009A270C" w:rsidRPr="00A67535">
        <w:rPr>
          <w:rFonts w:ascii="Times New Roman" w:hAnsi="Times New Roman" w:cs="Times New Roman"/>
          <w:sz w:val="28"/>
          <w:szCs w:val="28"/>
        </w:rPr>
        <w:t>.</w:t>
      </w:r>
      <w:r w:rsidR="00E45B4F" w:rsidRPr="00A67535">
        <w:rPr>
          <w:rFonts w:ascii="Times New Roman" w:hAnsi="Times New Roman" w:cs="Times New Roman"/>
          <w:sz w:val="28"/>
          <w:szCs w:val="28"/>
        </w:rPr>
        <w:t>2</w:t>
      </w:r>
      <w:r w:rsidR="009A270C" w:rsidRPr="00A67535">
        <w:rPr>
          <w:rFonts w:ascii="Times New Roman" w:hAnsi="Times New Roman" w:cs="Times New Roman"/>
          <w:sz w:val="28"/>
          <w:szCs w:val="28"/>
        </w:rPr>
        <w:t>.</w:t>
      </w:r>
      <w:r w:rsidR="003E1B6D">
        <w:rPr>
          <w:rFonts w:ascii="Times New Roman" w:hAnsi="Times New Roman" w:cs="Times New Roman"/>
          <w:sz w:val="28"/>
          <w:szCs w:val="28"/>
        </w:rPr>
        <w:t> </w:t>
      </w:r>
      <w:r w:rsidR="009A270C" w:rsidRPr="00A67535">
        <w:rPr>
          <w:rFonts w:ascii="Times New Roman" w:hAnsi="Times New Roman" w:cs="Times New Roman"/>
          <w:sz w:val="28"/>
          <w:szCs w:val="28"/>
        </w:rPr>
        <w:t>apakšpunktā minētajās izglītības pakāpēs</w:t>
      </w:r>
      <w:r w:rsidR="009A270C" w:rsidRPr="00A67535">
        <w:rPr>
          <w:rFonts w:ascii="Times New Roman" w:hAnsi="Times New Roman" w:cs="Times New Roman"/>
          <w:sz w:val="28"/>
          <w:szCs w:val="28"/>
          <w:shd w:val="clear" w:color="auto" w:fill="FFFFFF"/>
        </w:rPr>
        <w:t>, izglītības iestāde</w:t>
      </w:r>
      <w:r w:rsidR="0017166B" w:rsidRPr="00A6753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FE8234A" w14:textId="641BCA19" w:rsidR="00A67535" w:rsidRDefault="00A67535" w:rsidP="006D6B81">
      <w:pPr>
        <w:pStyle w:val="ListParagraph"/>
        <w:numPr>
          <w:ilvl w:val="1"/>
          <w:numId w:val="6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7535">
        <w:rPr>
          <w:rFonts w:ascii="Times New Roman" w:hAnsi="Times New Roman" w:cs="Times New Roman"/>
          <w:sz w:val="28"/>
          <w:szCs w:val="28"/>
        </w:rPr>
        <w:t>mācību darba organizācijas plān</w:t>
      </w:r>
      <w:r>
        <w:rPr>
          <w:rFonts w:ascii="Times New Roman" w:hAnsi="Times New Roman" w:cs="Times New Roman"/>
          <w:sz w:val="28"/>
          <w:szCs w:val="28"/>
        </w:rPr>
        <w:t xml:space="preserve">ā (stundu (nodarbību) sarakstā) </w:t>
      </w:r>
      <w:r w:rsidRPr="00A67535">
        <w:rPr>
          <w:rFonts w:ascii="Times New Roman" w:hAnsi="Times New Roman" w:cs="Times New Roman"/>
          <w:sz w:val="28"/>
          <w:szCs w:val="28"/>
        </w:rPr>
        <w:t>norāda attālināto mācību ietvaros plānotās stundas (nodarbības)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224885" w14:textId="2C28F0D7" w:rsidR="008E2393" w:rsidRPr="00A67535" w:rsidRDefault="00DB166A" w:rsidP="006D6B81">
      <w:pPr>
        <w:pStyle w:val="ListParagraph"/>
        <w:numPr>
          <w:ilvl w:val="1"/>
          <w:numId w:val="6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7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ja </w:t>
      </w:r>
      <w:r w:rsidR="007E7122" w:rsidRPr="00A67535">
        <w:rPr>
          <w:rFonts w:ascii="Times New Roman" w:hAnsi="Times New Roman" w:cs="Times New Roman"/>
          <w:sz w:val="28"/>
          <w:szCs w:val="28"/>
          <w:shd w:val="clear" w:color="auto" w:fill="FFFFFF"/>
        </w:rPr>
        <w:t>attālinātās mācības plānots</w:t>
      </w:r>
      <w:r w:rsidR="006E78D2" w:rsidRPr="00A67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īstenot ar informācijas tehnoloģiju starpniecību</w:t>
      </w:r>
      <w:r w:rsidR="00C95BC2" w:rsidRPr="00A675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E78D2" w:rsidRPr="00A67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2393" w:rsidRPr="00A67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nodrošina </w:t>
      </w:r>
      <w:r w:rsidR="008E2393" w:rsidRPr="00A67535">
        <w:rPr>
          <w:rFonts w:ascii="Times New Roman" w:hAnsi="Times New Roman" w:cs="Times New Roman"/>
          <w:sz w:val="28"/>
          <w:szCs w:val="28"/>
        </w:rPr>
        <w:t xml:space="preserve">tiešsaistes mācīšanās </w:t>
      </w:r>
      <w:r w:rsidR="00070695" w:rsidRPr="00A67535">
        <w:rPr>
          <w:rFonts w:ascii="Times New Roman" w:hAnsi="Times New Roman" w:cs="Times New Roman"/>
          <w:sz w:val="28"/>
          <w:szCs w:val="28"/>
        </w:rPr>
        <w:t>tehnisk</w:t>
      </w:r>
      <w:r w:rsidR="00DD1355" w:rsidRPr="00A67535">
        <w:rPr>
          <w:rFonts w:ascii="Times New Roman" w:hAnsi="Times New Roman" w:cs="Times New Roman"/>
          <w:sz w:val="28"/>
          <w:szCs w:val="28"/>
        </w:rPr>
        <w:t>o</w:t>
      </w:r>
      <w:r w:rsidR="00F3210F" w:rsidRPr="00A67535">
        <w:rPr>
          <w:rFonts w:ascii="Times New Roman" w:hAnsi="Times New Roman" w:cs="Times New Roman"/>
          <w:sz w:val="28"/>
          <w:szCs w:val="28"/>
        </w:rPr>
        <w:t xml:space="preserve"> </w:t>
      </w:r>
      <w:r w:rsidR="00070695" w:rsidRPr="00A67535">
        <w:rPr>
          <w:rFonts w:ascii="Times New Roman" w:hAnsi="Times New Roman" w:cs="Times New Roman"/>
          <w:sz w:val="28"/>
          <w:szCs w:val="28"/>
        </w:rPr>
        <w:t>vidi</w:t>
      </w:r>
      <w:r w:rsidR="008E2393" w:rsidRPr="00A67535">
        <w:rPr>
          <w:rFonts w:ascii="Times New Roman" w:hAnsi="Times New Roman" w:cs="Times New Roman"/>
          <w:sz w:val="28"/>
          <w:szCs w:val="28"/>
        </w:rPr>
        <w:t xml:space="preserve">, kas </w:t>
      </w:r>
      <w:r w:rsidR="00F3210F" w:rsidRPr="00A67535">
        <w:rPr>
          <w:rFonts w:ascii="Times New Roman" w:hAnsi="Times New Roman" w:cs="Times New Roman"/>
          <w:sz w:val="28"/>
          <w:szCs w:val="28"/>
        </w:rPr>
        <w:t xml:space="preserve">atbalsta </w:t>
      </w:r>
      <w:r w:rsidR="008E2393" w:rsidRPr="00A67535">
        <w:rPr>
          <w:rFonts w:ascii="Times New Roman" w:hAnsi="Times New Roman" w:cs="Times New Roman"/>
          <w:sz w:val="28"/>
          <w:szCs w:val="28"/>
        </w:rPr>
        <w:t>sinhronu un asinhronu attālināto mācīšanos, kā arī digitālu mācību materiālu pieejamību izglītojamajiem</w:t>
      </w:r>
      <w:r w:rsidR="00070695" w:rsidRPr="00A67535">
        <w:rPr>
          <w:rFonts w:ascii="Times New Roman" w:hAnsi="Times New Roman" w:cs="Times New Roman"/>
          <w:sz w:val="28"/>
          <w:szCs w:val="28"/>
        </w:rPr>
        <w:t>, ievērojot, ka:</w:t>
      </w:r>
    </w:p>
    <w:p w14:paraId="171E472E" w14:textId="23E6F8B6" w:rsidR="008E2393" w:rsidRPr="006D6B81" w:rsidRDefault="00F3210F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8E2393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inhronas attālinātas mācīšanās risinājumiem jānodrošina nepieciešamā tehnika video</w:t>
      </w:r>
      <w:r w:rsidR="008C080E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 audio</w:t>
      </w:r>
      <w:r w:rsidR="008E2393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translācijai un ierakstam, kā arī programmatūra sinhronai tiešsaistes video un audio komunikācijai ar ekrā</w:t>
      </w:r>
      <w:r w:rsidR="00070695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na pārraides atbalstu;</w:t>
      </w:r>
    </w:p>
    <w:p w14:paraId="7D8EB5A7" w14:textId="15D7E70F" w:rsidR="00164EAF" w:rsidRPr="006D6B81" w:rsidRDefault="00F3210F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8E2393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sinhronas attālinātas mācīšanās risinājumiem j</w:t>
      </w:r>
      <w:r w:rsidR="00070695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ānodrošina vide digitālu mācību</w:t>
      </w:r>
      <w:r w:rsidR="008E2393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materiālu izvietoš</w:t>
      </w:r>
      <w:r w:rsidR="00070695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anai, izglītojamo patstāvīgo</w:t>
      </w:r>
      <w:r w:rsidR="008E2393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darbu izs</w:t>
      </w:r>
      <w:r w:rsidR="00070695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trādei un iesniegšanai, izglītojamo</w:t>
      </w:r>
      <w:r w:rsidR="008E2393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savstarpējai komunikāci</w:t>
      </w:r>
      <w:r w:rsidR="00070695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jai un komunikācijai ar pedagogu</w:t>
      </w:r>
      <w:r w:rsidR="00164EA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8D2CD15" w14:textId="21DE1353" w:rsidR="0066335A" w:rsidRPr="00A67535" w:rsidRDefault="009A270C" w:rsidP="006D6B81">
      <w:pPr>
        <w:pStyle w:val="ListParagraph"/>
        <w:numPr>
          <w:ilvl w:val="1"/>
          <w:numId w:val="6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67535">
        <w:rPr>
          <w:rFonts w:ascii="Times New Roman" w:hAnsi="Times New Roman" w:cs="Times New Roman"/>
          <w:sz w:val="28"/>
          <w:szCs w:val="28"/>
          <w:shd w:val="clear" w:color="auto" w:fill="FFFFFF"/>
        </w:rPr>
        <w:t>iekšējos normatīvajos aktos nosaka</w:t>
      </w:r>
      <w:r w:rsidR="00A67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attālināto mācību organizēšanas kārtību</w:t>
      </w:r>
      <w:r w:rsidR="00FF18B9">
        <w:rPr>
          <w:rFonts w:ascii="Times New Roman" w:hAnsi="Times New Roman" w:cs="Times New Roman"/>
          <w:sz w:val="28"/>
          <w:szCs w:val="28"/>
          <w:shd w:val="clear" w:color="auto" w:fill="FFFFFF"/>
        </w:rPr>
        <w:t>, cita starpā iekļaujot</w:t>
      </w:r>
      <w:r w:rsidR="007F431E" w:rsidRPr="00A67535">
        <w:rPr>
          <w:rFonts w:ascii="Times New Roman" w:hAnsi="Times New Roman" w:cs="Times New Roman"/>
          <w:sz w:val="28"/>
          <w:szCs w:val="28"/>
        </w:rPr>
        <w:t>:</w:t>
      </w:r>
    </w:p>
    <w:p w14:paraId="7A127FE2" w14:textId="57E3C4A5" w:rsidR="007F431E" w:rsidRPr="006D6B81" w:rsidRDefault="007F431E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kārtību, kādā izglītības iestāde apzina, vai izglītojamajiem ir pieejami tehniskie līdzekļi attālināto mācību procesa nodrošināšanai, kā arī minēto tehnisko līdzekļu nodrošināšanas kārtību, ja izglītojamajiem tie nav pieejami;</w:t>
      </w:r>
    </w:p>
    <w:p w14:paraId="32C0F877" w14:textId="3B6D86E5" w:rsidR="007F431E" w:rsidRPr="006D6B81" w:rsidRDefault="007F431E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kārtību</w:t>
      </w:r>
      <w:r w:rsidR="00F3210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kādā tiek uzskaitīt</w:t>
      </w:r>
      <w:r w:rsidR="00F3210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izglītojamo dalība </w:t>
      </w: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attālināt</w:t>
      </w:r>
      <w:r w:rsidR="00F3210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ajās</w:t>
      </w: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mācīb</w:t>
      </w:r>
      <w:r w:rsidR="00F3210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ās</w:t>
      </w: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210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un uzdoto uzdevumu izpilde</w:t>
      </w: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008AE58" w14:textId="13A95EDB" w:rsidR="0066335A" w:rsidRPr="006D6B81" w:rsidRDefault="007F431E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rīcību gadījumos, ja izglītojamā dalība attālināt</w:t>
      </w:r>
      <w:r w:rsidR="00F3210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ajās</w:t>
      </w: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mācīb</w:t>
      </w:r>
      <w:r w:rsidR="00F3210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ās</w:t>
      </w: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nav iespējama vai ir traucēta </w:t>
      </w:r>
      <w:r w:rsidR="00934D4D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tehnisku iemeslu dēļ</w:t>
      </w:r>
      <w:r w:rsidR="008E2393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5F4A094" w14:textId="0BDFC29D" w:rsidR="008E2393" w:rsidRPr="006D6B81" w:rsidRDefault="00164EAF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k</w:t>
      </w:r>
      <w:r w:rsidR="006E0614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ārtību, k</w:t>
      </w:r>
      <w:r w:rsidR="00F3210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ādā</w:t>
      </w:r>
      <w:r w:rsidR="006E0614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</w:t>
      </w:r>
      <w:r w:rsidR="00F3210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drošina</w:t>
      </w:r>
      <w:r w:rsidR="006E0614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drošības prasību ievērošanu attālināto mācību laikā un saziņas kārtību</w:t>
      </w:r>
      <w:r w:rsidR="00F3210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ar</w:t>
      </w:r>
      <w:r w:rsidR="006E0614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izglītojamā </w:t>
      </w:r>
      <w:r w:rsidR="00F3210F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likumiskajiem pārstāvjiem </w:t>
      </w:r>
      <w:r w:rsidR="006E0614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drošības vai veselības apdraudējuma gadījumā</w:t>
      </w:r>
      <w:r w:rsidR="008E2393"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81539E3" w14:textId="6B2DFB43" w:rsidR="006E0614" w:rsidRPr="00164EAF" w:rsidRDefault="008E2393" w:rsidP="006D6B81">
      <w:pPr>
        <w:pStyle w:val="ListParagraph"/>
        <w:numPr>
          <w:ilvl w:val="2"/>
          <w:numId w:val="6"/>
        </w:numPr>
        <w:tabs>
          <w:tab w:val="left" w:pos="1418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D6B81">
        <w:rPr>
          <w:rFonts w:ascii="Times New Roman" w:hAnsi="Times New Roman" w:cs="Times New Roman"/>
          <w:sz w:val="28"/>
          <w:szCs w:val="28"/>
          <w:shd w:val="clear" w:color="auto" w:fill="FFFFFF"/>
        </w:rPr>
        <w:t>kārtību, kādā</w:t>
      </w:r>
      <w:r w:rsidRPr="00164EAF">
        <w:rPr>
          <w:rFonts w:ascii="Times New Roman" w:hAnsi="Times New Roman" w:cs="Times New Roman"/>
          <w:sz w:val="28"/>
          <w:szCs w:val="28"/>
        </w:rPr>
        <w:t xml:space="preserve"> izglītojamie attālināto mācību ietvaros izmanto izglītības iestādes resursus un infrastruktūru (telpas, bibliotēku u.c.)</w:t>
      </w:r>
      <w:r w:rsidR="00A079F8">
        <w:rPr>
          <w:rFonts w:ascii="Times New Roman" w:hAnsi="Times New Roman" w:cs="Times New Roman"/>
          <w:sz w:val="28"/>
          <w:szCs w:val="28"/>
        </w:rPr>
        <w:t>.</w:t>
      </w:r>
    </w:p>
    <w:p w14:paraId="487A9338" w14:textId="216E9C91" w:rsidR="007B77A5" w:rsidRPr="00164EAF" w:rsidRDefault="007B77A5" w:rsidP="00164E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AC3DD7" w14:textId="75528224" w:rsidR="00164EAF" w:rsidRDefault="00FF18B9" w:rsidP="006D6B81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Šo noteikumu 4</w:t>
      </w:r>
      <w:r w:rsidR="00F3210F" w:rsidRPr="00164EAF">
        <w:rPr>
          <w:rFonts w:ascii="Times New Roman" w:hAnsi="Times New Roman" w:cs="Times New Roman"/>
          <w:sz w:val="28"/>
          <w:szCs w:val="28"/>
        </w:rPr>
        <w:t>.</w:t>
      </w:r>
      <w:r w:rsidR="0067136F">
        <w:rPr>
          <w:rFonts w:ascii="Times New Roman" w:hAnsi="Times New Roman" w:cs="Times New Roman"/>
          <w:sz w:val="28"/>
          <w:szCs w:val="28"/>
        </w:rPr>
        <w:t>2</w:t>
      </w:r>
      <w:r w:rsidR="00762CA4">
        <w:rPr>
          <w:rFonts w:ascii="Times New Roman" w:hAnsi="Times New Roman" w:cs="Times New Roman"/>
          <w:sz w:val="28"/>
          <w:szCs w:val="28"/>
        </w:rPr>
        <w:t>.</w:t>
      </w:r>
      <w:r w:rsidR="00F6699A">
        <w:rPr>
          <w:rFonts w:ascii="Times New Roman" w:hAnsi="Times New Roman" w:cs="Times New Roman"/>
          <w:sz w:val="28"/>
          <w:szCs w:val="28"/>
        </w:rPr>
        <w:t>1.-4.2.7.</w:t>
      </w:r>
      <w:r w:rsidR="003E1B6D">
        <w:rPr>
          <w:rFonts w:ascii="Times New Roman" w:hAnsi="Times New Roman" w:cs="Times New Roman"/>
          <w:sz w:val="28"/>
          <w:szCs w:val="28"/>
        </w:rPr>
        <w:t> </w:t>
      </w:r>
      <w:r w:rsidR="00F3210F" w:rsidRPr="00164EAF">
        <w:rPr>
          <w:rFonts w:ascii="Times New Roman" w:hAnsi="Times New Roman" w:cs="Times New Roman"/>
          <w:sz w:val="28"/>
          <w:szCs w:val="28"/>
        </w:rPr>
        <w:t>apakšpunktā minēt</w:t>
      </w:r>
      <w:r w:rsidR="00227857">
        <w:rPr>
          <w:rFonts w:ascii="Times New Roman" w:hAnsi="Times New Roman" w:cs="Times New Roman"/>
          <w:sz w:val="28"/>
          <w:szCs w:val="28"/>
        </w:rPr>
        <w:t>a</w:t>
      </w:r>
      <w:r w:rsidR="00F3210F" w:rsidRPr="00164EAF">
        <w:rPr>
          <w:rFonts w:ascii="Times New Roman" w:hAnsi="Times New Roman" w:cs="Times New Roman"/>
          <w:sz w:val="28"/>
          <w:szCs w:val="28"/>
        </w:rPr>
        <w:t xml:space="preserve">jās </w:t>
      </w:r>
      <w:r w:rsidR="00934D4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izglītības </w:t>
      </w:r>
      <w:r w:rsidR="00F6699A">
        <w:rPr>
          <w:rFonts w:ascii="Times New Roman" w:hAnsi="Times New Roman" w:cs="Times New Roman"/>
          <w:sz w:val="28"/>
          <w:szCs w:val="28"/>
          <w:shd w:val="clear" w:color="auto" w:fill="FFFFFF"/>
        </w:rPr>
        <w:t>programmās</w:t>
      </w:r>
      <w:r w:rsidR="00934D4D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4D4D" w:rsidRPr="00164EAF">
        <w:rPr>
          <w:rFonts w:ascii="Times New Roman" w:hAnsi="Times New Roman" w:cs="Times New Roman"/>
          <w:sz w:val="28"/>
          <w:szCs w:val="28"/>
        </w:rPr>
        <w:t xml:space="preserve">attālinātās mācības </w:t>
      </w:r>
      <w:r w:rsidR="00227857">
        <w:rPr>
          <w:rFonts w:ascii="Times New Roman" w:hAnsi="Times New Roman" w:cs="Times New Roman"/>
          <w:sz w:val="28"/>
          <w:szCs w:val="28"/>
        </w:rPr>
        <w:t>mācību gada</w:t>
      </w:r>
      <w:r w:rsidR="00F6699A">
        <w:rPr>
          <w:rFonts w:ascii="Times New Roman" w:hAnsi="Times New Roman" w:cs="Times New Roman"/>
          <w:sz w:val="28"/>
          <w:szCs w:val="28"/>
        </w:rPr>
        <w:t xml:space="preserve"> ietvaros</w:t>
      </w:r>
      <w:r w:rsidR="00227857">
        <w:rPr>
          <w:rFonts w:ascii="Times New Roman" w:hAnsi="Times New Roman" w:cs="Times New Roman"/>
          <w:sz w:val="28"/>
          <w:szCs w:val="28"/>
        </w:rPr>
        <w:t xml:space="preserve"> </w:t>
      </w:r>
      <w:r w:rsidR="00F6699A">
        <w:rPr>
          <w:rFonts w:ascii="Times New Roman" w:hAnsi="Times New Roman" w:cs="Times New Roman"/>
          <w:sz w:val="28"/>
          <w:szCs w:val="28"/>
        </w:rPr>
        <w:t>un šo noteikumu 4</w:t>
      </w:r>
      <w:r w:rsidR="00F6699A" w:rsidRPr="00164EAF">
        <w:rPr>
          <w:rFonts w:ascii="Times New Roman" w:hAnsi="Times New Roman" w:cs="Times New Roman"/>
          <w:sz w:val="28"/>
          <w:szCs w:val="28"/>
        </w:rPr>
        <w:t>.</w:t>
      </w:r>
      <w:r w:rsidR="00F6699A">
        <w:rPr>
          <w:rFonts w:ascii="Times New Roman" w:hAnsi="Times New Roman" w:cs="Times New Roman"/>
          <w:sz w:val="28"/>
          <w:szCs w:val="28"/>
        </w:rPr>
        <w:t>2.8. un 4.2.9.</w:t>
      </w:r>
      <w:r w:rsidR="003E1B6D">
        <w:rPr>
          <w:rFonts w:ascii="Times New Roman" w:hAnsi="Times New Roman" w:cs="Times New Roman"/>
          <w:sz w:val="28"/>
          <w:szCs w:val="28"/>
        </w:rPr>
        <w:t> </w:t>
      </w:r>
      <w:r w:rsidR="00F6699A" w:rsidRPr="00164EAF">
        <w:rPr>
          <w:rFonts w:ascii="Times New Roman" w:hAnsi="Times New Roman" w:cs="Times New Roman"/>
          <w:sz w:val="28"/>
          <w:szCs w:val="28"/>
        </w:rPr>
        <w:t>apakšpunktā</w:t>
      </w:r>
      <w:r w:rsidR="00F6699A">
        <w:rPr>
          <w:rFonts w:ascii="Times New Roman" w:hAnsi="Times New Roman" w:cs="Times New Roman"/>
          <w:sz w:val="28"/>
          <w:szCs w:val="28"/>
        </w:rPr>
        <w:t xml:space="preserve"> minēto izglītības programmu ietvaros attālinātas mācības </w:t>
      </w:r>
      <w:r w:rsidR="00934D4D" w:rsidRPr="00164EAF">
        <w:rPr>
          <w:rFonts w:ascii="Times New Roman" w:hAnsi="Times New Roman" w:cs="Times New Roman"/>
          <w:sz w:val="28"/>
          <w:szCs w:val="28"/>
        </w:rPr>
        <w:t>īsteno</w:t>
      </w:r>
      <w:r w:rsidR="00582CB6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izglītības iestādes apstiprinātajā attiecīgās </w:t>
      </w:r>
      <w:r w:rsidR="008164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izglītības </w:t>
      </w:r>
      <w:r w:rsidR="00582CB6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programmas mācību priekšmetu </w:t>
      </w:r>
      <w:r w:rsidR="0007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(kursu) </w:t>
      </w:r>
      <w:r w:rsidR="00582CB6" w:rsidRPr="00164EAF">
        <w:rPr>
          <w:rFonts w:ascii="Times New Roman" w:hAnsi="Times New Roman" w:cs="Times New Roman"/>
          <w:sz w:val="28"/>
          <w:szCs w:val="28"/>
          <w:shd w:val="clear" w:color="auto" w:fill="FFFFFF"/>
        </w:rPr>
        <w:t>un stundu plānā norādītajā apjomā</w:t>
      </w:r>
      <w:r w:rsidR="00164EAF">
        <w:rPr>
          <w:rFonts w:ascii="Times New Roman" w:hAnsi="Times New Roman" w:cs="Times New Roman"/>
          <w:sz w:val="28"/>
          <w:szCs w:val="28"/>
        </w:rPr>
        <w:t>:</w:t>
      </w:r>
    </w:p>
    <w:p w14:paraId="7CE4608E" w14:textId="2E0379F8" w:rsidR="00581B03" w:rsidRPr="00E643CE" w:rsidRDefault="00164EAF" w:rsidP="006D6B81">
      <w:pPr>
        <w:pStyle w:val="ListParagraph"/>
        <w:numPr>
          <w:ilvl w:val="1"/>
          <w:numId w:val="6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D6B81">
        <w:rPr>
          <w:rFonts w:ascii="Times New Roman" w:hAnsi="Times New Roman" w:cs="Times New Roman"/>
          <w:sz w:val="28"/>
          <w:szCs w:val="28"/>
        </w:rPr>
        <w:t>vismaz</w:t>
      </w:r>
      <w:r w:rsidR="00281323" w:rsidRPr="006D6B81">
        <w:rPr>
          <w:rFonts w:ascii="Times New Roman" w:hAnsi="Times New Roman" w:cs="Times New Roman"/>
          <w:sz w:val="28"/>
          <w:szCs w:val="28"/>
        </w:rPr>
        <w:t xml:space="preserve"> divos mācību priekšmetos (kursos, moduļos);</w:t>
      </w:r>
    </w:p>
    <w:p w14:paraId="13A287E3" w14:textId="43F452BE" w:rsidR="00C95BC2" w:rsidRDefault="00581B03" w:rsidP="006D6B81">
      <w:pPr>
        <w:pStyle w:val="ListParagraph"/>
        <w:numPr>
          <w:ilvl w:val="1"/>
          <w:numId w:val="6"/>
        </w:numPr>
        <w:spacing w:after="0" w:line="240" w:lineRule="auto"/>
        <w:ind w:left="0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D6B81">
        <w:rPr>
          <w:rFonts w:ascii="Times New Roman" w:hAnsi="Times New Roman" w:cs="Times New Roman"/>
          <w:sz w:val="28"/>
          <w:szCs w:val="28"/>
        </w:rPr>
        <w:t>l</w:t>
      </w:r>
      <w:r w:rsidR="0081399E" w:rsidRPr="00581B03">
        <w:rPr>
          <w:rFonts w:ascii="Times New Roman" w:hAnsi="Times New Roman" w:cs="Times New Roman"/>
          <w:sz w:val="28"/>
          <w:szCs w:val="28"/>
        </w:rPr>
        <w:t>īdz</w:t>
      </w:r>
      <w:r w:rsidR="00281323" w:rsidRPr="00581B03">
        <w:rPr>
          <w:rFonts w:ascii="Times New Roman" w:hAnsi="Times New Roman" w:cs="Times New Roman"/>
          <w:sz w:val="28"/>
          <w:szCs w:val="28"/>
        </w:rPr>
        <w:t xml:space="preserve"> 30 procent</w:t>
      </w:r>
      <w:r>
        <w:rPr>
          <w:rFonts w:ascii="Times New Roman" w:hAnsi="Times New Roman" w:cs="Times New Roman"/>
          <w:sz w:val="28"/>
          <w:szCs w:val="28"/>
        </w:rPr>
        <w:t>iem</w:t>
      </w:r>
      <w:r w:rsidR="00227857">
        <w:rPr>
          <w:rFonts w:ascii="Times New Roman" w:hAnsi="Times New Roman" w:cs="Times New Roman"/>
          <w:sz w:val="28"/>
          <w:szCs w:val="28"/>
        </w:rPr>
        <w:t xml:space="preserve"> </w:t>
      </w:r>
      <w:r w:rsidR="00281323" w:rsidRPr="00581B03">
        <w:rPr>
          <w:rFonts w:ascii="Times New Roman" w:hAnsi="Times New Roman" w:cs="Times New Roman"/>
          <w:sz w:val="28"/>
          <w:szCs w:val="28"/>
        </w:rPr>
        <w:t>no mācību priekšmetā (kursā, modulī) noteiktā apjoma</w:t>
      </w:r>
      <w:r w:rsidR="00227857">
        <w:rPr>
          <w:rFonts w:ascii="Times New Roman" w:hAnsi="Times New Roman" w:cs="Times New Roman"/>
          <w:sz w:val="28"/>
          <w:szCs w:val="28"/>
        </w:rPr>
        <w:t>.</w:t>
      </w:r>
    </w:p>
    <w:p w14:paraId="6BE30CA0" w14:textId="77777777" w:rsidR="00227857" w:rsidRPr="00227857" w:rsidRDefault="00227857" w:rsidP="0022785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560FE4" w14:textId="5D6A9C4B" w:rsidR="007E7122" w:rsidRDefault="00FF18B9" w:rsidP="006D6B81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Šo noteikumu 4</w:t>
      </w:r>
      <w:r w:rsidR="00C95BC2">
        <w:rPr>
          <w:rFonts w:ascii="Times New Roman" w:hAnsi="Times New Roman" w:cs="Times New Roman"/>
          <w:sz w:val="28"/>
          <w:szCs w:val="28"/>
          <w:shd w:val="clear" w:color="auto" w:fill="FFFFFF"/>
        </w:rPr>
        <w:t>.punkts piemērojams ar 2021.</w:t>
      </w:r>
      <w:r w:rsidR="003E1B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95BC2">
        <w:rPr>
          <w:rFonts w:ascii="Times New Roman" w:hAnsi="Times New Roman" w:cs="Times New Roman"/>
          <w:sz w:val="28"/>
          <w:szCs w:val="28"/>
          <w:shd w:val="clear" w:color="auto" w:fill="FFFFFF"/>
        </w:rPr>
        <w:t>gada 1.</w:t>
      </w:r>
      <w:r w:rsidR="003E1B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95BC2">
        <w:rPr>
          <w:rFonts w:ascii="Times New Roman" w:hAnsi="Times New Roman" w:cs="Times New Roman"/>
          <w:sz w:val="28"/>
          <w:szCs w:val="28"/>
          <w:shd w:val="clear" w:color="auto" w:fill="FFFFFF"/>
        </w:rPr>
        <w:t>septembri.</w:t>
      </w:r>
    </w:p>
    <w:p w14:paraId="5417398B" w14:textId="33AC7AF7" w:rsidR="00A64620" w:rsidRDefault="00BE2577" w:rsidP="007E7122">
      <w:pPr>
        <w:pStyle w:val="ListParagraph"/>
        <w:tabs>
          <w:tab w:val="left" w:pos="1276"/>
        </w:tabs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581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5FC07" w14:textId="18FB1C4A" w:rsidR="00762CA4" w:rsidRPr="00762CA4" w:rsidRDefault="00C95BC2" w:rsidP="006D6B81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Šo noteikumu</w:t>
      </w:r>
      <w:r w:rsidR="00762CA4">
        <w:rPr>
          <w:rFonts w:ascii="Times New Roman" w:hAnsi="Times New Roman" w:cs="Times New Roman"/>
          <w:sz w:val="28"/>
          <w:szCs w:val="28"/>
        </w:rPr>
        <w:t xml:space="preserve"> </w:t>
      </w:r>
      <w:r w:rsidR="00FF18B9">
        <w:rPr>
          <w:rFonts w:ascii="Times New Roman" w:hAnsi="Times New Roman" w:cs="Times New Roman"/>
          <w:sz w:val="28"/>
          <w:szCs w:val="28"/>
        </w:rPr>
        <w:t>6.3</w:t>
      </w:r>
      <w:r w:rsidR="00762CA4" w:rsidRPr="00762CA4">
        <w:rPr>
          <w:rFonts w:ascii="Times New Roman" w:hAnsi="Times New Roman" w:cs="Times New Roman"/>
          <w:sz w:val="28"/>
          <w:szCs w:val="28"/>
        </w:rPr>
        <w:t xml:space="preserve">.apakšpunktā minētos jautājumus </w:t>
      </w:r>
      <w:r w:rsidR="009402D6">
        <w:rPr>
          <w:rFonts w:ascii="Times New Roman" w:hAnsi="Times New Roman" w:cs="Times New Roman"/>
          <w:sz w:val="28"/>
          <w:szCs w:val="28"/>
        </w:rPr>
        <w:t xml:space="preserve">izglītības iestāde </w:t>
      </w:r>
      <w:r w:rsidR="00762CA4" w:rsidRPr="00762CA4">
        <w:rPr>
          <w:rFonts w:ascii="Times New Roman" w:hAnsi="Times New Roman" w:cs="Times New Roman"/>
          <w:sz w:val="28"/>
          <w:szCs w:val="28"/>
        </w:rPr>
        <w:t>iekšējos normatīvajos aktos nosaka ne vēlāk kā līdz 2021.</w:t>
      </w:r>
      <w:r w:rsidR="003E1B6D">
        <w:rPr>
          <w:rFonts w:ascii="Times New Roman" w:hAnsi="Times New Roman" w:cs="Times New Roman"/>
          <w:sz w:val="28"/>
          <w:szCs w:val="28"/>
        </w:rPr>
        <w:t> </w:t>
      </w:r>
      <w:r w:rsidR="00762CA4" w:rsidRPr="00762CA4">
        <w:rPr>
          <w:rFonts w:ascii="Times New Roman" w:hAnsi="Times New Roman" w:cs="Times New Roman"/>
          <w:sz w:val="28"/>
          <w:szCs w:val="28"/>
        </w:rPr>
        <w:t>gada 1</w:t>
      </w:r>
      <w:r w:rsidR="00826888">
        <w:rPr>
          <w:rFonts w:ascii="Times New Roman" w:hAnsi="Times New Roman" w:cs="Times New Roman"/>
          <w:sz w:val="28"/>
          <w:szCs w:val="28"/>
        </w:rPr>
        <w:t>6</w:t>
      </w:r>
      <w:r w:rsidR="00762CA4" w:rsidRPr="00762CA4">
        <w:rPr>
          <w:rFonts w:ascii="Times New Roman" w:hAnsi="Times New Roman" w:cs="Times New Roman"/>
          <w:sz w:val="28"/>
          <w:szCs w:val="28"/>
        </w:rPr>
        <w:t>.</w:t>
      </w:r>
      <w:r w:rsidR="003E1B6D">
        <w:rPr>
          <w:rFonts w:ascii="Times New Roman" w:hAnsi="Times New Roman" w:cs="Times New Roman"/>
          <w:sz w:val="28"/>
          <w:szCs w:val="28"/>
        </w:rPr>
        <w:t> </w:t>
      </w:r>
      <w:r w:rsidR="00F6699A">
        <w:rPr>
          <w:rFonts w:ascii="Times New Roman" w:hAnsi="Times New Roman" w:cs="Times New Roman"/>
          <w:sz w:val="28"/>
          <w:szCs w:val="28"/>
        </w:rPr>
        <w:t>augustam</w:t>
      </w:r>
      <w:r w:rsidR="00762CA4" w:rsidRPr="00762CA4">
        <w:rPr>
          <w:rFonts w:ascii="Times New Roman" w:hAnsi="Times New Roman" w:cs="Times New Roman"/>
          <w:sz w:val="28"/>
          <w:szCs w:val="28"/>
        </w:rPr>
        <w:t>.</w:t>
      </w:r>
    </w:p>
    <w:p w14:paraId="1A076609" w14:textId="45EFEC4D" w:rsidR="007C5582" w:rsidRPr="00164EAF" w:rsidRDefault="007C5582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0491626" w14:textId="77777777" w:rsidR="00164EAF" w:rsidRPr="00164EAF" w:rsidRDefault="00164EAF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8E22743" w14:textId="77777777" w:rsidR="007C5582" w:rsidRPr="00164EAF" w:rsidRDefault="007C5582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prezidents</w:t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A. K. Kariņš  </w:t>
      </w:r>
    </w:p>
    <w:p w14:paraId="0708ED77" w14:textId="77777777" w:rsidR="007C5582" w:rsidRPr="00164EAF" w:rsidRDefault="007C5582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C8AA393" w14:textId="77777777" w:rsidR="007C5582" w:rsidRPr="00164EAF" w:rsidRDefault="007C5582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DB24B31" w14:textId="77777777" w:rsidR="007C5582" w:rsidRPr="00164EAF" w:rsidRDefault="007C5582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>Izglītības un zinātnes ministre</w:t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I. Šuplinska</w:t>
      </w:r>
    </w:p>
    <w:p w14:paraId="6BFB7C54" w14:textId="77777777" w:rsidR="007C5582" w:rsidRPr="00164EAF" w:rsidRDefault="007C5582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9DD8127" w14:textId="77777777" w:rsidR="007C5582" w:rsidRPr="00164EAF" w:rsidRDefault="007C5582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1B07888" w14:textId="77777777" w:rsidR="007C5582" w:rsidRPr="00164EAF" w:rsidRDefault="007C5582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>Iesniedzējs:</w:t>
      </w:r>
    </w:p>
    <w:p w14:paraId="5A0CB832" w14:textId="77777777" w:rsidR="007C5582" w:rsidRPr="00164EAF" w:rsidRDefault="007C5582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>Izglītības un zinātnes ministre</w:t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I. Šuplinska</w:t>
      </w:r>
    </w:p>
    <w:p w14:paraId="3503383F" w14:textId="77777777" w:rsidR="007C5582" w:rsidRPr="00164EAF" w:rsidRDefault="007C5582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79199CF" w14:textId="77777777" w:rsidR="007C5582" w:rsidRPr="00164EAF" w:rsidRDefault="007C5582" w:rsidP="0016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Vizē: </w:t>
      </w:r>
    </w:p>
    <w:p w14:paraId="4EDB6730" w14:textId="3940330D" w:rsidR="00581B03" w:rsidRDefault="007C5582" w:rsidP="00DB16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>Valsts sekretār</w:t>
      </w:r>
      <w:r w:rsidR="00DB166A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bookmarkStart w:id="2" w:name="piel0"/>
      <w:bookmarkEnd w:id="2"/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762CA4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proofErr w:type="spellStart"/>
      <w:r w:rsidRPr="00164EAF">
        <w:rPr>
          <w:rFonts w:ascii="Times New Roman" w:eastAsia="Times New Roman" w:hAnsi="Times New Roman" w:cs="Times New Roman"/>
          <w:sz w:val="28"/>
          <w:szCs w:val="28"/>
          <w:lang w:eastAsia="lv-LV"/>
        </w:rPr>
        <w:t>J.Volberts</w:t>
      </w:r>
      <w:proofErr w:type="spellEnd"/>
    </w:p>
    <w:sectPr w:rsidR="00581B03" w:rsidSect="006C4B28"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5ACFB" w14:textId="77777777" w:rsidR="001770D6" w:rsidRDefault="001770D6" w:rsidP="00364140">
      <w:pPr>
        <w:spacing w:after="0" w:line="240" w:lineRule="auto"/>
      </w:pPr>
      <w:r>
        <w:separator/>
      </w:r>
    </w:p>
  </w:endnote>
  <w:endnote w:type="continuationSeparator" w:id="0">
    <w:p w14:paraId="6A91EB31" w14:textId="77777777" w:rsidR="001770D6" w:rsidRDefault="001770D6" w:rsidP="0036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8BF71" w14:textId="54EBA594" w:rsidR="00E659DC" w:rsidRDefault="006711DF" w:rsidP="00E643CE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IZMNot_03</w:t>
    </w:r>
    <w:r w:rsidR="00444AE1">
      <w:rPr>
        <w:rFonts w:ascii="Times New Roman" w:hAnsi="Times New Roman"/>
      </w:rPr>
      <w:t>0221_attalinatas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A82B9" w14:textId="77777777" w:rsidR="001770D6" w:rsidRDefault="001770D6" w:rsidP="00364140">
      <w:pPr>
        <w:spacing w:after="0" w:line="240" w:lineRule="auto"/>
      </w:pPr>
      <w:r>
        <w:separator/>
      </w:r>
    </w:p>
  </w:footnote>
  <w:footnote w:type="continuationSeparator" w:id="0">
    <w:p w14:paraId="3251B58E" w14:textId="77777777" w:rsidR="001770D6" w:rsidRDefault="001770D6" w:rsidP="0036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322C"/>
    <w:multiLevelType w:val="multilevel"/>
    <w:tmpl w:val="087CEE6C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2717184"/>
    <w:multiLevelType w:val="multilevel"/>
    <w:tmpl w:val="689C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610EF"/>
    <w:multiLevelType w:val="multilevel"/>
    <w:tmpl w:val="EDD0EB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611699"/>
    <w:multiLevelType w:val="multilevel"/>
    <w:tmpl w:val="2954D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9843C4"/>
    <w:multiLevelType w:val="hybridMultilevel"/>
    <w:tmpl w:val="F9E2F4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10155"/>
    <w:multiLevelType w:val="multilevel"/>
    <w:tmpl w:val="9C7482C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53262F14"/>
    <w:multiLevelType w:val="multilevel"/>
    <w:tmpl w:val="EDD0EB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395F7E"/>
    <w:multiLevelType w:val="hybridMultilevel"/>
    <w:tmpl w:val="09DCBC1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D77F6"/>
    <w:multiLevelType w:val="multilevel"/>
    <w:tmpl w:val="ED3A9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EDF1F9D"/>
    <w:multiLevelType w:val="multilevel"/>
    <w:tmpl w:val="0A1AD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EDF272B"/>
    <w:multiLevelType w:val="multilevel"/>
    <w:tmpl w:val="C9B83548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34E55BA"/>
    <w:multiLevelType w:val="hybridMultilevel"/>
    <w:tmpl w:val="ED0EC50A"/>
    <w:lvl w:ilvl="0" w:tplc="A91C14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2C"/>
    <w:rsid w:val="00035D65"/>
    <w:rsid w:val="00041148"/>
    <w:rsid w:val="00052388"/>
    <w:rsid w:val="00057133"/>
    <w:rsid w:val="00070695"/>
    <w:rsid w:val="00073E07"/>
    <w:rsid w:val="000760A9"/>
    <w:rsid w:val="00091AA3"/>
    <w:rsid w:val="000C0AAC"/>
    <w:rsid w:val="000C34E3"/>
    <w:rsid w:val="000C7313"/>
    <w:rsid w:val="000D0510"/>
    <w:rsid w:val="000E3467"/>
    <w:rsid w:val="000F40F0"/>
    <w:rsid w:val="000F72E3"/>
    <w:rsid w:val="0013057E"/>
    <w:rsid w:val="0015683A"/>
    <w:rsid w:val="00160E0F"/>
    <w:rsid w:val="00164EAF"/>
    <w:rsid w:val="0017166B"/>
    <w:rsid w:val="00172FE6"/>
    <w:rsid w:val="00175DF9"/>
    <w:rsid w:val="001770D6"/>
    <w:rsid w:val="00197503"/>
    <w:rsid w:val="001D0141"/>
    <w:rsid w:val="00203D31"/>
    <w:rsid w:val="002079D1"/>
    <w:rsid w:val="00215A74"/>
    <w:rsid w:val="00222C80"/>
    <w:rsid w:val="00223552"/>
    <w:rsid w:val="00227857"/>
    <w:rsid w:val="00250AD5"/>
    <w:rsid w:val="00263F0B"/>
    <w:rsid w:val="00266902"/>
    <w:rsid w:val="00273C9A"/>
    <w:rsid w:val="00281323"/>
    <w:rsid w:val="00290571"/>
    <w:rsid w:val="00293B12"/>
    <w:rsid w:val="002C55DF"/>
    <w:rsid w:val="002F6A88"/>
    <w:rsid w:val="002F6F0C"/>
    <w:rsid w:val="00301B3D"/>
    <w:rsid w:val="0033265F"/>
    <w:rsid w:val="00344E21"/>
    <w:rsid w:val="0034591D"/>
    <w:rsid w:val="00354717"/>
    <w:rsid w:val="00364140"/>
    <w:rsid w:val="003659A9"/>
    <w:rsid w:val="003726E1"/>
    <w:rsid w:val="003D1F94"/>
    <w:rsid w:val="003E0733"/>
    <w:rsid w:val="003E1B6D"/>
    <w:rsid w:val="003F7947"/>
    <w:rsid w:val="00406C55"/>
    <w:rsid w:val="00423E84"/>
    <w:rsid w:val="00427AC8"/>
    <w:rsid w:val="00444AE1"/>
    <w:rsid w:val="00451A4B"/>
    <w:rsid w:val="00456E84"/>
    <w:rsid w:val="00460F2F"/>
    <w:rsid w:val="004950A4"/>
    <w:rsid w:val="004B5380"/>
    <w:rsid w:val="004E3A9D"/>
    <w:rsid w:val="004E3F69"/>
    <w:rsid w:val="004E4ACF"/>
    <w:rsid w:val="004F1B5F"/>
    <w:rsid w:val="004F6064"/>
    <w:rsid w:val="005066A0"/>
    <w:rsid w:val="0051122F"/>
    <w:rsid w:val="0051584E"/>
    <w:rsid w:val="00516FD9"/>
    <w:rsid w:val="00521FB9"/>
    <w:rsid w:val="00540D5F"/>
    <w:rsid w:val="00551B51"/>
    <w:rsid w:val="005534CD"/>
    <w:rsid w:val="00555866"/>
    <w:rsid w:val="00561E7C"/>
    <w:rsid w:val="00581B03"/>
    <w:rsid w:val="00582CB6"/>
    <w:rsid w:val="0059345A"/>
    <w:rsid w:val="005A29B9"/>
    <w:rsid w:val="005B40DD"/>
    <w:rsid w:val="005C07CD"/>
    <w:rsid w:val="005D0DE3"/>
    <w:rsid w:val="005E081C"/>
    <w:rsid w:val="005F7780"/>
    <w:rsid w:val="00607F36"/>
    <w:rsid w:val="006104CC"/>
    <w:rsid w:val="00621D22"/>
    <w:rsid w:val="00622907"/>
    <w:rsid w:val="0064668F"/>
    <w:rsid w:val="0066335A"/>
    <w:rsid w:val="00670F21"/>
    <w:rsid w:val="006711DF"/>
    <w:rsid w:val="0067136F"/>
    <w:rsid w:val="0067508B"/>
    <w:rsid w:val="00694F21"/>
    <w:rsid w:val="006A12B2"/>
    <w:rsid w:val="006B585D"/>
    <w:rsid w:val="006C4568"/>
    <w:rsid w:val="006C4B28"/>
    <w:rsid w:val="006D1363"/>
    <w:rsid w:val="006D6B81"/>
    <w:rsid w:val="006E0614"/>
    <w:rsid w:val="006E78D2"/>
    <w:rsid w:val="0073317D"/>
    <w:rsid w:val="00762CA4"/>
    <w:rsid w:val="00763D81"/>
    <w:rsid w:val="00776DC7"/>
    <w:rsid w:val="0078728D"/>
    <w:rsid w:val="0079141D"/>
    <w:rsid w:val="007938A8"/>
    <w:rsid w:val="007B040C"/>
    <w:rsid w:val="007B77A5"/>
    <w:rsid w:val="007C5582"/>
    <w:rsid w:val="007E7122"/>
    <w:rsid w:val="007F2878"/>
    <w:rsid w:val="007F431E"/>
    <w:rsid w:val="0081399E"/>
    <w:rsid w:val="00816489"/>
    <w:rsid w:val="00820B43"/>
    <w:rsid w:val="00826888"/>
    <w:rsid w:val="00830F3E"/>
    <w:rsid w:val="00835E45"/>
    <w:rsid w:val="00837958"/>
    <w:rsid w:val="00872197"/>
    <w:rsid w:val="008B561C"/>
    <w:rsid w:val="008C080E"/>
    <w:rsid w:val="008C10C5"/>
    <w:rsid w:val="008D784B"/>
    <w:rsid w:val="008E2393"/>
    <w:rsid w:val="008E2C46"/>
    <w:rsid w:val="008E7D7E"/>
    <w:rsid w:val="008F5F1C"/>
    <w:rsid w:val="008F677C"/>
    <w:rsid w:val="00900B06"/>
    <w:rsid w:val="00902DCA"/>
    <w:rsid w:val="00910ED3"/>
    <w:rsid w:val="00934D4D"/>
    <w:rsid w:val="009402D6"/>
    <w:rsid w:val="009477EF"/>
    <w:rsid w:val="00965006"/>
    <w:rsid w:val="0097040B"/>
    <w:rsid w:val="00976B9B"/>
    <w:rsid w:val="009975D5"/>
    <w:rsid w:val="009A270C"/>
    <w:rsid w:val="009A3F01"/>
    <w:rsid w:val="009D0DF9"/>
    <w:rsid w:val="009E05B0"/>
    <w:rsid w:val="009F3B62"/>
    <w:rsid w:val="00A079F8"/>
    <w:rsid w:val="00A118AC"/>
    <w:rsid w:val="00A33642"/>
    <w:rsid w:val="00A41ADC"/>
    <w:rsid w:val="00A53F69"/>
    <w:rsid w:val="00A64620"/>
    <w:rsid w:val="00A67535"/>
    <w:rsid w:val="00A807A3"/>
    <w:rsid w:val="00AE797B"/>
    <w:rsid w:val="00AF3E05"/>
    <w:rsid w:val="00B22B30"/>
    <w:rsid w:val="00B4273C"/>
    <w:rsid w:val="00B439AB"/>
    <w:rsid w:val="00B45A15"/>
    <w:rsid w:val="00B520DE"/>
    <w:rsid w:val="00B721C0"/>
    <w:rsid w:val="00B801FA"/>
    <w:rsid w:val="00BA3CB0"/>
    <w:rsid w:val="00BC0559"/>
    <w:rsid w:val="00BC6FD7"/>
    <w:rsid w:val="00BE2577"/>
    <w:rsid w:val="00C0423B"/>
    <w:rsid w:val="00C338EB"/>
    <w:rsid w:val="00C47D91"/>
    <w:rsid w:val="00C533AC"/>
    <w:rsid w:val="00C67A2C"/>
    <w:rsid w:val="00C831B3"/>
    <w:rsid w:val="00C8677D"/>
    <w:rsid w:val="00C95BC2"/>
    <w:rsid w:val="00C97B44"/>
    <w:rsid w:val="00CA0914"/>
    <w:rsid w:val="00CA1E12"/>
    <w:rsid w:val="00CA6CF8"/>
    <w:rsid w:val="00CB06DD"/>
    <w:rsid w:val="00CB2CD3"/>
    <w:rsid w:val="00CB4A53"/>
    <w:rsid w:val="00CE220D"/>
    <w:rsid w:val="00CE6441"/>
    <w:rsid w:val="00CF7720"/>
    <w:rsid w:val="00D22811"/>
    <w:rsid w:val="00D23B63"/>
    <w:rsid w:val="00D477F0"/>
    <w:rsid w:val="00D54827"/>
    <w:rsid w:val="00D96F8D"/>
    <w:rsid w:val="00DA3BEC"/>
    <w:rsid w:val="00DA3EFB"/>
    <w:rsid w:val="00DA562F"/>
    <w:rsid w:val="00DB166A"/>
    <w:rsid w:val="00DB4E4E"/>
    <w:rsid w:val="00DD1355"/>
    <w:rsid w:val="00DD2427"/>
    <w:rsid w:val="00DE780A"/>
    <w:rsid w:val="00DF1ACB"/>
    <w:rsid w:val="00E16B05"/>
    <w:rsid w:val="00E2376A"/>
    <w:rsid w:val="00E24876"/>
    <w:rsid w:val="00E45B4F"/>
    <w:rsid w:val="00E5657F"/>
    <w:rsid w:val="00E62A8C"/>
    <w:rsid w:val="00E62FB9"/>
    <w:rsid w:val="00E643CE"/>
    <w:rsid w:val="00E659DC"/>
    <w:rsid w:val="00E66579"/>
    <w:rsid w:val="00E70437"/>
    <w:rsid w:val="00E74ED7"/>
    <w:rsid w:val="00E8253B"/>
    <w:rsid w:val="00EA0145"/>
    <w:rsid w:val="00ED0B59"/>
    <w:rsid w:val="00ED5552"/>
    <w:rsid w:val="00EE05F4"/>
    <w:rsid w:val="00F26111"/>
    <w:rsid w:val="00F26D3F"/>
    <w:rsid w:val="00F3210F"/>
    <w:rsid w:val="00F325CA"/>
    <w:rsid w:val="00F47885"/>
    <w:rsid w:val="00F6699A"/>
    <w:rsid w:val="00F80AD3"/>
    <w:rsid w:val="00F9784F"/>
    <w:rsid w:val="00FA6C8D"/>
    <w:rsid w:val="00FB0571"/>
    <w:rsid w:val="00FB6345"/>
    <w:rsid w:val="00FD2DF2"/>
    <w:rsid w:val="00FF18B9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87B3"/>
  <w15:docId w15:val="{3C7FECF5-2DD3-284A-856F-648C40DE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A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0510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B2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140"/>
  </w:style>
  <w:style w:type="paragraph" w:styleId="Footer">
    <w:name w:val="footer"/>
    <w:basedOn w:val="Normal"/>
    <w:link w:val="FooterChar"/>
    <w:uiPriority w:val="99"/>
    <w:unhideWhenUsed/>
    <w:rsid w:val="00364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140"/>
  </w:style>
  <w:style w:type="paragraph" w:styleId="BalloonText">
    <w:name w:val="Balloon Text"/>
    <w:basedOn w:val="Normal"/>
    <w:link w:val="BalloonTextChar"/>
    <w:uiPriority w:val="99"/>
    <w:semiHidden/>
    <w:unhideWhenUsed/>
    <w:rsid w:val="0050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A0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Normal"/>
    <w:rsid w:val="00D2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23B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0F3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F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560DD82A516F5478FC82208649C3601" ma:contentTypeVersion="4" ma:contentTypeDescription="Izveidot jaunu dokumentu." ma:contentTypeScope="" ma:versionID="009653b13f31490db146d7bf3aa49677">
  <xsd:schema xmlns:xsd="http://www.w3.org/2001/XMLSchema" xmlns:xs="http://www.w3.org/2001/XMLSchema" xmlns:p="http://schemas.microsoft.com/office/2006/metadata/properties" xmlns:ns2="8202c708-7e85-40b9-9e4c-816ff5230e3e" targetNamespace="http://schemas.microsoft.com/office/2006/metadata/properties" ma:root="true" ma:fieldsID="f0d472c39b4271a344b1c38158dd9a8c" ns2:_="">
    <xsd:import namespace="8202c708-7e85-40b9-9e4c-816ff5230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2c708-7e85-40b9-9e4c-816ff5230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97C0B-3EFD-4EE9-805F-0BDB18826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2c708-7e85-40b9-9e4c-816ff5230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53B29-DC38-45FD-A4BD-EA71ECC43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4AC83-468A-4D44-A72A-07705D359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362F6C-61D2-4677-BA1D-14A283D3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Maksims Platonovs</dc:creator>
  <cp:lastModifiedBy>Daiga Dambīte</cp:lastModifiedBy>
  <cp:revision>4</cp:revision>
  <cp:lastPrinted>2020-12-02T06:48:00Z</cp:lastPrinted>
  <dcterms:created xsi:type="dcterms:W3CDTF">2021-01-29T14:04:00Z</dcterms:created>
  <dcterms:modified xsi:type="dcterms:W3CDTF">2021-02-03T10:01:00Z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0x0101007560DD82A516F5478FC82208649C3601</vt:lpwstr>
  </property>
</Properties>
</file>