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92FB5" w14:textId="1D8F7DFC" w:rsidR="007C1607" w:rsidRDefault="005C334C" w:rsidP="007C1A56">
      <w:pPr>
        <w:pStyle w:val="Footer"/>
        <w:jc w:val="center"/>
        <w:rPr>
          <w:rFonts w:ascii="Times New Roman" w:hAnsi="Times New Roman"/>
          <w:b/>
          <w:sz w:val="24"/>
          <w:szCs w:val="24"/>
        </w:rPr>
      </w:pPr>
      <w:r w:rsidRPr="00F24248">
        <w:rPr>
          <w:rFonts w:ascii="Times New Roman" w:hAnsi="Times New Roman"/>
          <w:b/>
          <w:sz w:val="24"/>
          <w:szCs w:val="24"/>
        </w:rPr>
        <w:t xml:space="preserve">Ministru kabineta noteikumu </w:t>
      </w:r>
      <w:r w:rsidR="002D1BF3" w:rsidRPr="00F24248">
        <w:rPr>
          <w:rFonts w:ascii="Times New Roman" w:hAnsi="Times New Roman"/>
          <w:b/>
          <w:sz w:val="24"/>
          <w:szCs w:val="24"/>
        </w:rPr>
        <w:t>„</w:t>
      </w:r>
      <w:r w:rsidR="00F64E67" w:rsidRPr="00F64E67">
        <w:rPr>
          <w:rFonts w:ascii="Times New Roman" w:hAnsi="Times New Roman"/>
          <w:b/>
          <w:sz w:val="24"/>
          <w:szCs w:val="24"/>
        </w:rPr>
        <w:t>Grozījumi Ministru kabineta 2018. gada 9. janvāra noteikumos Nr. 25 "Darbības programmas "Izaugsme un nodarbinātība" 8.2.2. specifiskā atbalsta mērķa "Stiprināt augstākās izglītības institūciju akadēmisko personālu stratēģiskās specializācijas jomās" pirmās, otrās un trešās projektu iesniegumu atlas</w:t>
      </w:r>
      <w:r w:rsidR="00F64E67">
        <w:rPr>
          <w:rFonts w:ascii="Times New Roman" w:hAnsi="Times New Roman"/>
          <w:b/>
          <w:sz w:val="24"/>
          <w:szCs w:val="24"/>
        </w:rPr>
        <w:t>es kārtas īstenošanas noteikumi</w:t>
      </w:r>
      <w:r w:rsidR="00AF3485">
        <w:rPr>
          <w:rFonts w:ascii="Times New Roman" w:hAnsi="Times New Roman"/>
          <w:b/>
          <w:sz w:val="24"/>
          <w:szCs w:val="24"/>
        </w:rPr>
        <w:t>”</w:t>
      </w:r>
      <w:r w:rsidR="00F64E67">
        <w:rPr>
          <w:rFonts w:ascii="Times New Roman" w:hAnsi="Times New Roman"/>
          <w:b/>
          <w:sz w:val="24"/>
          <w:szCs w:val="24"/>
        </w:rPr>
        <w:t>”</w:t>
      </w:r>
      <w:r w:rsidRPr="00F24248">
        <w:rPr>
          <w:rFonts w:ascii="Times New Roman" w:hAnsi="Times New Roman"/>
          <w:b/>
          <w:sz w:val="24"/>
          <w:szCs w:val="24"/>
        </w:rPr>
        <w:t xml:space="preserve"> projekta sākotnējās ietekmes novērtējuma ziņojums (anotācija)</w:t>
      </w:r>
    </w:p>
    <w:p w14:paraId="714A0422" w14:textId="77777777" w:rsidR="00D71C1E" w:rsidRDefault="00D71C1E" w:rsidP="007C1A56">
      <w:pPr>
        <w:pStyle w:val="Footer"/>
        <w:jc w:val="center"/>
        <w:rPr>
          <w:rFonts w:ascii="Times New Roman" w:hAnsi="Times New Roman"/>
          <w:b/>
          <w:sz w:val="24"/>
          <w:szCs w:val="24"/>
        </w:rPr>
      </w:pPr>
    </w:p>
    <w:tbl>
      <w:tblPr>
        <w:tblW w:w="5083"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09"/>
        <w:gridCol w:w="6574"/>
      </w:tblGrid>
      <w:tr w:rsidR="007C1607" w:rsidRPr="00BB2D8F" w14:paraId="6FD6AE8B" w14:textId="77777777" w:rsidTr="00B149F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1637A58C" w14:textId="77777777" w:rsidR="007C1607" w:rsidRPr="00BB2D8F" w:rsidRDefault="007C1607" w:rsidP="00BC76BE">
            <w:pPr>
              <w:spacing w:after="0" w:line="240" w:lineRule="auto"/>
              <w:jc w:val="center"/>
              <w:rPr>
                <w:rFonts w:ascii="Times New Roman" w:eastAsia="Times New Roman" w:hAnsi="Times New Roman" w:cs="Times New Roman"/>
                <w:b/>
                <w:bCs/>
                <w:sz w:val="24"/>
                <w:szCs w:val="24"/>
                <w:lang w:eastAsia="lv-LV"/>
              </w:rPr>
            </w:pPr>
            <w:r w:rsidRPr="00BB2D8F">
              <w:rPr>
                <w:rFonts w:ascii="Times New Roman" w:eastAsia="Times New Roman" w:hAnsi="Times New Roman" w:cs="Times New Roman"/>
                <w:b/>
                <w:bCs/>
                <w:sz w:val="24"/>
                <w:szCs w:val="24"/>
                <w:lang w:eastAsia="lv-LV"/>
              </w:rPr>
              <w:t>Tiesību akta projekta anotācijas kopsavilkums</w:t>
            </w:r>
          </w:p>
        </w:tc>
      </w:tr>
      <w:tr w:rsidR="007C1607" w:rsidRPr="00BB2D8F" w14:paraId="2B420150" w14:textId="77777777" w:rsidTr="00EC06A8">
        <w:tc>
          <w:tcPr>
            <w:tcW w:w="1459" w:type="pct"/>
            <w:tcBorders>
              <w:top w:val="outset" w:sz="6" w:space="0" w:color="414142"/>
              <w:left w:val="outset" w:sz="6" w:space="0" w:color="414142"/>
              <w:bottom w:val="outset" w:sz="6" w:space="0" w:color="414142"/>
              <w:right w:val="outset" w:sz="6" w:space="0" w:color="414142"/>
            </w:tcBorders>
            <w:hideMark/>
          </w:tcPr>
          <w:p w14:paraId="19F2FDAA" w14:textId="77777777" w:rsidR="007C1607" w:rsidRPr="00CE6283" w:rsidRDefault="007C1607" w:rsidP="00BC76BE">
            <w:pPr>
              <w:spacing w:after="0" w:line="240" w:lineRule="auto"/>
              <w:rPr>
                <w:rFonts w:ascii="Times New Roman" w:eastAsia="Times New Roman" w:hAnsi="Times New Roman" w:cs="Times New Roman"/>
                <w:sz w:val="24"/>
                <w:szCs w:val="24"/>
                <w:highlight w:val="yellow"/>
                <w:lang w:eastAsia="lv-LV"/>
              </w:rPr>
            </w:pPr>
            <w:r w:rsidRPr="00CC3719">
              <w:rPr>
                <w:rFonts w:ascii="Times New Roman" w:eastAsia="Times New Roman" w:hAnsi="Times New Roman" w:cs="Times New Roman"/>
                <w:sz w:val="24"/>
                <w:szCs w:val="24"/>
                <w:lang w:eastAsia="lv-LV"/>
              </w:rPr>
              <w:t>Mērķis, risinājums un projekta spēkā stāšanās laiks (500 zīmes bez atstarpēm)</w:t>
            </w:r>
          </w:p>
        </w:tc>
        <w:tc>
          <w:tcPr>
            <w:tcW w:w="3541" w:type="pct"/>
            <w:tcBorders>
              <w:top w:val="outset" w:sz="6" w:space="0" w:color="414142"/>
              <w:left w:val="outset" w:sz="6" w:space="0" w:color="414142"/>
              <w:bottom w:val="outset" w:sz="6" w:space="0" w:color="414142"/>
              <w:right w:val="outset" w:sz="6" w:space="0" w:color="414142"/>
            </w:tcBorders>
            <w:hideMark/>
          </w:tcPr>
          <w:p w14:paraId="19FA1D48" w14:textId="57A2BA25" w:rsidR="007C1607" w:rsidRPr="00890A80" w:rsidRDefault="00CC3719" w:rsidP="00F26C9E">
            <w:pPr>
              <w:spacing w:after="0" w:line="240" w:lineRule="auto"/>
              <w:jc w:val="both"/>
              <w:rPr>
                <w:rFonts w:ascii="Times New Roman" w:eastAsia="Times New Roman" w:hAnsi="Times New Roman" w:cs="Times New Roman"/>
                <w:sz w:val="24"/>
                <w:szCs w:val="24"/>
                <w:highlight w:val="yellow"/>
                <w:lang w:eastAsia="lv-LV"/>
              </w:rPr>
            </w:pPr>
            <w:r w:rsidRPr="00890A80">
              <w:rPr>
                <w:rFonts w:ascii="Times New Roman" w:hAnsi="Times New Roman"/>
                <w:sz w:val="24"/>
                <w:szCs w:val="24"/>
              </w:rPr>
              <w:t xml:space="preserve">Noteikumu </w:t>
            </w:r>
            <w:r w:rsidR="00BD51E9">
              <w:rPr>
                <w:rFonts w:ascii="Times New Roman" w:hAnsi="Times New Roman"/>
                <w:sz w:val="24"/>
                <w:szCs w:val="24"/>
              </w:rPr>
              <w:t>projekta</w:t>
            </w:r>
            <w:r w:rsidR="00BD51E9">
              <w:rPr>
                <w:rStyle w:val="FootnoteReference"/>
                <w:rFonts w:ascii="Times New Roman" w:hAnsi="Times New Roman"/>
                <w:sz w:val="24"/>
                <w:szCs w:val="24"/>
              </w:rPr>
              <w:footnoteReference w:id="1"/>
            </w:r>
            <w:r w:rsidR="00BD51E9">
              <w:rPr>
                <w:rFonts w:ascii="Times New Roman" w:hAnsi="Times New Roman"/>
                <w:sz w:val="24"/>
                <w:szCs w:val="24"/>
              </w:rPr>
              <w:t xml:space="preserve"> </w:t>
            </w:r>
            <w:r w:rsidRPr="00890A80">
              <w:rPr>
                <w:rFonts w:ascii="Times New Roman" w:hAnsi="Times New Roman"/>
                <w:sz w:val="24"/>
                <w:szCs w:val="24"/>
              </w:rPr>
              <w:t>mērķi</w:t>
            </w:r>
            <w:r w:rsidR="00BD51E9">
              <w:rPr>
                <w:rFonts w:ascii="Times New Roman" w:hAnsi="Times New Roman"/>
                <w:sz w:val="24"/>
                <w:szCs w:val="24"/>
              </w:rPr>
              <w:t>s ir</w:t>
            </w:r>
            <w:r w:rsidRPr="00890A80">
              <w:rPr>
                <w:rFonts w:ascii="Times New Roman" w:hAnsi="Times New Roman"/>
                <w:sz w:val="24"/>
                <w:szCs w:val="24"/>
              </w:rPr>
              <w:t xml:space="preserve"> </w:t>
            </w:r>
            <w:r w:rsidR="00F26C9E">
              <w:rPr>
                <w:rFonts w:ascii="Times New Roman" w:hAnsi="Times New Roman"/>
                <w:sz w:val="24"/>
                <w:szCs w:val="24"/>
              </w:rPr>
              <w:t xml:space="preserve">noteikt </w:t>
            </w:r>
            <w:r w:rsidR="00BD51E9">
              <w:rPr>
                <w:rFonts w:ascii="Times New Roman" w:hAnsi="Times New Roman"/>
                <w:sz w:val="24"/>
                <w:szCs w:val="24"/>
              </w:rPr>
              <w:t xml:space="preserve"> </w:t>
            </w:r>
            <w:r w:rsidR="00F64E67">
              <w:rPr>
                <w:rFonts w:ascii="Times New Roman" w:hAnsi="Times New Roman"/>
                <w:sz w:val="24"/>
                <w:szCs w:val="24"/>
              </w:rPr>
              <w:t>trešās projektu iesniegumu atlases kārt</w:t>
            </w:r>
            <w:r w:rsidR="00F26C9E">
              <w:rPr>
                <w:rFonts w:ascii="Times New Roman" w:hAnsi="Times New Roman"/>
                <w:sz w:val="24"/>
                <w:szCs w:val="24"/>
              </w:rPr>
              <w:t>as īstenošanas nosacījumus</w:t>
            </w:r>
            <w:r w:rsidR="00AB1BCA">
              <w:rPr>
                <w:rFonts w:ascii="Times New Roman" w:hAnsi="Times New Roman"/>
                <w:sz w:val="24"/>
                <w:szCs w:val="24"/>
              </w:rPr>
              <w:t>.</w:t>
            </w:r>
            <w:r w:rsidRPr="00890A80">
              <w:rPr>
                <w:rFonts w:ascii="Times New Roman" w:hAnsi="Times New Roman"/>
                <w:sz w:val="24"/>
                <w:szCs w:val="24"/>
              </w:rPr>
              <w:t xml:space="preserve"> </w:t>
            </w:r>
            <w:r w:rsidR="00BD51E9">
              <w:rPr>
                <w:rFonts w:ascii="Times New Roman" w:hAnsi="Times New Roman"/>
                <w:sz w:val="24"/>
                <w:szCs w:val="24"/>
              </w:rPr>
              <w:t>N</w:t>
            </w:r>
            <w:r w:rsidR="00BD51E9" w:rsidRPr="00890A80">
              <w:rPr>
                <w:rFonts w:ascii="Times New Roman" w:hAnsi="Times New Roman"/>
                <w:sz w:val="24"/>
                <w:szCs w:val="24"/>
              </w:rPr>
              <w:t>oteikumu projekt</w:t>
            </w:r>
            <w:r w:rsidR="00BD51E9">
              <w:rPr>
                <w:rFonts w:ascii="Times New Roman" w:hAnsi="Times New Roman"/>
                <w:sz w:val="24"/>
                <w:szCs w:val="24"/>
              </w:rPr>
              <w:t>s</w:t>
            </w:r>
            <w:r w:rsidR="00BD51E9" w:rsidRPr="00890A80">
              <w:rPr>
                <w:rFonts w:ascii="Times New Roman" w:hAnsi="Times New Roman"/>
                <w:sz w:val="24"/>
                <w:szCs w:val="24"/>
              </w:rPr>
              <w:t xml:space="preserve"> </w:t>
            </w:r>
            <w:r w:rsidR="00BD51E9">
              <w:rPr>
                <w:rFonts w:ascii="Times New Roman" w:hAnsi="Times New Roman"/>
                <w:sz w:val="24"/>
                <w:szCs w:val="24"/>
              </w:rPr>
              <w:t xml:space="preserve">stāsies </w:t>
            </w:r>
            <w:r w:rsidR="00BD51E9" w:rsidRPr="00890A80">
              <w:rPr>
                <w:rFonts w:ascii="Times New Roman" w:hAnsi="Times New Roman"/>
                <w:sz w:val="24"/>
                <w:szCs w:val="24"/>
              </w:rPr>
              <w:t xml:space="preserve">spēkā </w:t>
            </w:r>
            <w:r w:rsidR="00BD51E9">
              <w:rPr>
                <w:rFonts w:ascii="Times New Roman" w:hAnsi="Times New Roman"/>
                <w:sz w:val="24"/>
                <w:szCs w:val="24"/>
              </w:rPr>
              <w:t>Oficiālo publikāciju un tiesiskās informācijas likumā noteiktajā kārtībā.</w:t>
            </w:r>
          </w:p>
        </w:tc>
      </w:tr>
    </w:tbl>
    <w:p w14:paraId="1220FA86" w14:textId="77777777" w:rsidR="007C1607" w:rsidRPr="001C18A0" w:rsidRDefault="007C1607" w:rsidP="001C18A0">
      <w:pPr>
        <w:pStyle w:val="Footer"/>
        <w:jc w:val="center"/>
        <w:rPr>
          <w:rFonts w:ascii="Times New Roman" w:hAnsi="Times New Roman"/>
          <w:sz w:val="24"/>
          <w:szCs w:val="24"/>
        </w:rPr>
      </w:pPr>
    </w:p>
    <w:tbl>
      <w:tblPr>
        <w:tblpPr w:leftFromText="180" w:rightFromText="180" w:vertAnchor="text" w:tblpY="1"/>
        <w:tblOverlap w:val="never"/>
        <w:tblW w:w="5083"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8"/>
        <w:gridCol w:w="2161"/>
        <w:gridCol w:w="6574"/>
      </w:tblGrid>
      <w:tr w:rsidR="003C26C4" w:rsidRPr="00F24248" w14:paraId="015B842C" w14:textId="77777777" w:rsidTr="00B149F4">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255D1BA" w14:textId="77777777" w:rsidR="005C334C" w:rsidRPr="00F24248" w:rsidRDefault="005C334C" w:rsidP="00BC76BE">
            <w:pPr>
              <w:spacing w:after="100" w:afterAutospacing="1" w:line="254" w:lineRule="atLeast"/>
              <w:jc w:val="center"/>
              <w:rPr>
                <w:rFonts w:ascii="Times New Roman" w:eastAsia="Times New Roman" w:hAnsi="Times New Roman" w:cs="Times New Roman"/>
                <w:b/>
                <w:bCs/>
                <w:sz w:val="24"/>
                <w:szCs w:val="24"/>
                <w:lang w:eastAsia="lv-LV"/>
              </w:rPr>
            </w:pPr>
            <w:r w:rsidRPr="00F24248">
              <w:rPr>
                <w:rFonts w:ascii="Times New Roman" w:eastAsia="Times New Roman" w:hAnsi="Times New Roman" w:cs="Times New Roman"/>
                <w:b/>
                <w:bCs/>
                <w:sz w:val="24"/>
                <w:szCs w:val="24"/>
                <w:lang w:eastAsia="lv-LV"/>
              </w:rPr>
              <w:t>I. Tiesību akta projekta izstrādes nepieciešamība</w:t>
            </w:r>
          </w:p>
        </w:tc>
      </w:tr>
      <w:tr w:rsidR="003C26C4" w:rsidRPr="00F24248" w14:paraId="22542DFA" w14:textId="77777777" w:rsidTr="00EC06A8">
        <w:tc>
          <w:tcPr>
            <w:tcW w:w="295" w:type="pct"/>
            <w:tcBorders>
              <w:top w:val="outset" w:sz="6" w:space="0" w:color="414142"/>
              <w:left w:val="outset" w:sz="6" w:space="0" w:color="414142"/>
              <w:bottom w:val="outset" w:sz="6" w:space="0" w:color="414142"/>
              <w:right w:val="outset" w:sz="6" w:space="0" w:color="414142"/>
            </w:tcBorders>
            <w:hideMark/>
          </w:tcPr>
          <w:p w14:paraId="2EEA36EB"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1.</w:t>
            </w:r>
          </w:p>
        </w:tc>
        <w:tc>
          <w:tcPr>
            <w:tcW w:w="1164" w:type="pct"/>
            <w:tcBorders>
              <w:top w:val="outset" w:sz="6" w:space="0" w:color="414142"/>
              <w:left w:val="outset" w:sz="6" w:space="0" w:color="414142"/>
              <w:bottom w:val="outset" w:sz="6" w:space="0" w:color="414142"/>
              <w:right w:val="outset" w:sz="6" w:space="0" w:color="414142"/>
            </w:tcBorders>
            <w:hideMark/>
          </w:tcPr>
          <w:p w14:paraId="6A49B248"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Pamatojums</w:t>
            </w:r>
          </w:p>
        </w:tc>
        <w:tc>
          <w:tcPr>
            <w:tcW w:w="3541" w:type="pct"/>
            <w:tcBorders>
              <w:top w:val="outset" w:sz="6" w:space="0" w:color="414142"/>
              <w:left w:val="outset" w:sz="6" w:space="0" w:color="414142"/>
              <w:bottom w:val="outset" w:sz="6" w:space="0" w:color="414142"/>
              <w:right w:val="outset" w:sz="6" w:space="0" w:color="414142"/>
            </w:tcBorders>
            <w:hideMark/>
          </w:tcPr>
          <w:p w14:paraId="2849627D" w14:textId="7D43021D" w:rsidR="005C334C" w:rsidRPr="00F24248" w:rsidRDefault="005C334C" w:rsidP="005434F9">
            <w:pPr>
              <w:spacing w:after="0" w:line="240" w:lineRule="auto"/>
              <w:jc w:val="both"/>
              <w:rPr>
                <w:rFonts w:ascii="Times New Roman" w:hAnsi="Times New Roman" w:cs="Times New Roman"/>
                <w:sz w:val="24"/>
                <w:szCs w:val="24"/>
              </w:rPr>
            </w:pPr>
            <w:r w:rsidRPr="00F24248">
              <w:rPr>
                <w:rFonts w:ascii="Times New Roman" w:hAnsi="Times New Roman" w:cs="Times New Roman"/>
                <w:sz w:val="24"/>
                <w:szCs w:val="24"/>
              </w:rPr>
              <w:t>Noteikumu projekts sagatavots saskaņā ar Eiropas Savienības struktūrfondu un Kohēzijas fonda 2014.-2020.</w:t>
            </w:r>
            <w:r w:rsidR="00F63DB5" w:rsidRPr="00F24248">
              <w:rPr>
                <w:rFonts w:ascii="Times New Roman" w:hAnsi="Times New Roman" w:cs="Times New Roman"/>
                <w:sz w:val="24"/>
                <w:szCs w:val="24"/>
              </w:rPr>
              <w:t> </w:t>
            </w:r>
            <w:r w:rsidRPr="00F24248">
              <w:rPr>
                <w:rFonts w:ascii="Times New Roman" w:hAnsi="Times New Roman" w:cs="Times New Roman"/>
                <w:sz w:val="24"/>
                <w:szCs w:val="24"/>
              </w:rPr>
              <w:t>gada plānošanas perioda vadības likuma 20. panta 6. un 13. punktu</w:t>
            </w:r>
            <w:r w:rsidR="00F64E67">
              <w:rPr>
                <w:rFonts w:ascii="Times New Roman" w:hAnsi="Times New Roman" w:cs="Times New Roman"/>
                <w:sz w:val="24"/>
                <w:szCs w:val="24"/>
              </w:rPr>
              <w:t>.</w:t>
            </w:r>
          </w:p>
        </w:tc>
      </w:tr>
      <w:tr w:rsidR="003C26C4" w:rsidRPr="00F24248" w14:paraId="48D44C0D" w14:textId="77777777" w:rsidTr="00EC06A8">
        <w:tc>
          <w:tcPr>
            <w:tcW w:w="295" w:type="pct"/>
            <w:tcBorders>
              <w:top w:val="outset" w:sz="6" w:space="0" w:color="414142"/>
              <w:left w:val="outset" w:sz="6" w:space="0" w:color="414142"/>
              <w:bottom w:val="outset" w:sz="6" w:space="0" w:color="414142"/>
              <w:right w:val="outset" w:sz="6" w:space="0" w:color="414142"/>
            </w:tcBorders>
            <w:hideMark/>
          </w:tcPr>
          <w:p w14:paraId="12749E20"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2.</w:t>
            </w:r>
          </w:p>
        </w:tc>
        <w:tc>
          <w:tcPr>
            <w:tcW w:w="1164" w:type="pct"/>
            <w:tcBorders>
              <w:top w:val="outset" w:sz="6" w:space="0" w:color="414142"/>
              <w:left w:val="outset" w:sz="6" w:space="0" w:color="414142"/>
              <w:bottom w:val="outset" w:sz="6" w:space="0" w:color="414142"/>
              <w:right w:val="outset" w:sz="6" w:space="0" w:color="414142"/>
            </w:tcBorders>
            <w:hideMark/>
          </w:tcPr>
          <w:p w14:paraId="5DBDAE93" w14:textId="237492C4" w:rsidR="008F57EB" w:rsidRDefault="005C334C" w:rsidP="00170401">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1971985D" w14:textId="77777777" w:rsidR="005C334C" w:rsidRPr="008F57EB" w:rsidRDefault="005C334C" w:rsidP="008F57EB">
            <w:pPr>
              <w:ind w:firstLine="720"/>
              <w:rPr>
                <w:rFonts w:ascii="Times New Roman" w:eastAsia="Times New Roman" w:hAnsi="Times New Roman" w:cs="Times New Roman"/>
                <w:sz w:val="24"/>
                <w:szCs w:val="24"/>
                <w:lang w:eastAsia="lv-LV"/>
              </w:rPr>
            </w:pPr>
          </w:p>
        </w:tc>
        <w:tc>
          <w:tcPr>
            <w:tcW w:w="3541" w:type="pct"/>
            <w:tcBorders>
              <w:top w:val="outset" w:sz="6" w:space="0" w:color="414142"/>
              <w:left w:val="outset" w:sz="6" w:space="0" w:color="414142"/>
              <w:bottom w:val="outset" w:sz="6" w:space="0" w:color="414142"/>
              <w:right w:val="outset" w:sz="6" w:space="0" w:color="414142"/>
            </w:tcBorders>
            <w:hideMark/>
          </w:tcPr>
          <w:p w14:paraId="1342D92C" w14:textId="77777777" w:rsidR="006352DF" w:rsidRPr="006352DF" w:rsidRDefault="006352DF" w:rsidP="006352DF">
            <w:pPr>
              <w:autoSpaceDE w:val="0"/>
              <w:autoSpaceDN w:val="0"/>
              <w:adjustRightInd w:val="0"/>
              <w:spacing w:after="0" w:line="240" w:lineRule="auto"/>
              <w:jc w:val="both"/>
              <w:rPr>
                <w:rFonts w:ascii="Times New Roman" w:eastAsiaTheme="minorEastAsia" w:hAnsi="Times New Roman" w:cs="Times New Roman"/>
                <w:bCs/>
                <w:sz w:val="24"/>
                <w:szCs w:val="24"/>
                <w:lang w:eastAsia="en-GB"/>
              </w:rPr>
            </w:pPr>
            <w:r w:rsidRPr="006352DF">
              <w:rPr>
                <w:rFonts w:ascii="Times New Roman" w:eastAsiaTheme="minorEastAsia" w:hAnsi="Times New Roman" w:cs="Times New Roman"/>
                <w:bCs/>
                <w:sz w:val="24"/>
                <w:szCs w:val="24"/>
                <w:lang w:eastAsia="en-GB"/>
              </w:rPr>
              <w:t xml:space="preserve">Latvijas valdība ir noteikusi jauna doktorantūras ietvara izstrādi par vienu no valsts prioritātēm augstākās izglītības jomā. </w:t>
            </w:r>
          </w:p>
          <w:p w14:paraId="06922BEE" w14:textId="0799FD62" w:rsidR="006352DF" w:rsidRPr="006352DF" w:rsidRDefault="006352DF" w:rsidP="006352DF">
            <w:pPr>
              <w:autoSpaceDE w:val="0"/>
              <w:autoSpaceDN w:val="0"/>
              <w:adjustRightInd w:val="0"/>
              <w:spacing w:after="0" w:line="24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2019.gadā Izglītības un zinātnes ministrija</w:t>
            </w:r>
            <w:r w:rsidR="008872F1">
              <w:rPr>
                <w:rFonts w:ascii="Times New Roman" w:eastAsiaTheme="minorEastAsia" w:hAnsi="Times New Roman" w:cs="Times New Roman"/>
                <w:sz w:val="24"/>
                <w:szCs w:val="24"/>
                <w:lang w:eastAsia="en-GB"/>
              </w:rPr>
              <w:t xml:space="preserve"> </w:t>
            </w:r>
            <w:r w:rsidR="00123F56">
              <w:rPr>
                <w:rFonts w:ascii="Times New Roman" w:eastAsiaTheme="minorEastAsia" w:hAnsi="Times New Roman" w:cs="Times New Roman"/>
                <w:sz w:val="24"/>
                <w:szCs w:val="24"/>
                <w:lang w:eastAsia="en-GB"/>
              </w:rPr>
              <w:t>(turpmāk –</w:t>
            </w:r>
            <w:r w:rsidR="008872F1">
              <w:rPr>
                <w:rFonts w:ascii="Times New Roman" w:eastAsiaTheme="minorEastAsia" w:hAnsi="Times New Roman" w:cs="Times New Roman"/>
                <w:sz w:val="24"/>
                <w:szCs w:val="24"/>
                <w:lang w:eastAsia="en-GB"/>
              </w:rPr>
              <w:t>ministrija</w:t>
            </w:r>
            <w:r w:rsidR="00123F56">
              <w:rPr>
                <w:rFonts w:ascii="Times New Roman" w:eastAsiaTheme="minorEastAsia" w:hAnsi="Times New Roman" w:cs="Times New Roman"/>
                <w:sz w:val="24"/>
                <w:szCs w:val="24"/>
                <w:lang w:eastAsia="en-GB"/>
              </w:rPr>
              <w:t>)</w:t>
            </w:r>
            <w:r>
              <w:rPr>
                <w:rFonts w:ascii="Times New Roman" w:eastAsiaTheme="minorEastAsia" w:hAnsi="Times New Roman" w:cs="Times New Roman"/>
                <w:sz w:val="24"/>
                <w:szCs w:val="24"/>
                <w:lang w:eastAsia="en-GB"/>
              </w:rPr>
              <w:t xml:space="preserve"> uzsāka darbu pie k</w:t>
            </w:r>
            <w:r w:rsidRPr="006352DF">
              <w:rPr>
                <w:rFonts w:ascii="Times New Roman" w:eastAsiaTheme="minorEastAsia" w:hAnsi="Times New Roman" w:cs="Times New Roman"/>
                <w:sz w:val="24"/>
                <w:szCs w:val="24"/>
                <w:lang w:eastAsia="en-GB"/>
              </w:rPr>
              <w:t>onceptuāl</w:t>
            </w:r>
            <w:r>
              <w:rPr>
                <w:rFonts w:ascii="Times New Roman" w:eastAsiaTheme="minorEastAsia" w:hAnsi="Times New Roman" w:cs="Times New Roman"/>
                <w:sz w:val="24"/>
                <w:szCs w:val="24"/>
                <w:lang w:eastAsia="en-GB"/>
              </w:rPr>
              <w:t>ā</w:t>
            </w:r>
            <w:r w:rsidRPr="006352DF">
              <w:rPr>
                <w:rFonts w:ascii="Times New Roman" w:eastAsiaTheme="minorEastAsia" w:hAnsi="Times New Roman" w:cs="Times New Roman"/>
                <w:sz w:val="24"/>
                <w:szCs w:val="24"/>
                <w:lang w:eastAsia="en-GB"/>
              </w:rPr>
              <w:t xml:space="preserve"> ziņojum</w:t>
            </w:r>
            <w:r>
              <w:rPr>
                <w:rFonts w:ascii="Times New Roman" w:eastAsiaTheme="minorEastAsia" w:hAnsi="Times New Roman" w:cs="Times New Roman"/>
                <w:sz w:val="24"/>
                <w:szCs w:val="24"/>
                <w:lang w:eastAsia="en-GB"/>
              </w:rPr>
              <w:t>a</w:t>
            </w:r>
            <w:r w:rsidRPr="006352DF">
              <w:rPr>
                <w:rFonts w:ascii="Times New Roman" w:eastAsiaTheme="minorEastAsia" w:hAnsi="Times New Roman" w:cs="Times New Roman"/>
                <w:sz w:val="24"/>
                <w:szCs w:val="24"/>
                <w:lang w:eastAsia="en-GB"/>
              </w:rPr>
              <w:t xml:space="preserve"> “</w:t>
            </w:r>
            <w:r w:rsidR="004A7AC6" w:rsidRPr="004A7AC6">
              <w:rPr>
                <w:rFonts w:ascii="Times New Roman" w:eastAsiaTheme="minorEastAsia" w:hAnsi="Times New Roman" w:cs="Times New Roman"/>
                <w:sz w:val="24"/>
                <w:szCs w:val="24"/>
                <w:lang w:eastAsia="en-GB"/>
              </w:rPr>
              <w:t>Par jauna doktorantūras modeļa ieviešanu Latvijā</w:t>
            </w:r>
            <w:r w:rsidRPr="006352DF">
              <w:rPr>
                <w:rFonts w:ascii="Times New Roman" w:eastAsiaTheme="minorEastAsia" w:hAnsi="Times New Roman" w:cs="Times New Roman"/>
                <w:sz w:val="24"/>
                <w:szCs w:val="24"/>
                <w:lang w:eastAsia="en-GB"/>
              </w:rPr>
              <w:t>”</w:t>
            </w:r>
            <w:r>
              <w:rPr>
                <w:rStyle w:val="FootnoteReference"/>
                <w:rFonts w:ascii="Times New Roman" w:eastAsiaTheme="minorEastAsia" w:hAnsi="Times New Roman" w:cs="Times New Roman"/>
                <w:sz w:val="24"/>
                <w:szCs w:val="24"/>
                <w:lang w:eastAsia="en-GB"/>
              </w:rPr>
              <w:footnoteReference w:id="2"/>
            </w:r>
            <w:r w:rsidRPr="006352DF">
              <w:rPr>
                <w:rFonts w:ascii="Times New Roman" w:eastAsiaTheme="minorEastAsia" w:hAnsi="Times New Roman" w:cs="Times New Roman"/>
                <w:sz w:val="24"/>
                <w:szCs w:val="24"/>
                <w:lang w:eastAsia="en-GB"/>
              </w:rPr>
              <w:t xml:space="preserve"> (turpmāk – konceptuālais ziņojums)</w:t>
            </w:r>
            <w:r>
              <w:rPr>
                <w:rFonts w:ascii="Times New Roman" w:eastAsiaTheme="minorEastAsia" w:hAnsi="Times New Roman" w:cs="Times New Roman"/>
                <w:sz w:val="24"/>
                <w:szCs w:val="24"/>
                <w:lang w:eastAsia="en-GB"/>
              </w:rPr>
              <w:t xml:space="preserve">, kas </w:t>
            </w:r>
            <w:r w:rsidRPr="006352DF">
              <w:rPr>
                <w:rFonts w:ascii="Times New Roman" w:eastAsiaTheme="minorEastAsia" w:hAnsi="Times New Roman" w:cs="Times New Roman"/>
                <w:sz w:val="24"/>
                <w:szCs w:val="24"/>
                <w:lang w:eastAsia="en-GB"/>
              </w:rPr>
              <w:t xml:space="preserve"> sagatavots, izvirzot kritērijus inovatīvai un uz inovācijām orientētai doktorantūrai:</w:t>
            </w:r>
          </w:p>
          <w:p w14:paraId="30ABECC1" w14:textId="416FAE08" w:rsidR="006352DF" w:rsidRPr="006352DF" w:rsidRDefault="006352DF" w:rsidP="006352DF">
            <w:pPr>
              <w:numPr>
                <w:ilvl w:val="0"/>
                <w:numId w:val="11"/>
              </w:numPr>
              <w:autoSpaceDE w:val="0"/>
              <w:autoSpaceDN w:val="0"/>
              <w:adjustRightInd w:val="0"/>
              <w:spacing w:after="0" w:line="240" w:lineRule="auto"/>
              <w:jc w:val="both"/>
              <w:rPr>
                <w:rFonts w:ascii="Times New Roman" w:eastAsiaTheme="minorEastAsia" w:hAnsi="Times New Roman" w:cs="Times New Roman"/>
                <w:sz w:val="24"/>
                <w:szCs w:val="24"/>
                <w:lang w:eastAsia="en-GB"/>
              </w:rPr>
            </w:pPr>
            <w:bookmarkStart w:id="0" w:name="_Hlk22549112"/>
            <w:r w:rsidRPr="006352DF">
              <w:rPr>
                <w:rFonts w:ascii="Times New Roman" w:eastAsiaTheme="minorEastAsia" w:hAnsi="Times New Roman" w:cs="Times New Roman"/>
                <w:sz w:val="24"/>
                <w:szCs w:val="24"/>
                <w:lang w:eastAsia="en-GB"/>
              </w:rPr>
              <w:t>pētniecības izcilība, ņemot vērā Zalcburgas principus</w:t>
            </w:r>
            <w:r w:rsidR="00EB4691">
              <w:rPr>
                <w:rStyle w:val="FootnoteReference"/>
                <w:rFonts w:ascii="Times New Roman" w:eastAsiaTheme="minorEastAsia" w:hAnsi="Times New Roman" w:cs="Times New Roman"/>
                <w:sz w:val="24"/>
                <w:szCs w:val="24"/>
                <w:lang w:eastAsia="en-GB"/>
              </w:rPr>
              <w:footnoteReference w:id="3"/>
            </w:r>
            <w:r w:rsidRPr="006352DF">
              <w:rPr>
                <w:rFonts w:ascii="Times New Roman" w:eastAsiaTheme="minorEastAsia" w:hAnsi="Times New Roman" w:cs="Times New Roman"/>
                <w:sz w:val="24"/>
                <w:szCs w:val="24"/>
                <w:lang w:eastAsia="en-GB"/>
              </w:rPr>
              <w:t>, piemēram, doktorantūras administratīvā kvalitāte, iesaistītais akadēmiskais personāls, oriģināls un kvalitatīvs zinātniskais pētījums, atbilstošas recenzēšanas procedūras;</w:t>
            </w:r>
            <w:bookmarkEnd w:id="0"/>
          </w:p>
          <w:p w14:paraId="4EA670CB" w14:textId="77777777" w:rsidR="006352DF" w:rsidRPr="006352DF" w:rsidRDefault="006352DF" w:rsidP="006352DF">
            <w:pPr>
              <w:numPr>
                <w:ilvl w:val="0"/>
                <w:numId w:val="11"/>
              </w:numPr>
              <w:autoSpaceDE w:val="0"/>
              <w:autoSpaceDN w:val="0"/>
              <w:adjustRightInd w:val="0"/>
              <w:spacing w:after="0" w:line="240" w:lineRule="auto"/>
              <w:jc w:val="both"/>
              <w:rPr>
                <w:rFonts w:ascii="Times New Roman" w:eastAsiaTheme="minorEastAsia" w:hAnsi="Times New Roman" w:cs="Times New Roman"/>
                <w:sz w:val="24"/>
                <w:szCs w:val="24"/>
                <w:lang w:eastAsia="en-GB"/>
              </w:rPr>
            </w:pPr>
            <w:r w:rsidRPr="006352DF">
              <w:rPr>
                <w:rFonts w:ascii="Times New Roman" w:eastAsiaTheme="minorEastAsia" w:hAnsi="Times New Roman" w:cs="Times New Roman"/>
                <w:sz w:val="24"/>
                <w:szCs w:val="24"/>
                <w:lang w:eastAsia="en-GB"/>
              </w:rPr>
              <w:t>pievilcīga institucionālā vide, kas ietver arī darba apstākļus un karjeras izaugsmes iespējas saskaņā ar Eiropas pētnieku hartu un Uzvedības kodeksu pētnieka pieņemšanai darbā</w:t>
            </w:r>
            <w:r w:rsidRPr="006352DF">
              <w:rPr>
                <w:rFonts w:ascii="Times New Roman" w:eastAsiaTheme="minorEastAsia" w:hAnsi="Times New Roman" w:cs="Times New Roman"/>
                <w:sz w:val="24"/>
                <w:szCs w:val="24"/>
                <w:vertAlign w:val="superscript"/>
                <w:lang w:eastAsia="en-GB"/>
              </w:rPr>
              <w:footnoteReference w:id="4"/>
            </w:r>
            <w:r w:rsidRPr="006352DF">
              <w:rPr>
                <w:rFonts w:ascii="Times New Roman" w:eastAsiaTheme="minorEastAsia" w:hAnsi="Times New Roman" w:cs="Times New Roman"/>
                <w:sz w:val="24"/>
                <w:szCs w:val="24"/>
                <w:lang w:eastAsia="en-GB"/>
              </w:rPr>
              <w:t>;</w:t>
            </w:r>
          </w:p>
          <w:p w14:paraId="6241FCED" w14:textId="77777777" w:rsidR="006352DF" w:rsidRPr="006352DF" w:rsidRDefault="006352DF" w:rsidP="006352DF">
            <w:pPr>
              <w:numPr>
                <w:ilvl w:val="0"/>
                <w:numId w:val="11"/>
              </w:numPr>
              <w:autoSpaceDE w:val="0"/>
              <w:autoSpaceDN w:val="0"/>
              <w:adjustRightInd w:val="0"/>
              <w:spacing w:after="0" w:line="240" w:lineRule="auto"/>
              <w:jc w:val="both"/>
              <w:rPr>
                <w:rFonts w:ascii="Times New Roman" w:eastAsiaTheme="minorEastAsia" w:hAnsi="Times New Roman" w:cs="Times New Roman"/>
                <w:sz w:val="24"/>
                <w:szCs w:val="24"/>
                <w:lang w:eastAsia="en-GB"/>
              </w:rPr>
            </w:pPr>
            <w:r w:rsidRPr="006352DF">
              <w:rPr>
                <w:rFonts w:ascii="Times New Roman" w:eastAsiaTheme="minorEastAsia" w:hAnsi="Times New Roman" w:cs="Times New Roman"/>
                <w:sz w:val="24"/>
                <w:szCs w:val="24"/>
                <w:lang w:eastAsia="en-GB"/>
              </w:rPr>
              <w:t xml:space="preserve">iespēja veikt starpnozaru zinātniskos pētījumus, nodrošinot, ka doktorantūra balstās atvērtā zinātniskās darbības vidē un kultūrā; </w:t>
            </w:r>
          </w:p>
          <w:p w14:paraId="1891007E" w14:textId="77777777" w:rsidR="006352DF" w:rsidRPr="006352DF" w:rsidRDefault="006352DF" w:rsidP="006352DF">
            <w:pPr>
              <w:numPr>
                <w:ilvl w:val="0"/>
                <w:numId w:val="11"/>
              </w:numPr>
              <w:autoSpaceDE w:val="0"/>
              <w:autoSpaceDN w:val="0"/>
              <w:adjustRightInd w:val="0"/>
              <w:spacing w:after="0" w:line="240" w:lineRule="auto"/>
              <w:jc w:val="both"/>
              <w:rPr>
                <w:rFonts w:ascii="Times New Roman" w:eastAsiaTheme="minorEastAsia" w:hAnsi="Times New Roman" w:cs="Times New Roman"/>
                <w:sz w:val="24"/>
                <w:szCs w:val="24"/>
                <w:lang w:eastAsia="en-GB"/>
              </w:rPr>
            </w:pPr>
            <w:r w:rsidRPr="006352DF">
              <w:rPr>
                <w:rFonts w:ascii="Times New Roman" w:eastAsiaTheme="minorEastAsia" w:hAnsi="Times New Roman" w:cs="Times New Roman"/>
                <w:sz w:val="24"/>
                <w:szCs w:val="24"/>
                <w:lang w:eastAsia="en-GB"/>
              </w:rPr>
              <w:t>pētījumu ietekme uz tautsaimniecības nozarēm un citiem ar nodarbinātību saistītiem sektoriem;</w:t>
            </w:r>
          </w:p>
          <w:p w14:paraId="0DCCA6F0" w14:textId="77777777" w:rsidR="006352DF" w:rsidRPr="006352DF" w:rsidRDefault="006352DF" w:rsidP="006352DF">
            <w:pPr>
              <w:numPr>
                <w:ilvl w:val="0"/>
                <w:numId w:val="1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6352DF">
              <w:rPr>
                <w:rFonts w:ascii="Times New Roman" w:eastAsiaTheme="minorEastAsia" w:hAnsi="Times New Roman" w:cs="Times New Roman"/>
                <w:sz w:val="24"/>
                <w:szCs w:val="24"/>
                <w:lang w:eastAsia="en-GB"/>
              </w:rPr>
              <w:t xml:space="preserve">starptautiskā sadarbība, t. sk. kopīgi zinātniskie pētījumi, </w:t>
            </w:r>
            <w:r w:rsidRPr="006352DF">
              <w:rPr>
                <w:rFonts w:ascii="Times New Roman" w:eastAsiaTheme="minorEastAsia" w:hAnsi="Times New Roman" w:cs="Times New Roman"/>
                <w:sz w:val="24"/>
                <w:szCs w:val="24"/>
                <w:lang w:eastAsia="en-GB"/>
              </w:rPr>
              <w:lastRenderedPageBreak/>
              <w:t>kopīgi vadīti promocijas darbi (</w:t>
            </w:r>
            <w:r w:rsidRPr="006352DF">
              <w:rPr>
                <w:rFonts w:ascii="Times New Roman" w:eastAsiaTheme="minorEastAsia" w:hAnsi="Times New Roman" w:cs="Times New Roman"/>
                <w:i/>
                <w:sz w:val="24"/>
                <w:szCs w:val="24"/>
                <w:lang w:eastAsia="en-GB"/>
              </w:rPr>
              <w:t>co-tutelle</w:t>
            </w:r>
            <w:r w:rsidRPr="006352DF">
              <w:rPr>
                <w:rFonts w:ascii="Times New Roman" w:eastAsiaTheme="minorEastAsia" w:hAnsi="Times New Roman" w:cs="Times New Roman"/>
                <w:sz w:val="24"/>
                <w:szCs w:val="24"/>
                <w:lang w:eastAsia="en-GB"/>
              </w:rPr>
              <w:t>), divu augstskolu grāds un kopīgais grāds,</w:t>
            </w:r>
            <w:r w:rsidRPr="006352DF">
              <w:rPr>
                <w:rFonts w:ascii="Times New Roman" w:eastAsiaTheme="minorEastAsia" w:hAnsi="Times New Roman" w:cs="Times New Roman"/>
                <w:sz w:val="24"/>
                <w:szCs w:val="24"/>
                <w:vertAlign w:val="superscript"/>
                <w:lang w:eastAsia="en-GB"/>
              </w:rPr>
              <w:footnoteReference w:id="5"/>
            </w:r>
            <w:r w:rsidRPr="006352DF">
              <w:rPr>
                <w:rFonts w:ascii="Times New Roman" w:eastAsiaTheme="minorEastAsia" w:hAnsi="Times New Roman" w:cs="Times New Roman"/>
                <w:sz w:val="24"/>
                <w:szCs w:val="24"/>
                <w:lang w:eastAsia="en-GB"/>
              </w:rPr>
              <w:t xml:space="preserve"> mobilitāte ar mērķi pētīt vai studēt;</w:t>
            </w:r>
          </w:p>
          <w:p w14:paraId="7F2CEB66" w14:textId="77777777" w:rsidR="006352DF" w:rsidRPr="006352DF" w:rsidRDefault="006352DF" w:rsidP="006352DF">
            <w:pPr>
              <w:numPr>
                <w:ilvl w:val="0"/>
                <w:numId w:val="1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6352DF">
              <w:rPr>
                <w:rFonts w:ascii="Times New Roman" w:eastAsiaTheme="minorEastAsia" w:hAnsi="Times New Roman" w:cs="Times New Roman"/>
                <w:sz w:val="24"/>
                <w:szCs w:val="24"/>
                <w:shd w:val="clear" w:color="auto" w:fill="FFFFFF"/>
                <w:lang w:eastAsia="en-GB"/>
              </w:rPr>
              <w:t>plaši izmantojamo prasmju studiju kursi;</w:t>
            </w:r>
          </w:p>
          <w:p w14:paraId="794F9A51" w14:textId="77777777" w:rsidR="006352DF" w:rsidRPr="006352DF" w:rsidRDefault="006352DF" w:rsidP="006352DF">
            <w:pPr>
              <w:numPr>
                <w:ilvl w:val="0"/>
                <w:numId w:val="1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6352DF">
              <w:rPr>
                <w:rFonts w:ascii="Times New Roman" w:eastAsiaTheme="minorEastAsia" w:hAnsi="Times New Roman" w:cs="Times New Roman"/>
                <w:sz w:val="24"/>
                <w:szCs w:val="24"/>
                <w:shd w:val="clear" w:color="auto" w:fill="FFFFFF"/>
                <w:lang w:eastAsia="en-GB"/>
              </w:rPr>
              <w:t>kvalitātes nodrošināšana uzņemšanai doktorantūrā un promocijas darbu vadībā.</w:t>
            </w:r>
            <w:r w:rsidRPr="006352DF">
              <w:rPr>
                <w:rFonts w:ascii="Times New Roman" w:eastAsiaTheme="minorEastAsia" w:hAnsi="Times New Roman" w:cs="Times New Roman"/>
                <w:sz w:val="24"/>
                <w:szCs w:val="24"/>
                <w:shd w:val="clear" w:color="auto" w:fill="FFFFFF"/>
                <w:vertAlign w:val="superscript"/>
                <w:lang w:eastAsia="en-GB"/>
              </w:rPr>
              <w:footnoteReference w:id="6"/>
            </w:r>
            <w:r w:rsidRPr="006352DF">
              <w:rPr>
                <w:rFonts w:ascii="Times New Roman" w:eastAsiaTheme="minorEastAsia" w:hAnsi="Times New Roman" w:cs="Times New Roman"/>
                <w:sz w:val="24"/>
                <w:szCs w:val="24"/>
                <w:shd w:val="clear" w:color="auto" w:fill="FFFFFF"/>
                <w:lang w:eastAsia="en-GB"/>
              </w:rPr>
              <w:t xml:space="preserve">  </w:t>
            </w:r>
          </w:p>
          <w:p w14:paraId="7DE015C6" w14:textId="1B606C81" w:rsidR="006352DF" w:rsidRPr="006352DF" w:rsidRDefault="006352DF" w:rsidP="006352DF">
            <w:pPr>
              <w:autoSpaceDE w:val="0"/>
              <w:autoSpaceDN w:val="0"/>
              <w:adjustRightInd w:val="0"/>
              <w:spacing w:after="0" w:line="240" w:lineRule="auto"/>
              <w:jc w:val="both"/>
              <w:rPr>
                <w:rFonts w:ascii="Times New Roman" w:eastAsiaTheme="minorEastAsia" w:hAnsi="Times New Roman" w:cs="Times New Roman"/>
                <w:bCs/>
                <w:sz w:val="24"/>
                <w:szCs w:val="24"/>
                <w:lang w:eastAsia="en-GB"/>
              </w:rPr>
            </w:pPr>
            <w:r w:rsidRPr="006352DF">
              <w:rPr>
                <w:rFonts w:ascii="Times New Roman" w:eastAsiaTheme="minorEastAsia" w:hAnsi="Times New Roman" w:cs="Times New Roman"/>
                <w:bCs/>
                <w:sz w:val="24"/>
                <w:szCs w:val="24"/>
                <w:lang w:eastAsia="en-GB"/>
              </w:rPr>
              <w:t>Balstoties minētajos kritērijos, konceptuāla</w:t>
            </w:r>
            <w:r w:rsidR="008872F1">
              <w:rPr>
                <w:rFonts w:ascii="Times New Roman" w:eastAsiaTheme="minorEastAsia" w:hAnsi="Times New Roman" w:cs="Times New Roman"/>
                <w:bCs/>
                <w:sz w:val="24"/>
                <w:szCs w:val="24"/>
                <w:lang w:eastAsia="en-GB"/>
              </w:rPr>
              <w:t>jā</w:t>
            </w:r>
            <w:r w:rsidRPr="006352DF">
              <w:rPr>
                <w:rFonts w:ascii="Times New Roman" w:eastAsiaTheme="minorEastAsia" w:hAnsi="Times New Roman" w:cs="Times New Roman"/>
                <w:bCs/>
                <w:sz w:val="24"/>
                <w:szCs w:val="24"/>
                <w:lang w:eastAsia="en-GB"/>
              </w:rPr>
              <w:t xml:space="preserve"> ziņojum</w:t>
            </w:r>
            <w:r w:rsidR="008872F1">
              <w:rPr>
                <w:rFonts w:ascii="Times New Roman" w:eastAsiaTheme="minorEastAsia" w:hAnsi="Times New Roman" w:cs="Times New Roman"/>
                <w:bCs/>
                <w:sz w:val="24"/>
                <w:szCs w:val="24"/>
                <w:lang w:eastAsia="en-GB"/>
              </w:rPr>
              <w:t>ā</w:t>
            </w:r>
            <w:r w:rsidRPr="006352DF">
              <w:rPr>
                <w:rFonts w:ascii="Times New Roman" w:eastAsiaTheme="minorEastAsia" w:hAnsi="Times New Roman" w:cs="Times New Roman"/>
                <w:bCs/>
                <w:sz w:val="24"/>
                <w:szCs w:val="24"/>
                <w:lang w:eastAsia="en-GB"/>
              </w:rPr>
              <w:t xml:space="preserve"> izvirz</w:t>
            </w:r>
            <w:r w:rsidR="008872F1">
              <w:rPr>
                <w:rFonts w:ascii="Times New Roman" w:eastAsiaTheme="minorEastAsia" w:hAnsi="Times New Roman" w:cs="Times New Roman"/>
                <w:bCs/>
                <w:sz w:val="24"/>
                <w:szCs w:val="24"/>
                <w:lang w:eastAsia="en-GB"/>
              </w:rPr>
              <w:t>īti</w:t>
            </w:r>
            <w:r w:rsidRPr="006352DF">
              <w:rPr>
                <w:rFonts w:ascii="Times New Roman" w:eastAsiaTheme="minorEastAsia" w:hAnsi="Times New Roman" w:cs="Times New Roman"/>
                <w:bCs/>
                <w:sz w:val="24"/>
                <w:szCs w:val="24"/>
                <w:lang w:eastAsia="en-GB"/>
              </w:rPr>
              <w:t xml:space="preserve"> priekšlikum</w:t>
            </w:r>
            <w:r w:rsidR="008872F1">
              <w:rPr>
                <w:rFonts w:ascii="Times New Roman" w:eastAsiaTheme="minorEastAsia" w:hAnsi="Times New Roman" w:cs="Times New Roman"/>
                <w:bCs/>
                <w:sz w:val="24"/>
                <w:szCs w:val="24"/>
                <w:lang w:eastAsia="en-GB"/>
              </w:rPr>
              <w:t>i</w:t>
            </w:r>
            <w:r w:rsidRPr="006352DF">
              <w:rPr>
                <w:rFonts w:ascii="Times New Roman" w:eastAsiaTheme="minorEastAsia" w:hAnsi="Times New Roman" w:cs="Times New Roman"/>
                <w:bCs/>
                <w:sz w:val="24"/>
                <w:szCs w:val="24"/>
                <w:lang w:eastAsia="en-GB"/>
              </w:rPr>
              <w:t xml:space="preserve"> jaunam, uz inovācijām orientētam doktorantūras ietvaram un tā ieviešanai.</w:t>
            </w:r>
          </w:p>
          <w:p w14:paraId="18B052FB" w14:textId="3B1EBDE2" w:rsidR="006352DF" w:rsidRPr="006352DF" w:rsidRDefault="006352DF" w:rsidP="006352DF">
            <w:pPr>
              <w:spacing w:after="0" w:line="240" w:lineRule="auto"/>
              <w:jc w:val="both"/>
              <w:rPr>
                <w:rFonts w:ascii="Times New Roman" w:eastAsiaTheme="minorEastAsia" w:hAnsi="Times New Roman" w:cs="Times New Roman"/>
                <w:sz w:val="24"/>
                <w:szCs w:val="24"/>
                <w:lang w:eastAsia="en-GB"/>
              </w:rPr>
            </w:pPr>
            <w:r w:rsidRPr="006352DF">
              <w:rPr>
                <w:rFonts w:ascii="Times New Roman" w:eastAsiaTheme="minorEastAsia" w:hAnsi="Times New Roman" w:cs="Times New Roman"/>
                <w:sz w:val="24"/>
                <w:szCs w:val="24"/>
                <w:lang w:eastAsia="en-GB"/>
              </w:rPr>
              <w:t xml:space="preserve">Priekšlikumi </w:t>
            </w:r>
            <w:r w:rsidR="005434F9">
              <w:rPr>
                <w:rFonts w:ascii="Times New Roman" w:eastAsiaTheme="minorEastAsia" w:hAnsi="Times New Roman" w:cs="Times New Roman"/>
                <w:sz w:val="24"/>
                <w:szCs w:val="24"/>
                <w:lang w:eastAsia="en-GB"/>
              </w:rPr>
              <w:t>ietver</w:t>
            </w:r>
            <w:r w:rsidR="005434F9" w:rsidRPr="006352DF">
              <w:rPr>
                <w:rFonts w:ascii="Times New Roman" w:eastAsiaTheme="minorEastAsia" w:hAnsi="Times New Roman" w:cs="Times New Roman"/>
                <w:sz w:val="24"/>
                <w:szCs w:val="24"/>
                <w:lang w:eastAsia="en-GB"/>
              </w:rPr>
              <w:t xml:space="preserve"> </w:t>
            </w:r>
            <w:r w:rsidRPr="006352DF">
              <w:rPr>
                <w:rFonts w:ascii="Times New Roman" w:eastAsiaTheme="minorEastAsia" w:hAnsi="Times New Roman" w:cs="Times New Roman"/>
                <w:sz w:val="24"/>
                <w:szCs w:val="24"/>
                <w:lang w:eastAsia="en-GB"/>
              </w:rPr>
              <w:t xml:space="preserve">prasības: </w:t>
            </w:r>
          </w:p>
          <w:p w14:paraId="3F6C1903" w14:textId="709D4CB1" w:rsidR="006352DF" w:rsidRPr="006352DF" w:rsidRDefault="006352DF" w:rsidP="006352DF">
            <w:pPr>
              <w:numPr>
                <w:ilvl w:val="0"/>
                <w:numId w:val="10"/>
              </w:numPr>
              <w:spacing w:after="0" w:line="240" w:lineRule="auto"/>
              <w:jc w:val="both"/>
              <w:rPr>
                <w:rFonts w:ascii="Times New Roman" w:eastAsiaTheme="minorEastAsia" w:hAnsi="Times New Roman" w:cs="Times New Roman"/>
                <w:sz w:val="24"/>
                <w:szCs w:val="24"/>
                <w:lang w:eastAsia="en-GB"/>
              </w:rPr>
            </w:pPr>
            <w:r w:rsidRPr="006352DF">
              <w:rPr>
                <w:rFonts w:ascii="Times New Roman" w:eastAsiaTheme="minorEastAsia" w:hAnsi="Times New Roman" w:cs="Times New Roman"/>
                <w:sz w:val="24"/>
                <w:szCs w:val="24"/>
                <w:lang w:eastAsia="en-GB"/>
              </w:rPr>
              <w:t xml:space="preserve">augstskolām, lai iegūtu tiesības īstenot </w:t>
            </w:r>
            <w:r w:rsidR="005434F9">
              <w:rPr>
                <w:rFonts w:ascii="Times New Roman" w:eastAsiaTheme="minorEastAsia" w:hAnsi="Times New Roman" w:cs="Times New Roman"/>
                <w:sz w:val="24"/>
                <w:szCs w:val="24"/>
                <w:lang w:eastAsia="en-GB"/>
              </w:rPr>
              <w:t xml:space="preserve">doktora </w:t>
            </w:r>
            <w:r w:rsidR="007E6EDB">
              <w:rPr>
                <w:rFonts w:ascii="Times New Roman" w:eastAsiaTheme="minorEastAsia" w:hAnsi="Times New Roman" w:cs="Times New Roman"/>
                <w:sz w:val="24"/>
                <w:szCs w:val="24"/>
                <w:lang w:eastAsia="en-GB"/>
              </w:rPr>
              <w:t xml:space="preserve">studiju programmu (turpmāk – </w:t>
            </w:r>
            <w:r w:rsidRPr="006352DF">
              <w:rPr>
                <w:rFonts w:ascii="Times New Roman" w:eastAsiaTheme="minorEastAsia" w:hAnsi="Times New Roman" w:cs="Times New Roman"/>
                <w:sz w:val="24"/>
                <w:szCs w:val="24"/>
                <w:lang w:eastAsia="en-GB"/>
              </w:rPr>
              <w:t>DSP</w:t>
            </w:r>
            <w:r w:rsidR="007E6EDB">
              <w:rPr>
                <w:rFonts w:ascii="Times New Roman" w:eastAsiaTheme="minorEastAsia" w:hAnsi="Times New Roman" w:cs="Times New Roman"/>
                <w:sz w:val="24"/>
                <w:szCs w:val="24"/>
                <w:lang w:eastAsia="en-GB"/>
              </w:rPr>
              <w:t>)</w:t>
            </w:r>
            <w:r w:rsidRPr="006352DF">
              <w:rPr>
                <w:rFonts w:ascii="Times New Roman" w:eastAsiaTheme="minorEastAsia" w:hAnsi="Times New Roman" w:cs="Times New Roman"/>
                <w:sz w:val="24"/>
                <w:szCs w:val="24"/>
                <w:lang w:eastAsia="en-GB"/>
              </w:rPr>
              <w:t xml:space="preserve">; </w:t>
            </w:r>
          </w:p>
          <w:p w14:paraId="310859EA" w14:textId="77777777" w:rsidR="006352DF" w:rsidRPr="006352DF" w:rsidRDefault="006352DF" w:rsidP="006352DF">
            <w:pPr>
              <w:numPr>
                <w:ilvl w:val="0"/>
                <w:numId w:val="10"/>
              </w:numPr>
              <w:spacing w:after="0" w:line="240" w:lineRule="auto"/>
              <w:jc w:val="both"/>
              <w:rPr>
                <w:rFonts w:ascii="Times New Roman" w:eastAsiaTheme="minorEastAsia" w:hAnsi="Times New Roman" w:cs="Times New Roman"/>
                <w:sz w:val="24"/>
                <w:szCs w:val="24"/>
                <w:lang w:eastAsia="en-GB"/>
              </w:rPr>
            </w:pPr>
            <w:r w:rsidRPr="006352DF">
              <w:rPr>
                <w:rFonts w:ascii="Times New Roman" w:eastAsiaTheme="minorEastAsia" w:hAnsi="Times New Roman" w:cs="Times New Roman"/>
                <w:sz w:val="24"/>
                <w:szCs w:val="24"/>
                <w:lang w:eastAsia="en-GB"/>
              </w:rPr>
              <w:t xml:space="preserve">jaunas DSP licencēšanai un akreditācijai; </w:t>
            </w:r>
          </w:p>
          <w:p w14:paraId="286E26F9" w14:textId="77777777" w:rsidR="006352DF" w:rsidRPr="006352DF" w:rsidRDefault="006352DF" w:rsidP="006352DF">
            <w:pPr>
              <w:numPr>
                <w:ilvl w:val="0"/>
                <w:numId w:val="10"/>
              </w:numPr>
              <w:spacing w:after="0" w:line="240" w:lineRule="auto"/>
              <w:jc w:val="both"/>
              <w:rPr>
                <w:rFonts w:ascii="Times New Roman" w:eastAsiaTheme="minorEastAsia" w:hAnsi="Times New Roman" w:cs="Times New Roman"/>
                <w:sz w:val="24"/>
                <w:szCs w:val="24"/>
                <w:lang w:eastAsia="en-GB"/>
              </w:rPr>
            </w:pPr>
            <w:r w:rsidRPr="006352DF">
              <w:rPr>
                <w:rFonts w:ascii="Times New Roman" w:eastAsiaTheme="minorEastAsia" w:hAnsi="Times New Roman" w:cs="Times New Roman"/>
                <w:sz w:val="24"/>
                <w:szCs w:val="24"/>
                <w:lang w:eastAsia="en-GB"/>
              </w:rPr>
              <w:t xml:space="preserve">doktorantūras skolu izveidei, ņemot vērā Eiropas un citu valstu pieredzi; </w:t>
            </w:r>
          </w:p>
          <w:p w14:paraId="24D9E471" w14:textId="77777777" w:rsidR="006352DF" w:rsidRPr="006352DF" w:rsidRDefault="006352DF" w:rsidP="006352DF">
            <w:pPr>
              <w:numPr>
                <w:ilvl w:val="0"/>
                <w:numId w:val="10"/>
              </w:numPr>
              <w:spacing w:after="0" w:line="240" w:lineRule="auto"/>
              <w:jc w:val="both"/>
              <w:rPr>
                <w:rFonts w:ascii="Times New Roman" w:eastAsiaTheme="minorEastAsia" w:hAnsi="Times New Roman" w:cs="Times New Roman"/>
                <w:sz w:val="24"/>
                <w:szCs w:val="24"/>
                <w:lang w:eastAsia="en-GB"/>
              </w:rPr>
            </w:pPr>
            <w:r w:rsidRPr="006352DF">
              <w:rPr>
                <w:rFonts w:ascii="Times New Roman" w:eastAsiaTheme="minorEastAsia" w:hAnsi="Times New Roman" w:cs="Times New Roman"/>
                <w:sz w:val="24"/>
                <w:szCs w:val="24"/>
                <w:lang w:eastAsia="en-GB"/>
              </w:rPr>
              <w:t xml:space="preserve">DSP atbilstībai Zalcburgas principiem (uzņemšana, programmas saturs); </w:t>
            </w:r>
          </w:p>
          <w:p w14:paraId="561D8F8D" w14:textId="77777777" w:rsidR="006352DF" w:rsidRPr="006352DF" w:rsidRDefault="006352DF" w:rsidP="006352DF">
            <w:pPr>
              <w:numPr>
                <w:ilvl w:val="0"/>
                <w:numId w:val="10"/>
              </w:numPr>
              <w:spacing w:after="0" w:line="240" w:lineRule="auto"/>
              <w:jc w:val="both"/>
              <w:rPr>
                <w:rFonts w:ascii="Times New Roman" w:eastAsiaTheme="minorEastAsia" w:hAnsi="Times New Roman" w:cs="Times New Roman"/>
                <w:sz w:val="24"/>
                <w:szCs w:val="24"/>
                <w:lang w:eastAsia="en-GB"/>
              </w:rPr>
            </w:pPr>
            <w:r w:rsidRPr="006352DF">
              <w:rPr>
                <w:rFonts w:ascii="Times New Roman" w:eastAsiaTheme="minorEastAsia" w:hAnsi="Times New Roman" w:cs="Times New Roman"/>
                <w:sz w:val="24"/>
                <w:szCs w:val="24"/>
                <w:lang w:eastAsia="en-GB"/>
              </w:rPr>
              <w:t>DSP kvalitātes iekšējai novērtēšanai;</w:t>
            </w:r>
          </w:p>
          <w:p w14:paraId="4718FF85" w14:textId="77777777" w:rsidR="006352DF" w:rsidRPr="006352DF" w:rsidRDefault="006352DF" w:rsidP="006352DF">
            <w:pPr>
              <w:numPr>
                <w:ilvl w:val="0"/>
                <w:numId w:val="10"/>
              </w:numPr>
              <w:spacing w:after="0" w:line="240" w:lineRule="auto"/>
              <w:jc w:val="both"/>
              <w:rPr>
                <w:rFonts w:ascii="Times New Roman" w:eastAsiaTheme="minorEastAsia" w:hAnsi="Times New Roman" w:cs="Times New Roman"/>
                <w:sz w:val="24"/>
                <w:szCs w:val="24"/>
                <w:lang w:eastAsia="en-GB"/>
              </w:rPr>
            </w:pPr>
            <w:r w:rsidRPr="006352DF">
              <w:rPr>
                <w:rFonts w:ascii="Times New Roman" w:eastAsiaTheme="minorEastAsia" w:hAnsi="Times New Roman" w:cs="Times New Roman"/>
                <w:sz w:val="24"/>
                <w:szCs w:val="24"/>
                <w:lang w:eastAsia="en-GB"/>
              </w:rPr>
              <w:t xml:space="preserve">DSP akadēmiskajam personālam, promocijas darba vadītājiem un recenzentiem; </w:t>
            </w:r>
          </w:p>
          <w:p w14:paraId="250F6F5A" w14:textId="77777777" w:rsidR="006352DF" w:rsidRPr="006352DF" w:rsidRDefault="006352DF" w:rsidP="006352DF">
            <w:pPr>
              <w:numPr>
                <w:ilvl w:val="0"/>
                <w:numId w:val="10"/>
              </w:numPr>
              <w:spacing w:after="0" w:line="240" w:lineRule="auto"/>
              <w:jc w:val="both"/>
              <w:rPr>
                <w:rFonts w:ascii="Times New Roman" w:eastAsiaTheme="minorEastAsia" w:hAnsi="Times New Roman" w:cs="Times New Roman"/>
                <w:sz w:val="24"/>
                <w:szCs w:val="24"/>
                <w:lang w:eastAsia="en-GB"/>
              </w:rPr>
            </w:pPr>
            <w:r w:rsidRPr="006352DF">
              <w:rPr>
                <w:rFonts w:ascii="Times New Roman" w:eastAsiaTheme="minorEastAsia" w:hAnsi="Times New Roman" w:cs="Times New Roman"/>
                <w:sz w:val="24"/>
                <w:szCs w:val="24"/>
                <w:lang w:eastAsia="en-GB"/>
              </w:rPr>
              <w:t xml:space="preserve">jaunam promocijas procesam; </w:t>
            </w:r>
          </w:p>
          <w:p w14:paraId="5C2FA7F6" w14:textId="77777777" w:rsidR="006352DF" w:rsidRPr="006352DF" w:rsidRDefault="006352DF" w:rsidP="006352DF">
            <w:pPr>
              <w:numPr>
                <w:ilvl w:val="0"/>
                <w:numId w:val="10"/>
              </w:numPr>
              <w:spacing w:after="0" w:line="240" w:lineRule="auto"/>
              <w:jc w:val="both"/>
              <w:rPr>
                <w:rFonts w:ascii="Times New Roman" w:eastAsiaTheme="minorEastAsia" w:hAnsi="Times New Roman" w:cs="Times New Roman"/>
                <w:sz w:val="24"/>
                <w:szCs w:val="24"/>
                <w:lang w:eastAsia="en-GB"/>
              </w:rPr>
            </w:pPr>
            <w:r w:rsidRPr="006352DF">
              <w:rPr>
                <w:rFonts w:ascii="Times New Roman" w:eastAsiaTheme="minorEastAsia" w:hAnsi="Times New Roman" w:cs="Times New Roman"/>
                <w:sz w:val="24"/>
                <w:szCs w:val="24"/>
                <w:lang w:eastAsia="en-GB"/>
              </w:rPr>
              <w:t xml:space="preserve">par akadēmiskās ētikas ievērošanu doktorantūras kontekstā; </w:t>
            </w:r>
          </w:p>
          <w:p w14:paraId="2B4B6129" w14:textId="77777777" w:rsidR="006352DF" w:rsidRPr="006352DF" w:rsidRDefault="006352DF" w:rsidP="006352DF">
            <w:pPr>
              <w:numPr>
                <w:ilvl w:val="0"/>
                <w:numId w:val="10"/>
              </w:numPr>
              <w:spacing w:after="0" w:line="240" w:lineRule="auto"/>
              <w:jc w:val="both"/>
              <w:rPr>
                <w:rFonts w:ascii="Times New Roman" w:eastAsiaTheme="minorEastAsia" w:hAnsi="Times New Roman" w:cs="Times New Roman"/>
                <w:sz w:val="24"/>
                <w:szCs w:val="24"/>
                <w:lang w:eastAsia="en-GB"/>
              </w:rPr>
            </w:pPr>
            <w:r w:rsidRPr="006352DF">
              <w:rPr>
                <w:rFonts w:ascii="Times New Roman" w:eastAsiaTheme="minorEastAsia" w:hAnsi="Times New Roman" w:cs="Times New Roman"/>
                <w:sz w:val="24"/>
                <w:szCs w:val="24"/>
                <w:lang w:eastAsia="en-GB"/>
              </w:rPr>
              <w:t xml:space="preserve">DSP finansēšanai, tostarp, kas attiecas uz doktorantu atalgojumu; </w:t>
            </w:r>
          </w:p>
          <w:p w14:paraId="05DB1EBD" w14:textId="77777777" w:rsidR="006352DF" w:rsidRPr="006352DF" w:rsidRDefault="006352DF" w:rsidP="006352DF">
            <w:pPr>
              <w:numPr>
                <w:ilvl w:val="0"/>
                <w:numId w:val="10"/>
              </w:numPr>
              <w:spacing w:after="0" w:line="240" w:lineRule="auto"/>
              <w:jc w:val="both"/>
              <w:rPr>
                <w:rFonts w:ascii="Times New Roman" w:eastAsiaTheme="minorEastAsia" w:hAnsi="Times New Roman" w:cs="Times New Roman"/>
                <w:sz w:val="24"/>
                <w:szCs w:val="24"/>
                <w:lang w:eastAsia="en-GB"/>
              </w:rPr>
            </w:pPr>
            <w:r w:rsidRPr="006352DF">
              <w:rPr>
                <w:rFonts w:ascii="Times New Roman" w:eastAsiaTheme="minorEastAsia" w:hAnsi="Times New Roman" w:cs="Times New Roman"/>
                <w:sz w:val="24"/>
                <w:szCs w:val="24"/>
                <w:lang w:eastAsia="en-GB"/>
              </w:rPr>
              <w:t>pēcdoktorantūrai.</w:t>
            </w:r>
          </w:p>
          <w:p w14:paraId="4236FF05" w14:textId="5D9427F9" w:rsidR="006352DF" w:rsidRDefault="006352DF" w:rsidP="006352DF">
            <w:pPr>
              <w:spacing w:after="0" w:line="240" w:lineRule="auto"/>
              <w:jc w:val="both"/>
              <w:rPr>
                <w:rFonts w:ascii="Times New Roman" w:eastAsiaTheme="minorEastAsia" w:hAnsi="Times New Roman" w:cs="Times New Roman"/>
                <w:sz w:val="24"/>
                <w:szCs w:val="24"/>
                <w:lang w:eastAsia="en-GB"/>
              </w:rPr>
            </w:pPr>
            <w:r w:rsidRPr="006352DF">
              <w:rPr>
                <w:rFonts w:ascii="Times New Roman" w:eastAsiaTheme="minorEastAsia" w:hAnsi="Times New Roman" w:cs="Times New Roman"/>
                <w:sz w:val="24"/>
                <w:szCs w:val="24"/>
                <w:lang w:eastAsia="en-GB"/>
              </w:rPr>
              <w:t>Priekšlikumus sagatavoja ar ministrijas 2019. gada 22.</w:t>
            </w:r>
            <w:r w:rsidR="005434F9">
              <w:rPr>
                <w:rFonts w:ascii="Times New Roman" w:eastAsiaTheme="minorEastAsia" w:hAnsi="Times New Roman" w:cs="Times New Roman"/>
                <w:sz w:val="24"/>
                <w:szCs w:val="24"/>
                <w:lang w:eastAsia="en-GB"/>
              </w:rPr>
              <w:t xml:space="preserve"> </w:t>
            </w:r>
            <w:r w:rsidRPr="006352DF">
              <w:rPr>
                <w:rFonts w:ascii="Times New Roman" w:eastAsiaTheme="minorEastAsia" w:hAnsi="Times New Roman" w:cs="Times New Roman"/>
                <w:sz w:val="24"/>
                <w:szCs w:val="24"/>
                <w:lang w:eastAsia="en-GB"/>
              </w:rPr>
              <w:t>marta rīkojumu Nr. 1-2e/19/125 “Par doktora līmeņa studiju un promocijas sistēmas pilnveides darba grupas izveidi” izveidota darba grupa (turpmāk – darba grupa), kurā piedalījās pārstāvji no Latvijas Universitātes, Rīgas Tehniskās universitātes, Rīgas Stradiņa universitātes, Latvijas Zinātnes padomes, Rektoru padomes, Latvijas Jauno Zinātnieku apvienības un Latvijas Studentu apvienības. Darba grupas uzdevums bija sagatavot un iesniegt ministrijā priekšlikumus konceptuāli jaunas Zalcburgas principiem atbilstošas doktorantūras nodrošināšanai Latvijā, tostarp, priekšlikumus tiesību iegūšanai īstenot DSP. Priekšlikumu izstrādē nozīmīga loma bija ministrijas, valsts dibināto augstskolu un Pasaules Banka</w:t>
            </w:r>
            <w:r w:rsidR="008872F1">
              <w:rPr>
                <w:rFonts w:ascii="Times New Roman" w:eastAsiaTheme="minorEastAsia" w:hAnsi="Times New Roman" w:cs="Times New Roman"/>
                <w:sz w:val="24"/>
                <w:szCs w:val="24"/>
                <w:lang w:eastAsia="en-GB"/>
              </w:rPr>
              <w:t>s</w:t>
            </w:r>
            <w:r w:rsidRPr="006352DF">
              <w:rPr>
                <w:rFonts w:ascii="Times New Roman" w:eastAsiaTheme="minorEastAsia" w:hAnsi="Times New Roman" w:cs="Times New Roman"/>
                <w:sz w:val="24"/>
                <w:szCs w:val="24"/>
                <w:lang w:eastAsia="en-GB"/>
              </w:rPr>
              <w:t xml:space="preserve"> sadarbībai, 2016. – 2018. gadā īstenojot pētījumu par augstākās izglītības pārvaldību, kā arī šīs sadarbības rezultātā Pasaules Bankas izstrādātājiem ieteikumiem.</w:t>
            </w:r>
            <w:r w:rsidRPr="006352DF">
              <w:rPr>
                <w:rFonts w:ascii="Times New Roman" w:eastAsiaTheme="minorEastAsia" w:hAnsi="Times New Roman" w:cs="Times New Roman"/>
                <w:sz w:val="24"/>
                <w:szCs w:val="24"/>
                <w:vertAlign w:val="superscript"/>
                <w:lang w:eastAsia="en-GB"/>
              </w:rPr>
              <w:footnoteReference w:id="7"/>
            </w:r>
            <w:r w:rsidRPr="006352DF">
              <w:rPr>
                <w:rFonts w:ascii="Times New Roman" w:eastAsiaTheme="minorEastAsia" w:hAnsi="Times New Roman" w:cs="Times New Roman"/>
                <w:sz w:val="24"/>
                <w:szCs w:val="24"/>
                <w:lang w:eastAsia="en-GB"/>
              </w:rPr>
              <w:t xml:space="preserve"> Priekšlikumi balstās Zalcburgas principos un rekomendācijās (2010) par doktorantūru.</w:t>
            </w:r>
            <w:r w:rsidRPr="006352DF">
              <w:rPr>
                <w:rFonts w:ascii="Times New Roman" w:eastAsiaTheme="minorEastAsia" w:hAnsi="Times New Roman" w:cs="Times New Roman"/>
                <w:sz w:val="24"/>
                <w:szCs w:val="24"/>
                <w:vertAlign w:val="superscript"/>
                <w:lang w:eastAsia="en-GB"/>
              </w:rPr>
              <w:footnoteReference w:id="8"/>
            </w:r>
          </w:p>
          <w:p w14:paraId="06D20BE2" w14:textId="0EB52061" w:rsidR="006352DF" w:rsidRPr="006352DF" w:rsidRDefault="002707A8" w:rsidP="006352DF">
            <w:pPr>
              <w:spacing w:after="0" w:line="24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lastRenderedPageBreak/>
              <w:t>Konceptuālajā ziņojumā ietvertais jaunais doktorantūras finansēšanas modelis paredz, ka</w:t>
            </w:r>
            <w:r w:rsidR="005434F9">
              <w:rPr>
                <w:rFonts w:ascii="Times New Roman" w:eastAsiaTheme="minorEastAsia" w:hAnsi="Times New Roman" w:cs="Times New Roman"/>
                <w:sz w:val="24"/>
                <w:szCs w:val="24"/>
                <w:lang w:eastAsia="en-GB"/>
              </w:rPr>
              <w:t>:</w:t>
            </w:r>
            <w:r>
              <w:rPr>
                <w:rFonts w:ascii="Times New Roman" w:eastAsiaTheme="minorEastAsia" w:hAnsi="Times New Roman" w:cs="Times New Roman"/>
                <w:sz w:val="24"/>
                <w:szCs w:val="24"/>
                <w:lang w:eastAsia="en-GB"/>
              </w:rPr>
              <w:t xml:space="preserve"> </w:t>
            </w:r>
          </w:p>
          <w:p w14:paraId="2C2A57BB" w14:textId="77777777" w:rsidR="002707A8" w:rsidRPr="002707A8" w:rsidRDefault="002707A8" w:rsidP="002707A8">
            <w:pPr>
              <w:tabs>
                <w:tab w:val="left" w:pos="356"/>
              </w:tabs>
              <w:spacing w:after="0" w:line="240" w:lineRule="auto"/>
              <w:jc w:val="both"/>
              <w:rPr>
                <w:rFonts w:ascii="Times New Roman" w:hAnsi="Times New Roman" w:cs="Times New Roman"/>
                <w:sz w:val="24"/>
                <w:szCs w:val="24"/>
              </w:rPr>
            </w:pPr>
            <w:r w:rsidRPr="002707A8">
              <w:rPr>
                <w:rFonts w:ascii="Times New Roman" w:hAnsi="Times New Roman" w:cs="Times New Roman"/>
                <w:sz w:val="24"/>
                <w:szCs w:val="24"/>
              </w:rPr>
              <w:t>1)</w:t>
            </w:r>
            <w:r w:rsidRPr="002707A8">
              <w:rPr>
                <w:rFonts w:ascii="Times New Roman" w:hAnsi="Times New Roman" w:cs="Times New Roman"/>
                <w:sz w:val="24"/>
                <w:szCs w:val="24"/>
              </w:rPr>
              <w:tab/>
              <w:t>doktoranti tiek uzskatīti par topošajiem jaunajiem zinātniekiem un partneriem pētniecībā, un pret tiem jāizturas kā pret profesionāļiem, kuri sniedz būtisku ieguldījumu jaunu zināšanu radīšanā;</w:t>
            </w:r>
          </w:p>
          <w:p w14:paraId="6F745A2D" w14:textId="120262F9" w:rsidR="002707A8" w:rsidRPr="002707A8" w:rsidRDefault="002707A8" w:rsidP="002707A8">
            <w:pPr>
              <w:tabs>
                <w:tab w:val="left" w:pos="356"/>
              </w:tabs>
              <w:spacing w:after="0" w:line="240" w:lineRule="auto"/>
              <w:jc w:val="both"/>
              <w:rPr>
                <w:rFonts w:ascii="Times New Roman" w:hAnsi="Times New Roman" w:cs="Times New Roman"/>
                <w:sz w:val="24"/>
                <w:szCs w:val="24"/>
              </w:rPr>
            </w:pPr>
            <w:r w:rsidRPr="002707A8">
              <w:rPr>
                <w:rFonts w:ascii="Times New Roman" w:hAnsi="Times New Roman" w:cs="Times New Roman"/>
                <w:sz w:val="24"/>
                <w:szCs w:val="24"/>
              </w:rPr>
              <w:t>2)</w:t>
            </w:r>
            <w:r w:rsidRPr="002707A8">
              <w:rPr>
                <w:rFonts w:ascii="Times New Roman" w:hAnsi="Times New Roman" w:cs="Times New Roman"/>
                <w:sz w:val="24"/>
                <w:szCs w:val="24"/>
              </w:rPr>
              <w:tab/>
            </w:r>
            <w:r w:rsidRPr="004E24E7">
              <w:rPr>
                <w:rFonts w:ascii="Times New Roman" w:hAnsi="Times New Roman" w:cs="Times New Roman"/>
                <w:sz w:val="24"/>
                <w:szCs w:val="24"/>
              </w:rPr>
              <w:t xml:space="preserve">doktoranti saņem </w:t>
            </w:r>
            <w:r w:rsidRPr="00471C77">
              <w:rPr>
                <w:rFonts w:ascii="Times New Roman" w:hAnsi="Times New Roman" w:cs="Times New Roman"/>
                <w:sz w:val="24"/>
                <w:szCs w:val="24"/>
              </w:rPr>
              <w:t>doktoranta atalgojumu, pamatojoties uz darba līgumu par DSP apguvi un promocijas darba izstrādi</w:t>
            </w:r>
            <w:r w:rsidRPr="004E24E7">
              <w:rPr>
                <w:rFonts w:ascii="Times New Roman" w:hAnsi="Times New Roman" w:cs="Times New Roman"/>
                <w:sz w:val="24"/>
                <w:szCs w:val="24"/>
              </w:rPr>
              <w:t xml:space="preserve">  – 1000 </w:t>
            </w:r>
            <w:r w:rsidR="00677C12" w:rsidRPr="004E24E7">
              <w:rPr>
                <w:rFonts w:ascii="Times New Roman" w:hAnsi="Times New Roman" w:cs="Times New Roman"/>
                <w:i/>
                <w:sz w:val="24"/>
                <w:szCs w:val="24"/>
              </w:rPr>
              <w:t>euro</w:t>
            </w:r>
            <w:r w:rsidRPr="004E24E7">
              <w:rPr>
                <w:rFonts w:ascii="Times New Roman" w:hAnsi="Times New Roman" w:cs="Times New Roman"/>
                <w:sz w:val="24"/>
                <w:szCs w:val="24"/>
              </w:rPr>
              <w:t xml:space="preserve"> mēnesī (iekļaujot</w:t>
            </w:r>
            <w:r w:rsidRPr="002707A8">
              <w:rPr>
                <w:rFonts w:ascii="Times New Roman" w:hAnsi="Times New Roman" w:cs="Times New Roman"/>
                <w:sz w:val="24"/>
                <w:szCs w:val="24"/>
              </w:rPr>
              <w:t xml:space="preserve"> visus nodokļus un sociālās garantijas) par 0,5 slodzi pilna darba laika ekvivalenta izteiksmē četru gadu studijām DSP, kā arī citus materiālos stimulus grāda iegūšanai optimālā laikā (trīs līdz četru gadu laikā)</w:t>
            </w:r>
            <w:r w:rsidR="008872F1">
              <w:rPr>
                <w:rFonts w:ascii="Times New Roman" w:hAnsi="Times New Roman" w:cs="Times New Roman"/>
                <w:sz w:val="24"/>
                <w:szCs w:val="24"/>
              </w:rPr>
              <w:t>;</w:t>
            </w:r>
            <w:r w:rsidRPr="002707A8">
              <w:rPr>
                <w:rFonts w:ascii="Times New Roman" w:hAnsi="Times New Roman" w:cs="Times New Roman"/>
                <w:sz w:val="24"/>
                <w:szCs w:val="24"/>
              </w:rPr>
              <w:t xml:space="preserve"> </w:t>
            </w:r>
          </w:p>
          <w:p w14:paraId="6D0131F8" w14:textId="77777777" w:rsidR="001A3FCE" w:rsidRPr="004E24E7" w:rsidRDefault="002707A8" w:rsidP="002707A8">
            <w:pPr>
              <w:tabs>
                <w:tab w:val="left" w:pos="356"/>
              </w:tabs>
              <w:spacing w:after="0" w:line="240" w:lineRule="auto"/>
              <w:jc w:val="both"/>
              <w:rPr>
                <w:rFonts w:ascii="Times New Roman" w:hAnsi="Times New Roman" w:cs="Times New Roman"/>
                <w:sz w:val="24"/>
                <w:szCs w:val="24"/>
              </w:rPr>
            </w:pPr>
            <w:r w:rsidRPr="002707A8">
              <w:rPr>
                <w:rFonts w:ascii="Times New Roman" w:hAnsi="Times New Roman" w:cs="Times New Roman"/>
                <w:sz w:val="24"/>
                <w:szCs w:val="24"/>
              </w:rPr>
              <w:t>3)</w:t>
            </w:r>
            <w:r w:rsidRPr="002707A8">
              <w:rPr>
                <w:rFonts w:ascii="Times New Roman" w:hAnsi="Times New Roman" w:cs="Times New Roman"/>
                <w:sz w:val="24"/>
                <w:szCs w:val="24"/>
              </w:rPr>
              <w:tab/>
            </w:r>
            <w:r w:rsidRPr="004E24E7">
              <w:rPr>
                <w:rFonts w:ascii="Times New Roman" w:hAnsi="Times New Roman" w:cs="Times New Roman"/>
                <w:sz w:val="24"/>
                <w:szCs w:val="24"/>
              </w:rPr>
              <w:t>piešķirot valsts budžeta finansējumu augstskolām doktorantūras skolu darbībai tiek ņemta vērā augstskolas pētnieciskā kapacitāte attiecīgajā zinātnes nozarē, doktora grāda ieguvēju skaits, kā arī DSP studiju vietas aktuālās izmaksas.</w:t>
            </w:r>
          </w:p>
          <w:p w14:paraId="1B00C55F" w14:textId="73AE1D6C" w:rsidR="0024318F" w:rsidRDefault="002707A8" w:rsidP="006806A9">
            <w:pPr>
              <w:tabs>
                <w:tab w:val="left" w:pos="356"/>
              </w:tabs>
              <w:spacing w:after="0" w:line="240" w:lineRule="auto"/>
              <w:jc w:val="both"/>
              <w:rPr>
                <w:rFonts w:ascii="Times New Roman" w:hAnsi="Times New Roman" w:cs="Times New Roman"/>
                <w:sz w:val="24"/>
                <w:szCs w:val="24"/>
              </w:rPr>
            </w:pPr>
            <w:r w:rsidRPr="004E24E7">
              <w:rPr>
                <w:rFonts w:ascii="Times New Roman" w:hAnsi="Times New Roman" w:cs="Times New Roman"/>
                <w:sz w:val="24"/>
                <w:szCs w:val="24"/>
              </w:rPr>
              <w:t>Ņemot vērā, ka konceptuāl</w:t>
            </w:r>
            <w:r w:rsidR="005434F9" w:rsidRPr="004E24E7">
              <w:rPr>
                <w:rFonts w:ascii="Times New Roman" w:hAnsi="Times New Roman" w:cs="Times New Roman"/>
                <w:sz w:val="24"/>
                <w:szCs w:val="24"/>
              </w:rPr>
              <w:t>aj</w:t>
            </w:r>
            <w:r w:rsidRPr="004E24E7">
              <w:rPr>
                <w:rFonts w:ascii="Times New Roman" w:hAnsi="Times New Roman" w:cs="Times New Roman"/>
                <w:sz w:val="24"/>
                <w:szCs w:val="24"/>
              </w:rPr>
              <w:t xml:space="preserve">ā ziņojumā paredzētais atbalsts doktorantiem, nodrošinot </w:t>
            </w:r>
            <w:r w:rsidR="00506F1F">
              <w:rPr>
                <w:rFonts w:ascii="Times New Roman" w:hAnsi="Times New Roman" w:cs="Times New Roman"/>
                <w:sz w:val="24"/>
                <w:szCs w:val="24"/>
              </w:rPr>
              <w:t xml:space="preserve">tiem </w:t>
            </w:r>
            <w:r w:rsidRPr="004E24E7">
              <w:rPr>
                <w:rFonts w:ascii="Times New Roman" w:hAnsi="Times New Roman" w:cs="Times New Roman"/>
                <w:sz w:val="24"/>
                <w:szCs w:val="24"/>
              </w:rPr>
              <w:t xml:space="preserve">darbu </w:t>
            </w:r>
            <w:r w:rsidR="005434F9" w:rsidRPr="004E24E7">
              <w:rPr>
                <w:rFonts w:ascii="Times New Roman" w:hAnsi="Times New Roman" w:cs="Times New Roman"/>
                <w:sz w:val="24"/>
                <w:szCs w:val="24"/>
              </w:rPr>
              <w:t>augstskolā</w:t>
            </w:r>
            <w:r w:rsidRPr="004E24E7">
              <w:rPr>
                <w:rFonts w:ascii="Times New Roman" w:hAnsi="Times New Roman" w:cs="Times New Roman"/>
                <w:sz w:val="24"/>
                <w:szCs w:val="24"/>
              </w:rPr>
              <w:t xml:space="preserve">, </w:t>
            </w:r>
            <w:r w:rsidR="00EE1258">
              <w:rPr>
                <w:rFonts w:ascii="Times New Roman" w:hAnsi="Times New Roman" w:cs="Times New Roman"/>
                <w:sz w:val="24"/>
                <w:szCs w:val="24"/>
              </w:rPr>
              <w:t>atbilst</w:t>
            </w:r>
            <w:r w:rsidRPr="004E24E7">
              <w:rPr>
                <w:rFonts w:ascii="Times New Roman" w:hAnsi="Times New Roman" w:cs="Times New Roman"/>
                <w:sz w:val="24"/>
                <w:szCs w:val="24"/>
              </w:rPr>
              <w:t xml:space="preserve"> darbības programmas „Izaugsme un nodarbinātība” 8.2.2. specifiskā </w:t>
            </w:r>
            <w:r w:rsidR="005434F9" w:rsidRPr="004E24E7">
              <w:rPr>
                <w:rFonts w:ascii="Times New Roman" w:hAnsi="Times New Roman" w:cs="Times New Roman"/>
                <w:sz w:val="24"/>
                <w:szCs w:val="24"/>
              </w:rPr>
              <w:t xml:space="preserve">atbalsta </w:t>
            </w:r>
            <w:r w:rsidRPr="004E24E7">
              <w:rPr>
                <w:rFonts w:ascii="Times New Roman" w:hAnsi="Times New Roman" w:cs="Times New Roman"/>
                <w:sz w:val="24"/>
                <w:szCs w:val="24"/>
              </w:rPr>
              <w:t xml:space="preserve">mērķa „Stiprināt augstākās izglītības institūciju akadēmisko personālu stratēģiskās specializācijas jomās”  (turpmāk – 8.2.2. SAM </w:t>
            </w:r>
            <w:r w:rsidR="00506F1F">
              <w:rPr>
                <w:rFonts w:ascii="Times New Roman" w:hAnsi="Times New Roman" w:cs="Times New Roman"/>
                <w:sz w:val="24"/>
                <w:szCs w:val="24"/>
              </w:rPr>
              <w:t xml:space="preserve">mērķim - </w:t>
            </w:r>
            <w:r w:rsidR="00506F1F" w:rsidRPr="00506F1F">
              <w:rPr>
                <w:rFonts w:ascii="Times New Roman" w:hAnsi="Times New Roman" w:cs="Times New Roman"/>
                <w:sz w:val="24"/>
                <w:szCs w:val="24"/>
              </w:rPr>
              <w:t>stiprināt augstākās izglītības institūciju akadēmisko personālu stratēģiskās specializācijas jomās</w:t>
            </w:r>
            <w:r w:rsidR="00506F1F">
              <w:rPr>
                <w:rFonts w:ascii="Times New Roman" w:hAnsi="Times New Roman" w:cs="Times New Roman"/>
                <w:sz w:val="24"/>
                <w:szCs w:val="24"/>
              </w:rPr>
              <w:t xml:space="preserve">, un </w:t>
            </w:r>
            <w:r w:rsidRPr="004E24E7">
              <w:rPr>
                <w:rFonts w:ascii="Times New Roman" w:hAnsi="Times New Roman" w:cs="Times New Roman"/>
                <w:sz w:val="24"/>
                <w:szCs w:val="24"/>
              </w:rPr>
              <w:t>iznākum</w:t>
            </w:r>
            <w:r w:rsidR="000B6ED0" w:rsidRPr="004E24E7">
              <w:rPr>
                <w:rFonts w:ascii="Times New Roman" w:hAnsi="Times New Roman" w:cs="Times New Roman"/>
                <w:sz w:val="24"/>
                <w:szCs w:val="24"/>
              </w:rPr>
              <w:t>a</w:t>
            </w:r>
            <w:r w:rsidRPr="004E24E7">
              <w:rPr>
                <w:rFonts w:ascii="Times New Roman" w:hAnsi="Times New Roman" w:cs="Times New Roman"/>
                <w:sz w:val="24"/>
                <w:szCs w:val="24"/>
              </w:rPr>
              <w:t xml:space="preserve"> rādītāj</w:t>
            </w:r>
            <w:r w:rsidR="00506F1F">
              <w:rPr>
                <w:rFonts w:ascii="Times New Roman" w:hAnsi="Times New Roman" w:cs="Times New Roman"/>
                <w:sz w:val="24"/>
                <w:szCs w:val="24"/>
              </w:rPr>
              <w:t>am</w:t>
            </w:r>
            <w:r w:rsidRPr="004E24E7">
              <w:rPr>
                <w:rFonts w:ascii="Times New Roman" w:hAnsi="Times New Roman" w:cs="Times New Roman"/>
                <w:sz w:val="24"/>
                <w:szCs w:val="24"/>
              </w:rPr>
              <w:t>, kas paredz Eiropas Sociālā fond</w:t>
            </w:r>
            <w:r w:rsidR="009B1A14">
              <w:rPr>
                <w:rFonts w:ascii="Times New Roman" w:hAnsi="Times New Roman" w:cs="Times New Roman"/>
                <w:sz w:val="24"/>
                <w:szCs w:val="24"/>
              </w:rPr>
              <w:t>a</w:t>
            </w:r>
            <w:r w:rsidR="00452381" w:rsidRPr="004E24E7">
              <w:rPr>
                <w:rFonts w:ascii="Times New Roman" w:hAnsi="Times New Roman" w:cs="Times New Roman"/>
                <w:sz w:val="24"/>
                <w:szCs w:val="24"/>
              </w:rPr>
              <w:t xml:space="preserve"> (turpmāk – ESF)</w:t>
            </w:r>
            <w:r w:rsidRPr="004E24E7">
              <w:rPr>
                <w:rFonts w:ascii="Times New Roman" w:hAnsi="Times New Roman" w:cs="Times New Roman"/>
                <w:sz w:val="24"/>
                <w:szCs w:val="24"/>
              </w:rPr>
              <w:t xml:space="preserve"> atbalstu doktorant</w:t>
            </w:r>
            <w:r w:rsidR="00506F1F">
              <w:rPr>
                <w:rFonts w:ascii="Times New Roman" w:hAnsi="Times New Roman" w:cs="Times New Roman"/>
                <w:sz w:val="24"/>
                <w:szCs w:val="24"/>
              </w:rPr>
              <w:t>u</w:t>
            </w:r>
            <w:r w:rsidRPr="004E24E7">
              <w:rPr>
                <w:rFonts w:ascii="Times New Roman" w:hAnsi="Times New Roman" w:cs="Times New Roman"/>
                <w:sz w:val="24"/>
                <w:szCs w:val="24"/>
              </w:rPr>
              <w:t xml:space="preserve"> iesaistei darbā </w:t>
            </w:r>
            <w:r w:rsidR="005434F9" w:rsidRPr="004E24E7">
              <w:rPr>
                <w:rFonts w:ascii="Times New Roman" w:hAnsi="Times New Roman" w:cs="Times New Roman"/>
                <w:sz w:val="24"/>
                <w:szCs w:val="24"/>
              </w:rPr>
              <w:t>augstskolā</w:t>
            </w:r>
            <w:r w:rsidRPr="004E24E7">
              <w:rPr>
                <w:rFonts w:ascii="Times New Roman" w:hAnsi="Times New Roman" w:cs="Times New Roman"/>
                <w:sz w:val="24"/>
                <w:szCs w:val="24"/>
              </w:rPr>
              <w:t xml:space="preserve">, </w:t>
            </w:r>
            <w:r w:rsidR="003308E8" w:rsidRPr="003308E8">
              <w:rPr>
                <w:rFonts w:ascii="Times New Roman" w:hAnsi="Times New Roman" w:cs="Times New Roman"/>
                <w:sz w:val="24"/>
                <w:szCs w:val="24"/>
              </w:rPr>
              <w:t>doktorantūras grantu (atalgojuma</w:t>
            </w:r>
            <w:r w:rsidR="002373AB">
              <w:rPr>
                <w:rFonts w:ascii="Times New Roman" w:hAnsi="Times New Roman" w:cs="Times New Roman"/>
                <w:sz w:val="24"/>
                <w:szCs w:val="24"/>
              </w:rPr>
              <w:t xml:space="preserve"> un nepieciešamā finansējuma pētniecībai</w:t>
            </w:r>
            <w:r w:rsidR="003308E8" w:rsidRPr="003308E8">
              <w:rPr>
                <w:rFonts w:ascii="Times New Roman" w:hAnsi="Times New Roman" w:cs="Times New Roman"/>
                <w:sz w:val="24"/>
                <w:szCs w:val="24"/>
              </w:rPr>
              <w:t xml:space="preserve">) pieejas aprobācija paredzēta 8.2.2.SAM </w:t>
            </w:r>
            <w:r w:rsidR="003308E8" w:rsidRPr="004E24E7">
              <w:rPr>
                <w:rFonts w:ascii="Times New Roman" w:hAnsi="Times New Roman" w:cs="Times New Roman"/>
                <w:sz w:val="24"/>
                <w:szCs w:val="24"/>
              </w:rPr>
              <w:t>3. kārt</w:t>
            </w:r>
            <w:r w:rsidR="003308E8">
              <w:rPr>
                <w:rFonts w:ascii="Times New Roman" w:hAnsi="Times New Roman" w:cs="Times New Roman"/>
                <w:sz w:val="24"/>
                <w:szCs w:val="24"/>
              </w:rPr>
              <w:t>as</w:t>
            </w:r>
            <w:r w:rsidR="003308E8" w:rsidRPr="004E24E7">
              <w:rPr>
                <w:rFonts w:ascii="Times New Roman" w:hAnsi="Times New Roman" w:cs="Times New Roman"/>
                <w:sz w:val="24"/>
                <w:szCs w:val="24"/>
              </w:rPr>
              <w:t xml:space="preserve"> </w:t>
            </w:r>
            <w:r w:rsidR="003308E8" w:rsidRPr="003308E8">
              <w:rPr>
                <w:rFonts w:ascii="Times New Roman" w:hAnsi="Times New Roman" w:cs="Times New Roman"/>
                <w:sz w:val="24"/>
                <w:szCs w:val="24"/>
              </w:rPr>
              <w:t>ietvaros</w:t>
            </w:r>
            <w:r w:rsidR="006806A9" w:rsidRPr="004E24E7">
              <w:rPr>
                <w:rFonts w:ascii="Times New Roman" w:hAnsi="Times New Roman" w:cs="Times New Roman"/>
                <w:sz w:val="24"/>
                <w:szCs w:val="24"/>
              </w:rPr>
              <w:t>.</w:t>
            </w:r>
          </w:p>
          <w:p w14:paraId="1E435993" w14:textId="536B32FE" w:rsidR="003308E8" w:rsidRDefault="005434F9" w:rsidP="006806A9">
            <w:pPr>
              <w:tabs>
                <w:tab w:val="left" w:pos="356"/>
              </w:tabs>
              <w:spacing w:after="0" w:line="240" w:lineRule="auto"/>
              <w:jc w:val="both"/>
              <w:rPr>
                <w:rFonts w:ascii="Times New Roman" w:hAnsi="Times New Roman" w:cs="Times New Roman"/>
                <w:sz w:val="24"/>
                <w:szCs w:val="24"/>
              </w:rPr>
            </w:pPr>
            <w:r w:rsidRPr="004E24E7">
              <w:rPr>
                <w:rFonts w:ascii="Times New Roman" w:hAnsi="Times New Roman" w:cs="Times New Roman"/>
                <w:sz w:val="24"/>
                <w:szCs w:val="24"/>
              </w:rPr>
              <w:t xml:space="preserve">Ar </w:t>
            </w:r>
            <w:r w:rsidR="006806A9" w:rsidRPr="004E24E7">
              <w:rPr>
                <w:rFonts w:ascii="Times New Roman" w:hAnsi="Times New Roman" w:cs="Times New Roman"/>
                <w:sz w:val="24"/>
                <w:szCs w:val="24"/>
              </w:rPr>
              <w:t xml:space="preserve">ES struktūrfondu investīciju atbalstu </w:t>
            </w:r>
            <w:r w:rsidR="000B6ED0" w:rsidRPr="004E24E7">
              <w:rPr>
                <w:rFonts w:ascii="Times New Roman" w:hAnsi="Times New Roman" w:cs="Times New Roman"/>
                <w:sz w:val="24"/>
                <w:szCs w:val="24"/>
              </w:rPr>
              <w:t xml:space="preserve">tiek </w:t>
            </w:r>
            <w:r w:rsidR="006806A9" w:rsidRPr="004E24E7">
              <w:rPr>
                <w:rFonts w:ascii="Times New Roman" w:hAnsi="Times New Roman" w:cs="Times New Roman"/>
                <w:sz w:val="24"/>
                <w:szCs w:val="24"/>
              </w:rPr>
              <w:t>paredz</w:t>
            </w:r>
            <w:r w:rsidR="0024318F">
              <w:rPr>
                <w:rFonts w:ascii="Times New Roman" w:hAnsi="Times New Roman" w:cs="Times New Roman"/>
                <w:sz w:val="24"/>
                <w:szCs w:val="24"/>
              </w:rPr>
              <w:t>ēt</w:t>
            </w:r>
            <w:r w:rsidR="000B6ED0" w:rsidRPr="004E24E7">
              <w:rPr>
                <w:rFonts w:ascii="Times New Roman" w:hAnsi="Times New Roman" w:cs="Times New Roman"/>
                <w:sz w:val="24"/>
                <w:szCs w:val="24"/>
              </w:rPr>
              <w:t>a</w:t>
            </w:r>
            <w:r w:rsidR="006806A9" w:rsidRPr="004E24E7">
              <w:rPr>
                <w:rFonts w:ascii="Times New Roman" w:hAnsi="Times New Roman" w:cs="Times New Roman"/>
                <w:sz w:val="24"/>
                <w:szCs w:val="24"/>
              </w:rPr>
              <w:t xml:space="preserve">  iespēj</w:t>
            </w:r>
            <w:r w:rsidR="000B6ED0" w:rsidRPr="004E24E7">
              <w:rPr>
                <w:rFonts w:ascii="Times New Roman" w:hAnsi="Times New Roman" w:cs="Times New Roman"/>
                <w:sz w:val="24"/>
                <w:szCs w:val="24"/>
              </w:rPr>
              <w:t>a</w:t>
            </w:r>
            <w:r w:rsidR="006806A9" w:rsidRPr="004E24E7">
              <w:rPr>
                <w:rFonts w:ascii="Times New Roman" w:hAnsi="Times New Roman" w:cs="Times New Roman"/>
                <w:sz w:val="24"/>
                <w:szCs w:val="24"/>
              </w:rPr>
              <w:t xml:space="preserve"> </w:t>
            </w:r>
            <w:r w:rsidRPr="004E24E7">
              <w:rPr>
                <w:rFonts w:ascii="Times New Roman" w:hAnsi="Times New Roman" w:cs="Times New Roman"/>
                <w:sz w:val="24"/>
                <w:szCs w:val="24"/>
              </w:rPr>
              <w:t>doktorantiem</w:t>
            </w:r>
            <w:r w:rsidR="006806A9" w:rsidRPr="004E24E7">
              <w:rPr>
                <w:rFonts w:ascii="Times New Roman" w:hAnsi="Times New Roman" w:cs="Times New Roman"/>
                <w:sz w:val="24"/>
                <w:szCs w:val="24"/>
              </w:rPr>
              <w:t xml:space="preserve"> un </w:t>
            </w:r>
            <w:r w:rsidRPr="004E24E7">
              <w:rPr>
                <w:rFonts w:ascii="Times New Roman" w:hAnsi="Times New Roman" w:cs="Times New Roman"/>
                <w:sz w:val="24"/>
                <w:szCs w:val="24"/>
              </w:rPr>
              <w:t xml:space="preserve">doktora grāda </w:t>
            </w:r>
            <w:r w:rsidR="006806A9" w:rsidRPr="004E24E7">
              <w:rPr>
                <w:rFonts w:ascii="Times New Roman" w:hAnsi="Times New Roman" w:cs="Times New Roman"/>
                <w:sz w:val="24"/>
                <w:szCs w:val="24"/>
              </w:rPr>
              <w:t xml:space="preserve">pretendentiem konkursa kārtībā iegūt </w:t>
            </w:r>
            <w:r w:rsidR="006806A9" w:rsidRPr="003308E8">
              <w:rPr>
                <w:rFonts w:ascii="Times New Roman" w:hAnsi="Times New Roman" w:cs="Times New Roman"/>
                <w:sz w:val="24"/>
                <w:szCs w:val="24"/>
              </w:rPr>
              <w:t xml:space="preserve">grantus </w:t>
            </w:r>
            <w:r w:rsidR="002373AB">
              <w:rPr>
                <w:rFonts w:ascii="Times New Roman" w:hAnsi="Times New Roman" w:cs="Times New Roman"/>
                <w:sz w:val="24"/>
                <w:szCs w:val="24"/>
              </w:rPr>
              <w:t xml:space="preserve">– finansējumu atalgojumam par </w:t>
            </w:r>
            <w:r w:rsidR="007C7AD1">
              <w:rPr>
                <w:rFonts w:ascii="Times New Roman" w:hAnsi="Times New Roman" w:cs="Times New Roman"/>
                <w:sz w:val="24"/>
                <w:szCs w:val="24"/>
              </w:rPr>
              <w:t xml:space="preserve">studiju </w:t>
            </w:r>
            <w:r w:rsidR="002373AB">
              <w:rPr>
                <w:rFonts w:ascii="Times New Roman" w:hAnsi="Times New Roman" w:cs="Times New Roman"/>
                <w:sz w:val="24"/>
                <w:szCs w:val="24"/>
              </w:rPr>
              <w:t xml:space="preserve">vai zinātnisko darbu augstskolā un </w:t>
            </w:r>
            <w:r w:rsidR="006806A9" w:rsidRPr="003308E8">
              <w:rPr>
                <w:rFonts w:ascii="Times New Roman" w:hAnsi="Times New Roman" w:cs="Times New Roman"/>
                <w:sz w:val="24"/>
                <w:szCs w:val="24"/>
              </w:rPr>
              <w:t>pētniecības veikšanai, kas saistīta ar promocijas darba izstrādi</w:t>
            </w:r>
            <w:r w:rsidR="006806A9" w:rsidRPr="004E24E7">
              <w:rPr>
                <w:rFonts w:ascii="Times New Roman" w:hAnsi="Times New Roman" w:cs="Times New Roman"/>
                <w:sz w:val="24"/>
                <w:szCs w:val="24"/>
              </w:rPr>
              <w:t xml:space="preserve"> (turpmāk – doktoranta grants). Doktoranta granta apmērs plānots 1000 </w:t>
            </w:r>
            <w:r w:rsidR="00677C12" w:rsidRPr="004E24E7">
              <w:rPr>
                <w:rFonts w:ascii="Times New Roman" w:hAnsi="Times New Roman" w:cs="Times New Roman"/>
                <w:i/>
                <w:sz w:val="24"/>
                <w:szCs w:val="24"/>
              </w:rPr>
              <w:t>euro</w:t>
            </w:r>
            <w:r w:rsidR="006806A9" w:rsidRPr="004E24E7">
              <w:rPr>
                <w:rFonts w:ascii="Times New Roman" w:hAnsi="Times New Roman" w:cs="Times New Roman"/>
                <w:sz w:val="24"/>
                <w:szCs w:val="24"/>
              </w:rPr>
              <w:t xml:space="preserve"> mēnesī par 0,5 slodzi </w:t>
            </w:r>
            <w:r w:rsidR="000B6ED0" w:rsidRPr="004E24E7">
              <w:rPr>
                <w:rFonts w:ascii="Times New Roman" w:hAnsi="Times New Roman" w:cs="Times New Roman"/>
                <w:sz w:val="24"/>
                <w:szCs w:val="24"/>
              </w:rPr>
              <w:t>pilna darba laika ekvivalenta izteiksmē</w:t>
            </w:r>
            <w:r w:rsidR="003308E8">
              <w:rPr>
                <w:rFonts w:ascii="Times New Roman" w:hAnsi="Times New Roman" w:cs="Times New Roman"/>
                <w:sz w:val="24"/>
                <w:szCs w:val="24"/>
              </w:rPr>
              <w:t xml:space="preserve"> </w:t>
            </w:r>
            <w:r w:rsidR="0024318F">
              <w:rPr>
                <w:rFonts w:ascii="Times New Roman" w:hAnsi="Times New Roman" w:cs="Times New Roman"/>
                <w:sz w:val="24"/>
                <w:szCs w:val="24"/>
              </w:rPr>
              <w:t xml:space="preserve">un grants paredzēts doktoranta vai zinātniskā grāda pretendenta </w:t>
            </w:r>
            <w:r w:rsidR="0024318F" w:rsidRPr="0024318F">
              <w:rPr>
                <w:rFonts w:ascii="Times New Roman" w:hAnsi="Times New Roman" w:cs="Times New Roman"/>
                <w:sz w:val="24"/>
                <w:szCs w:val="24"/>
              </w:rPr>
              <w:t>iesaiste</w:t>
            </w:r>
            <w:r w:rsidR="003F56AE">
              <w:rPr>
                <w:rFonts w:ascii="Times New Roman" w:hAnsi="Times New Roman" w:cs="Times New Roman"/>
                <w:sz w:val="24"/>
                <w:szCs w:val="24"/>
              </w:rPr>
              <w:t>i</w:t>
            </w:r>
            <w:r w:rsidR="0024318F" w:rsidRPr="0024318F">
              <w:rPr>
                <w:rFonts w:ascii="Times New Roman" w:hAnsi="Times New Roman" w:cs="Times New Roman"/>
                <w:sz w:val="24"/>
                <w:szCs w:val="24"/>
              </w:rPr>
              <w:t xml:space="preserve"> </w:t>
            </w:r>
            <w:r w:rsidR="007C7AD1">
              <w:rPr>
                <w:rFonts w:ascii="Times New Roman" w:hAnsi="Times New Roman" w:cs="Times New Roman"/>
                <w:sz w:val="24"/>
                <w:szCs w:val="24"/>
              </w:rPr>
              <w:t>studiju</w:t>
            </w:r>
            <w:r w:rsidR="007C7AD1" w:rsidRPr="0024318F">
              <w:rPr>
                <w:rFonts w:ascii="Times New Roman" w:hAnsi="Times New Roman" w:cs="Times New Roman"/>
                <w:sz w:val="24"/>
                <w:szCs w:val="24"/>
              </w:rPr>
              <w:t xml:space="preserve"> </w:t>
            </w:r>
            <w:r w:rsidR="0024318F" w:rsidRPr="0024318F">
              <w:rPr>
                <w:rFonts w:ascii="Times New Roman" w:hAnsi="Times New Roman" w:cs="Times New Roman"/>
                <w:sz w:val="24"/>
                <w:szCs w:val="24"/>
              </w:rPr>
              <w:t>vai zinātniski pētnieciskajā darbā augstākās izglītības institūcijā</w:t>
            </w:r>
            <w:r w:rsidR="0024318F">
              <w:rPr>
                <w:rFonts w:ascii="Times New Roman" w:hAnsi="Times New Roman" w:cs="Times New Roman"/>
                <w:sz w:val="24"/>
                <w:szCs w:val="24"/>
              </w:rPr>
              <w:t xml:space="preserve"> vai tās partnerorganizācijā (</w:t>
            </w:r>
            <w:r w:rsidR="001934A7">
              <w:rPr>
                <w:rFonts w:ascii="Times New Roman" w:hAnsi="Times New Roman" w:cs="Times New Roman"/>
                <w:sz w:val="24"/>
                <w:szCs w:val="24"/>
              </w:rPr>
              <w:t>zinātnisk</w:t>
            </w:r>
            <w:r w:rsidR="006806A9" w:rsidRPr="004E24E7">
              <w:rPr>
                <w:rFonts w:ascii="Times New Roman" w:hAnsi="Times New Roman" w:cs="Times New Roman"/>
                <w:sz w:val="24"/>
                <w:szCs w:val="24"/>
              </w:rPr>
              <w:t>ā institūcij</w:t>
            </w:r>
            <w:r w:rsidR="001934A7">
              <w:rPr>
                <w:rFonts w:ascii="Times New Roman" w:hAnsi="Times New Roman" w:cs="Times New Roman"/>
                <w:sz w:val="24"/>
                <w:szCs w:val="24"/>
              </w:rPr>
              <w:t xml:space="preserve">a, </w:t>
            </w:r>
            <w:r w:rsidR="0024318F">
              <w:rPr>
                <w:rFonts w:ascii="Times New Roman" w:hAnsi="Times New Roman" w:cs="Times New Roman"/>
                <w:sz w:val="24"/>
                <w:szCs w:val="24"/>
              </w:rPr>
              <w:t>komersant</w:t>
            </w:r>
            <w:r w:rsidR="001934A7">
              <w:rPr>
                <w:rFonts w:ascii="Times New Roman" w:hAnsi="Times New Roman" w:cs="Times New Roman"/>
                <w:sz w:val="24"/>
                <w:szCs w:val="24"/>
              </w:rPr>
              <w:t>s</w:t>
            </w:r>
            <w:r w:rsidR="0024318F">
              <w:rPr>
                <w:rFonts w:ascii="Times New Roman" w:hAnsi="Times New Roman" w:cs="Times New Roman"/>
                <w:sz w:val="24"/>
                <w:szCs w:val="24"/>
              </w:rPr>
              <w:t xml:space="preserve">), </w:t>
            </w:r>
            <w:r w:rsidR="006806A9" w:rsidRPr="004E24E7">
              <w:rPr>
                <w:rFonts w:ascii="Times New Roman" w:hAnsi="Times New Roman" w:cs="Times New Roman"/>
                <w:sz w:val="24"/>
                <w:szCs w:val="24"/>
              </w:rPr>
              <w:t xml:space="preserve">kur tiek </w:t>
            </w:r>
            <w:r w:rsidR="001934A7">
              <w:rPr>
                <w:rFonts w:ascii="Times New Roman" w:hAnsi="Times New Roman" w:cs="Times New Roman"/>
                <w:sz w:val="24"/>
                <w:szCs w:val="24"/>
              </w:rPr>
              <w:t>izstrādāts</w:t>
            </w:r>
            <w:r w:rsidR="001934A7" w:rsidRPr="004E24E7">
              <w:rPr>
                <w:rFonts w:ascii="Times New Roman" w:hAnsi="Times New Roman" w:cs="Times New Roman"/>
                <w:sz w:val="24"/>
                <w:szCs w:val="24"/>
              </w:rPr>
              <w:t xml:space="preserve"> </w:t>
            </w:r>
            <w:r w:rsidR="0024318F">
              <w:rPr>
                <w:rFonts w:ascii="Times New Roman" w:hAnsi="Times New Roman" w:cs="Times New Roman"/>
                <w:sz w:val="24"/>
                <w:szCs w:val="24"/>
              </w:rPr>
              <w:t>promocijas darb</w:t>
            </w:r>
            <w:r w:rsidR="001934A7">
              <w:rPr>
                <w:rFonts w:ascii="Times New Roman" w:hAnsi="Times New Roman" w:cs="Times New Roman"/>
                <w:sz w:val="24"/>
                <w:szCs w:val="24"/>
              </w:rPr>
              <w:t>s vai tā daļa</w:t>
            </w:r>
            <w:r w:rsidR="006806A9" w:rsidRPr="004E24E7">
              <w:rPr>
                <w:rFonts w:ascii="Times New Roman" w:hAnsi="Times New Roman" w:cs="Times New Roman"/>
                <w:sz w:val="24"/>
                <w:szCs w:val="24"/>
              </w:rPr>
              <w:t>. Doktoranta</w:t>
            </w:r>
            <w:r w:rsidR="003143AC">
              <w:rPr>
                <w:rFonts w:ascii="Times New Roman" w:hAnsi="Times New Roman" w:cs="Times New Roman"/>
                <w:sz w:val="24"/>
                <w:szCs w:val="24"/>
              </w:rPr>
              <w:t>m paredzētais atalgojums</w:t>
            </w:r>
            <w:r w:rsidR="006806A9" w:rsidRPr="004E24E7">
              <w:rPr>
                <w:rFonts w:ascii="Times New Roman" w:hAnsi="Times New Roman" w:cs="Times New Roman"/>
                <w:sz w:val="24"/>
                <w:szCs w:val="24"/>
              </w:rPr>
              <w:t xml:space="preserve"> iekļauj visus n</w:t>
            </w:r>
            <w:r w:rsidR="003308E8">
              <w:rPr>
                <w:rFonts w:ascii="Times New Roman" w:hAnsi="Times New Roman" w:cs="Times New Roman"/>
                <w:sz w:val="24"/>
                <w:szCs w:val="24"/>
              </w:rPr>
              <w:t>odokļus un sociālās garantijas.</w:t>
            </w:r>
            <w:r w:rsidR="002373AB">
              <w:rPr>
                <w:rFonts w:ascii="Times New Roman" w:hAnsi="Times New Roman" w:cs="Times New Roman"/>
                <w:sz w:val="24"/>
                <w:szCs w:val="24"/>
              </w:rPr>
              <w:t xml:space="preserve"> Tāpat paredzēts finansējums </w:t>
            </w:r>
            <w:r w:rsidR="002373AB" w:rsidRPr="002373AB">
              <w:rPr>
                <w:rFonts w:ascii="Times New Roman" w:hAnsi="Times New Roman" w:cs="Times New Roman"/>
                <w:sz w:val="24"/>
                <w:szCs w:val="24"/>
              </w:rPr>
              <w:t xml:space="preserve">pētniecības </w:t>
            </w:r>
            <w:r w:rsidR="002373AB">
              <w:rPr>
                <w:rFonts w:ascii="Times New Roman" w:hAnsi="Times New Roman" w:cs="Times New Roman"/>
                <w:sz w:val="24"/>
                <w:szCs w:val="24"/>
              </w:rPr>
              <w:t>veikšanai, kas ietver</w:t>
            </w:r>
            <w:r w:rsidR="002373AB" w:rsidRPr="002373AB">
              <w:rPr>
                <w:rFonts w:ascii="Times New Roman" w:hAnsi="Times New Roman" w:cs="Times New Roman"/>
                <w:sz w:val="24"/>
                <w:szCs w:val="24"/>
              </w:rPr>
              <w:t xml:space="preserve"> pētniecībai nepieciešamo materiālu iegādes, tehnoloģiju tiesību aizsardzības un ārpakalpojumu izmaksas, mācību izmaksas un tīklošanas pasākumu izmaksas,</w:t>
            </w:r>
            <w:r w:rsidR="002373AB">
              <w:rPr>
                <w:rFonts w:ascii="Times New Roman" w:hAnsi="Times New Roman" w:cs="Times New Roman"/>
                <w:sz w:val="24"/>
                <w:szCs w:val="24"/>
              </w:rPr>
              <w:t xml:space="preserve"> tai skaitā komandējumus</w:t>
            </w:r>
            <w:r w:rsidR="002373AB" w:rsidRPr="002373AB">
              <w:rPr>
                <w:rFonts w:ascii="Times New Roman" w:hAnsi="Times New Roman" w:cs="Times New Roman"/>
                <w:sz w:val="24"/>
                <w:szCs w:val="24"/>
              </w:rPr>
              <w:t>, konferenču dalības maksa</w:t>
            </w:r>
            <w:r w:rsidR="002373AB">
              <w:rPr>
                <w:rFonts w:ascii="Times New Roman" w:hAnsi="Times New Roman" w:cs="Times New Roman"/>
                <w:sz w:val="24"/>
                <w:szCs w:val="24"/>
              </w:rPr>
              <w:t>s</w:t>
            </w:r>
            <w:r w:rsidR="002373AB" w:rsidRPr="002373AB">
              <w:rPr>
                <w:rFonts w:ascii="Times New Roman" w:hAnsi="Times New Roman" w:cs="Times New Roman"/>
                <w:sz w:val="24"/>
                <w:szCs w:val="24"/>
              </w:rPr>
              <w:t xml:space="preserve"> un iesaistes izmaksas informatīvajos pasākumos, nepārsniedzot kopējo izmaksu apmēru 4</w:t>
            </w:r>
            <w:r w:rsidR="00F80277">
              <w:rPr>
                <w:rFonts w:ascii="Times New Roman" w:hAnsi="Times New Roman" w:cs="Times New Roman"/>
                <w:sz w:val="24"/>
                <w:szCs w:val="24"/>
              </w:rPr>
              <w:t> </w:t>
            </w:r>
            <w:r w:rsidR="002373AB" w:rsidRPr="002373AB">
              <w:rPr>
                <w:rFonts w:ascii="Times New Roman" w:hAnsi="Times New Roman" w:cs="Times New Roman"/>
                <w:sz w:val="24"/>
                <w:szCs w:val="24"/>
              </w:rPr>
              <w:t>800</w:t>
            </w:r>
            <w:r w:rsidR="00F80277">
              <w:rPr>
                <w:rFonts w:ascii="Times New Roman" w:hAnsi="Times New Roman" w:cs="Times New Roman"/>
                <w:sz w:val="24"/>
                <w:szCs w:val="24"/>
              </w:rPr>
              <w:t xml:space="preserve"> </w:t>
            </w:r>
            <w:r w:rsidR="002373AB" w:rsidRPr="002373AB">
              <w:rPr>
                <w:rFonts w:ascii="Times New Roman" w:hAnsi="Times New Roman" w:cs="Times New Roman"/>
                <w:sz w:val="24"/>
                <w:szCs w:val="24"/>
              </w:rPr>
              <w:t xml:space="preserve"> </w:t>
            </w:r>
            <w:r w:rsidR="002373AB" w:rsidRPr="002373AB">
              <w:rPr>
                <w:rFonts w:ascii="Times New Roman" w:hAnsi="Times New Roman" w:cs="Times New Roman"/>
                <w:i/>
                <w:sz w:val="24"/>
                <w:szCs w:val="24"/>
              </w:rPr>
              <w:t>euro</w:t>
            </w:r>
            <w:r w:rsidR="002373AB" w:rsidRPr="002373AB">
              <w:rPr>
                <w:rFonts w:ascii="Times New Roman" w:hAnsi="Times New Roman" w:cs="Times New Roman"/>
                <w:sz w:val="24"/>
                <w:szCs w:val="24"/>
              </w:rPr>
              <w:t xml:space="preserve"> gadā uz vienu projektā iesaistīto doktorantu</w:t>
            </w:r>
            <w:r w:rsidR="002373AB">
              <w:rPr>
                <w:rFonts w:ascii="Times New Roman" w:hAnsi="Times New Roman" w:cs="Times New Roman"/>
                <w:sz w:val="24"/>
                <w:szCs w:val="24"/>
              </w:rPr>
              <w:t>. Lai mazinātu administratīvo slogu plānots, ka minētām izmaksām tik</w:t>
            </w:r>
            <w:r w:rsidR="00815FD0">
              <w:rPr>
                <w:rFonts w:ascii="Times New Roman" w:hAnsi="Times New Roman" w:cs="Times New Roman"/>
                <w:sz w:val="24"/>
                <w:szCs w:val="24"/>
              </w:rPr>
              <w:t>s</w:t>
            </w:r>
            <w:r w:rsidR="002373AB">
              <w:rPr>
                <w:rFonts w:ascii="Times New Roman" w:hAnsi="Times New Roman" w:cs="Times New Roman"/>
                <w:sz w:val="24"/>
                <w:szCs w:val="24"/>
              </w:rPr>
              <w:t xml:space="preserve"> izstrādāta </w:t>
            </w:r>
            <w:r w:rsidR="002373AB" w:rsidRPr="00120FB6">
              <w:rPr>
                <w:rFonts w:ascii="Times New Roman" w:hAnsi="Times New Roman" w:cs="Times New Roman"/>
                <w:sz w:val="24"/>
                <w:szCs w:val="24"/>
              </w:rPr>
              <w:t xml:space="preserve"> vienas vienības vienas vienības izmaksu metodika</w:t>
            </w:r>
            <w:r w:rsidR="002373AB">
              <w:rPr>
                <w:rFonts w:ascii="Times New Roman" w:hAnsi="Times New Roman" w:cs="Times New Roman"/>
                <w:sz w:val="24"/>
                <w:szCs w:val="24"/>
              </w:rPr>
              <w:t>.</w:t>
            </w:r>
            <w:r w:rsidR="00F80277">
              <w:rPr>
                <w:rFonts w:ascii="Times New Roman" w:hAnsi="Times New Roman" w:cs="Times New Roman"/>
                <w:sz w:val="24"/>
                <w:szCs w:val="24"/>
              </w:rPr>
              <w:t xml:space="preserve"> Atbildīgā iestāde plāno uzsākt darbu pie vienas vienības izmaksu metodikas izstrādes pēc Noteikumu projekta apstiprināšanas Ministru kabinetā. Līdz brīdim, kamēr </w:t>
            </w:r>
            <w:r w:rsidR="00F80277" w:rsidRPr="00F741EB">
              <w:rPr>
                <w:rFonts w:ascii="Times New Roman" w:hAnsi="Times New Roman" w:cs="Times New Roman"/>
                <w:sz w:val="24"/>
                <w:szCs w:val="24"/>
              </w:rPr>
              <w:t xml:space="preserve"> nav </w:t>
            </w:r>
            <w:r w:rsidR="00F80277">
              <w:rPr>
                <w:rFonts w:ascii="Times New Roman" w:hAnsi="Times New Roman" w:cs="Times New Roman"/>
                <w:sz w:val="24"/>
                <w:szCs w:val="24"/>
              </w:rPr>
              <w:t xml:space="preserve">izstrādāta </w:t>
            </w:r>
            <w:r w:rsidR="00F80277" w:rsidRPr="00F80277">
              <w:rPr>
                <w:rFonts w:ascii="Times New Roman" w:hAnsi="Times New Roman" w:cs="Times New Roman"/>
                <w:sz w:val="24"/>
                <w:szCs w:val="24"/>
              </w:rPr>
              <w:t>vienas vienības izmaksu metodika un saskaņošana ar vadošo iestādi</w:t>
            </w:r>
            <w:r w:rsidR="00F80277">
              <w:rPr>
                <w:rFonts w:ascii="Times New Roman" w:hAnsi="Times New Roman" w:cs="Times New Roman"/>
                <w:sz w:val="24"/>
                <w:szCs w:val="24"/>
              </w:rPr>
              <w:t xml:space="preserve"> pētniecības izmaksas tiek uzskaitītas </w:t>
            </w:r>
            <w:r w:rsidR="00F80277">
              <w:t xml:space="preserve"> </w:t>
            </w:r>
            <w:r w:rsidR="00F80277" w:rsidRPr="00F80277">
              <w:rPr>
                <w:rFonts w:ascii="Times New Roman" w:hAnsi="Times New Roman" w:cs="Times New Roman"/>
                <w:sz w:val="24"/>
                <w:szCs w:val="24"/>
              </w:rPr>
              <w:t xml:space="preserve">atbilstoši </w:t>
            </w:r>
            <w:r w:rsidR="00F80277" w:rsidRPr="00F80277">
              <w:rPr>
                <w:rFonts w:ascii="Times New Roman" w:hAnsi="Times New Roman" w:cs="Times New Roman"/>
                <w:sz w:val="24"/>
                <w:szCs w:val="24"/>
              </w:rPr>
              <w:lastRenderedPageBreak/>
              <w:t>faktiskajām izmaksām</w:t>
            </w:r>
            <w:r w:rsidR="00F80277">
              <w:rPr>
                <w:rFonts w:ascii="Times New Roman" w:hAnsi="Times New Roman" w:cs="Times New Roman"/>
                <w:sz w:val="24"/>
                <w:szCs w:val="24"/>
              </w:rPr>
              <w:t>.</w:t>
            </w:r>
          </w:p>
          <w:p w14:paraId="32FD61BA" w14:textId="7C3B0FE3" w:rsidR="002707A8" w:rsidRDefault="006806A9" w:rsidP="006806A9">
            <w:pPr>
              <w:tabs>
                <w:tab w:val="left" w:pos="356"/>
              </w:tabs>
              <w:spacing w:after="0" w:line="240" w:lineRule="auto"/>
              <w:jc w:val="both"/>
              <w:rPr>
                <w:rFonts w:ascii="Times New Roman" w:hAnsi="Times New Roman" w:cs="Times New Roman"/>
                <w:sz w:val="24"/>
                <w:szCs w:val="24"/>
              </w:rPr>
            </w:pPr>
            <w:r w:rsidRPr="004E24E7">
              <w:rPr>
                <w:rFonts w:ascii="Times New Roman" w:hAnsi="Times New Roman" w:cs="Times New Roman"/>
                <w:sz w:val="24"/>
                <w:szCs w:val="24"/>
              </w:rPr>
              <w:t>Tiek plānots, ka doktoranta granta saņēmēji papildu</w:t>
            </w:r>
            <w:r w:rsidR="000B6ED0" w:rsidRPr="004E24E7">
              <w:rPr>
                <w:rFonts w:ascii="Times New Roman" w:hAnsi="Times New Roman" w:cs="Times New Roman"/>
                <w:sz w:val="24"/>
                <w:szCs w:val="24"/>
              </w:rPr>
              <w:t>s</w:t>
            </w:r>
            <w:r w:rsidRPr="004E24E7">
              <w:rPr>
                <w:rFonts w:ascii="Times New Roman" w:hAnsi="Times New Roman" w:cs="Times New Roman"/>
                <w:sz w:val="24"/>
                <w:szCs w:val="24"/>
              </w:rPr>
              <w:t xml:space="preserve"> pētnieciskajam darbam aktīvi iesaistās pētniecības rezultātu izplatīšanā, regulāri publicējot zinātniskos rakstus (publikācijas, kas indeksētas Scopus vai WoS Core Collection datu bāzē, sociālajās, humanitārajās un mākslas zinātnēs zinātniskās publikācijas arī žurnālos, kas indeksēti ERIH+) un piedaloties zinātniskajās konferencēs ar referātiem, kā arī gūst starptautisku pētniecības pieredzi. D</w:t>
            </w:r>
            <w:bookmarkStart w:id="1" w:name="_GoBack"/>
            <w:bookmarkEnd w:id="1"/>
            <w:r w:rsidRPr="004E24E7">
              <w:rPr>
                <w:rFonts w:ascii="Times New Roman" w:hAnsi="Times New Roman" w:cs="Times New Roman"/>
                <w:sz w:val="24"/>
                <w:szCs w:val="24"/>
              </w:rPr>
              <w:t xml:space="preserve">oktoranti var pretendēt uz mazāku </w:t>
            </w:r>
            <w:r w:rsidR="000B6ED0" w:rsidRPr="004E24E7">
              <w:rPr>
                <w:rFonts w:ascii="Times New Roman" w:hAnsi="Times New Roman" w:cs="Times New Roman"/>
                <w:sz w:val="24"/>
                <w:szCs w:val="24"/>
              </w:rPr>
              <w:t>no</w:t>
            </w:r>
            <w:r w:rsidRPr="004E24E7">
              <w:rPr>
                <w:rFonts w:ascii="Times New Roman" w:hAnsi="Times New Roman" w:cs="Times New Roman"/>
                <w:sz w:val="24"/>
                <w:szCs w:val="24"/>
              </w:rPr>
              <w:t xml:space="preserve">slodzi un </w:t>
            </w:r>
            <w:r w:rsidR="000B6ED0" w:rsidRPr="004E24E7">
              <w:rPr>
                <w:rFonts w:ascii="Times New Roman" w:hAnsi="Times New Roman" w:cs="Times New Roman"/>
                <w:sz w:val="24"/>
                <w:szCs w:val="24"/>
              </w:rPr>
              <w:t>atbilstošu</w:t>
            </w:r>
            <w:r w:rsidR="003308E8">
              <w:rPr>
                <w:rFonts w:ascii="Times New Roman" w:hAnsi="Times New Roman" w:cs="Times New Roman"/>
                <w:sz w:val="24"/>
                <w:szCs w:val="24"/>
              </w:rPr>
              <w:t>,</w:t>
            </w:r>
            <w:r w:rsidR="000B6ED0" w:rsidRPr="004E24E7">
              <w:rPr>
                <w:rFonts w:ascii="Times New Roman" w:hAnsi="Times New Roman" w:cs="Times New Roman"/>
                <w:sz w:val="24"/>
                <w:szCs w:val="24"/>
              </w:rPr>
              <w:t xml:space="preserve"> </w:t>
            </w:r>
            <w:r w:rsidR="003308E8">
              <w:rPr>
                <w:rFonts w:ascii="Times New Roman" w:hAnsi="Times New Roman" w:cs="Times New Roman"/>
                <w:sz w:val="24"/>
                <w:szCs w:val="24"/>
              </w:rPr>
              <w:t>samērīgu</w:t>
            </w:r>
            <w:r w:rsidR="000B6ED0" w:rsidRPr="004E24E7">
              <w:rPr>
                <w:rFonts w:ascii="Times New Roman" w:hAnsi="Times New Roman" w:cs="Times New Roman"/>
                <w:sz w:val="24"/>
                <w:szCs w:val="24"/>
              </w:rPr>
              <w:t xml:space="preserve"> </w:t>
            </w:r>
            <w:r w:rsidRPr="004E24E7">
              <w:rPr>
                <w:rFonts w:ascii="Times New Roman" w:hAnsi="Times New Roman" w:cs="Times New Roman"/>
                <w:sz w:val="24"/>
                <w:szCs w:val="24"/>
              </w:rPr>
              <w:t>atalgojumu, ņemot vērā citas esošās saistības (</w:t>
            </w:r>
            <w:r w:rsidR="003F56AE">
              <w:rPr>
                <w:rFonts w:ascii="Times New Roman" w:hAnsi="Times New Roman" w:cs="Times New Roman"/>
                <w:sz w:val="24"/>
                <w:szCs w:val="24"/>
              </w:rPr>
              <w:t xml:space="preserve">darbs </w:t>
            </w:r>
            <w:r w:rsidRPr="004E24E7">
              <w:rPr>
                <w:rFonts w:ascii="Times New Roman" w:hAnsi="Times New Roman" w:cs="Times New Roman"/>
                <w:sz w:val="24"/>
                <w:szCs w:val="24"/>
              </w:rPr>
              <w:t>pētniecības projekt</w:t>
            </w:r>
            <w:r w:rsidR="003F56AE">
              <w:rPr>
                <w:rFonts w:ascii="Times New Roman" w:hAnsi="Times New Roman" w:cs="Times New Roman"/>
                <w:sz w:val="24"/>
                <w:szCs w:val="24"/>
              </w:rPr>
              <w:t>os</w:t>
            </w:r>
            <w:r w:rsidRPr="004E24E7">
              <w:rPr>
                <w:rFonts w:ascii="Times New Roman" w:hAnsi="Times New Roman" w:cs="Times New Roman"/>
                <w:sz w:val="24"/>
                <w:szCs w:val="24"/>
              </w:rPr>
              <w:t>, pasniegšanas darbs, u.c.)</w:t>
            </w:r>
            <w:r w:rsidR="003308E8">
              <w:rPr>
                <w:rFonts w:ascii="Times New Roman" w:hAnsi="Times New Roman" w:cs="Times New Roman"/>
                <w:sz w:val="24"/>
                <w:szCs w:val="24"/>
              </w:rPr>
              <w:t xml:space="preserve">, vienlaikus apzinoties </w:t>
            </w:r>
            <w:r w:rsidR="003143AC">
              <w:rPr>
                <w:rFonts w:ascii="Times New Roman" w:hAnsi="Times New Roman" w:cs="Times New Roman"/>
                <w:sz w:val="24"/>
                <w:szCs w:val="24"/>
              </w:rPr>
              <w:t xml:space="preserve">projektā noteiktos </w:t>
            </w:r>
            <w:r w:rsidR="003308E8">
              <w:rPr>
                <w:rFonts w:ascii="Times New Roman" w:hAnsi="Times New Roman" w:cs="Times New Roman"/>
                <w:sz w:val="24"/>
                <w:szCs w:val="24"/>
              </w:rPr>
              <w:t>mērķ</w:t>
            </w:r>
            <w:r w:rsidR="003143AC">
              <w:rPr>
                <w:rFonts w:ascii="Times New Roman" w:hAnsi="Times New Roman" w:cs="Times New Roman"/>
                <w:sz w:val="24"/>
                <w:szCs w:val="24"/>
              </w:rPr>
              <w:t>us</w:t>
            </w:r>
            <w:r w:rsidR="003308E8">
              <w:rPr>
                <w:rFonts w:ascii="Times New Roman" w:hAnsi="Times New Roman" w:cs="Times New Roman"/>
                <w:sz w:val="24"/>
                <w:szCs w:val="24"/>
              </w:rPr>
              <w:t xml:space="preserve"> un </w:t>
            </w:r>
            <w:r w:rsidR="001573B9">
              <w:rPr>
                <w:rFonts w:ascii="Times New Roman" w:hAnsi="Times New Roman" w:cs="Times New Roman"/>
                <w:sz w:val="24"/>
                <w:szCs w:val="24"/>
              </w:rPr>
              <w:t>sasniedzamos rezultātus</w:t>
            </w:r>
            <w:r w:rsidRPr="004E24E7">
              <w:rPr>
                <w:rFonts w:ascii="Times New Roman" w:hAnsi="Times New Roman" w:cs="Times New Roman"/>
                <w:sz w:val="24"/>
                <w:szCs w:val="24"/>
              </w:rPr>
              <w:t>.</w:t>
            </w:r>
          </w:p>
          <w:p w14:paraId="3BA7ED0D" w14:textId="77777777" w:rsidR="001573B9" w:rsidRDefault="001573B9" w:rsidP="006806A9">
            <w:pPr>
              <w:tabs>
                <w:tab w:val="left" w:pos="356"/>
              </w:tabs>
              <w:spacing w:after="0" w:line="240" w:lineRule="auto"/>
              <w:jc w:val="both"/>
              <w:rPr>
                <w:rFonts w:ascii="Times New Roman" w:hAnsi="Times New Roman" w:cs="Times New Roman"/>
                <w:sz w:val="24"/>
                <w:szCs w:val="24"/>
              </w:rPr>
            </w:pPr>
          </w:p>
          <w:p w14:paraId="47A1A343" w14:textId="120980F0" w:rsidR="006806A9" w:rsidRPr="006806A9" w:rsidRDefault="001573B9" w:rsidP="006806A9">
            <w:pPr>
              <w:tabs>
                <w:tab w:val="left" w:pos="3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Nosakot </w:t>
            </w:r>
            <w:r w:rsidR="006806A9" w:rsidRPr="006806A9">
              <w:rPr>
                <w:rFonts w:ascii="Times New Roman" w:hAnsi="Times New Roman" w:cs="Times New Roman"/>
                <w:sz w:val="24"/>
                <w:szCs w:val="24"/>
              </w:rPr>
              <w:t>doktorantu grantiem</w:t>
            </w:r>
            <w:r>
              <w:rPr>
                <w:rFonts w:ascii="Times New Roman" w:hAnsi="Times New Roman" w:cs="Times New Roman"/>
                <w:sz w:val="24"/>
                <w:szCs w:val="24"/>
              </w:rPr>
              <w:t xml:space="preserve"> pieejamo finansējumu</w:t>
            </w:r>
            <w:r w:rsidR="006806A9" w:rsidRPr="006806A9">
              <w:rPr>
                <w:rFonts w:ascii="Times New Roman" w:hAnsi="Times New Roman" w:cs="Times New Roman"/>
                <w:sz w:val="24"/>
                <w:szCs w:val="24"/>
              </w:rPr>
              <w:t>, ti</w:t>
            </w:r>
            <w:r>
              <w:rPr>
                <w:rFonts w:ascii="Times New Roman" w:hAnsi="Times New Roman" w:cs="Times New Roman"/>
                <w:sz w:val="24"/>
                <w:szCs w:val="24"/>
              </w:rPr>
              <w:t>e</w:t>
            </w:r>
            <w:r w:rsidR="006806A9" w:rsidRPr="006806A9">
              <w:rPr>
                <w:rFonts w:ascii="Times New Roman" w:hAnsi="Times New Roman" w:cs="Times New Roman"/>
                <w:sz w:val="24"/>
                <w:szCs w:val="24"/>
              </w:rPr>
              <w:t>k ņemta vērā augstskolas pētnieciskā kapacitāte attiecīgajā zinātnes nozarē pēdējo trīs gadu laikā. Finansējum</w:t>
            </w:r>
            <w:r>
              <w:rPr>
                <w:rFonts w:ascii="Times New Roman" w:hAnsi="Times New Roman" w:cs="Times New Roman"/>
                <w:sz w:val="24"/>
                <w:szCs w:val="24"/>
              </w:rPr>
              <w:t>s</w:t>
            </w:r>
            <w:r w:rsidR="006806A9" w:rsidRPr="006806A9">
              <w:rPr>
                <w:rFonts w:ascii="Times New Roman" w:hAnsi="Times New Roman" w:cs="Times New Roman"/>
                <w:sz w:val="24"/>
                <w:szCs w:val="24"/>
              </w:rPr>
              <w:t xml:space="preserve"> </w:t>
            </w:r>
            <w:r>
              <w:rPr>
                <w:rFonts w:ascii="Times New Roman" w:hAnsi="Times New Roman" w:cs="Times New Roman"/>
                <w:sz w:val="24"/>
                <w:szCs w:val="24"/>
              </w:rPr>
              <w:t>tiek</w:t>
            </w:r>
            <w:r w:rsidR="006806A9" w:rsidRPr="006806A9">
              <w:rPr>
                <w:rFonts w:ascii="Times New Roman" w:hAnsi="Times New Roman" w:cs="Times New Roman"/>
                <w:sz w:val="24"/>
                <w:szCs w:val="24"/>
              </w:rPr>
              <w:t xml:space="preserve"> noteikt</w:t>
            </w:r>
            <w:r>
              <w:rPr>
                <w:rFonts w:ascii="Times New Roman" w:hAnsi="Times New Roman" w:cs="Times New Roman"/>
                <w:sz w:val="24"/>
                <w:szCs w:val="24"/>
              </w:rPr>
              <w:t>s</w:t>
            </w:r>
            <w:r w:rsidR="006806A9" w:rsidRPr="006806A9">
              <w:rPr>
                <w:rFonts w:ascii="Times New Roman" w:hAnsi="Times New Roman" w:cs="Times New Roman"/>
                <w:sz w:val="24"/>
                <w:szCs w:val="24"/>
              </w:rPr>
              <w:t xml:space="preserve"> pēc divu pakāpju principa:</w:t>
            </w:r>
          </w:p>
          <w:p w14:paraId="1F01182F" w14:textId="5619CA4C" w:rsidR="006806A9" w:rsidRPr="006806A9" w:rsidRDefault="006806A9" w:rsidP="006806A9">
            <w:pPr>
              <w:tabs>
                <w:tab w:val="left" w:pos="356"/>
              </w:tabs>
              <w:spacing w:after="0" w:line="240" w:lineRule="auto"/>
              <w:jc w:val="both"/>
              <w:rPr>
                <w:rFonts w:ascii="Times New Roman" w:hAnsi="Times New Roman" w:cs="Times New Roman"/>
                <w:sz w:val="24"/>
                <w:szCs w:val="24"/>
              </w:rPr>
            </w:pPr>
            <w:r w:rsidRPr="006806A9">
              <w:rPr>
                <w:rFonts w:ascii="Times New Roman" w:hAnsi="Times New Roman" w:cs="Times New Roman"/>
                <w:sz w:val="24"/>
                <w:szCs w:val="24"/>
              </w:rPr>
              <w:t>1)</w:t>
            </w:r>
            <w:r w:rsidRPr="006806A9">
              <w:rPr>
                <w:rFonts w:ascii="Times New Roman" w:hAnsi="Times New Roman" w:cs="Times New Roman"/>
                <w:sz w:val="24"/>
                <w:szCs w:val="24"/>
              </w:rPr>
              <w:tab/>
              <w:t xml:space="preserve">vispirms </w:t>
            </w:r>
            <w:r w:rsidR="002373AB">
              <w:rPr>
                <w:rFonts w:ascii="Times New Roman" w:hAnsi="Times New Roman" w:cs="Times New Roman"/>
                <w:sz w:val="24"/>
                <w:szCs w:val="24"/>
              </w:rPr>
              <w:t>tikai noteikts</w:t>
            </w:r>
            <w:r w:rsidR="002373AB" w:rsidRPr="006806A9">
              <w:rPr>
                <w:rFonts w:ascii="Times New Roman" w:hAnsi="Times New Roman" w:cs="Times New Roman"/>
                <w:sz w:val="24"/>
                <w:szCs w:val="24"/>
              </w:rPr>
              <w:t xml:space="preserve"> </w:t>
            </w:r>
            <w:r w:rsidRPr="006806A9">
              <w:rPr>
                <w:rFonts w:ascii="Times New Roman" w:hAnsi="Times New Roman" w:cs="Times New Roman"/>
                <w:sz w:val="24"/>
                <w:szCs w:val="24"/>
              </w:rPr>
              <w:t>kopēj</w:t>
            </w:r>
            <w:r w:rsidR="002373AB">
              <w:rPr>
                <w:rFonts w:ascii="Times New Roman" w:hAnsi="Times New Roman" w:cs="Times New Roman"/>
                <w:sz w:val="24"/>
                <w:szCs w:val="24"/>
              </w:rPr>
              <w:t>ais</w:t>
            </w:r>
            <w:r w:rsidRPr="006806A9">
              <w:rPr>
                <w:rFonts w:ascii="Times New Roman" w:hAnsi="Times New Roman" w:cs="Times New Roman"/>
                <w:sz w:val="24"/>
                <w:szCs w:val="24"/>
              </w:rPr>
              <w:t xml:space="preserve"> pieejam</w:t>
            </w:r>
            <w:r w:rsidR="002373AB">
              <w:rPr>
                <w:rFonts w:ascii="Times New Roman" w:hAnsi="Times New Roman" w:cs="Times New Roman"/>
                <w:sz w:val="24"/>
                <w:szCs w:val="24"/>
              </w:rPr>
              <w:t>ais</w:t>
            </w:r>
            <w:r w:rsidRPr="006806A9">
              <w:rPr>
                <w:rFonts w:ascii="Times New Roman" w:hAnsi="Times New Roman" w:cs="Times New Roman"/>
                <w:sz w:val="24"/>
                <w:szCs w:val="24"/>
              </w:rPr>
              <w:t xml:space="preserve"> finansējuma apmēr</w:t>
            </w:r>
            <w:r w:rsidR="002373AB">
              <w:rPr>
                <w:rFonts w:ascii="Times New Roman" w:hAnsi="Times New Roman" w:cs="Times New Roman"/>
                <w:sz w:val="24"/>
                <w:szCs w:val="24"/>
              </w:rPr>
              <w:t>s</w:t>
            </w:r>
            <w:r w:rsidRPr="006806A9">
              <w:rPr>
                <w:rFonts w:ascii="Times New Roman" w:hAnsi="Times New Roman" w:cs="Times New Roman"/>
                <w:sz w:val="24"/>
                <w:szCs w:val="24"/>
              </w:rPr>
              <w:t xml:space="preserve"> katrā zinātnes nozarē valstī kopumā. To aprēķin</w:t>
            </w:r>
            <w:r w:rsidR="001573B9">
              <w:rPr>
                <w:rFonts w:ascii="Times New Roman" w:hAnsi="Times New Roman" w:cs="Times New Roman"/>
                <w:sz w:val="24"/>
                <w:szCs w:val="24"/>
              </w:rPr>
              <w:t>a</w:t>
            </w:r>
            <w:r w:rsidRPr="006806A9">
              <w:rPr>
                <w:rFonts w:ascii="Times New Roman" w:hAnsi="Times New Roman" w:cs="Times New Roman"/>
                <w:sz w:val="24"/>
                <w:szCs w:val="24"/>
              </w:rPr>
              <w:t xml:space="preserve">, ņemot vērā pētnieku skaitu </w:t>
            </w:r>
            <w:r w:rsidR="00D75B47">
              <w:rPr>
                <w:rFonts w:ascii="Times New Roman" w:hAnsi="Times New Roman" w:cs="Times New Roman"/>
                <w:sz w:val="24"/>
                <w:szCs w:val="24"/>
              </w:rPr>
              <w:t>pilna darba laika ekvivalenta (</w:t>
            </w:r>
            <w:r w:rsidRPr="006806A9">
              <w:rPr>
                <w:rFonts w:ascii="Times New Roman" w:hAnsi="Times New Roman" w:cs="Times New Roman"/>
                <w:sz w:val="24"/>
                <w:szCs w:val="24"/>
              </w:rPr>
              <w:t>PLE</w:t>
            </w:r>
            <w:r w:rsidR="00D75B47">
              <w:rPr>
                <w:rFonts w:ascii="Times New Roman" w:hAnsi="Times New Roman" w:cs="Times New Roman"/>
                <w:sz w:val="24"/>
                <w:szCs w:val="24"/>
              </w:rPr>
              <w:t>)</w:t>
            </w:r>
            <w:r w:rsidRPr="006806A9">
              <w:rPr>
                <w:rFonts w:ascii="Times New Roman" w:hAnsi="Times New Roman" w:cs="Times New Roman"/>
                <w:sz w:val="24"/>
                <w:szCs w:val="24"/>
              </w:rPr>
              <w:t xml:space="preserve"> izteiksmē katrā zinātnes nozarē augstskolās, kas īsteno DSP. Pētnieku skaits tiks noteikts, balstoties uz datiem, kas sniegti un auditēti zinātnes bāzes finansējuma un snieguma finansējuma aprēķinam;</w:t>
            </w:r>
          </w:p>
          <w:p w14:paraId="08098A8F" w14:textId="4563035A" w:rsidR="006806A9" w:rsidRPr="006806A9" w:rsidRDefault="006806A9" w:rsidP="006806A9">
            <w:pPr>
              <w:tabs>
                <w:tab w:val="left" w:pos="356"/>
              </w:tabs>
              <w:spacing w:after="0" w:line="240" w:lineRule="auto"/>
              <w:jc w:val="both"/>
              <w:rPr>
                <w:rFonts w:ascii="Times New Roman" w:hAnsi="Times New Roman" w:cs="Times New Roman"/>
                <w:sz w:val="24"/>
                <w:szCs w:val="24"/>
              </w:rPr>
            </w:pPr>
            <w:r w:rsidRPr="006806A9">
              <w:rPr>
                <w:rFonts w:ascii="Times New Roman" w:hAnsi="Times New Roman" w:cs="Times New Roman"/>
                <w:sz w:val="24"/>
                <w:szCs w:val="24"/>
              </w:rPr>
              <w:t>2)</w:t>
            </w:r>
            <w:r w:rsidRPr="006806A9">
              <w:rPr>
                <w:rFonts w:ascii="Times New Roman" w:hAnsi="Times New Roman" w:cs="Times New Roman"/>
                <w:sz w:val="24"/>
                <w:szCs w:val="24"/>
              </w:rPr>
              <w:tab/>
              <w:t>nosakot augstskolai pieejamo finanšu apmēru katras zinātnes nozares ietvaros. To aprēķin</w:t>
            </w:r>
            <w:r w:rsidR="002373AB">
              <w:rPr>
                <w:rFonts w:ascii="Times New Roman" w:hAnsi="Times New Roman" w:cs="Times New Roman"/>
                <w:sz w:val="24"/>
                <w:szCs w:val="24"/>
              </w:rPr>
              <w:t>a</w:t>
            </w:r>
            <w:r w:rsidRPr="006806A9">
              <w:rPr>
                <w:rFonts w:ascii="Times New Roman" w:hAnsi="Times New Roman" w:cs="Times New Roman"/>
                <w:sz w:val="24"/>
                <w:szCs w:val="24"/>
              </w:rPr>
              <w:t>, ņemot vērā augstskolas individuālo sniegumu un pētniecisko kapacitāti attiecīgajā zinātnes nozarē (publikācijas starptautiskajās zinātniskās literatūras datu bāzēs</w:t>
            </w:r>
            <w:r w:rsidR="000B6ED0">
              <w:rPr>
                <w:rFonts w:ascii="Times New Roman" w:hAnsi="Times New Roman" w:cs="Times New Roman"/>
                <w:sz w:val="24"/>
                <w:szCs w:val="24"/>
              </w:rPr>
              <w:t>,</w:t>
            </w:r>
            <w:r w:rsidRPr="006806A9">
              <w:rPr>
                <w:rFonts w:ascii="Times New Roman" w:hAnsi="Times New Roman" w:cs="Times New Roman"/>
                <w:sz w:val="24"/>
                <w:szCs w:val="24"/>
              </w:rPr>
              <w:t xml:space="preserve"> t. sk., ņemot vērā gan kvantitāti, gan kvalitāti; piesaistīt</w:t>
            </w:r>
            <w:r w:rsidR="002373AB">
              <w:rPr>
                <w:rFonts w:ascii="Times New Roman" w:hAnsi="Times New Roman" w:cs="Times New Roman"/>
                <w:sz w:val="24"/>
                <w:szCs w:val="24"/>
              </w:rPr>
              <w:t>o</w:t>
            </w:r>
            <w:r w:rsidRPr="006806A9">
              <w:rPr>
                <w:rFonts w:ascii="Times New Roman" w:hAnsi="Times New Roman" w:cs="Times New Roman"/>
                <w:sz w:val="24"/>
                <w:szCs w:val="24"/>
              </w:rPr>
              <w:t xml:space="preserve"> pētniecības finansējum</w:t>
            </w:r>
            <w:r w:rsidR="002373AB">
              <w:rPr>
                <w:rFonts w:ascii="Times New Roman" w:hAnsi="Times New Roman" w:cs="Times New Roman"/>
                <w:sz w:val="24"/>
                <w:szCs w:val="24"/>
              </w:rPr>
              <w:t>u</w:t>
            </w:r>
            <w:r w:rsidRPr="006806A9">
              <w:rPr>
                <w:rFonts w:ascii="Times New Roman" w:hAnsi="Times New Roman" w:cs="Times New Roman"/>
                <w:sz w:val="24"/>
                <w:szCs w:val="24"/>
              </w:rPr>
              <w:t>, balstoties uz datiem par attiecīgajā periodā īstenotajiem pētniecības projektiem, kas tiek sniegti un auditēti zinātnes bāzes finansējuma un snieguma finansējuma aprēķinam; tāpat arī ziņas par pētnieku skaitu attiecīgajā zinātnes nozarē augstskolā, kas īsteno DSP).</w:t>
            </w:r>
          </w:p>
          <w:p w14:paraId="16EF319F" w14:textId="01E78E6E" w:rsidR="006806A9" w:rsidRPr="006806A9" w:rsidRDefault="006806A9" w:rsidP="006806A9">
            <w:pPr>
              <w:tabs>
                <w:tab w:val="left" w:pos="356"/>
              </w:tabs>
              <w:spacing w:after="0" w:line="240" w:lineRule="auto"/>
              <w:jc w:val="both"/>
              <w:rPr>
                <w:rFonts w:ascii="Times New Roman" w:hAnsi="Times New Roman" w:cs="Times New Roman"/>
                <w:sz w:val="24"/>
                <w:szCs w:val="24"/>
              </w:rPr>
            </w:pPr>
            <w:r w:rsidRPr="006806A9">
              <w:rPr>
                <w:rFonts w:ascii="Times New Roman" w:hAnsi="Times New Roman" w:cs="Times New Roman"/>
                <w:sz w:val="24"/>
                <w:szCs w:val="24"/>
              </w:rPr>
              <w:t xml:space="preserve">Augstāk minēto kritēriju mērķis ir </w:t>
            </w:r>
            <w:r w:rsidR="001573B9">
              <w:rPr>
                <w:rFonts w:ascii="Times New Roman" w:hAnsi="Times New Roman" w:cs="Times New Roman"/>
                <w:sz w:val="24"/>
                <w:szCs w:val="24"/>
              </w:rPr>
              <w:t>koncentrēt</w:t>
            </w:r>
            <w:r w:rsidRPr="006806A9">
              <w:rPr>
                <w:rFonts w:ascii="Times New Roman" w:hAnsi="Times New Roman" w:cs="Times New Roman"/>
                <w:sz w:val="24"/>
                <w:szCs w:val="24"/>
              </w:rPr>
              <w:t xml:space="preserve"> doktorantu uzņemšanu </w:t>
            </w:r>
            <w:r w:rsidR="001573B9">
              <w:rPr>
                <w:rFonts w:ascii="Times New Roman" w:hAnsi="Times New Roman" w:cs="Times New Roman"/>
                <w:sz w:val="24"/>
                <w:szCs w:val="24"/>
              </w:rPr>
              <w:t xml:space="preserve">tikai </w:t>
            </w:r>
            <w:r w:rsidRPr="006806A9">
              <w:rPr>
                <w:rFonts w:ascii="Times New Roman" w:hAnsi="Times New Roman" w:cs="Times New Roman"/>
                <w:sz w:val="24"/>
                <w:szCs w:val="24"/>
              </w:rPr>
              <w:t xml:space="preserve">tādās </w:t>
            </w:r>
            <w:r w:rsidR="00D75B47">
              <w:rPr>
                <w:rFonts w:ascii="Times New Roman" w:hAnsi="Times New Roman" w:cs="Times New Roman"/>
                <w:sz w:val="24"/>
                <w:szCs w:val="24"/>
              </w:rPr>
              <w:t>augstskolās</w:t>
            </w:r>
            <w:r w:rsidRPr="006806A9">
              <w:rPr>
                <w:rFonts w:ascii="Times New Roman" w:hAnsi="Times New Roman" w:cs="Times New Roman"/>
                <w:sz w:val="24"/>
                <w:szCs w:val="24"/>
              </w:rPr>
              <w:t>, k</w:t>
            </w:r>
            <w:r w:rsidR="001573B9">
              <w:rPr>
                <w:rFonts w:ascii="Times New Roman" w:hAnsi="Times New Roman" w:cs="Times New Roman"/>
                <w:sz w:val="24"/>
                <w:szCs w:val="24"/>
              </w:rPr>
              <w:t>as demonstrē</w:t>
            </w:r>
            <w:r w:rsidR="001573B9" w:rsidRPr="006806A9">
              <w:rPr>
                <w:rFonts w:ascii="Times New Roman" w:hAnsi="Times New Roman" w:cs="Times New Roman"/>
                <w:sz w:val="24"/>
                <w:szCs w:val="24"/>
              </w:rPr>
              <w:t xml:space="preserve"> </w:t>
            </w:r>
            <w:r w:rsidRPr="006806A9">
              <w:rPr>
                <w:rFonts w:ascii="Times New Roman" w:hAnsi="Times New Roman" w:cs="Times New Roman"/>
                <w:sz w:val="24"/>
                <w:szCs w:val="24"/>
              </w:rPr>
              <w:t>attiecīg</w:t>
            </w:r>
            <w:r w:rsidR="001573B9">
              <w:rPr>
                <w:rFonts w:ascii="Times New Roman" w:hAnsi="Times New Roman" w:cs="Times New Roman"/>
                <w:sz w:val="24"/>
                <w:szCs w:val="24"/>
              </w:rPr>
              <w:t>u</w:t>
            </w:r>
            <w:r w:rsidRPr="006806A9">
              <w:rPr>
                <w:rFonts w:ascii="Times New Roman" w:hAnsi="Times New Roman" w:cs="Times New Roman"/>
                <w:sz w:val="24"/>
                <w:szCs w:val="24"/>
              </w:rPr>
              <w:t xml:space="preserve"> sniegum</w:t>
            </w:r>
            <w:r w:rsidR="001573B9">
              <w:rPr>
                <w:rFonts w:ascii="Times New Roman" w:hAnsi="Times New Roman" w:cs="Times New Roman"/>
                <w:sz w:val="24"/>
                <w:szCs w:val="24"/>
              </w:rPr>
              <w:t>u</w:t>
            </w:r>
            <w:r w:rsidRPr="006806A9">
              <w:rPr>
                <w:rFonts w:ascii="Times New Roman" w:hAnsi="Times New Roman" w:cs="Times New Roman"/>
                <w:sz w:val="24"/>
                <w:szCs w:val="24"/>
              </w:rPr>
              <w:t xml:space="preserve"> pētniecībā.</w:t>
            </w:r>
          </w:p>
          <w:p w14:paraId="714F658B" w14:textId="53BEA6AD" w:rsidR="006806A9" w:rsidRDefault="006806A9" w:rsidP="006806A9">
            <w:pPr>
              <w:tabs>
                <w:tab w:val="left" w:pos="356"/>
              </w:tabs>
              <w:spacing w:after="0" w:line="240" w:lineRule="auto"/>
              <w:jc w:val="both"/>
              <w:rPr>
                <w:rFonts w:ascii="Times New Roman" w:hAnsi="Times New Roman" w:cs="Times New Roman"/>
                <w:sz w:val="24"/>
                <w:szCs w:val="24"/>
              </w:rPr>
            </w:pPr>
            <w:r w:rsidRPr="006806A9">
              <w:rPr>
                <w:rFonts w:ascii="Times New Roman" w:hAnsi="Times New Roman" w:cs="Times New Roman"/>
                <w:sz w:val="24"/>
                <w:szCs w:val="24"/>
              </w:rPr>
              <w:t xml:space="preserve">Lai nodrošinātu pakāpenisku pāreju no pašreizējās valsts budžeta vietu piešķiršanas kārtības uz </w:t>
            </w:r>
            <w:r>
              <w:rPr>
                <w:rFonts w:ascii="Times New Roman" w:hAnsi="Times New Roman" w:cs="Times New Roman"/>
                <w:sz w:val="24"/>
                <w:szCs w:val="24"/>
              </w:rPr>
              <w:t xml:space="preserve">konceptuālajā </w:t>
            </w:r>
            <w:r w:rsidRPr="006806A9">
              <w:rPr>
                <w:rFonts w:ascii="Times New Roman" w:hAnsi="Times New Roman" w:cs="Times New Roman"/>
                <w:sz w:val="24"/>
                <w:szCs w:val="24"/>
              </w:rPr>
              <w:t xml:space="preserve">ziņojumā piedāvāto jauno doktorantūras finansēšanas modeli, ES struktūrfondu doktorantūras grantu </w:t>
            </w:r>
            <w:r w:rsidR="00895A63">
              <w:rPr>
                <w:rFonts w:ascii="Times New Roman" w:hAnsi="Times New Roman" w:cs="Times New Roman"/>
                <w:sz w:val="24"/>
                <w:szCs w:val="24"/>
              </w:rPr>
              <w:t>ietvaros tiek</w:t>
            </w:r>
            <w:r w:rsidR="00895A63" w:rsidRPr="006806A9">
              <w:rPr>
                <w:rFonts w:ascii="Times New Roman" w:hAnsi="Times New Roman" w:cs="Times New Roman"/>
                <w:sz w:val="24"/>
                <w:szCs w:val="24"/>
              </w:rPr>
              <w:t xml:space="preserve"> </w:t>
            </w:r>
            <w:r w:rsidRPr="006806A9">
              <w:rPr>
                <w:rFonts w:ascii="Times New Roman" w:hAnsi="Times New Roman" w:cs="Times New Roman"/>
                <w:sz w:val="24"/>
                <w:szCs w:val="24"/>
              </w:rPr>
              <w:t>piedāvā</w:t>
            </w:r>
            <w:r w:rsidR="00895A63">
              <w:rPr>
                <w:rFonts w:ascii="Times New Roman" w:hAnsi="Times New Roman" w:cs="Times New Roman"/>
                <w:sz w:val="24"/>
                <w:szCs w:val="24"/>
              </w:rPr>
              <w:t>ts</w:t>
            </w:r>
            <w:r w:rsidR="001573B9">
              <w:rPr>
                <w:rFonts w:ascii="Times New Roman" w:hAnsi="Times New Roman" w:cs="Times New Roman"/>
                <w:sz w:val="24"/>
                <w:szCs w:val="24"/>
              </w:rPr>
              <w:t xml:space="preserve"> pārejas nosacījum</w:t>
            </w:r>
            <w:r w:rsidR="00895A63">
              <w:rPr>
                <w:rFonts w:ascii="Times New Roman" w:hAnsi="Times New Roman" w:cs="Times New Roman"/>
                <w:sz w:val="24"/>
                <w:szCs w:val="24"/>
              </w:rPr>
              <w:t>s</w:t>
            </w:r>
            <w:r w:rsidRPr="006806A9">
              <w:rPr>
                <w:rFonts w:ascii="Times New Roman" w:hAnsi="Times New Roman" w:cs="Times New Roman"/>
                <w:sz w:val="24"/>
                <w:szCs w:val="24"/>
              </w:rPr>
              <w:t xml:space="preserve">, </w:t>
            </w:r>
            <w:r w:rsidR="00895A63">
              <w:rPr>
                <w:rFonts w:ascii="Times New Roman" w:hAnsi="Times New Roman" w:cs="Times New Roman"/>
                <w:sz w:val="24"/>
                <w:szCs w:val="24"/>
              </w:rPr>
              <w:t>līdzīgā proporcijā (50% : 50%) apvienojot</w:t>
            </w:r>
            <w:r w:rsidRPr="006806A9">
              <w:rPr>
                <w:rFonts w:ascii="Times New Roman" w:hAnsi="Times New Roman" w:cs="Times New Roman"/>
                <w:sz w:val="24"/>
                <w:szCs w:val="24"/>
              </w:rPr>
              <w:t xml:space="preserve"> augstāk izklāstīt</w:t>
            </w:r>
            <w:r w:rsidR="00895A63">
              <w:rPr>
                <w:rFonts w:ascii="Times New Roman" w:hAnsi="Times New Roman" w:cs="Times New Roman"/>
                <w:sz w:val="24"/>
                <w:szCs w:val="24"/>
              </w:rPr>
              <w:t>o</w:t>
            </w:r>
            <w:r w:rsidRPr="006806A9">
              <w:rPr>
                <w:rFonts w:ascii="Times New Roman" w:hAnsi="Times New Roman" w:cs="Times New Roman"/>
                <w:sz w:val="24"/>
                <w:szCs w:val="24"/>
              </w:rPr>
              <w:t xml:space="preserve"> pieej</w:t>
            </w:r>
            <w:r w:rsidR="00895A63">
              <w:rPr>
                <w:rFonts w:ascii="Times New Roman" w:hAnsi="Times New Roman" w:cs="Times New Roman"/>
                <w:sz w:val="24"/>
                <w:szCs w:val="24"/>
              </w:rPr>
              <w:t>u un esošo valsts budžeta vietu piešķīrumu DSP</w:t>
            </w:r>
            <w:r w:rsidRPr="006806A9">
              <w:rPr>
                <w:rFonts w:ascii="Times New Roman" w:hAnsi="Times New Roman" w:cs="Times New Roman"/>
                <w:sz w:val="24"/>
                <w:szCs w:val="24"/>
              </w:rPr>
              <w:t xml:space="preserve"> </w:t>
            </w:r>
            <w:r w:rsidR="00895A63" w:rsidRPr="006806A9">
              <w:rPr>
                <w:rFonts w:ascii="Times New Roman" w:hAnsi="Times New Roman" w:cs="Times New Roman"/>
                <w:sz w:val="24"/>
                <w:szCs w:val="24"/>
              </w:rPr>
              <w:t>attiecīgajā zinātnes nozarē</w:t>
            </w:r>
            <w:r w:rsidRPr="006806A9">
              <w:rPr>
                <w:rFonts w:ascii="Times New Roman" w:hAnsi="Times New Roman" w:cs="Times New Roman"/>
                <w:sz w:val="24"/>
                <w:szCs w:val="24"/>
              </w:rPr>
              <w:t>.</w:t>
            </w:r>
          </w:p>
          <w:p w14:paraId="540D2B50" w14:textId="69FC1855" w:rsidR="002373AB" w:rsidRPr="006806A9" w:rsidRDefault="002373AB" w:rsidP="006806A9">
            <w:pPr>
              <w:tabs>
                <w:tab w:val="left" w:pos="3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8.2.2. SAM 3.kārtu ir paredzēts īstenot ierobežotas projektu iesniegumu atlases veidā, paredzot finansējumu </w:t>
            </w:r>
            <w:r w:rsidR="00120FB6">
              <w:rPr>
                <w:rFonts w:ascii="Times New Roman" w:hAnsi="Times New Roman" w:cs="Times New Roman"/>
                <w:sz w:val="24"/>
                <w:szCs w:val="24"/>
              </w:rPr>
              <w:t xml:space="preserve">tikai </w:t>
            </w:r>
            <w:r>
              <w:rPr>
                <w:rFonts w:ascii="Times New Roman" w:hAnsi="Times New Roman" w:cs="Times New Roman"/>
                <w:sz w:val="24"/>
                <w:szCs w:val="24"/>
              </w:rPr>
              <w:t xml:space="preserve">tām augstskolām, kurās tiek īstenotas DSP un kas demonstrē atbilstošu sniegumu pētniecībā. </w:t>
            </w:r>
          </w:p>
          <w:p w14:paraId="5603FF79" w14:textId="77777777" w:rsidR="00120FB6" w:rsidRDefault="006806A9" w:rsidP="006806A9">
            <w:pPr>
              <w:tabs>
                <w:tab w:val="left" w:pos="356"/>
              </w:tabs>
              <w:spacing w:after="0" w:line="240" w:lineRule="auto"/>
              <w:jc w:val="both"/>
              <w:rPr>
                <w:rFonts w:ascii="Times New Roman" w:hAnsi="Times New Roman" w:cs="Times New Roman"/>
                <w:sz w:val="24"/>
                <w:szCs w:val="24"/>
              </w:rPr>
            </w:pPr>
            <w:r w:rsidRPr="006806A9">
              <w:rPr>
                <w:rFonts w:ascii="Times New Roman" w:hAnsi="Times New Roman" w:cs="Times New Roman"/>
                <w:sz w:val="24"/>
                <w:szCs w:val="24"/>
              </w:rPr>
              <w:t>Saņemot finansējumu</w:t>
            </w:r>
            <w:r w:rsidR="00895A63">
              <w:rPr>
                <w:rFonts w:ascii="Times New Roman" w:hAnsi="Times New Roman" w:cs="Times New Roman"/>
                <w:sz w:val="24"/>
                <w:szCs w:val="24"/>
              </w:rPr>
              <w:t xml:space="preserve"> 8.2.2.SAM 3.kārtas ietvaros</w:t>
            </w:r>
            <w:r w:rsidRPr="006806A9">
              <w:rPr>
                <w:rFonts w:ascii="Times New Roman" w:hAnsi="Times New Roman" w:cs="Times New Roman"/>
                <w:sz w:val="24"/>
                <w:szCs w:val="24"/>
              </w:rPr>
              <w:t>, augstskolas apņemas sasniegt noteiktus rezultatīvos rādītājus proporcionāli piešķirtajam finansējumam</w:t>
            </w:r>
            <w:r w:rsidR="00120FB6">
              <w:rPr>
                <w:rFonts w:ascii="Times New Roman" w:hAnsi="Times New Roman" w:cs="Times New Roman"/>
                <w:sz w:val="24"/>
                <w:szCs w:val="24"/>
              </w:rPr>
              <w:t>.</w:t>
            </w:r>
          </w:p>
          <w:p w14:paraId="776571CD" w14:textId="77777777" w:rsidR="00120FB6" w:rsidRPr="004E24E7" w:rsidRDefault="00120FB6" w:rsidP="00120FB6">
            <w:pPr>
              <w:tabs>
                <w:tab w:val="left" w:pos="3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Paredzēts, ka doktora grādu iegūst vismaz </w:t>
            </w:r>
            <w:r w:rsidRPr="004E24E7">
              <w:rPr>
                <w:rFonts w:ascii="Times New Roman" w:hAnsi="Times New Roman" w:cs="Times New Roman"/>
                <w:sz w:val="24"/>
                <w:szCs w:val="24"/>
              </w:rPr>
              <w:t xml:space="preserve">60% no ESF atbalstu </w:t>
            </w:r>
            <w:r w:rsidRPr="004E24E7">
              <w:rPr>
                <w:rFonts w:ascii="Times New Roman" w:hAnsi="Times New Roman" w:cs="Times New Roman"/>
                <w:sz w:val="24"/>
                <w:szCs w:val="24"/>
              </w:rPr>
              <w:lastRenderedPageBreak/>
              <w:t>saņēmušo doktorantu skaita, no kuriem  vismaz 60% sešu mēnešu laikā pēc grāda iegūšanas jāstrādā par akadēmisko personālu augstākās izglītības institūcijā.</w:t>
            </w:r>
          </w:p>
          <w:p w14:paraId="09CBC6F4" w14:textId="77777777" w:rsidR="00120FB6" w:rsidRDefault="00120FB6" w:rsidP="00120FB6">
            <w:pPr>
              <w:tabs>
                <w:tab w:val="left" w:pos="356"/>
              </w:tabs>
              <w:spacing w:after="0" w:line="240" w:lineRule="auto"/>
              <w:jc w:val="both"/>
              <w:rPr>
                <w:rFonts w:ascii="Times New Roman" w:hAnsi="Times New Roman" w:cs="Times New Roman"/>
                <w:sz w:val="24"/>
                <w:szCs w:val="24"/>
              </w:rPr>
            </w:pPr>
            <w:r w:rsidRPr="004E24E7">
              <w:rPr>
                <w:rFonts w:ascii="Times New Roman" w:hAnsi="Times New Roman" w:cs="Times New Roman"/>
                <w:sz w:val="24"/>
                <w:szCs w:val="24"/>
              </w:rPr>
              <w:t>Trešās kārtas ietvaros plānots atbalsts 340 doktorantiem, paredzot, ka no tiem vismaz 204 iegūs doktora grādu, no kuriem 122</w:t>
            </w:r>
            <w:r>
              <w:rPr>
                <w:rFonts w:ascii="Times New Roman" w:hAnsi="Times New Roman" w:cs="Times New Roman"/>
                <w:sz w:val="24"/>
                <w:szCs w:val="24"/>
              </w:rPr>
              <w:t xml:space="preserve"> sešu mēnešu laikā strādās par akadēmisko personālu augstākās izglītības institūcijās.</w:t>
            </w:r>
          </w:p>
          <w:p w14:paraId="23719122" w14:textId="77777777" w:rsidR="00120FB6" w:rsidRDefault="00120FB6" w:rsidP="00120FB6">
            <w:pPr>
              <w:tabs>
                <w:tab w:val="left" w:pos="3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Tiek plānots, ka pateicoties 8.2.2.SAM 3.kārtas atbalstam tiks </w:t>
            </w:r>
            <w:r w:rsidRPr="004E24E7">
              <w:rPr>
                <w:rFonts w:ascii="Times New Roman" w:hAnsi="Times New Roman" w:cs="Times New Roman"/>
                <w:sz w:val="24"/>
                <w:szCs w:val="24"/>
              </w:rPr>
              <w:t xml:space="preserve">aizstāvēti 204 promocijas darbi un publicētas apmēram 400 starptautiski nozīmīgas publikācijas (publikācijas zinātniskos žurnālos, kas indeksēti </w:t>
            </w:r>
            <w:r w:rsidRPr="004E24E7">
              <w:rPr>
                <w:rFonts w:ascii="Times New Roman" w:hAnsi="Times New Roman" w:cs="Times New Roman"/>
                <w:i/>
                <w:sz w:val="24"/>
                <w:szCs w:val="24"/>
              </w:rPr>
              <w:t>Scopus</w:t>
            </w:r>
            <w:r w:rsidRPr="004E24E7">
              <w:rPr>
                <w:rFonts w:ascii="Times New Roman" w:hAnsi="Times New Roman" w:cs="Times New Roman"/>
                <w:sz w:val="24"/>
                <w:szCs w:val="24"/>
              </w:rPr>
              <w:t xml:space="preserve"> vai </w:t>
            </w:r>
            <w:r w:rsidRPr="004E24E7">
              <w:rPr>
                <w:rFonts w:ascii="Times New Roman" w:hAnsi="Times New Roman" w:cs="Times New Roman"/>
                <w:i/>
                <w:sz w:val="24"/>
                <w:szCs w:val="24"/>
              </w:rPr>
              <w:t>WoS Core Collection</w:t>
            </w:r>
            <w:r w:rsidRPr="004E24E7">
              <w:rPr>
                <w:rFonts w:ascii="Times New Roman" w:hAnsi="Times New Roman" w:cs="Times New Roman"/>
                <w:sz w:val="24"/>
                <w:szCs w:val="24"/>
              </w:rPr>
              <w:t xml:space="preserve"> datu bāzē, sociālajās, humanitārajās un mākslas zinātnēs zinātniskās publikācijas arī žurnālos, kas indeksēti </w:t>
            </w:r>
            <w:r w:rsidRPr="004E24E7">
              <w:rPr>
                <w:rFonts w:ascii="Times New Roman" w:hAnsi="Times New Roman" w:cs="Times New Roman"/>
                <w:i/>
                <w:sz w:val="24"/>
                <w:szCs w:val="24"/>
              </w:rPr>
              <w:t>ERIH+</w:t>
            </w:r>
            <w:r w:rsidRPr="004E24E7">
              <w:rPr>
                <w:rFonts w:ascii="Times New Roman" w:hAnsi="Times New Roman" w:cs="Times New Roman"/>
                <w:sz w:val="24"/>
                <w:szCs w:val="24"/>
              </w:rPr>
              <w:t>).</w:t>
            </w:r>
          </w:p>
          <w:p w14:paraId="21CCFAEA" w14:textId="7E8D17D5" w:rsidR="00895A63" w:rsidRDefault="00120FB6" w:rsidP="006806A9">
            <w:pPr>
              <w:tabs>
                <w:tab w:val="left" w:pos="3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Tāpat trešās kārtas ietvaros ir paredzēts turpināt atbalstu ārvalstu akadēmiskā personāla piesaistei doktora studiju programmu īstenošanai. </w:t>
            </w:r>
            <w:r w:rsidRPr="002B1D00">
              <w:rPr>
                <w:rFonts w:ascii="Times New Roman" w:hAnsi="Times New Roman" w:cs="Times New Roman"/>
                <w:sz w:val="24"/>
                <w:szCs w:val="24"/>
              </w:rPr>
              <w:t>Eiropas Sociālā fonda atbalst</w:t>
            </w:r>
            <w:r>
              <w:rPr>
                <w:rFonts w:ascii="Times New Roman" w:hAnsi="Times New Roman" w:cs="Times New Roman"/>
                <w:sz w:val="24"/>
                <w:szCs w:val="24"/>
              </w:rPr>
              <w:t>s</w:t>
            </w:r>
            <w:r w:rsidRPr="002B1D00">
              <w:rPr>
                <w:rFonts w:ascii="Times New Roman" w:hAnsi="Times New Roman" w:cs="Times New Roman"/>
                <w:sz w:val="24"/>
                <w:szCs w:val="24"/>
              </w:rPr>
              <w:t xml:space="preserve"> darbam augstākās izglītības institūcijā </w:t>
            </w:r>
            <w:r>
              <w:rPr>
                <w:rFonts w:ascii="Times New Roman" w:hAnsi="Times New Roman" w:cs="Times New Roman"/>
                <w:sz w:val="24"/>
                <w:szCs w:val="24"/>
              </w:rPr>
              <w:t xml:space="preserve">plānots ap 30 </w:t>
            </w:r>
            <w:r w:rsidRPr="002B1D00">
              <w:rPr>
                <w:rFonts w:ascii="Times New Roman" w:hAnsi="Times New Roman" w:cs="Times New Roman"/>
                <w:sz w:val="24"/>
                <w:szCs w:val="24"/>
              </w:rPr>
              <w:t>ārvalstu pasniedzēj</w:t>
            </w:r>
            <w:r>
              <w:rPr>
                <w:rFonts w:ascii="Times New Roman" w:hAnsi="Times New Roman" w:cs="Times New Roman"/>
                <w:sz w:val="24"/>
                <w:szCs w:val="24"/>
              </w:rPr>
              <w:t>iem, no kuriem daļa</w:t>
            </w:r>
            <w:r>
              <w:t xml:space="preserve"> </w:t>
            </w:r>
            <w:r w:rsidRPr="002B1D00">
              <w:rPr>
                <w:rFonts w:ascii="Times New Roman" w:hAnsi="Times New Roman" w:cs="Times New Roman"/>
                <w:sz w:val="24"/>
                <w:szCs w:val="24"/>
              </w:rPr>
              <w:t>sešu mēnešu lai</w:t>
            </w:r>
            <w:r>
              <w:rPr>
                <w:rFonts w:ascii="Times New Roman" w:hAnsi="Times New Roman" w:cs="Times New Roman"/>
                <w:sz w:val="24"/>
                <w:szCs w:val="24"/>
              </w:rPr>
              <w:t xml:space="preserve">kā pēc atbalsta beigām turpinātu </w:t>
            </w:r>
            <w:r w:rsidRPr="002B1D00">
              <w:rPr>
                <w:rFonts w:ascii="Times New Roman" w:hAnsi="Times New Roman" w:cs="Times New Roman"/>
                <w:sz w:val="24"/>
                <w:szCs w:val="24"/>
              </w:rPr>
              <w:t>akadēmisko darbu Latvijas augstākās izglītības institūcijā</w:t>
            </w:r>
            <w:r>
              <w:rPr>
                <w:rFonts w:ascii="Times New Roman" w:hAnsi="Times New Roman" w:cs="Times New Roman"/>
                <w:sz w:val="24"/>
                <w:szCs w:val="24"/>
              </w:rPr>
              <w:t>.</w:t>
            </w:r>
            <w:r w:rsidRPr="002B1D00">
              <w:rPr>
                <w:rFonts w:ascii="Times New Roman" w:hAnsi="Times New Roman" w:cs="Times New Roman"/>
                <w:sz w:val="24"/>
                <w:szCs w:val="24"/>
              </w:rPr>
              <w:t xml:space="preserve"> </w:t>
            </w:r>
          </w:p>
          <w:p w14:paraId="5DFB1783" w14:textId="49515182" w:rsidR="00D81F35" w:rsidRDefault="00D81F35" w:rsidP="00D81F35">
            <w:pPr>
              <w:tabs>
                <w:tab w:val="left" w:pos="3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Noteikumu projekta </w:t>
            </w:r>
            <w:r w:rsidRPr="00141F3A">
              <w:rPr>
                <w:rFonts w:ascii="Times New Roman" w:hAnsi="Times New Roman" w:cs="Times New Roman"/>
                <w:b/>
                <w:sz w:val="24"/>
                <w:szCs w:val="24"/>
              </w:rPr>
              <w:t>1.punkts</w:t>
            </w:r>
            <w:r>
              <w:rPr>
                <w:rFonts w:ascii="Times New Roman" w:hAnsi="Times New Roman" w:cs="Times New Roman"/>
                <w:sz w:val="24"/>
                <w:szCs w:val="24"/>
              </w:rPr>
              <w:t xml:space="preserve"> paredz papildināt </w:t>
            </w:r>
            <w:r w:rsidRPr="00D81F35">
              <w:rPr>
                <w:rFonts w:ascii="Times New Roman" w:hAnsi="Times New Roman" w:cs="Times New Roman"/>
                <w:sz w:val="24"/>
                <w:szCs w:val="24"/>
              </w:rPr>
              <w:t>Ministru kabineta 2018. gada 9. janvāra noteikum</w:t>
            </w:r>
            <w:r>
              <w:rPr>
                <w:rFonts w:ascii="Times New Roman" w:hAnsi="Times New Roman" w:cs="Times New Roman"/>
                <w:sz w:val="24"/>
                <w:szCs w:val="24"/>
              </w:rPr>
              <w:t>u</w:t>
            </w:r>
            <w:r w:rsidRPr="00D81F35">
              <w:rPr>
                <w:rFonts w:ascii="Times New Roman" w:hAnsi="Times New Roman" w:cs="Times New Roman"/>
                <w:sz w:val="24"/>
                <w:szCs w:val="24"/>
              </w:rPr>
              <w:t xml:space="preserve"> Nr. 25 "Darbības programmas "Izaugsme un nodarbinātība" 8.2.2. specifiskā atbalsta mērķa "Stiprināt augstākās izglītības institūciju akadēmisko personālu stratēģiskās specializācijas jomās" pirmās, otrās un trešās projektu iesniegumu atlases kārtas īstenošanas noteikumi</w:t>
            </w:r>
            <w:r>
              <w:rPr>
                <w:rFonts w:ascii="Times New Roman" w:hAnsi="Times New Roman" w:cs="Times New Roman"/>
                <w:sz w:val="24"/>
                <w:szCs w:val="24"/>
              </w:rPr>
              <w:t>” (</w:t>
            </w:r>
            <w:r w:rsidR="00D84AB4">
              <w:rPr>
                <w:rFonts w:ascii="Times New Roman" w:hAnsi="Times New Roman" w:cs="Times New Roman"/>
                <w:sz w:val="24"/>
                <w:szCs w:val="24"/>
              </w:rPr>
              <w:t xml:space="preserve">turpmāk - </w:t>
            </w:r>
            <w:r>
              <w:rPr>
                <w:rFonts w:ascii="Times New Roman" w:hAnsi="Times New Roman" w:cs="Times New Roman"/>
                <w:sz w:val="24"/>
                <w:szCs w:val="24"/>
              </w:rPr>
              <w:t>noteikumi Nr.25) 1.4.apakšpunktu</w:t>
            </w:r>
            <w:r w:rsidR="00141F3A">
              <w:rPr>
                <w:rFonts w:ascii="Times New Roman" w:hAnsi="Times New Roman" w:cs="Times New Roman"/>
                <w:sz w:val="24"/>
                <w:szCs w:val="24"/>
              </w:rPr>
              <w:t xml:space="preserve"> ar iespēju projektu īstenot sadarbībā ar </w:t>
            </w:r>
            <w:r w:rsidR="00141F3A" w:rsidRPr="00141F3A">
              <w:rPr>
                <w:rFonts w:ascii="Times New Roman" w:hAnsi="Times New Roman" w:cs="Times New Roman"/>
                <w:sz w:val="24"/>
                <w:szCs w:val="24"/>
              </w:rPr>
              <w:t xml:space="preserve"> zinātnisko institūciju, citu augstākās izglītības institūciju vai komersantu, tas ir</w:t>
            </w:r>
            <w:r w:rsidR="00141F3A">
              <w:rPr>
                <w:rFonts w:ascii="Times New Roman" w:hAnsi="Times New Roman" w:cs="Times New Roman"/>
                <w:sz w:val="24"/>
                <w:szCs w:val="24"/>
              </w:rPr>
              <w:t>,</w:t>
            </w:r>
            <w:r w:rsidR="00141F3A" w:rsidRPr="00141F3A">
              <w:rPr>
                <w:rFonts w:ascii="Times New Roman" w:hAnsi="Times New Roman" w:cs="Times New Roman"/>
                <w:sz w:val="24"/>
                <w:szCs w:val="24"/>
              </w:rPr>
              <w:t xml:space="preserve"> ar institūciju, kas ir iesaistīta doktora līmeņa studiju īstenošanā projekta iesniedzēja augstskolā</w:t>
            </w:r>
            <w:r w:rsidR="00141F3A">
              <w:rPr>
                <w:rFonts w:ascii="Times New Roman" w:hAnsi="Times New Roman" w:cs="Times New Roman"/>
                <w:sz w:val="24"/>
                <w:szCs w:val="24"/>
              </w:rPr>
              <w:t xml:space="preserve">. </w:t>
            </w:r>
          </w:p>
          <w:p w14:paraId="2EE4C768" w14:textId="1DBF6ACD" w:rsidR="00D81F35" w:rsidRDefault="00D81F35" w:rsidP="00D81F35">
            <w:pPr>
              <w:tabs>
                <w:tab w:val="left" w:pos="3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Noteikumu projekta </w:t>
            </w:r>
            <w:r w:rsidRPr="00141F3A">
              <w:rPr>
                <w:rFonts w:ascii="Times New Roman" w:hAnsi="Times New Roman" w:cs="Times New Roman"/>
                <w:b/>
                <w:sz w:val="24"/>
                <w:szCs w:val="24"/>
              </w:rPr>
              <w:t>2.punkts</w:t>
            </w:r>
            <w:r>
              <w:rPr>
                <w:rFonts w:ascii="Times New Roman" w:hAnsi="Times New Roman" w:cs="Times New Roman"/>
                <w:sz w:val="24"/>
                <w:szCs w:val="24"/>
              </w:rPr>
              <w:t xml:space="preserve"> paredz papildināt MK noteikumus Nr.25 ar jauniem terminiem</w:t>
            </w:r>
            <w:r w:rsidR="005B6D56">
              <w:rPr>
                <w:rFonts w:ascii="Times New Roman" w:hAnsi="Times New Roman" w:cs="Times New Roman"/>
                <w:sz w:val="24"/>
                <w:szCs w:val="24"/>
              </w:rPr>
              <w:t>, kas definē:</w:t>
            </w:r>
          </w:p>
          <w:p w14:paraId="4C3609A0" w14:textId="5003FC5B" w:rsidR="005B6D56" w:rsidRDefault="00B738EF" w:rsidP="00B738EF">
            <w:pPr>
              <w:pStyle w:val="ListParagraph"/>
              <w:numPr>
                <w:ilvl w:val="0"/>
                <w:numId w:val="12"/>
              </w:numPr>
              <w:tabs>
                <w:tab w:val="left" w:pos="356"/>
              </w:tabs>
              <w:spacing w:after="0" w:line="240" w:lineRule="auto"/>
              <w:jc w:val="both"/>
              <w:rPr>
                <w:rFonts w:ascii="Times New Roman" w:hAnsi="Times New Roman"/>
                <w:sz w:val="24"/>
                <w:szCs w:val="24"/>
              </w:rPr>
            </w:pPr>
            <w:r w:rsidRPr="00B738EF">
              <w:rPr>
                <w:rFonts w:ascii="Times New Roman" w:hAnsi="Times New Roman"/>
                <w:sz w:val="24"/>
                <w:szCs w:val="24"/>
              </w:rPr>
              <w:t>doktora studiju programmas attīstības plān</w:t>
            </w:r>
            <w:r>
              <w:rPr>
                <w:rFonts w:ascii="Times New Roman" w:hAnsi="Times New Roman"/>
                <w:sz w:val="24"/>
                <w:szCs w:val="24"/>
              </w:rPr>
              <w:t>s</w:t>
            </w:r>
            <w:r w:rsidRPr="00B738EF">
              <w:rPr>
                <w:rFonts w:ascii="Times New Roman" w:hAnsi="Times New Roman"/>
                <w:sz w:val="24"/>
                <w:szCs w:val="24"/>
              </w:rPr>
              <w:t xml:space="preserve"> jaunā doktorantūras modeļa  ieviešanai</w:t>
            </w:r>
            <w:r>
              <w:rPr>
                <w:rFonts w:ascii="Times New Roman" w:hAnsi="Times New Roman"/>
                <w:sz w:val="24"/>
                <w:szCs w:val="24"/>
              </w:rPr>
              <w:t xml:space="preserve">, </w:t>
            </w:r>
            <w:r w:rsidR="005B6D56">
              <w:rPr>
                <w:rFonts w:ascii="Times New Roman" w:hAnsi="Times New Roman"/>
                <w:sz w:val="24"/>
                <w:szCs w:val="24"/>
              </w:rPr>
              <w:t>atbilstoši konceptuālajā ziņojumā noteiktajam, kā arī nosakot informāciju, kas iekļaujam</w:t>
            </w:r>
            <w:r w:rsidR="00B2353F">
              <w:rPr>
                <w:rFonts w:ascii="Times New Roman" w:hAnsi="Times New Roman"/>
                <w:sz w:val="24"/>
                <w:szCs w:val="24"/>
              </w:rPr>
              <w:t>a</w:t>
            </w:r>
            <w:r w:rsidR="005B6D56">
              <w:rPr>
                <w:rFonts w:ascii="Times New Roman" w:hAnsi="Times New Roman"/>
                <w:sz w:val="24"/>
                <w:szCs w:val="24"/>
              </w:rPr>
              <w:t xml:space="preserve"> </w:t>
            </w:r>
            <w:r w:rsidR="005B6D56">
              <w:t xml:space="preserve"> </w:t>
            </w:r>
            <w:r w:rsidR="00B2353F">
              <w:rPr>
                <w:rFonts w:ascii="Times New Roman" w:hAnsi="Times New Roman"/>
                <w:sz w:val="24"/>
                <w:szCs w:val="24"/>
              </w:rPr>
              <w:t>augstskolas</w:t>
            </w:r>
            <w:r w:rsidR="005B6D56" w:rsidRPr="005B6D56">
              <w:rPr>
                <w:rFonts w:ascii="Times New Roman" w:hAnsi="Times New Roman"/>
                <w:sz w:val="24"/>
                <w:szCs w:val="24"/>
              </w:rPr>
              <w:t xml:space="preserve"> </w:t>
            </w:r>
            <w:r w:rsidR="00BE743C">
              <w:rPr>
                <w:rFonts w:ascii="Times New Roman" w:hAnsi="Times New Roman"/>
                <w:sz w:val="24"/>
                <w:szCs w:val="24"/>
              </w:rPr>
              <w:t xml:space="preserve">DSP </w:t>
            </w:r>
            <w:r w:rsidR="005B6D56">
              <w:rPr>
                <w:rFonts w:ascii="Times New Roman" w:hAnsi="Times New Roman"/>
                <w:sz w:val="24"/>
                <w:szCs w:val="24"/>
              </w:rPr>
              <w:t xml:space="preserve">attīstības </w:t>
            </w:r>
            <w:r>
              <w:rPr>
                <w:rFonts w:ascii="Times New Roman" w:hAnsi="Times New Roman"/>
                <w:sz w:val="24"/>
                <w:szCs w:val="24"/>
              </w:rPr>
              <w:t>plānā</w:t>
            </w:r>
            <w:r w:rsidR="005B6D56">
              <w:rPr>
                <w:rFonts w:ascii="Times New Roman" w:hAnsi="Times New Roman"/>
                <w:sz w:val="24"/>
                <w:szCs w:val="24"/>
              </w:rPr>
              <w:t>;</w:t>
            </w:r>
          </w:p>
          <w:p w14:paraId="060FB2D2" w14:textId="7BC1A606" w:rsidR="005B6D56" w:rsidRDefault="005B6D56" w:rsidP="00123F56">
            <w:pPr>
              <w:pStyle w:val="ListParagraph"/>
              <w:numPr>
                <w:ilvl w:val="0"/>
                <w:numId w:val="12"/>
              </w:numPr>
              <w:tabs>
                <w:tab w:val="left" w:pos="356"/>
              </w:tabs>
              <w:spacing w:after="0" w:line="240" w:lineRule="auto"/>
              <w:jc w:val="both"/>
              <w:rPr>
                <w:rFonts w:ascii="Times New Roman" w:hAnsi="Times New Roman"/>
                <w:sz w:val="24"/>
                <w:szCs w:val="24"/>
              </w:rPr>
            </w:pPr>
            <w:r>
              <w:rPr>
                <w:rFonts w:ascii="Times New Roman" w:hAnsi="Times New Roman"/>
                <w:sz w:val="24"/>
                <w:szCs w:val="24"/>
              </w:rPr>
              <w:t>projekta sadarbības partnerus</w:t>
            </w:r>
            <w:r w:rsidR="00123F56">
              <w:rPr>
                <w:rFonts w:ascii="Times New Roman" w:hAnsi="Times New Roman"/>
                <w:sz w:val="24"/>
                <w:szCs w:val="24"/>
              </w:rPr>
              <w:t>, kas ir iesaistīti</w:t>
            </w:r>
            <w:r w:rsidR="00123F56">
              <w:t xml:space="preserve"> </w:t>
            </w:r>
            <w:r w:rsidR="00123F56" w:rsidRPr="00123F56">
              <w:rPr>
                <w:rFonts w:ascii="Times New Roman" w:hAnsi="Times New Roman"/>
                <w:sz w:val="24"/>
                <w:szCs w:val="24"/>
              </w:rPr>
              <w:t xml:space="preserve">projekta īstenotāju </w:t>
            </w:r>
            <w:r w:rsidR="00141F3A">
              <w:rPr>
                <w:rFonts w:ascii="Times New Roman" w:hAnsi="Times New Roman"/>
                <w:sz w:val="24"/>
                <w:szCs w:val="24"/>
              </w:rPr>
              <w:t>īstenotās</w:t>
            </w:r>
            <w:r w:rsidR="00123F56">
              <w:rPr>
                <w:rFonts w:ascii="Times New Roman" w:hAnsi="Times New Roman"/>
                <w:sz w:val="24"/>
                <w:szCs w:val="24"/>
              </w:rPr>
              <w:t xml:space="preserve"> </w:t>
            </w:r>
            <w:r w:rsidR="00123F56" w:rsidRPr="00123F56">
              <w:rPr>
                <w:rFonts w:ascii="Times New Roman" w:hAnsi="Times New Roman"/>
                <w:sz w:val="24"/>
                <w:szCs w:val="24"/>
              </w:rPr>
              <w:t>doktora līmeņa studij</w:t>
            </w:r>
            <w:r w:rsidR="00123F56">
              <w:rPr>
                <w:rFonts w:ascii="Times New Roman" w:hAnsi="Times New Roman"/>
                <w:sz w:val="24"/>
                <w:szCs w:val="24"/>
              </w:rPr>
              <w:t>ās</w:t>
            </w:r>
            <w:r w:rsidR="004C5F2E">
              <w:rPr>
                <w:rFonts w:ascii="Times New Roman" w:hAnsi="Times New Roman"/>
                <w:sz w:val="24"/>
                <w:szCs w:val="24"/>
              </w:rPr>
              <w:t>;</w:t>
            </w:r>
            <w:r w:rsidR="00123F56">
              <w:rPr>
                <w:rFonts w:ascii="Times New Roman" w:hAnsi="Times New Roman"/>
                <w:sz w:val="24"/>
                <w:szCs w:val="24"/>
              </w:rPr>
              <w:t xml:space="preserve"> </w:t>
            </w:r>
            <w:r w:rsidR="004C5F2E">
              <w:rPr>
                <w:rFonts w:ascii="Times New Roman" w:hAnsi="Times New Roman"/>
                <w:sz w:val="24"/>
                <w:szCs w:val="24"/>
              </w:rPr>
              <w:t>tiek plānots</w:t>
            </w:r>
            <w:r w:rsidR="00123F56">
              <w:rPr>
                <w:rFonts w:ascii="Times New Roman" w:hAnsi="Times New Roman"/>
                <w:sz w:val="24"/>
                <w:szCs w:val="24"/>
              </w:rPr>
              <w:t xml:space="preserve">, ka sadarbības partneru izvērtēšana notiks </w:t>
            </w:r>
            <w:r w:rsidR="00BE743C">
              <w:rPr>
                <w:rFonts w:ascii="Times New Roman" w:hAnsi="Times New Roman"/>
                <w:sz w:val="24"/>
                <w:szCs w:val="24"/>
              </w:rPr>
              <w:t xml:space="preserve">ministrijas </w:t>
            </w:r>
            <w:r w:rsidR="00123F56">
              <w:rPr>
                <w:rFonts w:ascii="Times New Roman" w:hAnsi="Times New Roman"/>
                <w:sz w:val="24"/>
                <w:szCs w:val="24"/>
              </w:rPr>
              <w:t>augstāko izglītības iestāžu stratēģiju vērtēšanas komisijā, līdz ar to papildus prasības sadarbības partneru izvēlei nav iekļautas noteikumu projektā.</w:t>
            </w:r>
          </w:p>
          <w:p w14:paraId="2914EFC5" w14:textId="77777777" w:rsidR="004A7AC6" w:rsidRDefault="00123F56" w:rsidP="00915362">
            <w:pPr>
              <w:pStyle w:val="ListParagraph"/>
              <w:numPr>
                <w:ilvl w:val="0"/>
                <w:numId w:val="12"/>
              </w:numPr>
              <w:tabs>
                <w:tab w:val="left" w:pos="356"/>
              </w:tabs>
              <w:spacing w:after="0" w:line="240" w:lineRule="auto"/>
              <w:jc w:val="both"/>
              <w:rPr>
                <w:rFonts w:ascii="Times New Roman" w:hAnsi="Times New Roman"/>
                <w:sz w:val="24"/>
                <w:szCs w:val="24"/>
              </w:rPr>
            </w:pPr>
            <w:r w:rsidRPr="00123F56">
              <w:rPr>
                <w:rFonts w:ascii="Times New Roman" w:hAnsi="Times New Roman"/>
                <w:sz w:val="24"/>
                <w:szCs w:val="24"/>
              </w:rPr>
              <w:t>augstākās izglītības institūcijas sadarbības kārtīb</w:t>
            </w:r>
            <w:r>
              <w:rPr>
                <w:rFonts w:ascii="Times New Roman" w:hAnsi="Times New Roman"/>
                <w:sz w:val="24"/>
                <w:szCs w:val="24"/>
              </w:rPr>
              <w:t>u</w:t>
            </w:r>
            <w:r w:rsidRPr="00123F56">
              <w:rPr>
                <w:rFonts w:ascii="Times New Roman" w:hAnsi="Times New Roman"/>
                <w:sz w:val="24"/>
                <w:szCs w:val="24"/>
              </w:rPr>
              <w:t xml:space="preserve"> ar </w:t>
            </w:r>
            <w:r>
              <w:rPr>
                <w:rFonts w:ascii="Times New Roman" w:hAnsi="Times New Roman"/>
                <w:sz w:val="24"/>
                <w:szCs w:val="24"/>
              </w:rPr>
              <w:t>projekta sadarbības partneriem, kas tiks vērt</w:t>
            </w:r>
            <w:r w:rsidR="00D57158">
              <w:rPr>
                <w:rFonts w:ascii="Times New Roman" w:hAnsi="Times New Roman"/>
                <w:sz w:val="24"/>
                <w:szCs w:val="24"/>
              </w:rPr>
              <w:t xml:space="preserve">ēta pie projekta iesnieguma, paredzot, ka sadarbības kārtībā tiek </w:t>
            </w:r>
            <w:r w:rsidR="00915362">
              <w:rPr>
                <w:rFonts w:ascii="Times New Roman" w:hAnsi="Times New Roman"/>
                <w:sz w:val="24"/>
                <w:szCs w:val="24"/>
              </w:rPr>
              <w:t xml:space="preserve">iekļauta </w:t>
            </w:r>
            <w:r w:rsidR="00915362" w:rsidRPr="00915362">
              <w:rPr>
                <w:rFonts w:ascii="Times New Roman" w:hAnsi="Times New Roman"/>
                <w:sz w:val="24"/>
                <w:szCs w:val="24"/>
              </w:rPr>
              <w:t>informācij</w:t>
            </w:r>
            <w:r w:rsidR="00915362">
              <w:rPr>
                <w:rFonts w:ascii="Times New Roman" w:hAnsi="Times New Roman"/>
                <w:sz w:val="24"/>
                <w:szCs w:val="24"/>
              </w:rPr>
              <w:t>a</w:t>
            </w:r>
            <w:r w:rsidR="00915362" w:rsidRPr="00915362">
              <w:rPr>
                <w:rFonts w:ascii="Times New Roman" w:hAnsi="Times New Roman"/>
                <w:sz w:val="24"/>
                <w:szCs w:val="24"/>
              </w:rPr>
              <w:t xml:space="preserve"> saskaņā ar normatīvo aktu par kārtību, kādā Eiropas Savienības struktūrfondu un Kohēzijas fondu vadībā iesaistītās institūcijas nodrošina plānošanas dokumentu sagatavošanu un šo fondu ieviešanu 2014.–2020. gada plānošanas periodā, kā arī ir atrunāts savstarpēj</w:t>
            </w:r>
            <w:r w:rsidR="004E24E7">
              <w:rPr>
                <w:rFonts w:ascii="Times New Roman" w:hAnsi="Times New Roman"/>
                <w:sz w:val="24"/>
                <w:szCs w:val="24"/>
              </w:rPr>
              <w:t>ā norēķinu kārtība</w:t>
            </w:r>
            <w:r w:rsidR="00915362" w:rsidRPr="00915362">
              <w:rPr>
                <w:rFonts w:ascii="Times New Roman" w:hAnsi="Times New Roman"/>
                <w:sz w:val="24"/>
                <w:szCs w:val="24"/>
              </w:rPr>
              <w:t xml:space="preserve"> un sadarbība starp projekta iesniedzēja centralizēto struktūrvienību, kas organizē doktora līmeņa studijas, zinātnisko institūciju, citu augstākās izglītības </w:t>
            </w:r>
            <w:r w:rsidR="00915362" w:rsidRPr="00915362">
              <w:rPr>
                <w:rFonts w:ascii="Times New Roman" w:hAnsi="Times New Roman"/>
                <w:sz w:val="24"/>
                <w:szCs w:val="24"/>
              </w:rPr>
              <w:lastRenderedPageBreak/>
              <w:t>institūciju vai komersantu.</w:t>
            </w:r>
          </w:p>
          <w:p w14:paraId="5C38728E" w14:textId="03D6FCEF" w:rsidR="00123F56" w:rsidRDefault="004A7AC6" w:rsidP="004A7AC6">
            <w:pPr>
              <w:pStyle w:val="ListParagraph"/>
              <w:numPr>
                <w:ilvl w:val="0"/>
                <w:numId w:val="12"/>
              </w:numPr>
              <w:tabs>
                <w:tab w:val="left" w:pos="356"/>
              </w:tabs>
              <w:spacing w:after="0" w:line="240" w:lineRule="auto"/>
              <w:jc w:val="both"/>
              <w:rPr>
                <w:rFonts w:ascii="Times New Roman" w:hAnsi="Times New Roman"/>
                <w:sz w:val="24"/>
                <w:szCs w:val="24"/>
              </w:rPr>
            </w:pPr>
            <w:r w:rsidRPr="004A7AC6">
              <w:rPr>
                <w:rFonts w:ascii="Times New Roman" w:hAnsi="Times New Roman"/>
                <w:sz w:val="24"/>
                <w:szCs w:val="24"/>
              </w:rPr>
              <w:t>darbība</w:t>
            </w:r>
            <w:r>
              <w:rPr>
                <w:rFonts w:ascii="Times New Roman" w:hAnsi="Times New Roman"/>
                <w:sz w:val="24"/>
                <w:szCs w:val="24"/>
              </w:rPr>
              <w:t>s</w:t>
            </w:r>
            <w:r w:rsidRPr="004A7AC6">
              <w:rPr>
                <w:rFonts w:ascii="Times New Roman" w:hAnsi="Times New Roman"/>
                <w:sz w:val="24"/>
                <w:szCs w:val="24"/>
              </w:rPr>
              <w:t>, kur</w:t>
            </w:r>
            <w:r>
              <w:rPr>
                <w:rFonts w:ascii="Times New Roman" w:hAnsi="Times New Roman"/>
                <w:sz w:val="24"/>
                <w:szCs w:val="24"/>
              </w:rPr>
              <w:t xml:space="preserve">ām </w:t>
            </w:r>
            <w:r w:rsidRPr="004A7AC6">
              <w:rPr>
                <w:rFonts w:ascii="Times New Roman" w:hAnsi="Times New Roman"/>
                <w:sz w:val="24"/>
                <w:szCs w:val="24"/>
              </w:rPr>
              <w:t>nav saimnieciska rakstura</w:t>
            </w:r>
            <w:r>
              <w:rPr>
                <w:rFonts w:ascii="Times New Roman" w:hAnsi="Times New Roman"/>
                <w:sz w:val="24"/>
                <w:szCs w:val="24"/>
              </w:rPr>
              <w:t>.</w:t>
            </w:r>
          </w:p>
          <w:p w14:paraId="6E5137C8" w14:textId="61930B90" w:rsidR="00D57158" w:rsidRDefault="00D57158" w:rsidP="00D84AB4">
            <w:pPr>
              <w:tabs>
                <w:tab w:val="left" w:pos="356"/>
              </w:tabs>
              <w:spacing w:after="0" w:line="240" w:lineRule="auto"/>
              <w:jc w:val="both"/>
              <w:rPr>
                <w:rFonts w:ascii="Times New Roman" w:hAnsi="Times New Roman" w:cs="Times New Roman"/>
                <w:sz w:val="24"/>
                <w:szCs w:val="24"/>
              </w:rPr>
            </w:pPr>
            <w:r>
              <w:rPr>
                <w:rFonts w:ascii="Times New Roman" w:hAnsi="Times New Roman"/>
                <w:sz w:val="24"/>
                <w:szCs w:val="24"/>
              </w:rPr>
              <w:t xml:space="preserve">Noteikumu projekta </w:t>
            </w:r>
            <w:r w:rsidR="00D84AB4" w:rsidRPr="0095172A">
              <w:rPr>
                <w:rFonts w:ascii="Times New Roman" w:hAnsi="Times New Roman"/>
                <w:b/>
                <w:sz w:val="24"/>
                <w:szCs w:val="24"/>
              </w:rPr>
              <w:t>3</w:t>
            </w:r>
            <w:r w:rsidRPr="0095172A">
              <w:rPr>
                <w:rFonts w:ascii="Times New Roman" w:hAnsi="Times New Roman"/>
                <w:b/>
                <w:sz w:val="24"/>
                <w:szCs w:val="24"/>
              </w:rPr>
              <w:t>.punkts</w:t>
            </w:r>
            <w:r>
              <w:rPr>
                <w:rFonts w:ascii="Times New Roman" w:hAnsi="Times New Roman"/>
                <w:sz w:val="24"/>
                <w:szCs w:val="24"/>
              </w:rPr>
              <w:t xml:space="preserve"> </w:t>
            </w:r>
            <w:r w:rsidR="00575390">
              <w:rPr>
                <w:rFonts w:ascii="Times New Roman" w:hAnsi="Times New Roman"/>
                <w:sz w:val="24"/>
                <w:szCs w:val="24"/>
              </w:rPr>
              <w:t xml:space="preserve">nosaka </w:t>
            </w:r>
            <w:r>
              <w:rPr>
                <w:rFonts w:ascii="Times New Roman" w:hAnsi="Times New Roman"/>
                <w:sz w:val="24"/>
                <w:szCs w:val="24"/>
              </w:rPr>
              <w:t xml:space="preserve">8.2.2. SAM </w:t>
            </w:r>
            <w:r w:rsidR="00F50387" w:rsidRPr="00D57158">
              <w:rPr>
                <w:rFonts w:ascii="Times New Roman" w:hAnsi="Times New Roman"/>
                <w:sz w:val="24"/>
                <w:szCs w:val="24"/>
              </w:rPr>
              <w:t>pieejamo kopēj</w:t>
            </w:r>
            <w:r w:rsidR="00F50387">
              <w:rPr>
                <w:rFonts w:ascii="Times New Roman" w:hAnsi="Times New Roman"/>
                <w:sz w:val="24"/>
                <w:szCs w:val="24"/>
              </w:rPr>
              <w:t>o</w:t>
            </w:r>
            <w:r w:rsidR="00F50387" w:rsidRPr="00D57158">
              <w:rPr>
                <w:rFonts w:ascii="Times New Roman" w:hAnsi="Times New Roman"/>
                <w:sz w:val="24"/>
                <w:szCs w:val="24"/>
              </w:rPr>
              <w:t xml:space="preserve"> attiecinām</w:t>
            </w:r>
            <w:r w:rsidR="00F50387">
              <w:rPr>
                <w:rFonts w:ascii="Times New Roman" w:hAnsi="Times New Roman"/>
                <w:sz w:val="24"/>
                <w:szCs w:val="24"/>
              </w:rPr>
              <w:t xml:space="preserve">o </w:t>
            </w:r>
            <w:r w:rsidR="00F50387" w:rsidRPr="00D57158">
              <w:rPr>
                <w:rFonts w:ascii="Times New Roman" w:hAnsi="Times New Roman"/>
                <w:sz w:val="24"/>
                <w:szCs w:val="24"/>
              </w:rPr>
              <w:t>finansējum</w:t>
            </w:r>
            <w:r w:rsidR="00F50387">
              <w:rPr>
                <w:rFonts w:ascii="Times New Roman" w:hAnsi="Times New Roman"/>
                <w:sz w:val="24"/>
                <w:szCs w:val="24"/>
              </w:rPr>
              <w:t>u</w:t>
            </w:r>
            <w:r w:rsidR="00D84AB4">
              <w:rPr>
                <w:rFonts w:ascii="Times New Roman" w:hAnsi="Times New Roman"/>
                <w:sz w:val="24"/>
                <w:szCs w:val="24"/>
              </w:rPr>
              <w:t>.</w:t>
            </w:r>
            <w:r w:rsidR="00F50387">
              <w:rPr>
                <w:rFonts w:ascii="Times New Roman" w:hAnsi="Times New Roman"/>
                <w:sz w:val="24"/>
                <w:szCs w:val="24"/>
              </w:rPr>
              <w:t xml:space="preserve"> </w:t>
            </w:r>
          </w:p>
          <w:p w14:paraId="29A2CAB2" w14:textId="19C419CD" w:rsidR="00D84AB4" w:rsidRDefault="00D84AB4" w:rsidP="00D84AB4">
            <w:pPr>
              <w:tabs>
                <w:tab w:val="left" w:pos="356"/>
              </w:tabs>
              <w:spacing w:after="0" w:line="240" w:lineRule="auto"/>
              <w:jc w:val="both"/>
              <w:rPr>
                <w:rFonts w:ascii="Times New Roman" w:hAnsi="Times New Roman"/>
                <w:sz w:val="24"/>
                <w:szCs w:val="24"/>
              </w:rPr>
            </w:pPr>
            <w:r w:rsidRPr="00D84AB4">
              <w:rPr>
                <w:rFonts w:ascii="Times New Roman" w:hAnsi="Times New Roman"/>
                <w:sz w:val="24"/>
                <w:szCs w:val="24"/>
              </w:rPr>
              <w:t xml:space="preserve">Noteikumu projekta </w:t>
            </w:r>
            <w:r w:rsidRPr="0095172A">
              <w:rPr>
                <w:rFonts w:ascii="Times New Roman" w:hAnsi="Times New Roman"/>
                <w:b/>
                <w:sz w:val="24"/>
                <w:szCs w:val="24"/>
              </w:rPr>
              <w:t>4. punkts</w:t>
            </w:r>
            <w:r w:rsidRPr="00D84AB4">
              <w:rPr>
                <w:rFonts w:ascii="Times New Roman" w:hAnsi="Times New Roman"/>
                <w:sz w:val="24"/>
                <w:szCs w:val="24"/>
              </w:rPr>
              <w:t xml:space="preserve"> paredz svītrot noteikumu Nr. </w:t>
            </w:r>
            <w:r>
              <w:rPr>
                <w:rFonts w:ascii="Times New Roman" w:hAnsi="Times New Roman"/>
                <w:sz w:val="24"/>
                <w:szCs w:val="24"/>
              </w:rPr>
              <w:t>25</w:t>
            </w:r>
            <w:r w:rsidRPr="00D84AB4">
              <w:rPr>
                <w:rFonts w:ascii="Times New Roman" w:hAnsi="Times New Roman"/>
                <w:sz w:val="24"/>
                <w:szCs w:val="24"/>
              </w:rPr>
              <w:t xml:space="preserve"> </w:t>
            </w:r>
            <w:r>
              <w:rPr>
                <w:rFonts w:ascii="Times New Roman" w:hAnsi="Times New Roman"/>
                <w:sz w:val="24"/>
                <w:szCs w:val="24"/>
              </w:rPr>
              <w:t>8</w:t>
            </w:r>
            <w:r w:rsidRPr="00D84AB4">
              <w:rPr>
                <w:rFonts w:ascii="Times New Roman" w:hAnsi="Times New Roman"/>
                <w:sz w:val="24"/>
                <w:szCs w:val="24"/>
              </w:rPr>
              <w:t xml:space="preserve">. punktu, </w:t>
            </w:r>
            <w:r w:rsidR="00294413" w:rsidRPr="00294413">
              <w:rPr>
                <w:rFonts w:ascii="Times New Roman" w:hAnsi="Times New Roman"/>
                <w:sz w:val="24"/>
                <w:szCs w:val="24"/>
              </w:rPr>
              <w:t>kas nosaka 8.</w:t>
            </w:r>
            <w:r w:rsidR="00294413">
              <w:rPr>
                <w:rFonts w:ascii="Times New Roman" w:hAnsi="Times New Roman"/>
                <w:sz w:val="24"/>
                <w:szCs w:val="24"/>
              </w:rPr>
              <w:t>2.2.</w:t>
            </w:r>
            <w:r w:rsidR="00294413" w:rsidRPr="00294413">
              <w:rPr>
                <w:rFonts w:ascii="Times New Roman" w:hAnsi="Times New Roman"/>
                <w:sz w:val="24"/>
                <w:szCs w:val="24"/>
              </w:rPr>
              <w:t xml:space="preserve"> SAM projektam pieejamā kopējā attiecināmā finansējuma apmēru vienošanās</w:t>
            </w:r>
            <w:r w:rsidR="00294413">
              <w:rPr>
                <w:rFonts w:ascii="Times New Roman" w:hAnsi="Times New Roman"/>
                <w:sz w:val="24"/>
                <w:szCs w:val="24"/>
              </w:rPr>
              <w:t xml:space="preserve"> vai līguma </w:t>
            </w:r>
            <w:r w:rsidR="00294413" w:rsidRPr="00294413">
              <w:rPr>
                <w:rFonts w:ascii="Times New Roman" w:hAnsi="Times New Roman"/>
                <w:sz w:val="24"/>
                <w:szCs w:val="24"/>
              </w:rPr>
              <w:t xml:space="preserve">par projekta īstenošanu slēgšanai līdz Eiropas Komisijas lēmumam par prioritārajam virzienam “Izglītība, prasmes un mūžizglītība” Eiropas Sociālā fonda noteiktā snieguma ietvara izpildi, ievērojot, ka MK noteikumu Nr. </w:t>
            </w:r>
            <w:r w:rsidR="00294413">
              <w:rPr>
                <w:rFonts w:ascii="Times New Roman" w:hAnsi="Times New Roman"/>
                <w:sz w:val="24"/>
                <w:szCs w:val="24"/>
              </w:rPr>
              <w:t>25</w:t>
            </w:r>
            <w:r w:rsidR="00294413" w:rsidRPr="00294413">
              <w:rPr>
                <w:rFonts w:ascii="Times New Roman" w:hAnsi="Times New Roman"/>
                <w:sz w:val="24"/>
                <w:szCs w:val="24"/>
              </w:rPr>
              <w:t xml:space="preserve"> 8. </w:t>
            </w:r>
            <w:r w:rsidR="00294413">
              <w:rPr>
                <w:rFonts w:ascii="Times New Roman" w:hAnsi="Times New Roman"/>
                <w:sz w:val="24"/>
                <w:szCs w:val="24"/>
              </w:rPr>
              <w:t>punkts zaudējis aktualitāti.</w:t>
            </w:r>
          </w:p>
          <w:p w14:paraId="60BE56EB" w14:textId="75EF09FF" w:rsidR="00D84AB4" w:rsidRDefault="00D84AB4" w:rsidP="00F741EB">
            <w:pPr>
              <w:tabs>
                <w:tab w:val="left" w:pos="356"/>
              </w:tabs>
              <w:spacing w:after="0" w:line="240" w:lineRule="auto"/>
              <w:jc w:val="both"/>
              <w:rPr>
                <w:rFonts w:ascii="Times New Roman" w:hAnsi="Times New Roman"/>
                <w:sz w:val="24"/>
                <w:szCs w:val="24"/>
              </w:rPr>
            </w:pPr>
            <w:r>
              <w:rPr>
                <w:rFonts w:ascii="Times New Roman" w:hAnsi="Times New Roman"/>
                <w:sz w:val="24"/>
                <w:szCs w:val="24"/>
              </w:rPr>
              <w:t xml:space="preserve">Noteikumu projekta </w:t>
            </w:r>
            <w:r w:rsidRPr="0095172A">
              <w:rPr>
                <w:rFonts w:ascii="Times New Roman" w:hAnsi="Times New Roman"/>
                <w:b/>
                <w:sz w:val="24"/>
                <w:szCs w:val="24"/>
              </w:rPr>
              <w:t>5. un 7. punkts</w:t>
            </w:r>
            <w:r>
              <w:rPr>
                <w:rFonts w:ascii="Times New Roman" w:hAnsi="Times New Roman"/>
                <w:sz w:val="24"/>
                <w:szCs w:val="24"/>
              </w:rPr>
              <w:t xml:space="preserve"> paredz </w:t>
            </w:r>
            <w:r w:rsidR="00390228">
              <w:rPr>
                <w:rFonts w:ascii="Times New Roman" w:hAnsi="Times New Roman"/>
                <w:sz w:val="24"/>
                <w:szCs w:val="24"/>
              </w:rPr>
              <w:t xml:space="preserve">izsludināto atlašu </w:t>
            </w:r>
            <w:r w:rsidRPr="00D84AB4">
              <w:rPr>
                <w:rFonts w:ascii="Times New Roman" w:hAnsi="Times New Roman"/>
                <w:sz w:val="24"/>
                <w:szCs w:val="24"/>
              </w:rPr>
              <w:t>neizlieto</w:t>
            </w:r>
            <w:r w:rsidR="00390228">
              <w:rPr>
                <w:rFonts w:ascii="Times New Roman" w:hAnsi="Times New Roman"/>
                <w:sz w:val="24"/>
                <w:szCs w:val="24"/>
              </w:rPr>
              <w:t xml:space="preserve">to </w:t>
            </w:r>
            <w:r w:rsidRPr="00D84AB4">
              <w:rPr>
                <w:rFonts w:ascii="Times New Roman" w:hAnsi="Times New Roman"/>
                <w:sz w:val="24"/>
                <w:szCs w:val="24"/>
              </w:rPr>
              <w:t>finansējum</w:t>
            </w:r>
            <w:r w:rsidR="00DE7E5C">
              <w:rPr>
                <w:rFonts w:ascii="Times New Roman" w:hAnsi="Times New Roman"/>
                <w:sz w:val="24"/>
                <w:szCs w:val="24"/>
              </w:rPr>
              <w:t>u</w:t>
            </w:r>
            <w:r>
              <w:rPr>
                <w:rFonts w:ascii="Times New Roman" w:hAnsi="Times New Roman"/>
                <w:sz w:val="24"/>
                <w:szCs w:val="24"/>
              </w:rPr>
              <w:t xml:space="preserve"> </w:t>
            </w:r>
            <w:r w:rsidR="00390228">
              <w:rPr>
                <w:rFonts w:ascii="Times New Roman" w:hAnsi="Times New Roman"/>
                <w:sz w:val="24"/>
                <w:szCs w:val="24"/>
              </w:rPr>
              <w:t>novirz</w:t>
            </w:r>
            <w:r w:rsidR="00DE7E5C">
              <w:rPr>
                <w:rFonts w:ascii="Times New Roman" w:hAnsi="Times New Roman"/>
                <w:sz w:val="24"/>
                <w:szCs w:val="24"/>
              </w:rPr>
              <w:t>ī</w:t>
            </w:r>
            <w:r w:rsidR="00390228">
              <w:rPr>
                <w:rFonts w:ascii="Times New Roman" w:hAnsi="Times New Roman"/>
                <w:sz w:val="24"/>
                <w:szCs w:val="24"/>
              </w:rPr>
              <w:t>t trešajai atlases kārt</w:t>
            </w:r>
            <w:r w:rsidR="00DD2DDB">
              <w:rPr>
                <w:rFonts w:ascii="Times New Roman" w:hAnsi="Times New Roman"/>
                <w:sz w:val="24"/>
                <w:szCs w:val="24"/>
              </w:rPr>
              <w:t>a</w:t>
            </w:r>
            <w:r w:rsidR="00390228">
              <w:rPr>
                <w:rFonts w:ascii="Times New Roman" w:hAnsi="Times New Roman"/>
                <w:sz w:val="24"/>
                <w:szCs w:val="24"/>
              </w:rPr>
              <w:t xml:space="preserve">i, atbilstoši samazinot </w:t>
            </w:r>
            <w:r>
              <w:rPr>
                <w:rFonts w:ascii="Times New Roman" w:hAnsi="Times New Roman"/>
                <w:sz w:val="24"/>
                <w:szCs w:val="24"/>
              </w:rPr>
              <w:t>p</w:t>
            </w:r>
            <w:r w:rsidRPr="00D84AB4">
              <w:rPr>
                <w:rFonts w:ascii="Times New Roman" w:hAnsi="Times New Roman"/>
                <w:sz w:val="24"/>
                <w:szCs w:val="24"/>
              </w:rPr>
              <w:t xml:space="preserve">irmajai </w:t>
            </w:r>
            <w:r w:rsidR="00390228">
              <w:rPr>
                <w:rFonts w:ascii="Times New Roman" w:hAnsi="Times New Roman"/>
                <w:sz w:val="24"/>
                <w:szCs w:val="24"/>
              </w:rPr>
              <w:t xml:space="preserve">atlases kārtai kopējo pieejamo finansējumu par </w:t>
            </w:r>
            <w:r w:rsidR="00390228">
              <w:t xml:space="preserve"> </w:t>
            </w:r>
            <w:r w:rsidR="00390228" w:rsidRPr="00390228">
              <w:rPr>
                <w:rFonts w:ascii="Times New Roman" w:hAnsi="Times New Roman"/>
                <w:sz w:val="24"/>
                <w:szCs w:val="24"/>
              </w:rPr>
              <w:t>1</w:t>
            </w:r>
            <w:r w:rsidR="00390228">
              <w:rPr>
                <w:rFonts w:ascii="Times New Roman" w:hAnsi="Times New Roman"/>
                <w:sz w:val="24"/>
                <w:szCs w:val="24"/>
              </w:rPr>
              <w:t> </w:t>
            </w:r>
            <w:r w:rsidR="00390228" w:rsidRPr="00390228">
              <w:rPr>
                <w:rFonts w:ascii="Times New Roman" w:hAnsi="Times New Roman"/>
                <w:sz w:val="24"/>
                <w:szCs w:val="24"/>
              </w:rPr>
              <w:t>896</w:t>
            </w:r>
            <w:r w:rsidR="00390228">
              <w:rPr>
                <w:rFonts w:ascii="Times New Roman" w:hAnsi="Times New Roman"/>
                <w:sz w:val="24"/>
                <w:szCs w:val="24"/>
              </w:rPr>
              <w:t> </w:t>
            </w:r>
            <w:r w:rsidR="00390228" w:rsidRPr="00390228">
              <w:rPr>
                <w:rFonts w:ascii="Times New Roman" w:hAnsi="Times New Roman"/>
                <w:sz w:val="24"/>
                <w:szCs w:val="24"/>
              </w:rPr>
              <w:t>035</w:t>
            </w:r>
            <w:r w:rsidR="00390228">
              <w:rPr>
                <w:rFonts w:ascii="Times New Roman" w:hAnsi="Times New Roman"/>
                <w:sz w:val="24"/>
                <w:szCs w:val="24"/>
              </w:rPr>
              <w:t xml:space="preserve"> </w:t>
            </w:r>
            <w:r w:rsidR="00677C12" w:rsidRPr="00677C12">
              <w:rPr>
                <w:rFonts w:ascii="Times New Roman" w:hAnsi="Times New Roman"/>
                <w:i/>
                <w:sz w:val="24"/>
                <w:szCs w:val="24"/>
              </w:rPr>
              <w:t>euro</w:t>
            </w:r>
            <w:r w:rsidR="00390228">
              <w:rPr>
                <w:rFonts w:ascii="Times New Roman" w:hAnsi="Times New Roman"/>
                <w:sz w:val="24"/>
                <w:szCs w:val="24"/>
              </w:rPr>
              <w:t>, bet o</w:t>
            </w:r>
            <w:r>
              <w:rPr>
                <w:rFonts w:ascii="Times New Roman" w:hAnsi="Times New Roman"/>
                <w:sz w:val="24"/>
                <w:szCs w:val="24"/>
              </w:rPr>
              <w:t xml:space="preserve">trajai </w:t>
            </w:r>
            <w:r w:rsidRPr="00D84AB4">
              <w:rPr>
                <w:rFonts w:ascii="Times New Roman" w:hAnsi="Times New Roman"/>
                <w:sz w:val="24"/>
                <w:szCs w:val="24"/>
              </w:rPr>
              <w:t xml:space="preserve">atlases kārtai </w:t>
            </w:r>
            <w:r w:rsidR="00390228">
              <w:rPr>
                <w:rFonts w:ascii="Times New Roman" w:hAnsi="Times New Roman"/>
                <w:sz w:val="24"/>
                <w:szCs w:val="24"/>
              </w:rPr>
              <w:t xml:space="preserve">samazinot </w:t>
            </w:r>
            <w:r w:rsidRPr="00D84AB4">
              <w:rPr>
                <w:rFonts w:ascii="Times New Roman" w:hAnsi="Times New Roman"/>
                <w:sz w:val="24"/>
                <w:szCs w:val="24"/>
              </w:rPr>
              <w:t>kopēj</w:t>
            </w:r>
            <w:r>
              <w:rPr>
                <w:rFonts w:ascii="Times New Roman" w:hAnsi="Times New Roman"/>
                <w:sz w:val="24"/>
                <w:szCs w:val="24"/>
              </w:rPr>
              <w:t xml:space="preserve">o </w:t>
            </w:r>
            <w:r w:rsidRPr="00D84AB4">
              <w:rPr>
                <w:rFonts w:ascii="Times New Roman" w:hAnsi="Times New Roman"/>
                <w:sz w:val="24"/>
                <w:szCs w:val="24"/>
              </w:rPr>
              <w:t>attiecinām</w:t>
            </w:r>
            <w:r>
              <w:rPr>
                <w:rFonts w:ascii="Times New Roman" w:hAnsi="Times New Roman"/>
                <w:sz w:val="24"/>
                <w:szCs w:val="24"/>
              </w:rPr>
              <w:t xml:space="preserve">o </w:t>
            </w:r>
            <w:r w:rsidRPr="00D84AB4">
              <w:rPr>
                <w:rFonts w:ascii="Times New Roman" w:hAnsi="Times New Roman"/>
                <w:sz w:val="24"/>
                <w:szCs w:val="24"/>
              </w:rPr>
              <w:t>finansējum</w:t>
            </w:r>
            <w:r>
              <w:rPr>
                <w:rFonts w:ascii="Times New Roman" w:hAnsi="Times New Roman"/>
                <w:sz w:val="24"/>
                <w:szCs w:val="24"/>
              </w:rPr>
              <w:t>u</w:t>
            </w:r>
            <w:r w:rsidR="00390228">
              <w:rPr>
                <w:rFonts w:ascii="Times New Roman" w:hAnsi="Times New Roman"/>
                <w:sz w:val="24"/>
                <w:szCs w:val="24"/>
              </w:rPr>
              <w:t xml:space="preserve"> par </w:t>
            </w:r>
            <w:r w:rsidR="00390228">
              <w:t xml:space="preserve"> </w:t>
            </w:r>
            <w:r w:rsidR="00390228" w:rsidRPr="00390228">
              <w:rPr>
                <w:rFonts w:ascii="Times New Roman" w:hAnsi="Times New Roman"/>
                <w:sz w:val="24"/>
                <w:szCs w:val="24"/>
              </w:rPr>
              <w:t>4</w:t>
            </w:r>
            <w:r w:rsidR="00390228">
              <w:rPr>
                <w:rFonts w:ascii="Times New Roman" w:hAnsi="Times New Roman"/>
                <w:sz w:val="24"/>
                <w:szCs w:val="24"/>
              </w:rPr>
              <w:t> </w:t>
            </w:r>
            <w:r w:rsidR="00390228" w:rsidRPr="00390228">
              <w:rPr>
                <w:rFonts w:ascii="Times New Roman" w:hAnsi="Times New Roman"/>
                <w:sz w:val="24"/>
                <w:szCs w:val="24"/>
              </w:rPr>
              <w:t>229</w:t>
            </w:r>
            <w:r w:rsidR="00390228">
              <w:rPr>
                <w:rFonts w:ascii="Times New Roman" w:hAnsi="Times New Roman"/>
                <w:sz w:val="24"/>
                <w:szCs w:val="24"/>
              </w:rPr>
              <w:t xml:space="preserve"> </w:t>
            </w:r>
            <w:r w:rsidR="00677C12" w:rsidRPr="00677C12">
              <w:rPr>
                <w:rFonts w:ascii="Times New Roman" w:hAnsi="Times New Roman"/>
                <w:i/>
                <w:sz w:val="24"/>
                <w:szCs w:val="24"/>
              </w:rPr>
              <w:t>euro</w:t>
            </w:r>
            <w:r w:rsidR="00390228">
              <w:rPr>
                <w:rFonts w:ascii="Times New Roman" w:hAnsi="Times New Roman"/>
                <w:sz w:val="24"/>
                <w:szCs w:val="24"/>
              </w:rPr>
              <w:t>.</w:t>
            </w:r>
            <w:r w:rsidR="00401CAF">
              <w:rPr>
                <w:rFonts w:ascii="Times New Roman" w:hAnsi="Times New Roman"/>
                <w:sz w:val="24"/>
                <w:szCs w:val="24"/>
              </w:rPr>
              <w:t xml:space="preserve"> Kā arī paredz  precizēt noteikumu Nr.25 25.punkta apakšpunktus, norādot otrās atlases kārtas finansējuma saņēmējiem pieejamo finansējumu atbilstoši noslēgtajām vienošanām ar CFLA.</w:t>
            </w:r>
          </w:p>
          <w:p w14:paraId="0AB4AE82" w14:textId="00DD6012" w:rsidR="00390228" w:rsidRDefault="00390228" w:rsidP="004A4EAD">
            <w:pPr>
              <w:tabs>
                <w:tab w:val="left" w:pos="356"/>
              </w:tabs>
              <w:spacing w:after="0" w:line="240" w:lineRule="auto"/>
              <w:jc w:val="both"/>
              <w:rPr>
                <w:rFonts w:ascii="Times New Roman" w:hAnsi="Times New Roman"/>
                <w:sz w:val="24"/>
                <w:szCs w:val="24"/>
              </w:rPr>
            </w:pPr>
            <w:r>
              <w:rPr>
                <w:rFonts w:ascii="Times New Roman" w:hAnsi="Times New Roman"/>
                <w:sz w:val="24"/>
                <w:szCs w:val="24"/>
              </w:rPr>
              <w:t xml:space="preserve">Noteikumu projekta </w:t>
            </w:r>
            <w:r w:rsidRPr="0095172A">
              <w:rPr>
                <w:rFonts w:ascii="Times New Roman" w:hAnsi="Times New Roman"/>
                <w:b/>
                <w:sz w:val="24"/>
                <w:szCs w:val="24"/>
              </w:rPr>
              <w:t>6.</w:t>
            </w:r>
            <w:r w:rsidR="004A4EAD" w:rsidRPr="0095172A">
              <w:rPr>
                <w:rFonts w:ascii="Times New Roman" w:hAnsi="Times New Roman"/>
                <w:b/>
                <w:sz w:val="24"/>
                <w:szCs w:val="24"/>
              </w:rPr>
              <w:t xml:space="preserve"> </w:t>
            </w:r>
            <w:r w:rsidRPr="0095172A">
              <w:rPr>
                <w:rFonts w:ascii="Times New Roman" w:hAnsi="Times New Roman"/>
                <w:b/>
                <w:sz w:val="24"/>
                <w:szCs w:val="24"/>
              </w:rPr>
              <w:t xml:space="preserve">un </w:t>
            </w:r>
            <w:r w:rsidR="00401CAF">
              <w:rPr>
                <w:rFonts w:ascii="Times New Roman" w:hAnsi="Times New Roman"/>
                <w:b/>
                <w:sz w:val="24"/>
                <w:szCs w:val="24"/>
              </w:rPr>
              <w:t>8</w:t>
            </w:r>
            <w:r w:rsidRPr="0095172A">
              <w:rPr>
                <w:rFonts w:ascii="Times New Roman" w:hAnsi="Times New Roman"/>
                <w:b/>
                <w:sz w:val="24"/>
                <w:szCs w:val="24"/>
              </w:rPr>
              <w:t>.punkts</w:t>
            </w:r>
            <w:r>
              <w:rPr>
                <w:rFonts w:ascii="Times New Roman" w:hAnsi="Times New Roman"/>
                <w:sz w:val="24"/>
                <w:szCs w:val="24"/>
              </w:rPr>
              <w:t xml:space="preserve"> paredz veikt tehniskus grozījumus noteikumu Nr.25 </w:t>
            </w:r>
            <w:r w:rsidRPr="00390228">
              <w:rPr>
                <w:rFonts w:ascii="Times New Roman" w:hAnsi="Times New Roman"/>
                <w:sz w:val="24"/>
                <w:szCs w:val="24"/>
              </w:rPr>
              <w:t>17.3.3.</w:t>
            </w:r>
            <w:r>
              <w:rPr>
                <w:rFonts w:ascii="Times New Roman" w:hAnsi="Times New Roman"/>
                <w:sz w:val="24"/>
                <w:szCs w:val="24"/>
              </w:rPr>
              <w:t xml:space="preserve"> un 27.3.3. apakšpunktā nosakot, ka esošaj</w:t>
            </w:r>
            <w:r w:rsidR="004A4EAD">
              <w:rPr>
                <w:rFonts w:ascii="Times New Roman" w:hAnsi="Times New Roman"/>
                <w:sz w:val="24"/>
                <w:szCs w:val="24"/>
              </w:rPr>
              <w:t xml:space="preserve">am </w:t>
            </w:r>
            <w:r w:rsidR="00D87277">
              <w:rPr>
                <w:rFonts w:ascii="Times New Roman" w:hAnsi="Times New Roman"/>
                <w:sz w:val="24"/>
                <w:szCs w:val="24"/>
              </w:rPr>
              <w:t>augstskolu</w:t>
            </w:r>
            <w:r>
              <w:rPr>
                <w:rFonts w:ascii="Times New Roman" w:hAnsi="Times New Roman"/>
                <w:sz w:val="24"/>
                <w:szCs w:val="24"/>
              </w:rPr>
              <w:t xml:space="preserve"> akadēmiskajam personālam var paredzēt ne tikai </w:t>
            </w:r>
            <w:r w:rsidRPr="00390228">
              <w:rPr>
                <w:rFonts w:ascii="Times New Roman" w:hAnsi="Times New Roman"/>
                <w:sz w:val="24"/>
                <w:szCs w:val="24"/>
              </w:rPr>
              <w:t>specializētas mācības, kas attīsta akadēmiskā personāla līderību</w:t>
            </w:r>
            <w:r>
              <w:rPr>
                <w:rFonts w:ascii="Times New Roman" w:hAnsi="Times New Roman"/>
                <w:sz w:val="24"/>
                <w:szCs w:val="24"/>
              </w:rPr>
              <w:t xml:space="preserve"> un</w:t>
            </w:r>
            <w:r w:rsidRPr="00390228">
              <w:rPr>
                <w:rFonts w:ascii="Times New Roman" w:hAnsi="Times New Roman"/>
                <w:sz w:val="24"/>
                <w:szCs w:val="24"/>
              </w:rPr>
              <w:t xml:space="preserve"> sadarbības kompetenci ar industriju</w:t>
            </w:r>
            <w:r>
              <w:rPr>
                <w:rFonts w:ascii="Times New Roman" w:hAnsi="Times New Roman"/>
                <w:sz w:val="24"/>
                <w:szCs w:val="24"/>
              </w:rPr>
              <w:t xml:space="preserve">, bet arī specializētās mācības, </w:t>
            </w:r>
            <w:r w:rsidR="004A4EAD">
              <w:rPr>
                <w:rFonts w:ascii="Times New Roman" w:hAnsi="Times New Roman"/>
                <w:sz w:val="24"/>
                <w:szCs w:val="24"/>
              </w:rPr>
              <w:t xml:space="preserve">kas </w:t>
            </w:r>
            <w:r>
              <w:rPr>
                <w:rFonts w:ascii="Times New Roman" w:hAnsi="Times New Roman"/>
                <w:sz w:val="24"/>
                <w:szCs w:val="24"/>
              </w:rPr>
              <w:t>attīsta</w:t>
            </w:r>
            <w:r>
              <w:t xml:space="preserve"> </w:t>
            </w:r>
            <w:r w:rsidRPr="00390228">
              <w:rPr>
                <w:rFonts w:ascii="Times New Roman" w:hAnsi="Times New Roman"/>
                <w:sz w:val="24"/>
                <w:szCs w:val="24"/>
              </w:rPr>
              <w:t>mūsdienīgu izpratni par digitālā laikmeta izaicinājumiem</w:t>
            </w:r>
            <w:r>
              <w:rPr>
                <w:rFonts w:ascii="Times New Roman" w:hAnsi="Times New Roman"/>
                <w:sz w:val="24"/>
                <w:szCs w:val="24"/>
              </w:rPr>
              <w:t xml:space="preserve">. </w:t>
            </w:r>
            <w:r w:rsidR="004A4EAD">
              <w:rPr>
                <w:rFonts w:ascii="Times New Roman" w:hAnsi="Times New Roman"/>
                <w:sz w:val="24"/>
                <w:szCs w:val="24"/>
              </w:rPr>
              <w:t xml:space="preserve">Specializētās </w:t>
            </w:r>
            <w:r>
              <w:rPr>
                <w:rFonts w:ascii="Times New Roman" w:hAnsi="Times New Roman"/>
                <w:sz w:val="24"/>
                <w:szCs w:val="24"/>
              </w:rPr>
              <w:t>mācības,</w:t>
            </w:r>
            <w:r w:rsidR="004A4EAD">
              <w:rPr>
                <w:rFonts w:ascii="Times New Roman" w:hAnsi="Times New Roman"/>
                <w:sz w:val="24"/>
                <w:szCs w:val="24"/>
              </w:rPr>
              <w:t xml:space="preserve"> kas attīsta</w:t>
            </w:r>
            <w:r w:rsidR="004A4EAD">
              <w:t xml:space="preserve"> </w:t>
            </w:r>
            <w:r w:rsidR="004A4EAD" w:rsidRPr="00390228">
              <w:rPr>
                <w:rFonts w:ascii="Times New Roman" w:hAnsi="Times New Roman"/>
                <w:sz w:val="24"/>
                <w:szCs w:val="24"/>
              </w:rPr>
              <w:t>mūsdienīgu izpratni par digitālā laikmeta izaicinājumiem</w:t>
            </w:r>
            <w:r w:rsidR="004A4EAD">
              <w:rPr>
                <w:rFonts w:ascii="Times New Roman" w:hAnsi="Times New Roman"/>
                <w:sz w:val="24"/>
                <w:szCs w:val="24"/>
              </w:rPr>
              <w:t xml:space="preserve">, </w:t>
            </w:r>
            <w:r w:rsidR="00DE7E5C">
              <w:rPr>
                <w:rFonts w:ascii="Times New Roman" w:hAnsi="Times New Roman"/>
                <w:sz w:val="24"/>
                <w:szCs w:val="24"/>
              </w:rPr>
              <w:t>nepieciešamības pamatojums tika</w:t>
            </w:r>
            <w:r w:rsidR="004A4EAD">
              <w:rPr>
                <w:rFonts w:ascii="Times New Roman" w:hAnsi="Times New Roman"/>
                <w:sz w:val="24"/>
                <w:szCs w:val="24"/>
              </w:rPr>
              <w:t xml:space="preserve"> iekļauts noteikumu Nr.25 anotācijā</w:t>
            </w:r>
            <w:r w:rsidR="00D87277">
              <w:rPr>
                <w:rStyle w:val="FootnoteReference"/>
                <w:rFonts w:ascii="Times New Roman" w:hAnsi="Times New Roman"/>
                <w:sz w:val="24"/>
                <w:szCs w:val="24"/>
              </w:rPr>
              <w:footnoteReference w:id="9"/>
            </w:r>
            <w:r w:rsidR="004A4EAD">
              <w:rPr>
                <w:rFonts w:ascii="Times New Roman" w:hAnsi="Times New Roman"/>
                <w:sz w:val="24"/>
                <w:szCs w:val="24"/>
              </w:rPr>
              <w:t>, bet tehnisku iemeslu dēļ netika iekļauts pašā noteikumu Nr.25 projektā. Ņemot vērā, ka noteikumu projekts ir pirmie grozījumi noteikumos Nr.25, līdz ar to tiek novērta iepriekš radusies tehniska kļūme.</w:t>
            </w:r>
          </w:p>
          <w:p w14:paraId="715BE4B6" w14:textId="3D41EA8C" w:rsidR="00BF3E20" w:rsidRDefault="00BF3E20" w:rsidP="00DA48D1">
            <w:pPr>
              <w:tabs>
                <w:tab w:val="left" w:pos="356"/>
              </w:tabs>
              <w:spacing w:after="0" w:line="240" w:lineRule="auto"/>
              <w:jc w:val="both"/>
              <w:rPr>
                <w:rFonts w:ascii="Times New Roman" w:hAnsi="Times New Roman"/>
                <w:sz w:val="24"/>
                <w:szCs w:val="24"/>
              </w:rPr>
            </w:pPr>
            <w:r>
              <w:rPr>
                <w:rFonts w:ascii="Times New Roman" w:hAnsi="Times New Roman"/>
                <w:sz w:val="24"/>
                <w:szCs w:val="24"/>
              </w:rPr>
              <w:t xml:space="preserve">Noteikumu projekta </w:t>
            </w:r>
            <w:r w:rsidR="00401CAF">
              <w:rPr>
                <w:rFonts w:ascii="Times New Roman" w:hAnsi="Times New Roman"/>
                <w:b/>
                <w:sz w:val="24"/>
                <w:szCs w:val="24"/>
              </w:rPr>
              <w:t>9</w:t>
            </w:r>
            <w:r w:rsidRPr="00DE7E5C">
              <w:rPr>
                <w:rFonts w:ascii="Times New Roman" w:hAnsi="Times New Roman"/>
                <w:b/>
                <w:sz w:val="24"/>
                <w:szCs w:val="24"/>
              </w:rPr>
              <w:t xml:space="preserve">. </w:t>
            </w:r>
            <w:r w:rsidR="00A26732" w:rsidRPr="00DE7E5C">
              <w:rPr>
                <w:rFonts w:ascii="Times New Roman" w:hAnsi="Times New Roman"/>
                <w:b/>
                <w:sz w:val="24"/>
                <w:szCs w:val="24"/>
              </w:rPr>
              <w:t>–</w:t>
            </w:r>
            <w:r w:rsidR="00210BB5" w:rsidRPr="00DE7E5C">
              <w:rPr>
                <w:rFonts w:ascii="Times New Roman" w:hAnsi="Times New Roman"/>
                <w:b/>
                <w:sz w:val="24"/>
                <w:szCs w:val="24"/>
              </w:rPr>
              <w:t xml:space="preserve"> </w:t>
            </w:r>
            <w:r w:rsidR="00401CAF">
              <w:rPr>
                <w:rFonts w:ascii="Times New Roman" w:hAnsi="Times New Roman"/>
                <w:b/>
                <w:sz w:val="24"/>
                <w:szCs w:val="24"/>
              </w:rPr>
              <w:t>1</w:t>
            </w:r>
            <w:r w:rsidR="00BB2B0D">
              <w:rPr>
                <w:rFonts w:ascii="Times New Roman" w:hAnsi="Times New Roman"/>
                <w:b/>
                <w:sz w:val="24"/>
                <w:szCs w:val="24"/>
              </w:rPr>
              <w:t>3</w:t>
            </w:r>
            <w:r w:rsidR="00210BB5" w:rsidRPr="00DE7E5C">
              <w:rPr>
                <w:rFonts w:ascii="Times New Roman" w:hAnsi="Times New Roman"/>
                <w:b/>
                <w:sz w:val="24"/>
                <w:szCs w:val="24"/>
              </w:rPr>
              <w:t>.</w:t>
            </w:r>
            <w:r w:rsidRPr="00DE7E5C">
              <w:rPr>
                <w:rFonts w:ascii="Times New Roman" w:hAnsi="Times New Roman"/>
                <w:b/>
                <w:sz w:val="24"/>
                <w:szCs w:val="24"/>
              </w:rPr>
              <w:t xml:space="preserve"> punkts</w:t>
            </w:r>
            <w:r>
              <w:rPr>
                <w:rFonts w:ascii="Times New Roman" w:hAnsi="Times New Roman"/>
                <w:sz w:val="24"/>
                <w:szCs w:val="24"/>
              </w:rPr>
              <w:t xml:space="preserve"> paredz </w:t>
            </w:r>
            <w:r w:rsidR="00DA48D1">
              <w:rPr>
                <w:rFonts w:ascii="Times New Roman" w:hAnsi="Times New Roman"/>
                <w:sz w:val="24"/>
                <w:szCs w:val="24"/>
              </w:rPr>
              <w:t>precizēt un papildināt  noteikumu Nr.</w:t>
            </w:r>
            <w:r w:rsidR="00210BB5">
              <w:rPr>
                <w:rFonts w:ascii="Times New Roman" w:hAnsi="Times New Roman"/>
                <w:sz w:val="24"/>
                <w:szCs w:val="24"/>
              </w:rPr>
              <w:t xml:space="preserve"> </w:t>
            </w:r>
            <w:r w:rsidR="00DA48D1">
              <w:rPr>
                <w:rFonts w:ascii="Times New Roman" w:hAnsi="Times New Roman"/>
                <w:sz w:val="24"/>
                <w:szCs w:val="24"/>
              </w:rPr>
              <w:t>25 IV. nodaļu</w:t>
            </w:r>
            <w:r w:rsidR="00210BB5">
              <w:rPr>
                <w:rFonts w:ascii="Times New Roman" w:hAnsi="Times New Roman"/>
                <w:sz w:val="24"/>
                <w:szCs w:val="24"/>
              </w:rPr>
              <w:t xml:space="preserve"> ”</w:t>
            </w:r>
            <w:r w:rsidR="00DA48D1" w:rsidRPr="00DA48D1">
              <w:rPr>
                <w:rFonts w:ascii="Times New Roman" w:hAnsi="Times New Roman"/>
                <w:sz w:val="24"/>
                <w:szCs w:val="24"/>
              </w:rPr>
              <w:t>Trešās atlases kārtas projektu īstenošanas nosacījumi</w:t>
            </w:r>
            <w:r w:rsidR="00DA48D1">
              <w:rPr>
                <w:rFonts w:ascii="Times New Roman" w:hAnsi="Times New Roman"/>
                <w:sz w:val="24"/>
                <w:szCs w:val="24"/>
              </w:rPr>
              <w:t xml:space="preserve">”, nosakot </w:t>
            </w:r>
            <w:r w:rsidR="00DA48D1">
              <w:t xml:space="preserve"> t</w:t>
            </w:r>
            <w:r w:rsidR="00DA48D1" w:rsidRPr="00DA48D1">
              <w:rPr>
                <w:rFonts w:ascii="Times New Roman" w:hAnsi="Times New Roman"/>
                <w:sz w:val="24"/>
                <w:szCs w:val="24"/>
              </w:rPr>
              <w:t>rešajai projektu iesniegumu atlases kārtai pieejamo finansējumu</w:t>
            </w:r>
            <w:r w:rsidR="00DA48D1">
              <w:rPr>
                <w:rFonts w:ascii="Times New Roman" w:hAnsi="Times New Roman"/>
                <w:sz w:val="24"/>
                <w:szCs w:val="24"/>
              </w:rPr>
              <w:t xml:space="preserve">, </w:t>
            </w:r>
            <w:r w:rsidR="00DA48D1" w:rsidRPr="00DA48D1">
              <w:rPr>
                <w:rFonts w:ascii="Times New Roman" w:hAnsi="Times New Roman"/>
                <w:sz w:val="24"/>
                <w:szCs w:val="24"/>
              </w:rPr>
              <w:t>projekta iesniedzēj</w:t>
            </w:r>
            <w:r w:rsidR="00DA48D1">
              <w:rPr>
                <w:rFonts w:ascii="Times New Roman" w:hAnsi="Times New Roman"/>
                <w:sz w:val="24"/>
                <w:szCs w:val="24"/>
              </w:rPr>
              <w:t xml:space="preserve">us, </w:t>
            </w:r>
            <w:r w:rsidR="00DA48D1" w:rsidRPr="00DA48D1">
              <w:rPr>
                <w:rFonts w:ascii="Times New Roman" w:hAnsi="Times New Roman"/>
                <w:sz w:val="24"/>
                <w:szCs w:val="24"/>
              </w:rPr>
              <w:t>atbalstām</w:t>
            </w:r>
            <w:r w:rsidR="00DA48D1">
              <w:rPr>
                <w:rFonts w:ascii="Times New Roman" w:hAnsi="Times New Roman"/>
                <w:sz w:val="24"/>
                <w:szCs w:val="24"/>
              </w:rPr>
              <w:t>ās</w:t>
            </w:r>
            <w:r w:rsidR="00DA48D1" w:rsidRPr="00DA48D1">
              <w:rPr>
                <w:rFonts w:ascii="Times New Roman" w:hAnsi="Times New Roman"/>
                <w:sz w:val="24"/>
                <w:szCs w:val="24"/>
              </w:rPr>
              <w:t xml:space="preserve"> darbīb</w:t>
            </w:r>
            <w:r w:rsidR="00DA48D1">
              <w:rPr>
                <w:rFonts w:ascii="Times New Roman" w:hAnsi="Times New Roman"/>
                <w:sz w:val="24"/>
                <w:szCs w:val="24"/>
              </w:rPr>
              <w:t>as</w:t>
            </w:r>
            <w:r w:rsidR="00DA48D1" w:rsidRPr="00DA48D1">
              <w:rPr>
                <w:rFonts w:ascii="Times New Roman" w:hAnsi="Times New Roman"/>
                <w:sz w:val="24"/>
                <w:szCs w:val="24"/>
              </w:rPr>
              <w:t xml:space="preserve"> un izm</w:t>
            </w:r>
            <w:r w:rsidR="00DA48D1">
              <w:rPr>
                <w:rFonts w:ascii="Times New Roman" w:hAnsi="Times New Roman"/>
                <w:sz w:val="24"/>
                <w:szCs w:val="24"/>
              </w:rPr>
              <w:t>a</w:t>
            </w:r>
            <w:r w:rsidR="00452381">
              <w:rPr>
                <w:rFonts w:ascii="Times New Roman" w:hAnsi="Times New Roman"/>
                <w:sz w:val="24"/>
                <w:szCs w:val="24"/>
              </w:rPr>
              <w:t>ksu attiecināmības nosacījumus.</w:t>
            </w:r>
          </w:p>
          <w:p w14:paraId="1C3F41B3" w14:textId="122BF9FC" w:rsidR="00E606F5" w:rsidRPr="000225A5" w:rsidRDefault="00E606F5" w:rsidP="00DA48D1">
            <w:pPr>
              <w:tabs>
                <w:tab w:val="left" w:pos="356"/>
              </w:tabs>
              <w:spacing w:after="0" w:line="240" w:lineRule="auto"/>
              <w:jc w:val="both"/>
              <w:rPr>
                <w:rFonts w:ascii="Times New Roman" w:hAnsi="Times New Roman"/>
                <w:sz w:val="24"/>
                <w:szCs w:val="24"/>
              </w:rPr>
            </w:pPr>
            <w:r w:rsidRPr="000225A5">
              <w:rPr>
                <w:rFonts w:ascii="Times New Roman" w:hAnsi="Times New Roman"/>
                <w:sz w:val="24"/>
                <w:szCs w:val="24"/>
              </w:rPr>
              <w:t>Ņemot vērā, ka finansējuma sadal</w:t>
            </w:r>
            <w:r w:rsidR="00210BB5">
              <w:rPr>
                <w:rFonts w:ascii="Times New Roman" w:hAnsi="Times New Roman"/>
                <w:sz w:val="24"/>
                <w:szCs w:val="24"/>
              </w:rPr>
              <w:t>e</w:t>
            </w:r>
            <w:r w:rsidRPr="000225A5">
              <w:rPr>
                <w:rFonts w:ascii="Times New Roman" w:hAnsi="Times New Roman"/>
                <w:sz w:val="24"/>
                <w:szCs w:val="24"/>
              </w:rPr>
              <w:t xml:space="preserve"> starp finansējuma saņēmējiem ir veikta</w:t>
            </w:r>
            <w:r w:rsidR="00D83EDF">
              <w:rPr>
                <w:rFonts w:ascii="Times New Roman" w:hAnsi="Times New Roman"/>
                <w:sz w:val="24"/>
                <w:szCs w:val="24"/>
              </w:rPr>
              <w:t>,</w:t>
            </w:r>
            <w:r w:rsidRPr="000225A5">
              <w:rPr>
                <w:rFonts w:ascii="Times New Roman" w:hAnsi="Times New Roman"/>
                <w:sz w:val="24"/>
                <w:szCs w:val="24"/>
              </w:rPr>
              <w:t xml:space="preserve"> balstoties uz </w:t>
            </w:r>
            <w:r w:rsidR="00210BB5">
              <w:rPr>
                <w:rFonts w:ascii="Times New Roman" w:hAnsi="Times New Roman"/>
                <w:sz w:val="24"/>
                <w:szCs w:val="24"/>
              </w:rPr>
              <w:t>k</w:t>
            </w:r>
            <w:r w:rsidRPr="000225A5">
              <w:rPr>
                <w:rFonts w:ascii="Times New Roman" w:hAnsi="Times New Roman"/>
                <w:sz w:val="24"/>
                <w:szCs w:val="24"/>
              </w:rPr>
              <w:t>onceptuāl</w:t>
            </w:r>
            <w:r w:rsidR="00210BB5">
              <w:rPr>
                <w:rFonts w:ascii="Times New Roman" w:hAnsi="Times New Roman"/>
                <w:sz w:val="24"/>
                <w:szCs w:val="24"/>
              </w:rPr>
              <w:t>aj</w:t>
            </w:r>
            <w:r w:rsidRPr="000225A5">
              <w:rPr>
                <w:rFonts w:ascii="Times New Roman" w:hAnsi="Times New Roman"/>
                <w:sz w:val="24"/>
                <w:szCs w:val="24"/>
              </w:rPr>
              <w:t>ā ziņoj</w:t>
            </w:r>
            <w:r w:rsidR="007C0CA1" w:rsidRPr="000225A5">
              <w:rPr>
                <w:rFonts w:ascii="Times New Roman" w:hAnsi="Times New Roman"/>
                <w:sz w:val="24"/>
                <w:szCs w:val="24"/>
              </w:rPr>
              <w:t xml:space="preserve">umā iekļautiem kritērijiem, kas paredz, ka katrai zinātņu nozarei pieejamo finansējumu </w:t>
            </w:r>
            <w:r w:rsidRPr="000225A5">
              <w:rPr>
                <w:rFonts w:ascii="Times New Roman" w:hAnsi="Times New Roman"/>
                <w:sz w:val="24"/>
                <w:szCs w:val="24"/>
              </w:rPr>
              <w:t xml:space="preserve">vērtē </w:t>
            </w:r>
            <w:r w:rsidR="007C0CA1" w:rsidRPr="000225A5">
              <w:rPr>
                <w:rFonts w:ascii="Times New Roman" w:hAnsi="Times New Roman"/>
                <w:sz w:val="24"/>
                <w:szCs w:val="24"/>
              </w:rPr>
              <w:t xml:space="preserve">gan pēc </w:t>
            </w:r>
            <w:r w:rsidRPr="000225A5">
              <w:rPr>
                <w:rFonts w:ascii="Times New Roman" w:hAnsi="Times New Roman"/>
                <w:sz w:val="24"/>
                <w:szCs w:val="24"/>
              </w:rPr>
              <w:t xml:space="preserve">katras zinātņu </w:t>
            </w:r>
            <w:r w:rsidR="007C0CA1" w:rsidRPr="000225A5">
              <w:rPr>
                <w:rFonts w:ascii="Times New Roman" w:hAnsi="Times New Roman"/>
                <w:sz w:val="24"/>
                <w:szCs w:val="24"/>
              </w:rPr>
              <w:t>nozares kopējā snieguma pētniecībā, gan</w:t>
            </w:r>
            <w:r w:rsidR="00D83EDF">
              <w:rPr>
                <w:rFonts w:ascii="Times New Roman" w:hAnsi="Times New Roman"/>
                <w:sz w:val="24"/>
                <w:szCs w:val="24"/>
              </w:rPr>
              <w:t xml:space="preserve"> pēc</w:t>
            </w:r>
            <w:r w:rsidR="007C0CA1" w:rsidRPr="000225A5">
              <w:rPr>
                <w:rFonts w:ascii="Times New Roman" w:hAnsi="Times New Roman"/>
                <w:sz w:val="24"/>
                <w:szCs w:val="24"/>
              </w:rPr>
              <w:t xml:space="preserve"> piešķirto valsts budžeta vietu skaita. </w:t>
            </w:r>
            <w:r w:rsidR="00210BB5">
              <w:rPr>
                <w:rFonts w:ascii="Times New Roman" w:hAnsi="Times New Roman"/>
                <w:sz w:val="24"/>
                <w:szCs w:val="24"/>
              </w:rPr>
              <w:t>V</w:t>
            </w:r>
            <w:r w:rsidR="007C0CA1" w:rsidRPr="000225A5">
              <w:rPr>
                <w:rFonts w:ascii="Times New Roman" w:hAnsi="Times New Roman"/>
                <w:sz w:val="24"/>
                <w:szCs w:val="24"/>
              </w:rPr>
              <w:t xml:space="preserve">ērtējot katras </w:t>
            </w:r>
            <w:r w:rsidR="00210BB5">
              <w:rPr>
                <w:rFonts w:ascii="Times New Roman" w:hAnsi="Times New Roman"/>
                <w:sz w:val="24"/>
                <w:szCs w:val="24"/>
              </w:rPr>
              <w:t>augstskolas</w:t>
            </w:r>
            <w:r w:rsidR="007C0CA1" w:rsidRPr="000225A5">
              <w:rPr>
                <w:rFonts w:ascii="Times New Roman" w:hAnsi="Times New Roman"/>
                <w:sz w:val="24"/>
                <w:szCs w:val="24"/>
              </w:rPr>
              <w:t xml:space="preserve"> pētniecisko sniegumu</w:t>
            </w:r>
            <w:r w:rsidR="00210BB5">
              <w:rPr>
                <w:rFonts w:ascii="Times New Roman" w:hAnsi="Times New Roman"/>
                <w:sz w:val="24"/>
                <w:szCs w:val="24"/>
              </w:rPr>
              <w:t>,</w:t>
            </w:r>
            <w:r w:rsidR="007C0CA1" w:rsidRPr="000225A5">
              <w:rPr>
                <w:rFonts w:ascii="Times New Roman" w:hAnsi="Times New Roman"/>
                <w:sz w:val="24"/>
                <w:szCs w:val="24"/>
              </w:rPr>
              <w:t xml:space="preserve"> finansējums un doktorantu granta vietu skaits ir noteikts katrai </w:t>
            </w:r>
            <w:r w:rsidR="00210BB5">
              <w:rPr>
                <w:rFonts w:ascii="Times New Roman" w:hAnsi="Times New Roman"/>
                <w:sz w:val="24"/>
                <w:szCs w:val="24"/>
              </w:rPr>
              <w:t>augstskolai</w:t>
            </w:r>
            <w:r w:rsidR="007C0CA1" w:rsidRPr="000225A5">
              <w:rPr>
                <w:rFonts w:ascii="Times New Roman" w:hAnsi="Times New Roman"/>
                <w:sz w:val="24"/>
                <w:szCs w:val="24"/>
              </w:rPr>
              <w:t xml:space="preserve"> dalījumā pa zinātņu nozar</w:t>
            </w:r>
            <w:r w:rsidR="000225A5" w:rsidRPr="000225A5">
              <w:rPr>
                <w:rFonts w:ascii="Times New Roman" w:hAnsi="Times New Roman"/>
                <w:sz w:val="24"/>
                <w:szCs w:val="24"/>
              </w:rPr>
              <w:t>ēm:</w:t>
            </w:r>
          </w:p>
          <w:p w14:paraId="19271FD9" w14:textId="0CCA7952" w:rsidR="000225A5" w:rsidRDefault="000225A5" w:rsidP="000225A5">
            <w:pPr>
              <w:pStyle w:val="ListParagraph"/>
              <w:numPr>
                <w:ilvl w:val="0"/>
                <w:numId w:val="14"/>
              </w:numPr>
              <w:tabs>
                <w:tab w:val="left" w:pos="356"/>
              </w:tabs>
              <w:spacing w:after="0" w:line="240" w:lineRule="auto"/>
              <w:jc w:val="both"/>
              <w:rPr>
                <w:rFonts w:ascii="Times New Roman" w:hAnsi="Times New Roman"/>
                <w:sz w:val="24"/>
                <w:szCs w:val="24"/>
              </w:rPr>
            </w:pPr>
            <w:r w:rsidRPr="000225A5">
              <w:rPr>
                <w:rFonts w:ascii="Times New Roman" w:hAnsi="Times New Roman"/>
                <w:sz w:val="24"/>
                <w:szCs w:val="24"/>
              </w:rPr>
              <w:t>Daugavpils Universitātei –</w:t>
            </w:r>
            <w:r>
              <w:rPr>
                <w:rFonts w:ascii="Times New Roman" w:hAnsi="Times New Roman"/>
                <w:sz w:val="24"/>
                <w:szCs w:val="24"/>
              </w:rPr>
              <w:t xml:space="preserve"> </w:t>
            </w:r>
            <w:r w:rsidR="00235460">
              <w:rPr>
                <w:rFonts w:ascii="Times New Roman" w:hAnsi="Times New Roman"/>
                <w:sz w:val="24"/>
                <w:szCs w:val="24"/>
              </w:rPr>
              <w:t xml:space="preserve">kopējais finansējums </w:t>
            </w:r>
            <w:r w:rsidR="00447D8E">
              <w:rPr>
                <w:rFonts w:ascii="Times New Roman" w:hAnsi="Times New Roman"/>
                <w:sz w:val="24"/>
                <w:szCs w:val="24"/>
              </w:rPr>
              <w:t>703 767</w:t>
            </w:r>
            <w:r w:rsidR="00235460">
              <w:rPr>
                <w:rFonts w:ascii="Times New Roman" w:hAnsi="Times New Roman"/>
                <w:sz w:val="24"/>
                <w:szCs w:val="24"/>
              </w:rPr>
              <w:t> </w:t>
            </w:r>
            <w:r w:rsidR="00677C12" w:rsidRPr="00677C12">
              <w:rPr>
                <w:rFonts w:ascii="Times New Roman" w:hAnsi="Times New Roman"/>
                <w:i/>
                <w:sz w:val="24"/>
                <w:szCs w:val="24"/>
              </w:rPr>
              <w:t>euro</w:t>
            </w:r>
            <w:r w:rsidRPr="000225A5">
              <w:rPr>
                <w:rFonts w:ascii="Times New Roman" w:hAnsi="Times New Roman"/>
                <w:sz w:val="24"/>
                <w:szCs w:val="24"/>
              </w:rPr>
              <w:t xml:space="preserve"> </w:t>
            </w:r>
            <w:r w:rsidR="00235460">
              <w:rPr>
                <w:rFonts w:ascii="Times New Roman" w:hAnsi="Times New Roman"/>
                <w:sz w:val="24"/>
                <w:szCs w:val="24"/>
              </w:rPr>
              <w:t xml:space="preserve">/ </w:t>
            </w:r>
            <w:r w:rsidR="00127D3E">
              <w:rPr>
                <w:rFonts w:ascii="Times New Roman" w:hAnsi="Times New Roman"/>
                <w:sz w:val="24"/>
                <w:szCs w:val="24"/>
              </w:rPr>
              <w:t>19</w:t>
            </w:r>
            <w:r w:rsidR="00575390">
              <w:rPr>
                <w:rFonts w:ascii="Times New Roman" w:hAnsi="Times New Roman"/>
                <w:sz w:val="24"/>
                <w:szCs w:val="24"/>
              </w:rPr>
              <w:t xml:space="preserve"> </w:t>
            </w:r>
            <w:r w:rsidR="00235460">
              <w:rPr>
                <w:rFonts w:ascii="Times New Roman" w:hAnsi="Times New Roman"/>
                <w:sz w:val="24"/>
                <w:szCs w:val="24"/>
              </w:rPr>
              <w:t xml:space="preserve">doktorantūras grantu vietām </w:t>
            </w:r>
            <w:r w:rsidRPr="000225A5">
              <w:rPr>
                <w:rFonts w:ascii="Times New Roman" w:hAnsi="Times New Roman"/>
                <w:sz w:val="24"/>
                <w:szCs w:val="24"/>
              </w:rPr>
              <w:t>(indikatīvi</w:t>
            </w:r>
            <w:r w:rsidR="00235460">
              <w:rPr>
                <w:rFonts w:ascii="Times New Roman" w:hAnsi="Times New Roman"/>
                <w:sz w:val="24"/>
                <w:szCs w:val="24"/>
              </w:rPr>
              <w:t xml:space="preserve">, Dabaszinātnēs </w:t>
            </w:r>
            <w:r w:rsidR="00575390">
              <w:rPr>
                <w:rFonts w:ascii="Times New Roman" w:hAnsi="Times New Roman"/>
                <w:sz w:val="24"/>
                <w:szCs w:val="24"/>
              </w:rPr>
              <w:t>38</w:t>
            </w:r>
            <w:r w:rsidR="00C34FCE">
              <w:rPr>
                <w:rFonts w:ascii="Times New Roman" w:hAnsi="Times New Roman"/>
                <w:sz w:val="24"/>
                <w:szCs w:val="24"/>
              </w:rPr>
              <w:t>1</w:t>
            </w:r>
            <w:r w:rsidR="00575390">
              <w:rPr>
                <w:rFonts w:ascii="Times New Roman" w:hAnsi="Times New Roman"/>
                <w:sz w:val="24"/>
                <w:szCs w:val="24"/>
              </w:rPr>
              <w:t> </w:t>
            </w:r>
            <w:r w:rsidR="00C34FCE">
              <w:rPr>
                <w:rFonts w:ascii="Times New Roman" w:hAnsi="Times New Roman"/>
                <w:sz w:val="24"/>
                <w:szCs w:val="24"/>
              </w:rPr>
              <w:t>604</w:t>
            </w:r>
            <w:r w:rsidR="00575390">
              <w:rPr>
                <w:rFonts w:ascii="Times New Roman" w:hAnsi="Times New Roman"/>
                <w:sz w:val="24"/>
                <w:szCs w:val="24"/>
              </w:rPr>
              <w:t> </w:t>
            </w:r>
            <w:r w:rsidR="00677C12" w:rsidRPr="00677C12">
              <w:rPr>
                <w:rFonts w:ascii="Times New Roman" w:hAnsi="Times New Roman"/>
                <w:i/>
                <w:sz w:val="24"/>
                <w:szCs w:val="24"/>
              </w:rPr>
              <w:t>euro</w:t>
            </w:r>
            <w:r w:rsidR="00235460">
              <w:rPr>
                <w:rFonts w:ascii="Times New Roman" w:hAnsi="Times New Roman"/>
                <w:sz w:val="24"/>
                <w:szCs w:val="24"/>
              </w:rPr>
              <w:t xml:space="preserve"> /</w:t>
            </w:r>
            <w:r w:rsidR="00575390">
              <w:rPr>
                <w:rFonts w:ascii="Times New Roman" w:hAnsi="Times New Roman"/>
                <w:sz w:val="24"/>
                <w:szCs w:val="24"/>
              </w:rPr>
              <w:t>1</w:t>
            </w:r>
            <w:r w:rsidR="00C34FCE">
              <w:rPr>
                <w:rFonts w:ascii="Times New Roman" w:hAnsi="Times New Roman"/>
                <w:sz w:val="24"/>
                <w:szCs w:val="24"/>
              </w:rPr>
              <w:t>1</w:t>
            </w:r>
            <w:r w:rsidR="00235460">
              <w:rPr>
                <w:rFonts w:ascii="Times New Roman" w:hAnsi="Times New Roman"/>
                <w:sz w:val="24"/>
                <w:szCs w:val="24"/>
              </w:rPr>
              <w:t xml:space="preserve">, Sociālās zinātnes </w:t>
            </w:r>
            <w:r w:rsidR="00575390">
              <w:rPr>
                <w:rFonts w:ascii="Times New Roman" w:hAnsi="Times New Roman"/>
                <w:sz w:val="24"/>
                <w:szCs w:val="24"/>
              </w:rPr>
              <w:t>14</w:t>
            </w:r>
            <w:r w:rsidR="00C34FCE">
              <w:rPr>
                <w:rFonts w:ascii="Times New Roman" w:hAnsi="Times New Roman"/>
                <w:sz w:val="24"/>
                <w:szCs w:val="24"/>
              </w:rPr>
              <w:t>6</w:t>
            </w:r>
            <w:r w:rsidR="00575390">
              <w:rPr>
                <w:rFonts w:ascii="Times New Roman" w:hAnsi="Times New Roman"/>
                <w:sz w:val="24"/>
                <w:szCs w:val="24"/>
              </w:rPr>
              <w:t> </w:t>
            </w:r>
            <w:r w:rsidR="00C34FCE">
              <w:rPr>
                <w:rFonts w:ascii="Times New Roman" w:hAnsi="Times New Roman"/>
                <w:sz w:val="24"/>
                <w:szCs w:val="24"/>
              </w:rPr>
              <w:t>705</w:t>
            </w:r>
            <w:r w:rsidR="00575390">
              <w:rPr>
                <w:rFonts w:ascii="Times New Roman" w:hAnsi="Times New Roman"/>
                <w:sz w:val="24"/>
                <w:szCs w:val="24"/>
              </w:rPr>
              <w:t> </w:t>
            </w:r>
            <w:r w:rsidR="00677C12" w:rsidRPr="00677C12">
              <w:rPr>
                <w:rFonts w:ascii="Times New Roman" w:hAnsi="Times New Roman"/>
                <w:i/>
                <w:sz w:val="24"/>
                <w:szCs w:val="24"/>
              </w:rPr>
              <w:t>euro</w:t>
            </w:r>
            <w:r w:rsidR="00235460">
              <w:rPr>
                <w:rFonts w:ascii="Times New Roman" w:hAnsi="Times New Roman"/>
                <w:sz w:val="24"/>
                <w:szCs w:val="24"/>
              </w:rPr>
              <w:t xml:space="preserve"> / </w:t>
            </w:r>
            <w:r w:rsidR="00575390">
              <w:rPr>
                <w:rFonts w:ascii="Times New Roman" w:hAnsi="Times New Roman"/>
                <w:sz w:val="24"/>
                <w:szCs w:val="24"/>
              </w:rPr>
              <w:t>4</w:t>
            </w:r>
            <w:r w:rsidR="00235460">
              <w:rPr>
                <w:rFonts w:ascii="Times New Roman" w:hAnsi="Times New Roman"/>
                <w:sz w:val="24"/>
                <w:szCs w:val="24"/>
              </w:rPr>
              <w:t xml:space="preserve">, Humanitārās zinātnes </w:t>
            </w:r>
            <w:r w:rsidR="00575390">
              <w:rPr>
                <w:rFonts w:ascii="Times New Roman" w:hAnsi="Times New Roman"/>
                <w:sz w:val="24"/>
                <w:szCs w:val="24"/>
              </w:rPr>
              <w:t>140 </w:t>
            </w:r>
            <w:r w:rsidR="00C34FCE">
              <w:rPr>
                <w:rFonts w:ascii="Times New Roman" w:hAnsi="Times New Roman"/>
                <w:sz w:val="24"/>
                <w:szCs w:val="24"/>
              </w:rPr>
              <w:t>258</w:t>
            </w:r>
            <w:r w:rsidR="00575390">
              <w:rPr>
                <w:rFonts w:ascii="Times New Roman" w:hAnsi="Times New Roman"/>
                <w:sz w:val="24"/>
                <w:szCs w:val="24"/>
              </w:rPr>
              <w:t> </w:t>
            </w:r>
            <w:r w:rsidR="00677C12" w:rsidRPr="00677C12">
              <w:rPr>
                <w:rFonts w:ascii="Times New Roman" w:hAnsi="Times New Roman"/>
                <w:i/>
                <w:sz w:val="24"/>
                <w:szCs w:val="24"/>
              </w:rPr>
              <w:t>euro</w:t>
            </w:r>
            <w:r w:rsidR="00575390">
              <w:rPr>
                <w:rFonts w:ascii="Times New Roman" w:hAnsi="Times New Roman"/>
                <w:sz w:val="24"/>
                <w:szCs w:val="24"/>
              </w:rPr>
              <w:t xml:space="preserve"> </w:t>
            </w:r>
            <w:r w:rsidR="00235460">
              <w:rPr>
                <w:rFonts w:ascii="Times New Roman" w:hAnsi="Times New Roman"/>
                <w:sz w:val="24"/>
                <w:szCs w:val="24"/>
              </w:rPr>
              <w:t>/</w:t>
            </w:r>
            <w:r w:rsidR="00575390">
              <w:rPr>
                <w:rFonts w:ascii="Times New Roman" w:hAnsi="Times New Roman"/>
                <w:sz w:val="24"/>
                <w:szCs w:val="24"/>
              </w:rPr>
              <w:t xml:space="preserve"> 4</w:t>
            </w:r>
            <w:r w:rsidR="00C34FCE">
              <w:rPr>
                <w:rFonts w:ascii="Times New Roman" w:hAnsi="Times New Roman"/>
                <w:sz w:val="24"/>
                <w:szCs w:val="24"/>
              </w:rPr>
              <w:t xml:space="preserve">, </w:t>
            </w:r>
            <w:r w:rsidR="00E83CCB">
              <w:rPr>
                <w:rFonts w:ascii="Times New Roman" w:hAnsi="Times New Roman"/>
                <w:sz w:val="24"/>
                <w:szCs w:val="24"/>
              </w:rPr>
              <w:t xml:space="preserve">tai </w:t>
            </w:r>
            <w:r w:rsidR="00E83CCB">
              <w:rPr>
                <w:rFonts w:ascii="Times New Roman" w:hAnsi="Times New Roman"/>
                <w:sz w:val="24"/>
                <w:szCs w:val="24"/>
              </w:rPr>
              <w:lastRenderedPageBreak/>
              <w:t xml:space="preserve">skaitā </w:t>
            </w:r>
            <w:r w:rsidR="00C34FCE">
              <w:rPr>
                <w:rFonts w:ascii="Times New Roman" w:hAnsi="Times New Roman"/>
                <w:sz w:val="24"/>
                <w:szCs w:val="24"/>
              </w:rPr>
              <w:t xml:space="preserve">ārvalstu pasniedzēju piesaistei – 35 200 </w:t>
            </w:r>
            <w:r w:rsidR="00677C12" w:rsidRPr="00677C12">
              <w:rPr>
                <w:rFonts w:ascii="Times New Roman" w:hAnsi="Times New Roman"/>
                <w:i/>
                <w:sz w:val="24"/>
                <w:szCs w:val="24"/>
              </w:rPr>
              <w:t>euro</w:t>
            </w:r>
            <w:r w:rsidR="00C34FCE">
              <w:rPr>
                <w:rFonts w:ascii="Times New Roman" w:hAnsi="Times New Roman"/>
                <w:sz w:val="24"/>
                <w:szCs w:val="24"/>
              </w:rPr>
              <w:t xml:space="preserve"> / </w:t>
            </w:r>
            <w:r w:rsidR="00C40F66">
              <w:rPr>
                <w:rFonts w:ascii="Times New Roman" w:hAnsi="Times New Roman"/>
                <w:sz w:val="24"/>
                <w:szCs w:val="24"/>
              </w:rPr>
              <w:t>2</w:t>
            </w:r>
            <w:r w:rsidR="00C34FCE">
              <w:rPr>
                <w:rFonts w:ascii="Times New Roman" w:hAnsi="Times New Roman"/>
                <w:sz w:val="24"/>
                <w:szCs w:val="24"/>
              </w:rPr>
              <w:t xml:space="preserve"> ārvalstu pasniedzēji</w:t>
            </w:r>
            <w:r w:rsidR="00235460">
              <w:rPr>
                <w:rFonts w:ascii="Times New Roman" w:hAnsi="Times New Roman"/>
                <w:sz w:val="24"/>
                <w:szCs w:val="24"/>
              </w:rPr>
              <w:t>);</w:t>
            </w:r>
          </w:p>
          <w:p w14:paraId="623FA173" w14:textId="0D293B7E" w:rsidR="00235460" w:rsidRDefault="00E83CCB" w:rsidP="00235460">
            <w:pPr>
              <w:pStyle w:val="ListParagraph"/>
              <w:numPr>
                <w:ilvl w:val="0"/>
                <w:numId w:val="14"/>
              </w:numPr>
              <w:tabs>
                <w:tab w:val="left" w:pos="356"/>
              </w:tabs>
              <w:spacing w:after="0" w:line="240" w:lineRule="auto"/>
              <w:jc w:val="both"/>
              <w:rPr>
                <w:rFonts w:ascii="Times New Roman" w:hAnsi="Times New Roman"/>
                <w:sz w:val="24"/>
                <w:szCs w:val="24"/>
              </w:rPr>
            </w:pPr>
            <w:r w:rsidRPr="00235460">
              <w:rPr>
                <w:rFonts w:ascii="Times New Roman" w:hAnsi="Times New Roman"/>
                <w:sz w:val="24"/>
                <w:szCs w:val="24"/>
              </w:rPr>
              <w:t xml:space="preserve">Latvijas Kultūras </w:t>
            </w:r>
            <w:r w:rsidR="00235460" w:rsidRPr="00235460">
              <w:rPr>
                <w:rFonts w:ascii="Times New Roman" w:hAnsi="Times New Roman"/>
                <w:sz w:val="24"/>
                <w:szCs w:val="24"/>
              </w:rPr>
              <w:t xml:space="preserve">akadēmijai sadarbībā ar Latvijas Mākslas akadēmiju un </w:t>
            </w:r>
            <w:r w:rsidRPr="00235460">
              <w:rPr>
                <w:rFonts w:ascii="Times New Roman" w:hAnsi="Times New Roman"/>
                <w:sz w:val="24"/>
                <w:szCs w:val="24"/>
              </w:rPr>
              <w:t xml:space="preserve"> Jāzepa Vītola Latvijas Mūzikas </w:t>
            </w:r>
            <w:r w:rsidR="00235460" w:rsidRPr="00235460">
              <w:rPr>
                <w:rFonts w:ascii="Times New Roman" w:hAnsi="Times New Roman"/>
                <w:sz w:val="24"/>
                <w:szCs w:val="24"/>
              </w:rPr>
              <w:t xml:space="preserve">akadēmiju – </w:t>
            </w:r>
            <w:r w:rsidR="00235460">
              <w:rPr>
                <w:rFonts w:ascii="Times New Roman" w:hAnsi="Times New Roman"/>
                <w:sz w:val="24"/>
                <w:szCs w:val="24"/>
              </w:rPr>
              <w:t xml:space="preserve">kopējais finansējums </w:t>
            </w:r>
            <w:r w:rsidR="00C40F66">
              <w:rPr>
                <w:rFonts w:ascii="Times New Roman" w:hAnsi="Times New Roman"/>
                <w:sz w:val="24"/>
                <w:szCs w:val="24"/>
              </w:rPr>
              <w:t>435</w:t>
            </w:r>
            <w:r w:rsidR="00575390">
              <w:rPr>
                <w:rFonts w:ascii="Times New Roman" w:hAnsi="Times New Roman"/>
                <w:sz w:val="24"/>
                <w:szCs w:val="24"/>
              </w:rPr>
              <w:t> </w:t>
            </w:r>
            <w:r w:rsidR="00C40F66">
              <w:rPr>
                <w:rFonts w:ascii="Times New Roman" w:hAnsi="Times New Roman"/>
                <w:sz w:val="24"/>
                <w:szCs w:val="24"/>
              </w:rPr>
              <w:t>026</w:t>
            </w:r>
            <w:r w:rsidR="00235460">
              <w:rPr>
                <w:rFonts w:ascii="Times New Roman" w:hAnsi="Times New Roman"/>
                <w:sz w:val="24"/>
                <w:szCs w:val="24"/>
              </w:rPr>
              <w:t> </w:t>
            </w:r>
            <w:r w:rsidR="00677C12" w:rsidRPr="00677C12">
              <w:rPr>
                <w:rFonts w:ascii="Times New Roman" w:hAnsi="Times New Roman"/>
                <w:i/>
                <w:sz w:val="24"/>
                <w:szCs w:val="24"/>
              </w:rPr>
              <w:t>euro</w:t>
            </w:r>
            <w:r w:rsidR="00235460">
              <w:rPr>
                <w:rFonts w:ascii="Times New Roman" w:hAnsi="Times New Roman"/>
                <w:sz w:val="24"/>
                <w:szCs w:val="24"/>
              </w:rPr>
              <w:t xml:space="preserve"> / 1</w:t>
            </w:r>
            <w:r w:rsidR="00575390">
              <w:rPr>
                <w:rFonts w:ascii="Times New Roman" w:hAnsi="Times New Roman"/>
                <w:sz w:val="24"/>
                <w:szCs w:val="24"/>
              </w:rPr>
              <w:t>1</w:t>
            </w:r>
            <w:r w:rsidR="00235460">
              <w:rPr>
                <w:rFonts w:ascii="Times New Roman" w:hAnsi="Times New Roman"/>
                <w:sz w:val="24"/>
                <w:szCs w:val="24"/>
              </w:rPr>
              <w:t xml:space="preserve"> doktorantūras grantu vietām, indikatīvi:</w:t>
            </w:r>
          </w:p>
          <w:p w14:paraId="3A82E6B5" w14:textId="468DC933" w:rsidR="00235460" w:rsidRDefault="00E83CCB" w:rsidP="00235460">
            <w:pPr>
              <w:pStyle w:val="ListParagraph"/>
              <w:numPr>
                <w:ilvl w:val="1"/>
                <w:numId w:val="14"/>
              </w:numPr>
              <w:tabs>
                <w:tab w:val="left" w:pos="356"/>
              </w:tabs>
              <w:spacing w:after="0" w:line="240" w:lineRule="auto"/>
              <w:jc w:val="both"/>
              <w:rPr>
                <w:rFonts w:ascii="Times New Roman" w:hAnsi="Times New Roman"/>
                <w:sz w:val="24"/>
                <w:szCs w:val="24"/>
              </w:rPr>
            </w:pPr>
            <w:r>
              <w:rPr>
                <w:rFonts w:ascii="Times New Roman" w:hAnsi="Times New Roman"/>
                <w:sz w:val="24"/>
                <w:szCs w:val="24"/>
              </w:rPr>
              <w:t xml:space="preserve">Latvijas Kultūras </w:t>
            </w:r>
            <w:r w:rsidR="00235460" w:rsidRPr="00235460">
              <w:rPr>
                <w:rFonts w:ascii="Times New Roman" w:hAnsi="Times New Roman"/>
                <w:sz w:val="24"/>
                <w:szCs w:val="24"/>
              </w:rPr>
              <w:t>akadēmijai</w:t>
            </w:r>
            <w:r w:rsidR="00235460">
              <w:rPr>
                <w:rFonts w:ascii="Times New Roman" w:hAnsi="Times New Roman"/>
                <w:sz w:val="24"/>
                <w:szCs w:val="24"/>
              </w:rPr>
              <w:t xml:space="preserve"> – Humanitārās zinātnēs </w:t>
            </w:r>
            <w:r>
              <w:rPr>
                <w:rFonts w:ascii="Times New Roman" w:hAnsi="Times New Roman"/>
                <w:sz w:val="24"/>
                <w:szCs w:val="24"/>
              </w:rPr>
              <w:t>156 591 </w:t>
            </w:r>
            <w:r w:rsidR="00677C12" w:rsidRPr="00677C12">
              <w:rPr>
                <w:rFonts w:ascii="Times New Roman" w:hAnsi="Times New Roman"/>
                <w:i/>
                <w:sz w:val="24"/>
                <w:szCs w:val="24"/>
              </w:rPr>
              <w:t>euro</w:t>
            </w:r>
            <w:r w:rsidR="00235460">
              <w:rPr>
                <w:rFonts w:ascii="Times New Roman" w:hAnsi="Times New Roman"/>
                <w:sz w:val="24"/>
                <w:szCs w:val="24"/>
              </w:rPr>
              <w:t xml:space="preserve"> / </w:t>
            </w:r>
            <w:r w:rsidR="00575390">
              <w:rPr>
                <w:rFonts w:ascii="Times New Roman" w:hAnsi="Times New Roman"/>
                <w:sz w:val="24"/>
                <w:szCs w:val="24"/>
              </w:rPr>
              <w:t>4</w:t>
            </w:r>
            <w:r w:rsidR="00235460">
              <w:rPr>
                <w:rFonts w:ascii="Times New Roman" w:hAnsi="Times New Roman"/>
                <w:sz w:val="24"/>
                <w:szCs w:val="24"/>
              </w:rPr>
              <w:t xml:space="preserve">  doktorantūras grantu vietām</w:t>
            </w:r>
            <w:r w:rsidR="00C40F66">
              <w:rPr>
                <w:rFonts w:ascii="Times New Roman" w:hAnsi="Times New Roman"/>
                <w:sz w:val="24"/>
                <w:szCs w:val="24"/>
              </w:rPr>
              <w:t xml:space="preserve">, </w:t>
            </w:r>
            <w:r>
              <w:rPr>
                <w:rFonts w:ascii="Times New Roman" w:hAnsi="Times New Roman"/>
                <w:sz w:val="24"/>
                <w:szCs w:val="24"/>
              </w:rPr>
              <w:t xml:space="preserve">tai skaitā </w:t>
            </w:r>
            <w:r w:rsidR="00C40F66">
              <w:rPr>
                <w:rFonts w:ascii="Times New Roman" w:hAnsi="Times New Roman"/>
                <w:sz w:val="24"/>
                <w:szCs w:val="24"/>
              </w:rPr>
              <w:t xml:space="preserve">ārvalstu pasniedzēju piesaistei – 17 600 </w:t>
            </w:r>
            <w:r w:rsidR="00677C12" w:rsidRPr="00677C12">
              <w:rPr>
                <w:rFonts w:ascii="Times New Roman" w:hAnsi="Times New Roman"/>
                <w:i/>
                <w:sz w:val="24"/>
                <w:szCs w:val="24"/>
              </w:rPr>
              <w:t>euro</w:t>
            </w:r>
            <w:r w:rsidR="00C40F66">
              <w:rPr>
                <w:rFonts w:ascii="Times New Roman" w:hAnsi="Times New Roman"/>
                <w:sz w:val="24"/>
                <w:szCs w:val="24"/>
              </w:rPr>
              <w:t xml:space="preserve"> / 1 ārvalstu pasniedzējs</w:t>
            </w:r>
            <w:r w:rsidR="00235460">
              <w:rPr>
                <w:rFonts w:ascii="Times New Roman" w:hAnsi="Times New Roman"/>
                <w:sz w:val="24"/>
                <w:szCs w:val="24"/>
              </w:rPr>
              <w:t>;</w:t>
            </w:r>
          </w:p>
          <w:p w14:paraId="72A371EE" w14:textId="75D1937A" w:rsidR="00235460" w:rsidRDefault="00235460" w:rsidP="00235460">
            <w:pPr>
              <w:pStyle w:val="ListParagraph"/>
              <w:numPr>
                <w:ilvl w:val="1"/>
                <w:numId w:val="14"/>
              </w:numPr>
              <w:tabs>
                <w:tab w:val="left" w:pos="356"/>
              </w:tabs>
              <w:spacing w:after="0" w:line="240" w:lineRule="auto"/>
              <w:jc w:val="both"/>
              <w:rPr>
                <w:rFonts w:ascii="Times New Roman" w:hAnsi="Times New Roman"/>
                <w:sz w:val="24"/>
                <w:szCs w:val="24"/>
              </w:rPr>
            </w:pPr>
            <w:r>
              <w:rPr>
                <w:rFonts w:ascii="Times New Roman" w:hAnsi="Times New Roman"/>
                <w:sz w:val="24"/>
                <w:szCs w:val="24"/>
              </w:rPr>
              <w:t xml:space="preserve">Latvijas Mākslas akadēmijai – Humanitārās zinātnēs  </w:t>
            </w:r>
            <w:r w:rsidR="00E83CCB">
              <w:rPr>
                <w:rFonts w:ascii="Times New Roman" w:hAnsi="Times New Roman"/>
                <w:sz w:val="24"/>
                <w:szCs w:val="24"/>
              </w:rPr>
              <w:t xml:space="preserve">156 591 </w:t>
            </w:r>
            <w:r w:rsidR="00677C12" w:rsidRPr="00677C12">
              <w:rPr>
                <w:rFonts w:ascii="Times New Roman" w:hAnsi="Times New Roman"/>
                <w:i/>
                <w:sz w:val="24"/>
                <w:szCs w:val="24"/>
              </w:rPr>
              <w:t>euro</w:t>
            </w:r>
            <w:r>
              <w:rPr>
                <w:rFonts w:ascii="Times New Roman" w:hAnsi="Times New Roman"/>
                <w:sz w:val="24"/>
                <w:szCs w:val="24"/>
              </w:rPr>
              <w:t xml:space="preserve"> /</w:t>
            </w:r>
            <w:r w:rsidR="00575390">
              <w:rPr>
                <w:rFonts w:ascii="Times New Roman" w:hAnsi="Times New Roman"/>
                <w:sz w:val="24"/>
                <w:szCs w:val="24"/>
              </w:rPr>
              <w:t xml:space="preserve"> </w:t>
            </w:r>
            <w:r w:rsidR="00E83CCB">
              <w:rPr>
                <w:rFonts w:ascii="Times New Roman" w:hAnsi="Times New Roman"/>
                <w:sz w:val="24"/>
                <w:szCs w:val="24"/>
              </w:rPr>
              <w:t xml:space="preserve">4 </w:t>
            </w:r>
            <w:r>
              <w:rPr>
                <w:rFonts w:ascii="Times New Roman" w:hAnsi="Times New Roman"/>
                <w:sz w:val="24"/>
                <w:szCs w:val="24"/>
              </w:rPr>
              <w:t>doktorantūras grantu vietām</w:t>
            </w:r>
            <w:r w:rsidR="00C40F66">
              <w:rPr>
                <w:rFonts w:ascii="Times New Roman" w:hAnsi="Times New Roman"/>
                <w:sz w:val="24"/>
                <w:szCs w:val="24"/>
              </w:rPr>
              <w:t xml:space="preserve">, </w:t>
            </w:r>
            <w:r w:rsidR="00E83CCB">
              <w:rPr>
                <w:rFonts w:ascii="Times New Roman" w:hAnsi="Times New Roman"/>
                <w:sz w:val="24"/>
                <w:szCs w:val="24"/>
              </w:rPr>
              <w:t xml:space="preserve">tai skaitā </w:t>
            </w:r>
            <w:r w:rsidR="00C40F66">
              <w:rPr>
                <w:rFonts w:ascii="Times New Roman" w:hAnsi="Times New Roman"/>
                <w:sz w:val="24"/>
                <w:szCs w:val="24"/>
              </w:rPr>
              <w:t xml:space="preserve">ārvalstu pasniedzēju piesaistei – 17 600 </w:t>
            </w:r>
            <w:r w:rsidR="00677C12" w:rsidRPr="00677C12">
              <w:rPr>
                <w:rFonts w:ascii="Times New Roman" w:hAnsi="Times New Roman"/>
                <w:i/>
                <w:sz w:val="24"/>
                <w:szCs w:val="24"/>
              </w:rPr>
              <w:t>euro</w:t>
            </w:r>
            <w:r w:rsidR="00C40F66">
              <w:rPr>
                <w:rFonts w:ascii="Times New Roman" w:hAnsi="Times New Roman"/>
                <w:sz w:val="24"/>
                <w:szCs w:val="24"/>
              </w:rPr>
              <w:t xml:space="preserve"> / 1 ārvalstu pasniedzējs</w:t>
            </w:r>
            <w:r>
              <w:rPr>
                <w:rFonts w:ascii="Times New Roman" w:hAnsi="Times New Roman"/>
                <w:sz w:val="24"/>
                <w:szCs w:val="24"/>
              </w:rPr>
              <w:t>;</w:t>
            </w:r>
          </w:p>
          <w:p w14:paraId="5E2A789C" w14:textId="370FC66C" w:rsidR="00235460" w:rsidRDefault="00E83CCB" w:rsidP="00235460">
            <w:pPr>
              <w:pStyle w:val="ListParagraph"/>
              <w:numPr>
                <w:ilvl w:val="1"/>
                <w:numId w:val="14"/>
              </w:numPr>
              <w:tabs>
                <w:tab w:val="left" w:pos="356"/>
              </w:tabs>
              <w:spacing w:after="0" w:line="240" w:lineRule="auto"/>
              <w:jc w:val="both"/>
              <w:rPr>
                <w:rFonts w:ascii="Times New Roman" w:hAnsi="Times New Roman"/>
                <w:sz w:val="24"/>
                <w:szCs w:val="24"/>
              </w:rPr>
            </w:pPr>
            <w:r w:rsidRPr="00235460">
              <w:rPr>
                <w:rFonts w:ascii="Times New Roman" w:hAnsi="Times New Roman"/>
                <w:sz w:val="24"/>
                <w:szCs w:val="24"/>
              </w:rPr>
              <w:t xml:space="preserve">Jāzepa Vītola Latvijas Mūzikas </w:t>
            </w:r>
            <w:r w:rsidR="00235460">
              <w:rPr>
                <w:rFonts w:ascii="Times New Roman" w:hAnsi="Times New Roman"/>
                <w:sz w:val="24"/>
                <w:szCs w:val="24"/>
              </w:rPr>
              <w:t xml:space="preserve">akadēmijai – Humanitārās zinātnēs </w:t>
            </w:r>
            <w:r>
              <w:rPr>
                <w:rFonts w:ascii="Times New Roman" w:hAnsi="Times New Roman"/>
                <w:sz w:val="24"/>
                <w:szCs w:val="24"/>
              </w:rPr>
              <w:t xml:space="preserve">121 843 </w:t>
            </w:r>
            <w:r w:rsidR="00677C12" w:rsidRPr="00677C12">
              <w:rPr>
                <w:rFonts w:ascii="Times New Roman" w:hAnsi="Times New Roman"/>
                <w:i/>
                <w:sz w:val="24"/>
                <w:szCs w:val="24"/>
              </w:rPr>
              <w:t>euro</w:t>
            </w:r>
            <w:r w:rsidR="00235460">
              <w:rPr>
                <w:rFonts w:ascii="Times New Roman" w:hAnsi="Times New Roman"/>
                <w:sz w:val="24"/>
                <w:szCs w:val="24"/>
              </w:rPr>
              <w:t xml:space="preserve"> / </w:t>
            </w:r>
            <w:r>
              <w:rPr>
                <w:rFonts w:ascii="Times New Roman" w:hAnsi="Times New Roman"/>
                <w:sz w:val="24"/>
                <w:szCs w:val="24"/>
              </w:rPr>
              <w:t xml:space="preserve">3 </w:t>
            </w:r>
            <w:r w:rsidR="00BA476E">
              <w:rPr>
                <w:rFonts w:ascii="Times New Roman" w:hAnsi="Times New Roman"/>
                <w:sz w:val="24"/>
                <w:szCs w:val="24"/>
              </w:rPr>
              <w:t>doktorantūras grantu vietām</w:t>
            </w:r>
            <w:r w:rsidR="00C40F66">
              <w:rPr>
                <w:rFonts w:ascii="Times New Roman" w:hAnsi="Times New Roman"/>
                <w:sz w:val="24"/>
                <w:szCs w:val="24"/>
              </w:rPr>
              <w:t xml:space="preserve">, </w:t>
            </w:r>
            <w:r>
              <w:rPr>
                <w:rFonts w:ascii="Times New Roman" w:hAnsi="Times New Roman"/>
                <w:sz w:val="24"/>
                <w:szCs w:val="24"/>
              </w:rPr>
              <w:t>tai skaitā</w:t>
            </w:r>
            <w:r w:rsidR="00C40F66">
              <w:rPr>
                <w:rFonts w:ascii="Times New Roman" w:hAnsi="Times New Roman"/>
                <w:sz w:val="24"/>
                <w:szCs w:val="24"/>
              </w:rPr>
              <w:t xml:space="preserve"> ārvalstu pasniedzēju piesaistei – 17 600 </w:t>
            </w:r>
            <w:r w:rsidR="00677C12" w:rsidRPr="00677C12">
              <w:rPr>
                <w:rFonts w:ascii="Times New Roman" w:hAnsi="Times New Roman"/>
                <w:i/>
                <w:sz w:val="24"/>
                <w:szCs w:val="24"/>
              </w:rPr>
              <w:t>euro</w:t>
            </w:r>
            <w:r w:rsidR="00C40F66">
              <w:rPr>
                <w:rFonts w:ascii="Times New Roman" w:hAnsi="Times New Roman"/>
                <w:sz w:val="24"/>
                <w:szCs w:val="24"/>
              </w:rPr>
              <w:t xml:space="preserve"> / 1 ārvalstu pasniedzējs</w:t>
            </w:r>
            <w:r w:rsidR="00BA476E">
              <w:rPr>
                <w:rFonts w:ascii="Times New Roman" w:hAnsi="Times New Roman"/>
                <w:sz w:val="24"/>
                <w:szCs w:val="24"/>
              </w:rPr>
              <w:t>;</w:t>
            </w:r>
          </w:p>
          <w:p w14:paraId="56181416" w14:textId="3101F9BB" w:rsidR="00BA476E" w:rsidRDefault="00BA476E" w:rsidP="00BA476E">
            <w:pPr>
              <w:pStyle w:val="ListParagraph"/>
              <w:numPr>
                <w:ilvl w:val="0"/>
                <w:numId w:val="14"/>
              </w:numPr>
              <w:tabs>
                <w:tab w:val="left" w:pos="356"/>
              </w:tabs>
              <w:spacing w:after="0" w:line="240" w:lineRule="auto"/>
              <w:jc w:val="both"/>
              <w:rPr>
                <w:rFonts w:ascii="Times New Roman" w:hAnsi="Times New Roman"/>
                <w:sz w:val="24"/>
                <w:szCs w:val="24"/>
              </w:rPr>
            </w:pPr>
            <w:r w:rsidRPr="00BA476E">
              <w:rPr>
                <w:rFonts w:ascii="Times New Roman" w:hAnsi="Times New Roman"/>
                <w:sz w:val="24"/>
                <w:szCs w:val="24"/>
              </w:rPr>
              <w:t xml:space="preserve">Latvijas Lauksaimniecības universitātei – </w:t>
            </w:r>
            <w:r>
              <w:rPr>
                <w:rFonts w:ascii="Times New Roman" w:hAnsi="Times New Roman"/>
                <w:sz w:val="24"/>
                <w:szCs w:val="24"/>
              </w:rPr>
              <w:t xml:space="preserve">kopējais finansējums </w:t>
            </w:r>
            <w:r w:rsidR="00C34FCE">
              <w:rPr>
                <w:rFonts w:ascii="Times New Roman" w:hAnsi="Times New Roman"/>
                <w:sz w:val="24"/>
                <w:szCs w:val="24"/>
              </w:rPr>
              <w:t>1 031 086</w:t>
            </w:r>
            <w:r w:rsidR="00575390">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127D3E">
              <w:rPr>
                <w:rFonts w:ascii="Times New Roman" w:hAnsi="Times New Roman"/>
                <w:sz w:val="24"/>
                <w:szCs w:val="24"/>
              </w:rPr>
              <w:t>30</w:t>
            </w:r>
            <w:r w:rsidR="00575390">
              <w:rPr>
                <w:rFonts w:ascii="Times New Roman" w:hAnsi="Times New Roman"/>
                <w:sz w:val="24"/>
                <w:szCs w:val="24"/>
              </w:rPr>
              <w:t xml:space="preserve"> </w:t>
            </w:r>
            <w:r>
              <w:rPr>
                <w:rFonts w:ascii="Times New Roman" w:hAnsi="Times New Roman"/>
                <w:sz w:val="24"/>
                <w:szCs w:val="24"/>
              </w:rPr>
              <w:t xml:space="preserve">doktorantūras grantu vietām (indikatīvi, Inženierzinātnes </w:t>
            </w:r>
            <w:r w:rsidR="00575390">
              <w:rPr>
                <w:rFonts w:ascii="Times New Roman" w:hAnsi="Times New Roman"/>
                <w:sz w:val="24"/>
                <w:szCs w:val="24"/>
              </w:rPr>
              <w:t>40</w:t>
            </w:r>
            <w:r w:rsidR="00C34FCE">
              <w:rPr>
                <w:rFonts w:ascii="Times New Roman" w:hAnsi="Times New Roman"/>
                <w:sz w:val="24"/>
                <w:szCs w:val="24"/>
              </w:rPr>
              <w:t>0</w:t>
            </w:r>
            <w:r w:rsidR="00575390">
              <w:rPr>
                <w:rFonts w:ascii="Times New Roman" w:hAnsi="Times New Roman"/>
                <w:sz w:val="24"/>
                <w:szCs w:val="24"/>
              </w:rPr>
              <w:t> </w:t>
            </w:r>
            <w:r w:rsidR="00C34FCE">
              <w:rPr>
                <w:rFonts w:ascii="Times New Roman" w:hAnsi="Times New Roman"/>
                <w:sz w:val="24"/>
                <w:szCs w:val="24"/>
              </w:rPr>
              <w:t>412</w:t>
            </w:r>
            <w:r w:rsidR="00575390">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1</w:t>
            </w:r>
            <w:r w:rsidR="00575390">
              <w:rPr>
                <w:rFonts w:ascii="Times New Roman" w:hAnsi="Times New Roman"/>
                <w:sz w:val="24"/>
                <w:szCs w:val="24"/>
              </w:rPr>
              <w:t>2</w:t>
            </w:r>
            <w:r>
              <w:rPr>
                <w:rFonts w:ascii="Times New Roman" w:hAnsi="Times New Roman"/>
                <w:sz w:val="24"/>
                <w:szCs w:val="24"/>
              </w:rPr>
              <w:t xml:space="preserve">, Lauksaimniecība </w:t>
            </w:r>
            <w:r w:rsidR="00575390">
              <w:rPr>
                <w:rFonts w:ascii="Times New Roman" w:hAnsi="Times New Roman"/>
                <w:sz w:val="24"/>
                <w:szCs w:val="24"/>
              </w:rPr>
              <w:t>3</w:t>
            </w:r>
            <w:r w:rsidR="00C34FCE">
              <w:rPr>
                <w:rFonts w:ascii="Times New Roman" w:hAnsi="Times New Roman"/>
                <w:sz w:val="24"/>
                <w:szCs w:val="24"/>
              </w:rPr>
              <w:t>19</w:t>
            </w:r>
            <w:r w:rsidR="00575390">
              <w:rPr>
                <w:rFonts w:ascii="Times New Roman" w:hAnsi="Times New Roman"/>
                <w:sz w:val="24"/>
                <w:szCs w:val="24"/>
              </w:rPr>
              <w:t> </w:t>
            </w:r>
            <w:r w:rsidR="00C34FCE">
              <w:rPr>
                <w:rFonts w:ascii="Times New Roman" w:hAnsi="Times New Roman"/>
                <w:sz w:val="24"/>
                <w:szCs w:val="24"/>
              </w:rPr>
              <w:t>253</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127D3E">
              <w:rPr>
                <w:rFonts w:ascii="Times New Roman" w:hAnsi="Times New Roman"/>
                <w:sz w:val="24"/>
                <w:szCs w:val="24"/>
              </w:rPr>
              <w:t>10</w:t>
            </w:r>
            <w:r>
              <w:rPr>
                <w:rFonts w:ascii="Times New Roman" w:hAnsi="Times New Roman"/>
                <w:sz w:val="24"/>
                <w:szCs w:val="24"/>
              </w:rPr>
              <w:t xml:space="preserve">, Sociālās zinātnes </w:t>
            </w:r>
            <w:r w:rsidR="00C34FCE">
              <w:rPr>
                <w:rFonts w:ascii="Times New Roman" w:hAnsi="Times New Roman"/>
                <w:sz w:val="24"/>
                <w:szCs w:val="24"/>
              </w:rPr>
              <w:t>258 620</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575390">
              <w:rPr>
                <w:rFonts w:ascii="Times New Roman" w:hAnsi="Times New Roman"/>
                <w:sz w:val="24"/>
                <w:szCs w:val="24"/>
              </w:rPr>
              <w:t>8</w:t>
            </w:r>
            <w:r w:rsidR="00C34FCE">
              <w:rPr>
                <w:rFonts w:ascii="Times New Roman" w:hAnsi="Times New Roman"/>
                <w:sz w:val="24"/>
                <w:szCs w:val="24"/>
              </w:rPr>
              <w:t xml:space="preserve">, </w:t>
            </w:r>
            <w:r w:rsidR="00E83CCB">
              <w:rPr>
                <w:rFonts w:ascii="Times New Roman" w:hAnsi="Times New Roman"/>
                <w:sz w:val="24"/>
                <w:szCs w:val="24"/>
              </w:rPr>
              <w:t xml:space="preserve">tai skaitā </w:t>
            </w:r>
            <w:r w:rsidR="00C34FCE">
              <w:rPr>
                <w:rFonts w:ascii="Times New Roman" w:hAnsi="Times New Roman"/>
                <w:sz w:val="24"/>
                <w:szCs w:val="24"/>
              </w:rPr>
              <w:t xml:space="preserve">ārvalstu pasniedzēju piesaistei – 52 800 </w:t>
            </w:r>
            <w:r w:rsidR="00677C12" w:rsidRPr="00677C12">
              <w:rPr>
                <w:rFonts w:ascii="Times New Roman" w:hAnsi="Times New Roman"/>
                <w:i/>
                <w:sz w:val="24"/>
                <w:szCs w:val="24"/>
              </w:rPr>
              <w:t>euro</w:t>
            </w:r>
            <w:r w:rsidR="00C34FCE">
              <w:rPr>
                <w:rFonts w:ascii="Times New Roman" w:hAnsi="Times New Roman"/>
                <w:sz w:val="24"/>
                <w:szCs w:val="24"/>
              </w:rPr>
              <w:t xml:space="preserve"> / 3 ārvalstu pasniedzēji</w:t>
            </w:r>
            <w:r>
              <w:rPr>
                <w:rFonts w:ascii="Times New Roman" w:hAnsi="Times New Roman"/>
                <w:sz w:val="24"/>
                <w:szCs w:val="24"/>
              </w:rPr>
              <w:t>);</w:t>
            </w:r>
          </w:p>
          <w:p w14:paraId="2848E190" w14:textId="4056C36A" w:rsidR="00BA476E" w:rsidRDefault="00BA476E" w:rsidP="00BA476E">
            <w:pPr>
              <w:pStyle w:val="ListParagraph"/>
              <w:numPr>
                <w:ilvl w:val="0"/>
                <w:numId w:val="14"/>
              </w:numPr>
              <w:tabs>
                <w:tab w:val="left" w:pos="356"/>
              </w:tabs>
              <w:spacing w:after="0" w:line="240" w:lineRule="auto"/>
              <w:jc w:val="both"/>
              <w:rPr>
                <w:rFonts w:ascii="Times New Roman" w:hAnsi="Times New Roman"/>
                <w:sz w:val="24"/>
                <w:szCs w:val="24"/>
              </w:rPr>
            </w:pPr>
            <w:r w:rsidRPr="00BA476E">
              <w:rPr>
                <w:rFonts w:ascii="Times New Roman" w:hAnsi="Times New Roman"/>
                <w:sz w:val="24"/>
                <w:szCs w:val="24"/>
              </w:rPr>
              <w:t xml:space="preserve">Latvijas Universitātei – </w:t>
            </w:r>
            <w:r>
              <w:rPr>
                <w:rFonts w:ascii="Times New Roman" w:hAnsi="Times New Roman"/>
                <w:sz w:val="24"/>
                <w:szCs w:val="24"/>
              </w:rPr>
              <w:t xml:space="preserve"> kopējais finansējums</w:t>
            </w:r>
            <w:r w:rsidRPr="00BA476E">
              <w:rPr>
                <w:rFonts w:ascii="Times New Roman" w:hAnsi="Times New Roman"/>
                <w:sz w:val="24"/>
                <w:szCs w:val="24"/>
              </w:rPr>
              <w:t xml:space="preserve"> </w:t>
            </w:r>
            <w:r w:rsidR="00575390">
              <w:rPr>
                <w:rFonts w:ascii="Times New Roman" w:hAnsi="Times New Roman"/>
                <w:sz w:val="24"/>
                <w:szCs w:val="24"/>
              </w:rPr>
              <w:t>4 </w:t>
            </w:r>
            <w:r w:rsidR="00C34FCE">
              <w:rPr>
                <w:rFonts w:ascii="Times New Roman" w:hAnsi="Times New Roman"/>
                <w:sz w:val="24"/>
                <w:szCs w:val="24"/>
              </w:rPr>
              <w:t>2</w:t>
            </w:r>
            <w:r w:rsidR="00C40F66">
              <w:rPr>
                <w:rFonts w:ascii="Times New Roman" w:hAnsi="Times New Roman"/>
                <w:sz w:val="24"/>
                <w:szCs w:val="24"/>
              </w:rPr>
              <w:t>0</w:t>
            </w:r>
            <w:r w:rsidR="00C34FCE">
              <w:rPr>
                <w:rFonts w:ascii="Times New Roman" w:hAnsi="Times New Roman"/>
                <w:sz w:val="24"/>
                <w:szCs w:val="24"/>
              </w:rPr>
              <w:t>3</w:t>
            </w:r>
            <w:r w:rsidR="00575390">
              <w:rPr>
                <w:rFonts w:ascii="Times New Roman" w:hAnsi="Times New Roman"/>
                <w:sz w:val="24"/>
                <w:szCs w:val="24"/>
              </w:rPr>
              <w:t> </w:t>
            </w:r>
            <w:r w:rsidR="00C40F66">
              <w:rPr>
                <w:rFonts w:ascii="Times New Roman" w:hAnsi="Times New Roman"/>
                <w:sz w:val="24"/>
                <w:szCs w:val="24"/>
              </w:rPr>
              <w:t>0</w:t>
            </w:r>
            <w:r w:rsidR="00C34FCE">
              <w:rPr>
                <w:rFonts w:ascii="Times New Roman" w:hAnsi="Times New Roman"/>
                <w:sz w:val="24"/>
                <w:szCs w:val="24"/>
              </w:rPr>
              <w:t>21</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575390">
              <w:rPr>
                <w:rFonts w:ascii="Times New Roman" w:hAnsi="Times New Roman"/>
                <w:sz w:val="24"/>
                <w:szCs w:val="24"/>
              </w:rPr>
              <w:t>12</w:t>
            </w:r>
            <w:r w:rsidR="00127D3E">
              <w:rPr>
                <w:rFonts w:ascii="Times New Roman" w:hAnsi="Times New Roman"/>
                <w:sz w:val="24"/>
                <w:szCs w:val="24"/>
              </w:rPr>
              <w:t>2</w:t>
            </w:r>
            <w:r w:rsidR="00575390">
              <w:rPr>
                <w:rFonts w:ascii="Times New Roman" w:hAnsi="Times New Roman"/>
                <w:sz w:val="24"/>
                <w:szCs w:val="24"/>
              </w:rPr>
              <w:t xml:space="preserve"> </w:t>
            </w:r>
            <w:r>
              <w:rPr>
                <w:rFonts w:ascii="Times New Roman" w:hAnsi="Times New Roman"/>
                <w:sz w:val="24"/>
                <w:szCs w:val="24"/>
              </w:rPr>
              <w:t xml:space="preserve">doktorantūras grantu vietām (indikatīvi, Dabaszinātnes </w:t>
            </w:r>
            <w:r w:rsidR="00575390">
              <w:rPr>
                <w:rFonts w:ascii="Times New Roman" w:hAnsi="Times New Roman"/>
                <w:sz w:val="24"/>
                <w:szCs w:val="24"/>
              </w:rPr>
              <w:t>2 1</w:t>
            </w:r>
            <w:r w:rsidR="00127D3E">
              <w:rPr>
                <w:rFonts w:ascii="Times New Roman" w:hAnsi="Times New Roman"/>
                <w:sz w:val="24"/>
                <w:szCs w:val="24"/>
              </w:rPr>
              <w:t>13</w:t>
            </w:r>
            <w:r w:rsidR="00575390">
              <w:rPr>
                <w:rFonts w:ascii="Times New Roman" w:hAnsi="Times New Roman"/>
                <w:sz w:val="24"/>
                <w:szCs w:val="24"/>
              </w:rPr>
              <w:t> </w:t>
            </w:r>
            <w:r w:rsidR="00127D3E">
              <w:rPr>
                <w:rFonts w:ascii="Times New Roman" w:hAnsi="Times New Roman"/>
                <w:sz w:val="24"/>
                <w:szCs w:val="24"/>
              </w:rPr>
              <w:t>751</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575390">
              <w:rPr>
                <w:rFonts w:ascii="Times New Roman" w:hAnsi="Times New Roman"/>
                <w:sz w:val="24"/>
                <w:szCs w:val="24"/>
              </w:rPr>
              <w:t>6</w:t>
            </w:r>
            <w:r w:rsidR="00127D3E">
              <w:rPr>
                <w:rFonts w:ascii="Times New Roman" w:hAnsi="Times New Roman"/>
                <w:sz w:val="24"/>
                <w:szCs w:val="24"/>
              </w:rPr>
              <w:t>3</w:t>
            </w:r>
            <w:r>
              <w:rPr>
                <w:rFonts w:ascii="Times New Roman" w:hAnsi="Times New Roman"/>
                <w:sz w:val="24"/>
                <w:szCs w:val="24"/>
              </w:rPr>
              <w:t xml:space="preserve">, Medicīna </w:t>
            </w:r>
            <w:r w:rsidR="00575390">
              <w:rPr>
                <w:rFonts w:ascii="Times New Roman" w:hAnsi="Times New Roman"/>
                <w:sz w:val="24"/>
                <w:szCs w:val="24"/>
              </w:rPr>
              <w:t>4</w:t>
            </w:r>
            <w:r w:rsidR="00127D3E">
              <w:rPr>
                <w:rFonts w:ascii="Times New Roman" w:hAnsi="Times New Roman"/>
                <w:sz w:val="24"/>
                <w:szCs w:val="24"/>
              </w:rPr>
              <w:t>09</w:t>
            </w:r>
            <w:r w:rsidR="00575390">
              <w:rPr>
                <w:rFonts w:ascii="Times New Roman" w:hAnsi="Times New Roman"/>
                <w:sz w:val="24"/>
                <w:szCs w:val="24"/>
              </w:rPr>
              <w:t> </w:t>
            </w:r>
            <w:r w:rsidR="00127D3E">
              <w:rPr>
                <w:rFonts w:ascii="Times New Roman" w:hAnsi="Times New Roman"/>
                <w:sz w:val="24"/>
                <w:szCs w:val="24"/>
              </w:rPr>
              <w:t>977</w:t>
            </w:r>
            <w:r>
              <w:rPr>
                <w:rFonts w:ascii="Times New Roman" w:hAnsi="Times New Roman"/>
                <w:sz w:val="24"/>
                <w:szCs w:val="24"/>
              </w:rPr>
              <w:t> </w:t>
            </w:r>
            <w:r w:rsidR="00677C12" w:rsidRPr="00677C12">
              <w:rPr>
                <w:rFonts w:ascii="Times New Roman" w:hAnsi="Times New Roman"/>
                <w:i/>
                <w:sz w:val="24"/>
                <w:szCs w:val="24"/>
              </w:rPr>
              <w:t>euro</w:t>
            </w:r>
            <w:r w:rsidR="00127D3E">
              <w:rPr>
                <w:rFonts w:ascii="Times New Roman" w:hAnsi="Times New Roman"/>
                <w:sz w:val="24"/>
                <w:szCs w:val="24"/>
              </w:rPr>
              <w:t xml:space="preserve"> </w:t>
            </w:r>
            <w:r>
              <w:rPr>
                <w:rFonts w:ascii="Times New Roman" w:hAnsi="Times New Roman"/>
                <w:sz w:val="24"/>
                <w:szCs w:val="24"/>
              </w:rPr>
              <w:t>/</w:t>
            </w:r>
            <w:r w:rsidR="00127D3E">
              <w:rPr>
                <w:rFonts w:ascii="Times New Roman" w:hAnsi="Times New Roman"/>
                <w:sz w:val="24"/>
                <w:szCs w:val="24"/>
              </w:rPr>
              <w:t xml:space="preserve"> </w:t>
            </w:r>
            <w:r w:rsidR="00575390">
              <w:rPr>
                <w:rFonts w:ascii="Times New Roman" w:hAnsi="Times New Roman"/>
                <w:sz w:val="24"/>
                <w:szCs w:val="24"/>
              </w:rPr>
              <w:t>12</w:t>
            </w:r>
            <w:r>
              <w:rPr>
                <w:rFonts w:ascii="Times New Roman" w:hAnsi="Times New Roman"/>
                <w:sz w:val="24"/>
                <w:szCs w:val="24"/>
              </w:rPr>
              <w:t xml:space="preserve">, Sociālās zinātnes </w:t>
            </w:r>
            <w:r w:rsidR="00575390">
              <w:rPr>
                <w:rFonts w:ascii="Times New Roman" w:hAnsi="Times New Roman"/>
                <w:sz w:val="24"/>
                <w:szCs w:val="24"/>
              </w:rPr>
              <w:t>79</w:t>
            </w:r>
            <w:r w:rsidR="00127D3E">
              <w:rPr>
                <w:rFonts w:ascii="Times New Roman" w:hAnsi="Times New Roman"/>
                <w:sz w:val="24"/>
                <w:szCs w:val="24"/>
              </w:rPr>
              <w:t>1</w:t>
            </w:r>
            <w:r w:rsidR="00575390">
              <w:rPr>
                <w:rFonts w:ascii="Times New Roman" w:hAnsi="Times New Roman"/>
                <w:sz w:val="24"/>
                <w:szCs w:val="24"/>
              </w:rPr>
              <w:t> </w:t>
            </w:r>
            <w:r w:rsidR="00127D3E">
              <w:rPr>
                <w:rFonts w:ascii="Times New Roman" w:hAnsi="Times New Roman"/>
                <w:sz w:val="24"/>
                <w:szCs w:val="24"/>
              </w:rPr>
              <w:t>888</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575390">
              <w:rPr>
                <w:rFonts w:ascii="Times New Roman" w:hAnsi="Times New Roman"/>
                <w:sz w:val="24"/>
                <w:szCs w:val="24"/>
              </w:rPr>
              <w:t>24</w:t>
            </w:r>
            <w:r>
              <w:rPr>
                <w:rFonts w:ascii="Times New Roman" w:hAnsi="Times New Roman"/>
                <w:sz w:val="24"/>
                <w:szCs w:val="24"/>
              </w:rPr>
              <w:t xml:space="preserve">, Humanitārās zinātnes </w:t>
            </w:r>
            <w:r w:rsidR="00575390">
              <w:rPr>
                <w:rFonts w:ascii="Times New Roman" w:hAnsi="Times New Roman"/>
                <w:sz w:val="24"/>
                <w:szCs w:val="24"/>
              </w:rPr>
              <w:t>76</w:t>
            </w:r>
            <w:r w:rsidR="00127D3E">
              <w:rPr>
                <w:rFonts w:ascii="Times New Roman" w:hAnsi="Times New Roman"/>
                <w:sz w:val="24"/>
                <w:szCs w:val="24"/>
              </w:rPr>
              <w:t>4</w:t>
            </w:r>
            <w:r w:rsidR="00575390">
              <w:rPr>
                <w:rFonts w:ascii="Times New Roman" w:hAnsi="Times New Roman"/>
                <w:sz w:val="24"/>
                <w:szCs w:val="24"/>
              </w:rPr>
              <w:t> </w:t>
            </w:r>
            <w:r w:rsidR="00127D3E">
              <w:rPr>
                <w:rFonts w:ascii="Times New Roman" w:hAnsi="Times New Roman"/>
                <w:sz w:val="24"/>
                <w:szCs w:val="24"/>
              </w:rPr>
              <w:t>204</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575390">
              <w:rPr>
                <w:rFonts w:ascii="Times New Roman" w:hAnsi="Times New Roman"/>
                <w:sz w:val="24"/>
                <w:szCs w:val="24"/>
              </w:rPr>
              <w:t>23</w:t>
            </w:r>
            <w:r w:rsidR="00C40F66">
              <w:rPr>
                <w:rFonts w:ascii="Times New Roman" w:hAnsi="Times New Roman"/>
                <w:sz w:val="24"/>
                <w:szCs w:val="24"/>
              </w:rPr>
              <w:t xml:space="preserve">, </w:t>
            </w:r>
            <w:r w:rsidR="00E83CCB">
              <w:rPr>
                <w:rFonts w:ascii="Times New Roman" w:hAnsi="Times New Roman"/>
                <w:sz w:val="24"/>
                <w:szCs w:val="24"/>
              </w:rPr>
              <w:t>tai skaitā</w:t>
            </w:r>
            <w:r w:rsidR="00C40F66">
              <w:rPr>
                <w:rFonts w:ascii="Times New Roman" w:hAnsi="Times New Roman"/>
                <w:sz w:val="24"/>
                <w:szCs w:val="24"/>
              </w:rPr>
              <w:t xml:space="preserve"> ārvalstu pasniedzēju piesaistei – 123 200 </w:t>
            </w:r>
            <w:r w:rsidR="00677C12" w:rsidRPr="00677C12">
              <w:rPr>
                <w:rFonts w:ascii="Times New Roman" w:hAnsi="Times New Roman"/>
                <w:i/>
                <w:sz w:val="24"/>
                <w:szCs w:val="24"/>
              </w:rPr>
              <w:t>euro</w:t>
            </w:r>
            <w:r w:rsidR="00C40F66">
              <w:rPr>
                <w:rFonts w:ascii="Times New Roman" w:hAnsi="Times New Roman"/>
                <w:sz w:val="24"/>
                <w:szCs w:val="24"/>
              </w:rPr>
              <w:t xml:space="preserve"> / 7 ārvalstu pasniedzēji</w:t>
            </w:r>
            <w:r>
              <w:rPr>
                <w:rFonts w:ascii="Times New Roman" w:hAnsi="Times New Roman"/>
                <w:sz w:val="24"/>
                <w:szCs w:val="24"/>
              </w:rPr>
              <w:t>);</w:t>
            </w:r>
          </w:p>
          <w:p w14:paraId="4F7EBD4F" w14:textId="449D30A1" w:rsidR="00BA476E" w:rsidRDefault="00BA476E" w:rsidP="00BA476E">
            <w:pPr>
              <w:pStyle w:val="ListParagraph"/>
              <w:numPr>
                <w:ilvl w:val="0"/>
                <w:numId w:val="14"/>
              </w:numPr>
              <w:tabs>
                <w:tab w:val="left" w:pos="356"/>
              </w:tabs>
              <w:spacing w:after="0" w:line="240" w:lineRule="auto"/>
              <w:jc w:val="both"/>
              <w:rPr>
                <w:rFonts w:ascii="Times New Roman" w:hAnsi="Times New Roman"/>
                <w:sz w:val="24"/>
                <w:szCs w:val="24"/>
              </w:rPr>
            </w:pPr>
            <w:r w:rsidRPr="00BA476E">
              <w:rPr>
                <w:rFonts w:ascii="Times New Roman" w:hAnsi="Times New Roman"/>
                <w:sz w:val="24"/>
                <w:szCs w:val="24"/>
              </w:rPr>
              <w:t>Liepājas Universitāte</w:t>
            </w:r>
            <w:r w:rsidR="00D83EDF">
              <w:rPr>
                <w:rFonts w:ascii="Times New Roman" w:hAnsi="Times New Roman"/>
                <w:sz w:val="24"/>
                <w:szCs w:val="24"/>
              </w:rPr>
              <w:t>i</w:t>
            </w:r>
            <w:r w:rsidRPr="00BA476E">
              <w:rPr>
                <w:rFonts w:ascii="Times New Roman" w:hAnsi="Times New Roman"/>
                <w:sz w:val="24"/>
                <w:szCs w:val="24"/>
              </w:rPr>
              <w:t xml:space="preserve"> – </w:t>
            </w:r>
            <w:r>
              <w:rPr>
                <w:rFonts w:ascii="Times New Roman" w:hAnsi="Times New Roman"/>
                <w:sz w:val="24"/>
                <w:szCs w:val="24"/>
              </w:rPr>
              <w:t>kopējais finansējums</w:t>
            </w:r>
            <w:r w:rsidRPr="00BA476E">
              <w:rPr>
                <w:rFonts w:ascii="Times New Roman" w:hAnsi="Times New Roman"/>
                <w:sz w:val="24"/>
                <w:szCs w:val="24"/>
              </w:rPr>
              <w:t xml:space="preserve"> </w:t>
            </w:r>
            <w:r w:rsidR="00C40F66">
              <w:rPr>
                <w:rFonts w:ascii="Times New Roman" w:hAnsi="Times New Roman"/>
                <w:sz w:val="24"/>
                <w:szCs w:val="24"/>
              </w:rPr>
              <w:t>214</w:t>
            </w:r>
            <w:r w:rsidR="00F52BF9">
              <w:rPr>
                <w:rFonts w:ascii="Times New Roman" w:hAnsi="Times New Roman"/>
                <w:sz w:val="24"/>
                <w:szCs w:val="24"/>
              </w:rPr>
              <w:t> </w:t>
            </w:r>
            <w:r w:rsidR="00C40F66">
              <w:rPr>
                <w:rFonts w:ascii="Times New Roman" w:hAnsi="Times New Roman"/>
                <w:sz w:val="24"/>
                <w:szCs w:val="24"/>
              </w:rPr>
              <w:t>6</w:t>
            </w:r>
            <w:r w:rsidR="00127D3E">
              <w:rPr>
                <w:rFonts w:ascii="Times New Roman" w:hAnsi="Times New Roman"/>
                <w:sz w:val="24"/>
                <w:szCs w:val="24"/>
              </w:rPr>
              <w:t>87</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127D3E">
              <w:rPr>
                <w:rFonts w:ascii="Times New Roman" w:hAnsi="Times New Roman"/>
                <w:sz w:val="24"/>
                <w:szCs w:val="24"/>
              </w:rPr>
              <w:t>5</w:t>
            </w:r>
            <w:r w:rsidR="00F52BF9">
              <w:rPr>
                <w:rFonts w:ascii="Times New Roman" w:hAnsi="Times New Roman"/>
                <w:sz w:val="24"/>
                <w:szCs w:val="24"/>
              </w:rPr>
              <w:t xml:space="preserve"> </w:t>
            </w:r>
            <w:r>
              <w:rPr>
                <w:rFonts w:ascii="Times New Roman" w:hAnsi="Times New Roman"/>
                <w:sz w:val="24"/>
                <w:szCs w:val="24"/>
              </w:rPr>
              <w:t xml:space="preserve">doktorantūras grantu vietām (indikatīvi, Dabaszinātnes </w:t>
            </w:r>
            <w:r w:rsidR="00127D3E">
              <w:rPr>
                <w:rFonts w:ascii="Times New Roman" w:hAnsi="Times New Roman"/>
                <w:sz w:val="24"/>
                <w:szCs w:val="24"/>
              </w:rPr>
              <w:t>66</w:t>
            </w:r>
            <w:r w:rsidR="00F52BF9">
              <w:rPr>
                <w:rFonts w:ascii="Times New Roman" w:hAnsi="Times New Roman"/>
                <w:sz w:val="24"/>
                <w:szCs w:val="24"/>
              </w:rPr>
              <w:t> </w:t>
            </w:r>
            <w:r w:rsidR="00127D3E">
              <w:rPr>
                <w:rFonts w:ascii="Times New Roman" w:hAnsi="Times New Roman"/>
                <w:sz w:val="24"/>
                <w:szCs w:val="24"/>
              </w:rPr>
              <w:t>971</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F52BF9">
              <w:rPr>
                <w:rFonts w:ascii="Times New Roman" w:hAnsi="Times New Roman"/>
                <w:sz w:val="24"/>
                <w:szCs w:val="24"/>
              </w:rPr>
              <w:t>2</w:t>
            </w:r>
            <w:r>
              <w:rPr>
                <w:rFonts w:ascii="Times New Roman" w:hAnsi="Times New Roman"/>
                <w:sz w:val="24"/>
                <w:szCs w:val="24"/>
              </w:rPr>
              <w:t xml:space="preserve">, Sociālās zinātnes </w:t>
            </w:r>
            <w:r w:rsidR="00F52BF9">
              <w:rPr>
                <w:rFonts w:ascii="Times New Roman" w:hAnsi="Times New Roman"/>
                <w:sz w:val="24"/>
                <w:szCs w:val="24"/>
              </w:rPr>
              <w:t>8</w:t>
            </w:r>
            <w:r w:rsidR="00127D3E">
              <w:rPr>
                <w:rFonts w:ascii="Times New Roman" w:hAnsi="Times New Roman"/>
                <w:sz w:val="24"/>
                <w:szCs w:val="24"/>
              </w:rPr>
              <w:t>1</w:t>
            </w:r>
            <w:r w:rsidR="00F52BF9">
              <w:rPr>
                <w:rFonts w:ascii="Times New Roman" w:hAnsi="Times New Roman"/>
                <w:sz w:val="24"/>
                <w:szCs w:val="24"/>
              </w:rPr>
              <w:t> </w:t>
            </w:r>
            <w:r w:rsidR="00127D3E">
              <w:rPr>
                <w:rFonts w:ascii="Times New Roman" w:hAnsi="Times New Roman"/>
                <w:sz w:val="24"/>
                <w:szCs w:val="24"/>
              </w:rPr>
              <w:t>931</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F52BF9">
              <w:rPr>
                <w:rFonts w:ascii="Times New Roman" w:hAnsi="Times New Roman"/>
                <w:sz w:val="24"/>
                <w:szCs w:val="24"/>
              </w:rPr>
              <w:t>2</w:t>
            </w:r>
            <w:r>
              <w:rPr>
                <w:rFonts w:ascii="Times New Roman" w:hAnsi="Times New Roman"/>
                <w:sz w:val="24"/>
                <w:szCs w:val="24"/>
              </w:rPr>
              <w:t xml:space="preserve">, Humanitārās zinātnes </w:t>
            </w:r>
            <w:r w:rsidR="00F52BF9">
              <w:rPr>
                <w:rFonts w:ascii="Times New Roman" w:hAnsi="Times New Roman"/>
                <w:sz w:val="24"/>
                <w:szCs w:val="24"/>
              </w:rPr>
              <w:t>48</w:t>
            </w:r>
            <w:r w:rsidR="00127D3E">
              <w:rPr>
                <w:rFonts w:ascii="Times New Roman" w:hAnsi="Times New Roman"/>
                <w:sz w:val="24"/>
                <w:szCs w:val="24"/>
              </w:rPr>
              <w:t> 185</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F52BF9">
              <w:rPr>
                <w:rFonts w:ascii="Times New Roman" w:hAnsi="Times New Roman"/>
                <w:sz w:val="24"/>
                <w:szCs w:val="24"/>
              </w:rPr>
              <w:t>1</w:t>
            </w:r>
            <w:r w:rsidR="00C40F66">
              <w:rPr>
                <w:rFonts w:ascii="Times New Roman" w:hAnsi="Times New Roman"/>
                <w:sz w:val="24"/>
                <w:szCs w:val="24"/>
              </w:rPr>
              <w:t>,</w:t>
            </w:r>
            <w:r w:rsidR="00E83CCB">
              <w:rPr>
                <w:rFonts w:ascii="Times New Roman" w:hAnsi="Times New Roman"/>
                <w:sz w:val="24"/>
                <w:szCs w:val="24"/>
              </w:rPr>
              <w:t xml:space="preserve"> tai skaitā</w:t>
            </w:r>
            <w:r w:rsidR="00C40F66">
              <w:rPr>
                <w:rFonts w:ascii="Times New Roman" w:hAnsi="Times New Roman"/>
                <w:sz w:val="24"/>
                <w:szCs w:val="24"/>
              </w:rPr>
              <w:t xml:space="preserve"> ārvalstu pasniedzēju piesaistei – 17 600 </w:t>
            </w:r>
            <w:r w:rsidR="00677C12" w:rsidRPr="00677C12">
              <w:rPr>
                <w:rFonts w:ascii="Times New Roman" w:hAnsi="Times New Roman"/>
                <w:i/>
                <w:sz w:val="24"/>
                <w:szCs w:val="24"/>
              </w:rPr>
              <w:t>euro</w:t>
            </w:r>
            <w:r w:rsidR="00C40F66">
              <w:rPr>
                <w:rFonts w:ascii="Times New Roman" w:hAnsi="Times New Roman"/>
                <w:sz w:val="24"/>
                <w:szCs w:val="24"/>
              </w:rPr>
              <w:t xml:space="preserve"> / 1 ārvalstu pasniedzējs</w:t>
            </w:r>
            <w:r>
              <w:rPr>
                <w:rFonts w:ascii="Times New Roman" w:hAnsi="Times New Roman"/>
                <w:sz w:val="24"/>
                <w:szCs w:val="24"/>
              </w:rPr>
              <w:t>)</w:t>
            </w:r>
            <w:r w:rsidRPr="00BA476E">
              <w:rPr>
                <w:rFonts w:ascii="Times New Roman" w:hAnsi="Times New Roman"/>
                <w:sz w:val="24"/>
                <w:szCs w:val="24"/>
              </w:rPr>
              <w:t>;</w:t>
            </w:r>
          </w:p>
          <w:p w14:paraId="1ED3C89D" w14:textId="2A078B34" w:rsidR="00BA476E" w:rsidRDefault="00BA476E" w:rsidP="00BA476E">
            <w:pPr>
              <w:pStyle w:val="ListParagraph"/>
              <w:numPr>
                <w:ilvl w:val="0"/>
                <w:numId w:val="14"/>
              </w:numPr>
              <w:tabs>
                <w:tab w:val="left" w:pos="356"/>
              </w:tabs>
              <w:spacing w:after="0" w:line="240" w:lineRule="auto"/>
              <w:jc w:val="both"/>
              <w:rPr>
                <w:rFonts w:ascii="Times New Roman" w:hAnsi="Times New Roman"/>
                <w:sz w:val="24"/>
                <w:szCs w:val="24"/>
              </w:rPr>
            </w:pPr>
            <w:r w:rsidRPr="00BA476E">
              <w:rPr>
                <w:rFonts w:ascii="Times New Roman" w:hAnsi="Times New Roman"/>
                <w:sz w:val="24"/>
                <w:szCs w:val="24"/>
              </w:rPr>
              <w:t xml:space="preserve">Rēzeknes Tehnoloģiju akadēmijai sadarbībā ar Ventspils augstskolu un Vidzemes augstskolu – kopējais finansējums </w:t>
            </w:r>
            <w:r w:rsidR="00C40F66">
              <w:rPr>
                <w:rFonts w:ascii="Times New Roman" w:hAnsi="Times New Roman"/>
                <w:sz w:val="24"/>
                <w:szCs w:val="24"/>
              </w:rPr>
              <w:t>408</w:t>
            </w:r>
            <w:r w:rsidR="00F52BF9">
              <w:rPr>
                <w:rFonts w:ascii="Times New Roman" w:hAnsi="Times New Roman"/>
                <w:sz w:val="24"/>
                <w:szCs w:val="24"/>
              </w:rPr>
              <w:t> </w:t>
            </w:r>
            <w:r w:rsidR="00C40F66">
              <w:rPr>
                <w:rFonts w:ascii="Times New Roman" w:hAnsi="Times New Roman"/>
                <w:sz w:val="24"/>
                <w:szCs w:val="24"/>
              </w:rPr>
              <w:t>3</w:t>
            </w:r>
            <w:r w:rsidR="00F52BF9">
              <w:rPr>
                <w:rFonts w:ascii="Times New Roman" w:hAnsi="Times New Roman"/>
                <w:sz w:val="24"/>
                <w:szCs w:val="24"/>
              </w:rPr>
              <w:t>61 </w:t>
            </w:r>
            <w:r w:rsidR="00677C12" w:rsidRPr="00677C12">
              <w:rPr>
                <w:rFonts w:ascii="Times New Roman" w:hAnsi="Times New Roman"/>
                <w:i/>
                <w:sz w:val="24"/>
                <w:szCs w:val="24"/>
              </w:rPr>
              <w:t>euro</w:t>
            </w:r>
            <w:r>
              <w:rPr>
                <w:rFonts w:ascii="Times New Roman" w:hAnsi="Times New Roman"/>
                <w:sz w:val="24"/>
                <w:szCs w:val="24"/>
              </w:rPr>
              <w:t xml:space="preserve"> / </w:t>
            </w:r>
            <w:r w:rsidR="00F52BF9">
              <w:rPr>
                <w:rFonts w:ascii="Times New Roman" w:hAnsi="Times New Roman"/>
                <w:sz w:val="24"/>
                <w:szCs w:val="24"/>
              </w:rPr>
              <w:t xml:space="preserve">11 </w:t>
            </w:r>
            <w:r>
              <w:rPr>
                <w:rFonts w:ascii="Times New Roman" w:hAnsi="Times New Roman"/>
                <w:sz w:val="24"/>
                <w:szCs w:val="24"/>
              </w:rPr>
              <w:t>doktorantūras grantu vietām</w:t>
            </w:r>
            <w:r w:rsidR="002B67C4">
              <w:rPr>
                <w:rFonts w:ascii="Times New Roman" w:hAnsi="Times New Roman"/>
                <w:sz w:val="24"/>
                <w:szCs w:val="24"/>
              </w:rPr>
              <w:t>, indikatīvi:</w:t>
            </w:r>
          </w:p>
          <w:p w14:paraId="255C6DAD" w14:textId="30062F9F" w:rsidR="002B67C4" w:rsidRDefault="002B67C4" w:rsidP="002B67C4">
            <w:pPr>
              <w:pStyle w:val="ListParagraph"/>
              <w:numPr>
                <w:ilvl w:val="1"/>
                <w:numId w:val="14"/>
              </w:numPr>
              <w:tabs>
                <w:tab w:val="left" w:pos="356"/>
              </w:tabs>
              <w:spacing w:after="0" w:line="240" w:lineRule="auto"/>
              <w:jc w:val="both"/>
              <w:rPr>
                <w:rFonts w:ascii="Times New Roman" w:hAnsi="Times New Roman"/>
                <w:sz w:val="24"/>
                <w:szCs w:val="24"/>
              </w:rPr>
            </w:pPr>
            <w:r w:rsidRPr="00BA476E">
              <w:rPr>
                <w:rFonts w:ascii="Times New Roman" w:hAnsi="Times New Roman"/>
                <w:sz w:val="24"/>
                <w:szCs w:val="24"/>
              </w:rPr>
              <w:t>Rēzeknes Tehnoloģiju akadēmijai</w:t>
            </w:r>
            <w:r>
              <w:rPr>
                <w:rFonts w:ascii="Times New Roman" w:hAnsi="Times New Roman"/>
                <w:sz w:val="24"/>
                <w:szCs w:val="24"/>
              </w:rPr>
              <w:t xml:space="preserve"> – </w:t>
            </w:r>
            <w:r w:rsidR="00C40F66">
              <w:rPr>
                <w:rFonts w:ascii="Times New Roman" w:hAnsi="Times New Roman"/>
                <w:sz w:val="24"/>
                <w:szCs w:val="24"/>
              </w:rPr>
              <w:t>108</w:t>
            </w:r>
            <w:r w:rsidR="00F52BF9">
              <w:rPr>
                <w:rFonts w:ascii="Times New Roman" w:hAnsi="Times New Roman"/>
                <w:sz w:val="24"/>
                <w:szCs w:val="24"/>
              </w:rPr>
              <w:t> </w:t>
            </w:r>
            <w:r w:rsidR="00C40F66">
              <w:rPr>
                <w:rFonts w:ascii="Times New Roman" w:hAnsi="Times New Roman"/>
                <w:sz w:val="24"/>
                <w:szCs w:val="24"/>
              </w:rPr>
              <w:t>1</w:t>
            </w:r>
            <w:r w:rsidR="00127D3E">
              <w:rPr>
                <w:rFonts w:ascii="Times New Roman" w:hAnsi="Times New Roman"/>
                <w:sz w:val="24"/>
                <w:szCs w:val="24"/>
              </w:rPr>
              <w:t>39</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F52BF9">
              <w:rPr>
                <w:rFonts w:ascii="Times New Roman" w:hAnsi="Times New Roman"/>
                <w:sz w:val="24"/>
                <w:szCs w:val="24"/>
              </w:rPr>
              <w:t xml:space="preserve">3 </w:t>
            </w:r>
            <w:r>
              <w:rPr>
                <w:rFonts w:ascii="Times New Roman" w:hAnsi="Times New Roman"/>
                <w:sz w:val="24"/>
                <w:szCs w:val="24"/>
              </w:rPr>
              <w:t xml:space="preserve">(indikatīvi, Inženierzinātnes </w:t>
            </w:r>
            <w:r w:rsidR="00F52BF9">
              <w:rPr>
                <w:rFonts w:ascii="Times New Roman" w:hAnsi="Times New Roman"/>
                <w:sz w:val="24"/>
                <w:szCs w:val="24"/>
              </w:rPr>
              <w:t>53 </w:t>
            </w:r>
            <w:r w:rsidR="00127D3E">
              <w:rPr>
                <w:rFonts w:ascii="Times New Roman" w:hAnsi="Times New Roman"/>
                <w:sz w:val="24"/>
                <w:szCs w:val="24"/>
              </w:rPr>
              <w:t>625</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2, </w:t>
            </w:r>
            <w:r w:rsidR="00F52BF9">
              <w:rPr>
                <w:rFonts w:ascii="Times New Roman" w:hAnsi="Times New Roman"/>
                <w:sz w:val="24"/>
                <w:szCs w:val="24"/>
              </w:rPr>
              <w:t>3</w:t>
            </w:r>
            <w:r w:rsidR="00127D3E">
              <w:rPr>
                <w:rFonts w:ascii="Times New Roman" w:hAnsi="Times New Roman"/>
                <w:sz w:val="24"/>
                <w:szCs w:val="24"/>
              </w:rPr>
              <w:t>6</w:t>
            </w:r>
            <w:r w:rsidR="00F52BF9">
              <w:rPr>
                <w:rFonts w:ascii="Times New Roman" w:hAnsi="Times New Roman"/>
                <w:sz w:val="24"/>
                <w:szCs w:val="24"/>
              </w:rPr>
              <w:t> </w:t>
            </w:r>
            <w:r w:rsidR="00127D3E">
              <w:rPr>
                <w:rFonts w:ascii="Times New Roman" w:hAnsi="Times New Roman"/>
                <w:sz w:val="24"/>
                <w:szCs w:val="24"/>
              </w:rPr>
              <w:t>914</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F52BF9">
              <w:rPr>
                <w:rFonts w:ascii="Times New Roman" w:hAnsi="Times New Roman"/>
                <w:sz w:val="24"/>
                <w:szCs w:val="24"/>
              </w:rPr>
              <w:t>1</w:t>
            </w:r>
            <w:r w:rsidR="00C40F66">
              <w:rPr>
                <w:rFonts w:ascii="Times New Roman" w:hAnsi="Times New Roman"/>
                <w:sz w:val="24"/>
                <w:szCs w:val="24"/>
              </w:rPr>
              <w:t xml:space="preserve">,  </w:t>
            </w:r>
            <w:r w:rsidR="00E83CCB">
              <w:rPr>
                <w:rFonts w:ascii="Times New Roman" w:hAnsi="Times New Roman"/>
                <w:sz w:val="24"/>
                <w:szCs w:val="24"/>
              </w:rPr>
              <w:t xml:space="preserve">tai skaitā </w:t>
            </w:r>
            <w:r w:rsidR="00C40F66">
              <w:rPr>
                <w:rFonts w:ascii="Times New Roman" w:hAnsi="Times New Roman"/>
                <w:sz w:val="24"/>
                <w:szCs w:val="24"/>
              </w:rPr>
              <w:t xml:space="preserve">ārvalstu pasniedzēju piesaistei – 17 600 </w:t>
            </w:r>
            <w:r w:rsidR="00677C12" w:rsidRPr="00677C12">
              <w:rPr>
                <w:rFonts w:ascii="Times New Roman" w:hAnsi="Times New Roman"/>
                <w:i/>
                <w:sz w:val="24"/>
                <w:szCs w:val="24"/>
              </w:rPr>
              <w:t>euro</w:t>
            </w:r>
            <w:r w:rsidR="00C40F66">
              <w:rPr>
                <w:rFonts w:ascii="Times New Roman" w:hAnsi="Times New Roman"/>
                <w:sz w:val="24"/>
                <w:szCs w:val="24"/>
              </w:rPr>
              <w:t xml:space="preserve"> / 1 ārvalstu pasniedzējs</w:t>
            </w:r>
            <w:r>
              <w:rPr>
                <w:rFonts w:ascii="Times New Roman" w:hAnsi="Times New Roman"/>
                <w:sz w:val="24"/>
                <w:szCs w:val="24"/>
              </w:rPr>
              <w:t>);</w:t>
            </w:r>
          </w:p>
          <w:p w14:paraId="69B8F401" w14:textId="26C8B9F2" w:rsidR="002B67C4" w:rsidRDefault="002B67C4" w:rsidP="002B67C4">
            <w:pPr>
              <w:pStyle w:val="ListParagraph"/>
              <w:numPr>
                <w:ilvl w:val="1"/>
                <w:numId w:val="14"/>
              </w:numPr>
              <w:tabs>
                <w:tab w:val="left" w:pos="356"/>
              </w:tabs>
              <w:spacing w:after="0" w:line="240" w:lineRule="auto"/>
              <w:jc w:val="both"/>
              <w:rPr>
                <w:rFonts w:ascii="Times New Roman" w:hAnsi="Times New Roman"/>
                <w:sz w:val="24"/>
                <w:szCs w:val="24"/>
              </w:rPr>
            </w:pPr>
            <w:r>
              <w:rPr>
                <w:rFonts w:ascii="Times New Roman" w:hAnsi="Times New Roman"/>
                <w:sz w:val="24"/>
                <w:szCs w:val="24"/>
              </w:rPr>
              <w:t xml:space="preserve">Ventspils augstskolai – </w:t>
            </w:r>
            <w:r w:rsidR="00127D3E">
              <w:rPr>
                <w:rFonts w:ascii="Times New Roman" w:hAnsi="Times New Roman"/>
                <w:sz w:val="24"/>
                <w:szCs w:val="24"/>
              </w:rPr>
              <w:t>233 316</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F52BF9">
              <w:rPr>
                <w:rFonts w:ascii="Times New Roman" w:hAnsi="Times New Roman"/>
                <w:sz w:val="24"/>
                <w:szCs w:val="24"/>
              </w:rPr>
              <w:t xml:space="preserve">7 </w:t>
            </w:r>
            <w:r>
              <w:rPr>
                <w:rFonts w:ascii="Times New Roman" w:hAnsi="Times New Roman"/>
                <w:sz w:val="24"/>
                <w:szCs w:val="24"/>
              </w:rPr>
              <w:t xml:space="preserve">(indikatīvi, Sociālās zinātnes </w:t>
            </w:r>
            <w:r w:rsidR="00F52BF9">
              <w:rPr>
                <w:rFonts w:ascii="Times New Roman" w:hAnsi="Times New Roman"/>
                <w:sz w:val="24"/>
                <w:szCs w:val="24"/>
              </w:rPr>
              <w:t>91 </w:t>
            </w:r>
            <w:r w:rsidR="00127D3E">
              <w:rPr>
                <w:rFonts w:ascii="Times New Roman" w:hAnsi="Times New Roman"/>
                <w:sz w:val="24"/>
                <w:szCs w:val="24"/>
              </w:rPr>
              <w:t>577</w:t>
            </w:r>
            <w:r>
              <w:rPr>
                <w:rFonts w:ascii="Times New Roman" w:hAnsi="Times New Roman"/>
                <w:sz w:val="24"/>
                <w:szCs w:val="24"/>
              </w:rPr>
              <w:t> </w:t>
            </w:r>
            <w:r w:rsidR="00677C12" w:rsidRPr="00677C12">
              <w:rPr>
                <w:rFonts w:ascii="Times New Roman" w:hAnsi="Times New Roman"/>
                <w:i/>
                <w:sz w:val="24"/>
                <w:szCs w:val="24"/>
              </w:rPr>
              <w:t>euro</w:t>
            </w:r>
            <w:r w:rsidR="00F52BF9">
              <w:rPr>
                <w:rFonts w:ascii="Times New Roman" w:hAnsi="Times New Roman"/>
                <w:sz w:val="24"/>
                <w:szCs w:val="24"/>
              </w:rPr>
              <w:t xml:space="preserve"> </w:t>
            </w:r>
            <w:r>
              <w:rPr>
                <w:rFonts w:ascii="Times New Roman" w:hAnsi="Times New Roman"/>
                <w:sz w:val="24"/>
                <w:szCs w:val="24"/>
              </w:rPr>
              <w:t>/</w:t>
            </w:r>
            <w:r w:rsidR="00F52BF9">
              <w:rPr>
                <w:rFonts w:ascii="Times New Roman" w:hAnsi="Times New Roman"/>
                <w:sz w:val="24"/>
                <w:szCs w:val="24"/>
              </w:rPr>
              <w:t xml:space="preserve"> 3</w:t>
            </w:r>
            <w:r>
              <w:rPr>
                <w:rFonts w:ascii="Times New Roman" w:hAnsi="Times New Roman"/>
                <w:sz w:val="24"/>
                <w:szCs w:val="24"/>
              </w:rPr>
              <w:t xml:space="preserve">, Humanitārās zinātnes </w:t>
            </w:r>
            <w:r w:rsidR="00F52BF9">
              <w:rPr>
                <w:rFonts w:ascii="Times New Roman" w:hAnsi="Times New Roman"/>
                <w:sz w:val="24"/>
                <w:szCs w:val="24"/>
              </w:rPr>
              <w:t>124 </w:t>
            </w:r>
            <w:r w:rsidR="00127D3E">
              <w:rPr>
                <w:rFonts w:ascii="Times New Roman" w:hAnsi="Times New Roman"/>
                <w:sz w:val="24"/>
                <w:szCs w:val="24"/>
              </w:rPr>
              <w:t>138</w:t>
            </w:r>
            <w:r>
              <w:rPr>
                <w:rFonts w:ascii="Times New Roman" w:hAnsi="Times New Roman"/>
                <w:sz w:val="24"/>
                <w:szCs w:val="24"/>
              </w:rPr>
              <w:t> </w:t>
            </w:r>
            <w:r w:rsidR="00677C12" w:rsidRPr="00677C12">
              <w:rPr>
                <w:rFonts w:ascii="Times New Roman" w:hAnsi="Times New Roman"/>
                <w:i/>
                <w:sz w:val="24"/>
                <w:szCs w:val="24"/>
              </w:rPr>
              <w:t>euro</w:t>
            </w:r>
            <w:r w:rsidR="00F52BF9">
              <w:rPr>
                <w:rFonts w:ascii="Times New Roman" w:hAnsi="Times New Roman"/>
                <w:sz w:val="24"/>
                <w:szCs w:val="24"/>
              </w:rPr>
              <w:t xml:space="preserve"> </w:t>
            </w:r>
            <w:r>
              <w:rPr>
                <w:rFonts w:ascii="Times New Roman" w:hAnsi="Times New Roman"/>
                <w:sz w:val="24"/>
                <w:szCs w:val="24"/>
              </w:rPr>
              <w:t>/</w:t>
            </w:r>
            <w:r w:rsidR="00F52BF9">
              <w:rPr>
                <w:rFonts w:ascii="Times New Roman" w:hAnsi="Times New Roman"/>
                <w:sz w:val="24"/>
                <w:szCs w:val="24"/>
              </w:rPr>
              <w:t xml:space="preserve"> 4</w:t>
            </w:r>
            <w:r w:rsidR="00127D3E">
              <w:rPr>
                <w:rFonts w:ascii="Times New Roman" w:hAnsi="Times New Roman"/>
                <w:sz w:val="24"/>
                <w:szCs w:val="24"/>
              </w:rPr>
              <w:t xml:space="preserve">,  </w:t>
            </w:r>
            <w:r w:rsidR="00E83CCB">
              <w:rPr>
                <w:rFonts w:ascii="Times New Roman" w:hAnsi="Times New Roman"/>
                <w:sz w:val="24"/>
                <w:szCs w:val="24"/>
              </w:rPr>
              <w:t xml:space="preserve">tai skaitā </w:t>
            </w:r>
            <w:r w:rsidR="00127D3E">
              <w:rPr>
                <w:rFonts w:ascii="Times New Roman" w:hAnsi="Times New Roman"/>
                <w:sz w:val="24"/>
                <w:szCs w:val="24"/>
              </w:rPr>
              <w:t xml:space="preserve">ārvalstu pasniedzēju piesaistei – 17 600 </w:t>
            </w:r>
            <w:r w:rsidR="00677C12" w:rsidRPr="00677C12">
              <w:rPr>
                <w:rFonts w:ascii="Times New Roman" w:hAnsi="Times New Roman"/>
                <w:i/>
                <w:sz w:val="24"/>
                <w:szCs w:val="24"/>
              </w:rPr>
              <w:t>euro</w:t>
            </w:r>
            <w:r w:rsidR="00127D3E">
              <w:rPr>
                <w:rFonts w:ascii="Times New Roman" w:hAnsi="Times New Roman"/>
                <w:sz w:val="24"/>
                <w:szCs w:val="24"/>
              </w:rPr>
              <w:t xml:space="preserve"> / 1 ārvalstu pasniedzējs</w:t>
            </w:r>
            <w:r>
              <w:rPr>
                <w:rFonts w:ascii="Times New Roman" w:hAnsi="Times New Roman"/>
                <w:sz w:val="24"/>
                <w:szCs w:val="24"/>
              </w:rPr>
              <w:t>)</w:t>
            </w:r>
            <w:r w:rsidR="00CC61C7">
              <w:rPr>
                <w:rFonts w:ascii="Times New Roman" w:hAnsi="Times New Roman"/>
                <w:sz w:val="24"/>
                <w:szCs w:val="24"/>
              </w:rPr>
              <w:t>;</w:t>
            </w:r>
          </w:p>
          <w:p w14:paraId="2E583D11" w14:textId="6D7E35D3" w:rsidR="002B67C4" w:rsidRDefault="002B67C4" w:rsidP="002B67C4">
            <w:pPr>
              <w:pStyle w:val="ListParagraph"/>
              <w:numPr>
                <w:ilvl w:val="1"/>
                <w:numId w:val="14"/>
              </w:numPr>
              <w:tabs>
                <w:tab w:val="left" w:pos="356"/>
              </w:tabs>
              <w:spacing w:after="0" w:line="240" w:lineRule="auto"/>
              <w:jc w:val="both"/>
              <w:rPr>
                <w:rFonts w:ascii="Times New Roman" w:hAnsi="Times New Roman"/>
                <w:sz w:val="24"/>
                <w:szCs w:val="24"/>
              </w:rPr>
            </w:pPr>
            <w:r>
              <w:rPr>
                <w:rFonts w:ascii="Times New Roman" w:hAnsi="Times New Roman"/>
                <w:sz w:val="24"/>
                <w:szCs w:val="24"/>
              </w:rPr>
              <w:t xml:space="preserve">Vidzemes augstskolai – Inženierzinātnēs </w:t>
            </w:r>
            <w:r w:rsidR="00C40F66">
              <w:rPr>
                <w:rFonts w:ascii="Times New Roman" w:hAnsi="Times New Roman"/>
                <w:sz w:val="24"/>
                <w:szCs w:val="24"/>
              </w:rPr>
              <w:t>66 9</w:t>
            </w:r>
            <w:r w:rsidR="00127D3E">
              <w:rPr>
                <w:rFonts w:ascii="Times New Roman" w:hAnsi="Times New Roman"/>
                <w:sz w:val="24"/>
                <w:szCs w:val="24"/>
              </w:rPr>
              <w:t>06</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F52BF9">
              <w:rPr>
                <w:rFonts w:ascii="Times New Roman" w:hAnsi="Times New Roman"/>
                <w:sz w:val="24"/>
                <w:szCs w:val="24"/>
              </w:rPr>
              <w:t>1</w:t>
            </w:r>
            <w:r w:rsidR="00C40F66">
              <w:rPr>
                <w:rFonts w:ascii="Times New Roman" w:hAnsi="Times New Roman"/>
                <w:sz w:val="24"/>
                <w:szCs w:val="24"/>
              </w:rPr>
              <w:t xml:space="preserve">,  </w:t>
            </w:r>
            <w:r w:rsidR="00E83CCB">
              <w:rPr>
                <w:rFonts w:ascii="Times New Roman" w:hAnsi="Times New Roman"/>
                <w:sz w:val="24"/>
                <w:szCs w:val="24"/>
              </w:rPr>
              <w:t xml:space="preserve">tai skaitā </w:t>
            </w:r>
            <w:r w:rsidR="00C40F66">
              <w:rPr>
                <w:rFonts w:ascii="Times New Roman" w:hAnsi="Times New Roman"/>
                <w:sz w:val="24"/>
                <w:szCs w:val="24"/>
              </w:rPr>
              <w:t xml:space="preserve">ārvalstu pasniedzēju </w:t>
            </w:r>
            <w:r w:rsidR="00C40F66">
              <w:rPr>
                <w:rFonts w:ascii="Times New Roman" w:hAnsi="Times New Roman"/>
                <w:sz w:val="24"/>
                <w:szCs w:val="24"/>
              </w:rPr>
              <w:lastRenderedPageBreak/>
              <w:t xml:space="preserve">piesaistei – 17 600 </w:t>
            </w:r>
            <w:r w:rsidR="00677C12" w:rsidRPr="00677C12">
              <w:rPr>
                <w:rFonts w:ascii="Times New Roman" w:hAnsi="Times New Roman"/>
                <w:i/>
                <w:sz w:val="24"/>
                <w:szCs w:val="24"/>
              </w:rPr>
              <w:t>euro</w:t>
            </w:r>
            <w:r w:rsidR="00C40F66">
              <w:rPr>
                <w:rFonts w:ascii="Times New Roman" w:hAnsi="Times New Roman"/>
                <w:sz w:val="24"/>
                <w:szCs w:val="24"/>
              </w:rPr>
              <w:t xml:space="preserve"> / 1 ārvalstu pasniedzējs</w:t>
            </w:r>
            <w:r>
              <w:rPr>
                <w:rFonts w:ascii="Times New Roman" w:hAnsi="Times New Roman"/>
                <w:sz w:val="24"/>
                <w:szCs w:val="24"/>
              </w:rPr>
              <w:t>;</w:t>
            </w:r>
          </w:p>
          <w:p w14:paraId="60F5338F" w14:textId="10EE51EA" w:rsidR="002B67C4" w:rsidRDefault="002B67C4" w:rsidP="002B67C4">
            <w:pPr>
              <w:pStyle w:val="ListParagraph"/>
              <w:numPr>
                <w:ilvl w:val="0"/>
                <w:numId w:val="14"/>
              </w:numPr>
              <w:tabs>
                <w:tab w:val="left" w:pos="356"/>
              </w:tabs>
              <w:spacing w:after="0" w:line="240" w:lineRule="auto"/>
              <w:jc w:val="both"/>
              <w:rPr>
                <w:rFonts w:ascii="Times New Roman" w:hAnsi="Times New Roman"/>
                <w:sz w:val="24"/>
                <w:szCs w:val="24"/>
              </w:rPr>
            </w:pPr>
            <w:r w:rsidRPr="002B67C4">
              <w:rPr>
                <w:rFonts w:ascii="Times New Roman" w:hAnsi="Times New Roman"/>
                <w:sz w:val="24"/>
                <w:szCs w:val="24"/>
              </w:rPr>
              <w:t>Rīgas Stradiņa universitāte</w:t>
            </w:r>
            <w:r>
              <w:rPr>
                <w:rFonts w:ascii="Times New Roman" w:hAnsi="Times New Roman"/>
                <w:sz w:val="24"/>
                <w:szCs w:val="24"/>
              </w:rPr>
              <w:t>i</w:t>
            </w:r>
            <w:r w:rsidRPr="002B67C4">
              <w:rPr>
                <w:rFonts w:ascii="Times New Roman" w:hAnsi="Times New Roman"/>
                <w:sz w:val="24"/>
                <w:szCs w:val="24"/>
              </w:rPr>
              <w:t xml:space="preserve"> sadarbībā ar Latvijas Sporta pedagoģijas akadēmiju – </w:t>
            </w:r>
            <w:r w:rsidRPr="00BA476E">
              <w:rPr>
                <w:rFonts w:ascii="Times New Roman" w:hAnsi="Times New Roman"/>
                <w:sz w:val="24"/>
                <w:szCs w:val="24"/>
              </w:rPr>
              <w:t xml:space="preserve">kopējais finansējums </w:t>
            </w:r>
            <w:r w:rsidR="00F52BF9">
              <w:rPr>
                <w:rFonts w:ascii="Times New Roman" w:hAnsi="Times New Roman"/>
                <w:sz w:val="24"/>
                <w:szCs w:val="24"/>
              </w:rPr>
              <w:t>9</w:t>
            </w:r>
            <w:r w:rsidR="00902BAA">
              <w:rPr>
                <w:rFonts w:ascii="Times New Roman" w:hAnsi="Times New Roman"/>
                <w:sz w:val="24"/>
                <w:szCs w:val="24"/>
              </w:rPr>
              <w:t>60</w:t>
            </w:r>
            <w:r w:rsidR="00F52BF9">
              <w:rPr>
                <w:rFonts w:ascii="Times New Roman" w:hAnsi="Times New Roman"/>
                <w:sz w:val="24"/>
                <w:szCs w:val="24"/>
              </w:rPr>
              <w:t> </w:t>
            </w:r>
            <w:r w:rsidR="00902BAA">
              <w:rPr>
                <w:rFonts w:ascii="Times New Roman" w:hAnsi="Times New Roman"/>
                <w:sz w:val="24"/>
                <w:szCs w:val="24"/>
              </w:rPr>
              <w:t>7</w:t>
            </w:r>
            <w:r w:rsidR="00127D3E">
              <w:rPr>
                <w:rFonts w:ascii="Times New Roman" w:hAnsi="Times New Roman"/>
                <w:sz w:val="24"/>
                <w:szCs w:val="24"/>
              </w:rPr>
              <w:t>85</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F52BF9">
              <w:rPr>
                <w:rFonts w:ascii="Times New Roman" w:hAnsi="Times New Roman"/>
                <w:sz w:val="24"/>
                <w:szCs w:val="24"/>
              </w:rPr>
              <w:t xml:space="preserve">27 </w:t>
            </w:r>
            <w:r>
              <w:rPr>
                <w:rFonts w:ascii="Times New Roman" w:hAnsi="Times New Roman"/>
                <w:sz w:val="24"/>
                <w:szCs w:val="24"/>
              </w:rPr>
              <w:t>doktorantūras grantu vietām, indikatīvi:</w:t>
            </w:r>
          </w:p>
          <w:p w14:paraId="1F24DB56" w14:textId="45A8D900" w:rsidR="002B67C4" w:rsidRDefault="002B67C4" w:rsidP="002B67C4">
            <w:pPr>
              <w:pStyle w:val="ListParagraph"/>
              <w:numPr>
                <w:ilvl w:val="1"/>
                <w:numId w:val="14"/>
              </w:numPr>
              <w:tabs>
                <w:tab w:val="left" w:pos="356"/>
              </w:tabs>
              <w:spacing w:after="0" w:line="240" w:lineRule="auto"/>
              <w:jc w:val="both"/>
              <w:rPr>
                <w:rFonts w:ascii="Times New Roman" w:hAnsi="Times New Roman"/>
                <w:sz w:val="24"/>
                <w:szCs w:val="24"/>
              </w:rPr>
            </w:pPr>
            <w:r w:rsidRPr="002B67C4">
              <w:rPr>
                <w:rFonts w:ascii="Times New Roman" w:hAnsi="Times New Roman"/>
                <w:sz w:val="24"/>
                <w:szCs w:val="24"/>
              </w:rPr>
              <w:t>Rīgas Stradiņa universitāte</w:t>
            </w:r>
            <w:r>
              <w:rPr>
                <w:rFonts w:ascii="Times New Roman" w:hAnsi="Times New Roman"/>
                <w:sz w:val="24"/>
                <w:szCs w:val="24"/>
              </w:rPr>
              <w:t xml:space="preserve">i – </w:t>
            </w:r>
            <w:r w:rsidR="00902BAA">
              <w:rPr>
                <w:rFonts w:ascii="Times New Roman" w:hAnsi="Times New Roman"/>
                <w:sz w:val="24"/>
                <w:szCs w:val="24"/>
              </w:rPr>
              <w:t>8</w:t>
            </w:r>
            <w:r w:rsidR="00C40F66">
              <w:rPr>
                <w:rFonts w:ascii="Times New Roman" w:hAnsi="Times New Roman"/>
                <w:sz w:val="24"/>
                <w:szCs w:val="24"/>
              </w:rPr>
              <w:t>69</w:t>
            </w:r>
            <w:r w:rsidR="00F52BF9">
              <w:rPr>
                <w:rFonts w:ascii="Times New Roman" w:hAnsi="Times New Roman"/>
                <w:sz w:val="24"/>
                <w:szCs w:val="24"/>
              </w:rPr>
              <w:t> </w:t>
            </w:r>
            <w:r w:rsidR="00C40F66">
              <w:rPr>
                <w:rFonts w:ascii="Times New Roman" w:hAnsi="Times New Roman"/>
                <w:sz w:val="24"/>
                <w:szCs w:val="24"/>
              </w:rPr>
              <w:t>4</w:t>
            </w:r>
            <w:r w:rsidR="00127D3E">
              <w:rPr>
                <w:rFonts w:ascii="Times New Roman" w:hAnsi="Times New Roman"/>
                <w:sz w:val="24"/>
                <w:szCs w:val="24"/>
              </w:rPr>
              <w:t>46</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F52BF9">
              <w:rPr>
                <w:rFonts w:ascii="Times New Roman" w:hAnsi="Times New Roman"/>
                <w:sz w:val="24"/>
                <w:szCs w:val="24"/>
              </w:rPr>
              <w:t>25</w:t>
            </w:r>
            <w:r>
              <w:rPr>
                <w:rFonts w:ascii="Times New Roman" w:hAnsi="Times New Roman"/>
                <w:sz w:val="24"/>
                <w:szCs w:val="24"/>
              </w:rPr>
              <w:t xml:space="preserve"> (indikatīvi, Medicīna </w:t>
            </w:r>
            <w:r w:rsidR="00127D3E">
              <w:rPr>
                <w:rFonts w:ascii="Times New Roman" w:hAnsi="Times New Roman"/>
                <w:sz w:val="24"/>
                <w:szCs w:val="24"/>
              </w:rPr>
              <w:t>735</w:t>
            </w:r>
            <w:r w:rsidR="00F52BF9">
              <w:rPr>
                <w:rFonts w:ascii="Times New Roman" w:hAnsi="Times New Roman"/>
                <w:sz w:val="24"/>
                <w:szCs w:val="24"/>
              </w:rPr>
              <w:t> </w:t>
            </w:r>
            <w:r w:rsidR="00127D3E">
              <w:rPr>
                <w:rFonts w:ascii="Times New Roman" w:hAnsi="Times New Roman"/>
                <w:sz w:val="24"/>
                <w:szCs w:val="24"/>
              </w:rPr>
              <w:t>997</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F52BF9">
              <w:rPr>
                <w:rFonts w:ascii="Times New Roman" w:hAnsi="Times New Roman"/>
                <w:sz w:val="24"/>
                <w:szCs w:val="24"/>
              </w:rPr>
              <w:t>22</w:t>
            </w:r>
            <w:r>
              <w:rPr>
                <w:rFonts w:ascii="Times New Roman" w:hAnsi="Times New Roman"/>
                <w:sz w:val="24"/>
                <w:szCs w:val="24"/>
              </w:rPr>
              <w:t xml:space="preserve">, Sociālās zinātnes </w:t>
            </w:r>
            <w:r w:rsidR="00F52BF9">
              <w:rPr>
                <w:rFonts w:ascii="Times New Roman" w:hAnsi="Times New Roman"/>
                <w:sz w:val="24"/>
                <w:szCs w:val="24"/>
              </w:rPr>
              <w:t>98</w:t>
            </w:r>
            <w:r w:rsidR="00127D3E">
              <w:rPr>
                <w:rFonts w:ascii="Times New Roman" w:hAnsi="Times New Roman"/>
                <w:sz w:val="24"/>
                <w:szCs w:val="24"/>
              </w:rPr>
              <w:t> 249</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F52BF9">
              <w:rPr>
                <w:rFonts w:ascii="Times New Roman" w:hAnsi="Times New Roman"/>
                <w:sz w:val="24"/>
                <w:szCs w:val="24"/>
              </w:rPr>
              <w:t>3</w:t>
            </w:r>
            <w:r w:rsidR="00127D3E">
              <w:rPr>
                <w:rFonts w:ascii="Times New Roman" w:hAnsi="Times New Roman"/>
                <w:sz w:val="24"/>
                <w:szCs w:val="24"/>
              </w:rPr>
              <w:t xml:space="preserve">,  </w:t>
            </w:r>
            <w:r w:rsidR="00E83CCB">
              <w:rPr>
                <w:rFonts w:ascii="Times New Roman" w:hAnsi="Times New Roman"/>
                <w:sz w:val="24"/>
                <w:szCs w:val="24"/>
              </w:rPr>
              <w:t xml:space="preserve">tai skaitā </w:t>
            </w:r>
            <w:r w:rsidR="00127D3E">
              <w:rPr>
                <w:rFonts w:ascii="Times New Roman" w:hAnsi="Times New Roman"/>
                <w:sz w:val="24"/>
                <w:szCs w:val="24"/>
              </w:rPr>
              <w:t xml:space="preserve">ārvalstu pasniedzēju piesaistei – </w:t>
            </w:r>
            <w:r w:rsidR="00C40F66">
              <w:rPr>
                <w:rFonts w:ascii="Times New Roman" w:hAnsi="Times New Roman"/>
                <w:sz w:val="24"/>
                <w:szCs w:val="24"/>
              </w:rPr>
              <w:t>35</w:t>
            </w:r>
            <w:r w:rsidR="00902BAA">
              <w:rPr>
                <w:rFonts w:ascii="Times New Roman" w:hAnsi="Times New Roman"/>
                <w:sz w:val="24"/>
                <w:szCs w:val="24"/>
              </w:rPr>
              <w:t> </w:t>
            </w:r>
            <w:r w:rsidR="00C40F66">
              <w:rPr>
                <w:rFonts w:ascii="Times New Roman" w:hAnsi="Times New Roman"/>
                <w:sz w:val="24"/>
                <w:szCs w:val="24"/>
              </w:rPr>
              <w:t>2</w:t>
            </w:r>
            <w:r w:rsidR="00902BAA">
              <w:rPr>
                <w:rFonts w:ascii="Times New Roman" w:hAnsi="Times New Roman"/>
                <w:sz w:val="24"/>
                <w:szCs w:val="24"/>
              </w:rPr>
              <w:t>00</w:t>
            </w:r>
            <w:r w:rsidR="00127D3E">
              <w:rPr>
                <w:rFonts w:ascii="Times New Roman" w:hAnsi="Times New Roman"/>
                <w:sz w:val="24"/>
                <w:szCs w:val="24"/>
              </w:rPr>
              <w:t> </w:t>
            </w:r>
            <w:r w:rsidR="00677C12" w:rsidRPr="00677C12">
              <w:rPr>
                <w:rFonts w:ascii="Times New Roman" w:hAnsi="Times New Roman"/>
                <w:i/>
                <w:sz w:val="24"/>
                <w:szCs w:val="24"/>
              </w:rPr>
              <w:t>euro</w:t>
            </w:r>
            <w:r w:rsidR="00127D3E">
              <w:rPr>
                <w:rFonts w:ascii="Times New Roman" w:hAnsi="Times New Roman"/>
                <w:sz w:val="24"/>
                <w:szCs w:val="24"/>
              </w:rPr>
              <w:t xml:space="preserve"> / </w:t>
            </w:r>
            <w:r w:rsidR="00C40F66">
              <w:rPr>
                <w:rFonts w:ascii="Times New Roman" w:hAnsi="Times New Roman"/>
                <w:sz w:val="24"/>
                <w:szCs w:val="24"/>
              </w:rPr>
              <w:t>2</w:t>
            </w:r>
            <w:r w:rsidR="00127D3E">
              <w:rPr>
                <w:rFonts w:ascii="Times New Roman" w:hAnsi="Times New Roman"/>
                <w:sz w:val="24"/>
                <w:szCs w:val="24"/>
              </w:rPr>
              <w:t xml:space="preserve"> ārvalstu pasniedzēji</w:t>
            </w:r>
            <w:r>
              <w:rPr>
                <w:rFonts w:ascii="Times New Roman" w:hAnsi="Times New Roman"/>
                <w:sz w:val="24"/>
                <w:szCs w:val="24"/>
              </w:rPr>
              <w:t>);</w:t>
            </w:r>
          </w:p>
          <w:p w14:paraId="7E4D975F" w14:textId="19704D49" w:rsidR="002B67C4" w:rsidRDefault="002B67C4" w:rsidP="002B67C4">
            <w:pPr>
              <w:pStyle w:val="ListParagraph"/>
              <w:numPr>
                <w:ilvl w:val="1"/>
                <w:numId w:val="14"/>
              </w:numPr>
              <w:tabs>
                <w:tab w:val="left" w:pos="356"/>
              </w:tabs>
              <w:spacing w:after="0" w:line="240" w:lineRule="auto"/>
              <w:jc w:val="both"/>
              <w:rPr>
                <w:rFonts w:ascii="Times New Roman" w:hAnsi="Times New Roman"/>
                <w:sz w:val="24"/>
                <w:szCs w:val="24"/>
              </w:rPr>
            </w:pPr>
            <w:r w:rsidRPr="002B67C4">
              <w:rPr>
                <w:rFonts w:ascii="Times New Roman" w:hAnsi="Times New Roman"/>
                <w:sz w:val="24"/>
                <w:szCs w:val="24"/>
              </w:rPr>
              <w:t>Latvi</w:t>
            </w:r>
            <w:r>
              <w:rPr>
                <w:rFonts w:ascii="Times New Roman" w:hAnsi="Times New Roman"/>
                <w:sz w:val="24"/>
                <w:szCs w:val="24"/>
              </w:rPr>
              <w:t xml:space="preserve">jas Sporta pedagoģijas akadēmijai – Medicīnā </w:t>
            </w:r>
            <w:r w:rsidR="00C40F66">
              <w:rPr>
                <w:rFonts w:ascii="Times New Roman" w:hAnsi="Times New Roman"/>
                <w:sz w:val="24"/>
                <w:szCs w:val="24"/>
              </w:rPr>
              <w:t>91</w:t>
            </w:r>
            <w:r w:rsidR="00F52BF9">
              <w:rPr>
                <w:rFonts w:ascii="Times New Roman" w:hAnsi="Times New Roman"/>
                <w:sz w:val="24"/>
                <w:szCs w:val="24"/>
              </w:rPr>
              <w:t> </w:t>
            </w:r>
            <w:r w:rsidR="00C40F66">
              <w:rPr>
                <w:rFonts w:ascii="Times New Roman" w:hAnsi="Times New Roman"/>
                <w:sz w:val="24"/>
                <w:szCs w:val="24"/>
              </w:rPr>
              <w:t>3</w:t>
            </w:r>
            <w:r w:rsidR="00902BAA">
              <w:rPr>
                <w:rFonts w:ascii="Times New Roman" w:hAnsi="Times New Roman"/>
                <w:sz w:val="24"/>
                <w:szCs w:val="24"/>
              </w:rPr>
              <w:t>39</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F52BF9">
              <w:rPr>
                <w:rFonts w:ascii="Times New Roman" w:hAnsi="Times New Roman"/>
                <w:sz w:val="24"/>
                <w:szCs w:val="24"/>
              </w:rPr>
              <w:t>2</w:t>
            </w:r>
            <w:r w:rsidR="00C40F66">
              <w:rPr>
                <w:rFonts w:ascii="Times New Roman" w:hAnsi="Times New Roman"/>
                <w:sz w:val="24"/>
                <w:szCs w:val="24"/>
              </w:rPr>
              <w:t xml:space="preserve">, </w:t>
            </w:r>
            <w:r w:rsidR="00E83CCB">
              <w:rPr>
                <w:rFonts w:ascii="Times New Roman" w:hAnsi="Times New Roman"/>
                <w:sz w:val="24"/>
                <w:szCs w:val="24"/>
              </w:rPr>
              <w:t xml:space="preserve">tai skaitā </w:t>
            </w:r>
            <w:r w:rsidR="00677C12">
              <w:rPr>
                <w:rFonts w:ascii="Times New Roman" w:hAnsi="Times New Roman"/>
                <w:sz w:val="24"/>
                <w:szCs w:val="24"/>
              </w:rPr>
              <w:t xml:space="preserve">ārvalstu pasniedzēju piesaistei – 17 600 </w:t>
            </w:r>
            <w:r w:rsidR="00677C12" w:rsidRPr="00677C12">
              <w:rPr>
                <w:rFonts w:ascii="Times New Roman" w:hAnsi="Times New Roman"/>
                <w:i/>
                <w:sz w:val="24"/>
                <w:szCs w:val="24"/>
              </w:rPr>
              <w:t>euro</w:t>
            </w:r>
            <w:r w:rsidR="00677C12">
              <w:rPr>
                <w:rFonts w:ascii="Times New Roman" w:hAnsi="Times New Roman"/>
                <w:sz w:val="24"/>
                <w:szCs w:val="24"/>
              </w:rPr>
              <w:t xml:space="preserve"> / 1 ārvalstu pasniedzējs</w:t>
            </w:r>
            <w:r w:rsidR="00CC61C7">
              <w:rPr>
                <w:rFonts w:ascii="Times New Roman" w:hAnsi="Times New Roman"/>
                <w:sz w:val="24"/>
                <w:szCs w:val="24"/>
              </w:rPr>
              <w:t>;</w:t>
            </w:r>
          </w:p>
          <w:p w14:paraId="49811347" w14:textId="7F371384" w:rsidR="00CC61C7" w:rsidRDefault="00D83EDF" w:rsidP="00CC61C7">
            <w:pPr>
              <w:pStyle w:val="ListParagraph"/>
              <w:numPr>
                <w:ilvl w:val="0"/>
                <w:numId w:val="14"/>
              </w:numPr>
              <w:tabs>
                <w:tab w:val="left" w:pos="356"/>
              </w:tabs>
              <w:spacing w:after="0" w:line="240" w:lineRule="auto"/>
              <w:jc w:val="both"/>
              <w:rPr>
                <w:rFonts w:ascii="Times New Roman" w:hAnsi="Times New Roman"/>
                <w:sz w:val="24"/>
                <w:szCs w:val="24"/>
              </w:rPr>
            </w:pPr>
            <w:r>
              <w:rPr>
                <w:rFonts w:ascii="Times New Roman" w:hAnsi="Times New Roman"/>
                <w:sz w:val="24"/>
                <w:szCs w:val="24"/>
              </w:rPr>
              <w:t>Rīgas Tehniskajai</w:t>
            </w:r>
            <w:r w:rsidR="00CC61C7" w:rsidRPr="00CC61C7">
              <w:rPr>
                <w:rFonts w:ascii="Times New Roman" w:hAnsi="Times New Roman"/>
                <w:sz w:val="24"/>
                <w:szCs w:val="24"/>
              </w:rPr>
              <w:t xml:space="preserve"> universitātei sadarbībā ar Banku augstskolu</w:t>
            </w:r>
            <w:r w:rsidR="00CC61C7">
              <w:rPr>
                <w:rFonts w:ascii="Times New Roman" w:hAnsi="Times New Roman"/>
                <w:sz w:val="24"/>
                <w:szCs w:val="24"/>
              </w:rPr>
              <w:t xml:space="preserve"> -</w:t>
            </w:r>
            <w:r w:rsidR="00CC61C7" w:rsidRPr="00BA476E">
              <w:rPr>
                <w:rFonts w:ascii="Times New Roman" w:hAnsi="Times New Roman"/>
                <w:sz w:val="24"/>
                <w:szCs w:val="24"/>
              </w:rPr>
              <w:t xml:space="preserve">kopējais finansējums </w:t>
            </w:r>
            <w:r w:rsidR="00F52BF9">
              <w:rPr>
                <w:rFonts w:ascii="Times New Roman" w:hAnsi="Times New Roman"/>
                <w:sz w:val="24"/>
                <w:szCs w:val="24"/>
              </w:rPr>
              <w:t>3 </w:t>
            </w:r>
            <w:r w:rsidR="00F43E83">
              <w:rPr>
                <w:rFonts w:ascii="Times New Roman" w:hAnsi="Times New Roman"/>
                <w:sz w:val="24"/>
                <w:szCs w:val="24"/>
              </w:rPr>
              <w:t>9</w:t>
            </w:r>
            <w:r w:rsidR="00677C12">
              <w:rPr>
                <w:rFonts w:ascii="Times New Roman" w:hAnsi="Times New Roman"/>
                <w:sz w:val="24"/>
                <w:szCs w:val="24"/>
              </w:rPr>
              <w:t>43</w:t>
            </w:r>
            <w:r w:rsidR="00F52BF9">
              <w:rPr>
                <w:rFonts w:ascii="Times New Roman" w:hAnsi="Times New Roman"/>
                <w:sz w:val="24"/>
                <w:szCs w:val="24"/>
              </w:rPr>
              <w:t> </w:t>
            </w:r>
            <w:r w:rsidR="00677C12">
              <w:rPr>
                <w:rFonts w:ascii="Times New Roman" w:hAnsi="Times New Roman"/>
                <w:sz w:val="24"/>
                <w:szCs w:val="24"/>
              </w:rPr>
              <w:t>5</w:t>
            </w:r>
            <w:r w:rsidR="00F43E83">
              <w:rPr>
                <w:rFonts w:ascii="Times New Roman" w:hAnsi="Times New Roman"/>
                <w:sz w:val="24"/>
                <w:szCs w:val="24"/>
              </w:rPr>
              <w:t>31</w:t>
            </w:r>
            <w:r w:rsidR="00CC61C7">
              <w:rPr>
                <w:rFonts w:ascii="Times New Roman" w:hAnsi="Times New Roman"/>
                <w:sz w:val="24"/>
                <w:szCs w:val="24"/>
              </w:rPr>
              <w:t> </w:t>
            </w:r>
            <w:r w:rsidR="00677C12" w:rsidRPr="00677C12">
              <w:rPr>
                <w:rFonts w:ascii="Times New Roman" w:hAnsi="Times New Roman"/>
                <w:i/>
                <w:sz w:val="24"/>
                <w:szCs w:val="24"/>
              </w:rPr>
              <w:t>euro</w:t>
            </w:r>
            <w:r w:rsidR="00CC61C7">
              <w:rPr>
                <w:rFonts w:ascii="Times New Roman" w:hAnsi="Times New Roman"/>
                <w:sz w:val="24"/>
                <w:szCs w:val="24"/>
              </w:rPr>
              <w:t xml:space="preserve"> / </w:t>
            </w:r>
            <w:r w:rsidR="00F52BF9">
              <w:rPr>
                <w:rFonts w:ascii="Times New Roman" w:hAnsi="Times New Roman"/>
                <w:sz w:val="24"/>
                <w:szCs w:val="24"/>
              </w:rPr>
              <w:t xml:space="preserve">115 </w:t>
            </w:r>
            <w:r w:rsidR="00CC61C7">
              <w:rPr>
                <w:rFonts w:ascii="Times New Roman" w:hAnsi="Times New Roman"/>
                <w:sz w:val="24"/>
                <w:szCs w:val="24"/>
              </w:rPr>
              <w:t>doktorantūras grantu vietām, indikatīvi:</w:t>
            </w:r>
          </w:p>
          <w:p w14:paraId="0363B53C" w14:textId="7BEF3EE1" w:rsidR="00CC61C7" w:rsidRDefault="00CC61C7" w:rsidP="00CC61C7">
            <w:pPr>
              <w:pStyle w:val="ListParagraph"/>
              <w:numPr>
                <w:ilvl w:val="1"/>
                <w:numId w:val="14"/>
              </w:numPr>
              <w:tabs>
                <w:tab w:val="left" w:pos="356"/>
              </w:tabs>
              <w:spacing w:after="0" w:line="240" w:lineRule="auto"/>
              <w:jc w:val="both"/>
              <w:rPr>
                <w:rFonts w:ascii="Times New Roman" w:hAnsi="Times New Roman"/>
                <w:sz w:val="24"/>
                <w:szCs w:val="24"/>
              </w:rPr>
            </w:pPr>
            <w:r w:rsidRPr="00CC61C7">
              <w:rPr>
                <w:rFonts w:ascii="Times New Roman" w:hAnsi="Times New Roman"/>
                <w:sz w:val="24"/>
                <w:szCs w:val="24"/>
              </w:rPr>
              <w:t>Rīgas Tehniskā universitātei</w:t>
            </w:r>
            <w:r>
              <w:rPr>
                <w:rFonts w:ascii="Times New Roman" w:hAnsi="Times New Roman"/>
                <w:sz w:val="24"/>
                <w:szCs w:val="24"/>
              </w:rPr>
              <w:t xml:space="preserve"> – </w:t>
            </w:r>
            <w:r w:rsidR="00F52BF9">
              <w:rPr>
                <w:rFonts w:ascii="Times New Roman" w:hAnsi="Times New Roman"/>
                <w:sz w:val="24"/>
                <w:szCs w:val="24"/>
              </w:rPr>
              <w:t>3 </w:t>
            </w:r>
            <w:r w:rsidR="00F43E83">
              <w:rPr>
                <w:rFonts w:ascii="Times New Roman" w:hAnsi="Times New Roman"/>
                <w:sz w:val="24"/>
                <w:szCs w:val="24"/>
              </w:rPr>
              <w:t>9</w:t>
            </w:r>
            <w:r w:rsidR="00677C12">
              <w:rPr>
                <w:rFonts w:ascii="Times New Roman" w:hAnsi="Times New Roman"/>
                <w:sz w:val="24"/>
                <w:szCs w:val="24"/>
              </w:rPr>
              <w:t>01</w:t>
            </w:r>
            <w:r w:rsidR="00F52BF9">
              <w:rPr>
                <w:rFonts w:ascii="Times New Roman" w:hAnsi="Times New Roman"/>
                <w:sz w:val="24"/>
                <w:szCs w:val="24"/>
              </w:rPr>
              <w:t> </w:t>
            </w:r>
            <w:r w:rsidR="00F43E83">
              <w:rPr>
                <w:rFonts w:ascii="Times New Roman" w:hAnsi="Times New Roman"/>
                <w:sz w:val="24"/>
                <w:szCs w:val="24"/>
              </w:rPr>
              <w:t>250</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F52BF9">
              <w:rPr>
                <w:rFonts w:ascii="Times New Roman" w:hAnsi="Times New Roman"/>
                <w:sz w:val="24"/>
                <w:szCs w:val="24"/>
              </w:rPr>
              <w:t xml:space="preserve">114 </w:t>
            </w:r>
            <w:r>
              <w:rPr>
                <w:rFonts w:ascii="Times New Roman" w:hAnsi="Times New Roman"/>
                <w:sz w:val="24"/>
                <w:szCs w:val="24"/>
              </w:rPr>
              <w:t xml:space="preserve">(indikatīvi, Dabaszinātnes </w:t>
            </w:r>
            <w:r w:rsidR="00F52BF9">
              <w:rPr>
                <w:rFonts w:ascii="Times New Roman" w:hAnsi="Times New Roman"/>
                <w:sz w:val="24"/>
                <w:szCs w:val="24"/>
              </w:rPr>
              <w:t>1 2</w:t>
            </w:r>
            <w:r w:rsidR="00F43E83">
              <w:rPr>
                <w:rFonts w:ascii="Times New Roman" w:hAnsi="Times New Roman"/>
                <w:sz w:val="24"/>
                <w:szCs w:val="24"/>
              </w:rPr>
              <w:t>64</w:t>
            </w:r>
            <w:r w:rsidR="00F52BF9">
              <w:rPr>
                <w:rFonts w:ascii="Times New Roman" w:hAnsi="Times New Roman"/>
                <w:sz w:val="24"/>
                <w:szCs w:val="24"/>
              </w:rPr>
              <w:t> </w:t>
            </w:r>
            <w:r w:rsidR="00F43E83">
              <w:rPr>
                <w:rFonts w:ascii="Times New Roman" w:hAnsi="Times New Roman"/>
                <w:sz w:val="24"/>
                <w:szCs w:val="24"/>
              </w:rPr>
              <w:t>792</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F52BF9">
              <w:rPr>
                <w:rFonts w:ascii="Times New Roman" w:hAnsi="Times New Roman"/>
                <w:sz w:val="24"/>
                <w:szCs w:val="24"/>
              </w:rPr>
              <w:t>38</w:t>
            </w:r>
            <w:r>
              <w:rPr>
                <w:rFonts w:ascii="Times New Roman" w:hAnsi="Times New Roman"/>
                <w:sz w:val="24"/>
                <w:szCs w:val="24"/>
              </w:rPr>
              <w:t xml:space="preserve">, Inženierzinātnes </w:t>
            </w:r>
            <w:r w:rsidR="00F52BF9">
              <w:rPr>
                <w:rFonts w:ascii="Times New Roman" w:hAnsi="Times New Roman"/>
                <w:sz w:val="24"/>
                <w:szCs w:val="24"/>
              </w:rPr>
              <w:t>2 2</w:t>
            </w:r>
            <w:r w:rsidR="00F43E83">
              <w:rPr>
                <w:rFonts w:ascii="Times New Roman" w:hAnsi="Times New Roman"/>
                <w:sz w:val="24"/>
                <w:szCs w:val="24"/>
              </w:rPr>
              <w:t>18</w:t>
            </w:r>
            <w:r w:rsidR="00F52BF9">
              <w:rPr>
                <w:rFonts w:ascii="Times New Roman" w:hAnsi="Times New Roman"/>
                <w:sz w:val="24"/>
                <w:szCs w:val="24"/>
              </w:rPr>
              <w:t> </w:t>
            </w:r>
            <w:r w:rsidR="00F43E83">
              <w:rPr>
                <w:rFonts w:ascii="Times New Roman" w:hAnsi="Times New Roman"/>
                <w:sz w:val="24"/>
                <w:szCs w:val="24"/>
              </w:rPr>
              <w:t>233</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F52BF9">
              <w:rPr>
                <w:rFonts w:ascii="Times New Roman" w:hAnsi="Times New Roman"/>
                <w:sz w:val="24"/>
                <w:szCs w:val="24"/>
              </w:rPr>
              <w:t>67</w:t>
            </w:r>
            <w:r>
              <w:rPr>
                <w:rFonts w:ascii="Times New Roman" w:hAnsi="Times New Roman"/>
                <w:sz w:val="24"/>
                <w:szCs w:val="24"/>
              </w:rPr>
              <w:t xml:space="preserve">, Sociālās zinātnes </w:t>
            </w:r>
            <w:r w:rsidR="00F52BF9">
              <w:rPr>
                <w:rFonts w:ascii="Times New Roman" w:hAnsi="Times New Roman"/>
                <w:sz w:val="24"/>
                <w:szCs w:val="24"/>
              </w:rPr>
              <w:t>29</w:t>
            </w:r>
            <w:r w:rsidR="00F43E83">
              <w:rPr>
                <w:rFonts w:ascii="Times New Roman" w:hAnsi="Times New Roman"/>
                <w:sz w:val="24"/>
                <w:szCs w:val="24"/>
              </w:rPr>
              <w:t>5</w:t>
            </w:r>
            <w:r w:rsidR="00F52BF9">
              <w:rPr>
                <w:rFonts w:ascii="Times New Roman" w:hAnsi="Times New Roman"/>
                <w:sz w:val="24"/>
                <w:szCs w:val="24"/>
              </w:rPr>
              <w:t> </w:t>
            </w:r>
            <w:r w:rsidR="00F43E83">
              <w:rPr>
                <w:rFonts w:ascii="Times New Roman" w:hAnsi="Times New Roman"/>
                <w:sz w:val="24"/>
                <w:szCs w:val="24"/>
              </w:rPr>
              <w:t>226</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w:t>
            </w:r>
            <w:r w:rsidR="00F52BF9">
              <w:rPr>
                <w:rFonts w:ascii="Times New Roman" w:hAnsi="Times New Roman"/>
                <w:sz w:val="24"/>
                <w:szCs w:val="24"/>
              </w:rPr>
              <w:t>9</w:t>
            </w:r>
            <w:r w:rsidR="00F43E83">
              <w:rPr>
                <w:rFonts w:ascii="Times New Roman" w:hAnsi="Times New Roman"/>
                <w:sz w:val="24"/>
                <w:szCs w:val="24"/>
              </w:rPr>
              <w:t xml:space="preserve">,  </w:t>
            </w:r>
            <w:r w:rsidR="00E83CCB">
              <w:rPr>
                <w:rFonts w:ascii="Times New Roman" w:hAnsi="Times New Roman"/>
                <w:sz w:val="24"/>
                <w:szCs w:val="24"/>
              </w:rPr>
              <w:t xml:space="preserve">tai skaitā </w:t>
            </w:r>
            <w:r w:rsidR="00F43E83">
              <w:rPr>
                <w:rFonts w:ascii="Times New Roman" w:hAnsi="Times New Roman"/>
                <w:sz w:val="24"/>
                <w:szCs w:val="24"/>
              </w:rPr>
              <w:t xml:space="preserve">ārvalstu pasniedzēju piesaistei – </w:t>
            </w:r>
            <w:r w:rsidR="00677C12">
              <w:rPr>
                <w:rFonts w:ascii="Times New Roman" w:hAnsi="Times New Roman"/>
                <w:sz w:val="24"/>
                <w:szCs w:val="24"/>
              </w:rPr>
              <w:t>123</w:t>
            </w:r>
            <w:r w:rsidR="00F43E83">
              <w:rPr>
                <w:rFonts w:ascii="Times New Roman" w:hAnsi="Times New Roman"/>
                <w:sz w:val="24"/>
                <w:szCs w:val="24"/>
              </w:rPr>
              <w:t> </w:t>
            </w:r>
            <w:r w:rsidR="00677C12">
              <w:rPr>
                <w:rFonts w:ascii="Times New Roman" w:hAnsi="Times New Roman"/>
                <w:sz w:val="24"/>
                <w:szCs w:val="24"/>
              </w:rPr>
              <w:t>2</w:t>
            </w:r>
            <w:r w:rsidR="00F43E83">
              <w:rPr>
                <w:rFonts w:ascii="Times New Roman" w:hAnsi="Times New Roman"/>
                <w:sz w:val="24"/>
                <w:szCs w:val="24"/>
              </w:rPr>
              <w:t>00 </w:t>
            </w:r>
            <w:r w:rsidR="00677C12" w:rsidRPr="00677C12">
              <w:rPr>
                <w:rFonts w:ascii="Times New Roman" w:hAnsi="Times New Roman"/>
                <w:i/>
                <w:sz w:val="24"/>
                <w:szCs w:val="24"/>
              </w:rPr>
              <w:t>euro</w:t>
            </w:r>
            <w:r w:rsidR="00F43E83">
              <w:rPr>
                <w:rFonts w:ascii="Times New Roman" w:hAnsi="Times New Roman"/>
                <w:sz w:val="24"/>
                <w:szCs w:val="24"/>
              </w:rPr>
              <w:t xml:space="preserve"> / </w:t>
            </w:r>
            <w:r w:rsidR="00677C12">
              <w:rPr>
                <w:rFonts w:ascii="Times New Roman" w:hAnsi="Times New Roman"/>
                <w:sz w:val="24"/>
                <w:szCs w:val="24"/>
              </w:rPr>
              <w:t>7</w:t>
            </w:r>
            <w:r w:rsidR="00F43E83">
              <w:rPr>
                <w:rFonts w:ascii="Times New Roman" w:hAnsi="Times New Roman"/>
                <w:sz w:val="24"/>
                <w:szCs w:val="24"/>
              </w:rPr>
              <w:t xml:space="preserve"> ārvalstu pasniedzēji</w:t>
            </w:r>
            <w:r>
              <w:rPr>
                <w:rFonts w:ascii="Times New Roman" w:hAnsi="Times New Roman"/>
                <w:sz w:val="24"/>
                <w:szCs w:val="24"/>
              </w:rPr>
              <w:t>);</w:t>
            </w:r>
          </w:p>
          <w:p w14:paraId="55A8FF75" w14:textId="261CC5CB" w:rsidR="00CC61C7" w:rsidRPr="002B67C4" w:rsidRDefault="00CC61C7" w:rsidP="00CC61C7">
            <w:pPr>
              <w:pStyle w:val="ListParagraph"/>
              <w:numPr>
                <w:ilvl w:val="1"/>
                <w:numId w:val="14"/>
              </w:numPr>
              <w:tabs>
                <w:tab w:val="left" w:pos="356"/>
              </w:tabs>
              <w:spacing w:after="0" w:line="240" w:lineRule="auto"/>
              <w:jc w:val="both"/>
              <w:rPr>
                <w:rFonts w:ascii="Times New Roman" w:hAnsi="Times New Roman"/>
                <w:sz w:val="24"/>
                <w:szCs w:val="24"/>
              </w:rPr>
            </w:pPr>
            <w:r>
              <w:rPr>
                <w:rFonts w:ascii="Times New Roman" w:hAnsi="Times New Roman"/>
                <w:sz w:val="24"/>
                <w:szCs w:val="24"/>
              </w:rPr>
              <w:t xml:space="preserve">Banku augstskolai – Sociālās zinātnēs </w:t>
            </w:r>
            <w:r w:rsidR="00677C12">
              <w:rPr>
                <w:rFonts w:ascii="Times New Roman" w:hAnsi="Times New Roman"/>
                <w:sz w:val="24"/>
                <w:szCs w:val="24"/>
              </w:rPr>
              <w:t>42</w:t>
            </w:r>
            <w:r w:rsidR="00F52BF9">
              <w:rPr>
                <w:rFonts w:ascii="Times New Roman" w:hAnsi="Times New Roman"/>
                <w:sz w:val="24"/>
                <w:szCs w:val="24"/>
              </w:rPr>
              <w:t> </w:t>
            </w:r>
            <w:r w:rsidR="00677C12">
              <w:rPr>
                <w:rFonts w:ascii="Times New Roman" w:hAnsi="Times New Roman"/>
                <w:sz w:val="24"/>
                <w:szCs w:val="24"/>
              </w:rPr>
              <w:t>0</w:t>
            </w:r>
            <w:r w:rsidR="00F43E83">
              <w:rPr>
                <w:rFonts w:ascii="Times New Roman" w:hAnsi="Times New Roman"/>
                <w:sz w:val="24"/>
                <w:szCs w:val="24"/>
              </w:rPr>
              <w:t>81</w:t>
            </w:r>
            <w:r>
              <w:rPr>
                <w:rFonts w:ascii="Times New Roman" w:hAnsi="Times New Roman"/>
                <w:sz w:val="24"/>
                <w:szCs w:val="24"/>
              </w:rPr>
              <w:t> </w:t>
            </w:r>
            <w:r w:rsidR="00677C12" w:rsidRPr="00677C12">
              <w:rPr>
                <w:rFonts w:ascii="Times New Roman" w:hAnsi="Times New Roman"/>
                <w:i/>
                <w:sz w:val="24"/>
                <w:szCs w:val="24"/>
              </w:rPr>
              <w:t>euro</w:t>
            </w:r>
            <w:r>
              <w:rPr>
                <w:rFonts w:ascii="Times New Roman" w:hAnsi="Times New Roman"/>
                <w:sz w:val="24"/>
                <w:szCs w:val="24"/>
              </w:rPr>
              <w:t xml:space="preserve"> / 1</w:t>
            </w:r>
            <w:r w:rsidR="00677C12">
              <w:rPr>
                <w:rFonts w:ascii="Times New Roman" w:hAnsi="Times New Roman"/>
                <w:sz w:val="24"/>
                <w:szCs w:val="24"/>
              </w:rPr>
              <w:t xml:space="preserve">,  </w:t>
            </w:r>
            <w:r w:rsidR="00E83CCB">
              <w:rPr>
                <w:rFonts w:ascii="Times New Roman" w:hAnsi="Times New Roman"/>
                <w:sz w:val="24"/>
                <w:szCs w:val="24"/>
              </w:rPr>
              <w:t xml:space="preserve">tai skaitā </w:t>
            </w:r>
            <w:r w:rsidR="00677C12">
              <w:rPr>
                <w:rFonts w:ascii="Times New Roman" w:hAnsi="Times New Roman"/>
                <w:sz w:val="24"/>
                <w:szCs w:val="24"/>
              </w:rPr>
              <w:t xml:space="preserve">ārvalstu pasniedzēju piesaistei – 17 600 </w:t>
            </w:r>
            <w:r w:rsidR="00677C12" w:rsidRPr="00677C12">
              <w:rPr>
                <w:rFonts w:ascii="Times New Roman" w:hAnsi="Times New Roman"/>
                <w:i/>
                <w:sz w:val="24"/>
                <w:szCs w:val="24"/>
              </w:rPr>
              <w:t>euro</w:t>
            </w:r>
            <w:r w:rsidR="00677C12">
              <w:rPr>
                <w:rFonts w:ascii="Times New Roman" w:hAnsi="Times New Roman"/>
                <w:sz w:val="24"/>
                <w:szCs w:val="24"/>
              </w:rPr>
              <w:t xml:space="preserve"> / 1 ārvalstu pasniedzējs</w:t>
            </w:r>
            <w:r>
              <w:rPr>
                <w:rFonts w:ascii="Times New Roman" w:hAnsi="Times New Roman"/>
                <w:sz w:val="24"/>
                <w:szCs w:val="24"/>
              </w:rPr>
              <w:t>.</w:t>
            </w:r>
          </w:p>
          <w:p w14:paraId="04EF1D04" w14:textId="3E66668F" w:rsidR="00D83EDF" w:rsidRDefault="00452381" w:rsidP="007E6EDB">
            <w:pPr>
              <w:tabs>
                <w:tab w:val="left" w:pos="356"/>
              </w:tabs>
              <w:spacing w:after="0" w:line="240" w:lineRule="auto"/>
              <w:jc w:val="both"/>
              <w:rPr>
                <w:rFonts w:ascii="Times New Roman" w:eastAsiaTheme="minorEastAsia" w:hAnsi="Times New Roman" w:cs="Times New Roman"/>
                <w:sz w:val="24"/>
                <w:lang w:eastAsia="lv-LV"/>
              </w:rPr>
            </w:pPr>
            <w:r>
              <w:rPr>
                <w:rFonts w:ascii="Times New Roman" w:hAnsi="Times New Roman"/>
                <w:sz w:val="24"/>
                <w:szCs w:val="24"/>
              </w:rPr>
              <w:t xml:space="preserve">Noteikumu projekta </w:t>
            </w:r>
            <w:r w:rsidR="00401CAF">
              <w:rPr>
                <w:rFonts w:ascii="Times New Roman" w:hAnsi="Times New Roman"/>
                <w:b/>
                <w:sz w:val="24"/>
                <w:szCs w:val="24"/>
              </w:rPr>
              <w:t>1</w:t>
            </w:r>
            <w:r w:rsidR="00BB2B0D">
              <w:rPr>
                <w:rFonts w:ascii="Times New Roman" w:hAnsi="Times New Roman"/>
                <w:b/>
                <w:sz w:val="24"/>
                <w:szCs w:val="24"/>
              </w:rPr>
              <w:t>4</w:t>
            </w:r>
            <w:r w:rsidRPr="00D83EDF">
              <w:rPr>
                <w:rFonts w:ascii="Times New Roman" w:hAnsi="Times New Roman"/>
                <w:b/>
                <w:sz w:val="24"/>
                <w:szCs w:val="24"/>
              </w:rPr>
              <w:t>.</w:t>
            </w:r>
            <w:r w:rsidR="00210BB5" w:rsidRPr="00D83EDF">
              <w:rPr>
                <w:rFonts w:ascii="Times New Roman" w:hAnsi="Times New Roman"/>
                <w:b/>
                <w:sz w:val="24"/>
                <w:szCs w:val="24"/>
              </w:rPr>
              <w:t xml:space="preserve"> </w:t>
            </w:r>
            <w:r w:rsidRPr="00D83EDF">
              <w:rPr>
                <w:rFonts w:ascii="Times New Roman" w:hAnsi="Times New Roman"/>
                <w:b/>
                <w:sz w:val="24"/>
                <w:szCs w:val="24"/>
              </w:rPr>
              <w:t>punkts</w:t>
            </w:r>
            <w:r>
              <w:rPr>
                <w:rFonts w:ascii="Times New Roman" w:hAnsi="Times New Roman"/>
                <w:sz w:val="24"/>
                <w:szCs w:val="24"/>
              </w:rPr>
              <w:t xml:space="preserve"> paredz, ka treš</w:t>
            </w:r>
            <w:r w:rsidR="005D5DED">
              <w:rPr>
                <w:rFonts w:ascii="Times New Roman" w:hAnsi="Times New Roman"/>
                <w:sz w:val="24"/>
                <w:szCs w:val="24"/>
              </w:rPr>
              <w:t>aj</w:t>
            </w:r>
            <w:r>
              <w:rPr>
                <w:rFonts w:ascii="Times New Roman" w:hAnsi="Times New Roman"/>
                <w:sz w:val="24"/>
                <w:szCs w:val="24"/>
              </w:rPr>
              <w:t>ā atlases kārt</w:t>
            </w:r>
            <w:r w:rsidR="005D5DED">
              <w:rPr>
                <w:rFonts w:ascii="Times New Roman" w:hAnsi="Times New Roman"/>
                <w:sz w:val="24"/>
                <w:szCs w:val="24"/>
              </w:rPr>
              <w:t>ā</w:t>
            </w:r>
            <w:r>
              <w:rPr>
                <w:rFonts w:ascii="Times New Roman" w:hAnsi="Times New Roman"/>
                <w:sz w:val="24"/>
                <w:szCs w:val="24"/>
              </w:rPr>
              <w:t xml:space="preserve"> projekta iesniedzēji </w:t>
            </w:r>
            <w:r w:rsidRPr="005D6549">
              <w:rPr>
                <w:rFonts w:ascii="Times New Roman" w:eastAsiaTheme="minorEastAsia" w:hAnsi="Times New Roman" w:cs="Times New Roman"/>
                <w:sz w:val="24"/>
                <w:lang w:eastAsia="lv-LV"/>
              </w:rPr>
              <w:t xml:space="preserve">organizē atklātu </w:t>
            </w:r>
            <w:r w:rsidR="00D83EDF">
              <w:rPr>
                <w:rFonts w:ascii="Times New Roman" w:eastAsiaTheme="minorEastAsia" w:hAnsi="Times New Roman" w:cs="Times New Roman"/>
                <w:sz w:val="24"/>
                <w:lang w:eastAsia="lv-LV"/>
              </w:rPr>
              <w:t xml:space="preserve">konkursu </w:t>
            </w:r>
            <w:r w:rsidR="00D83EDF" w:rsidRPr="005D6549">
              <w:rPr>
                <w:rFonts w:ascii="Times New Roman" w:eastAsiaTheme="minorEastAsia" w:hAnsi="Times New Roman" w:cs="Times New Roman"/>
                <w:sz w:val="24"/>
                <w:lang w:eastAsia="lv-LV"/>
              </w:rPr>
              <w:t xml:space="preserve"> d</w:t>
            </w:r>
            <w:r w:rsidR="00D83EDF">
              <w:rPr>
                <w:rFonts w:ascii="Times New Roman" w:eastAsiaTheme="minorEastAsia" w:hAnsi="Times New Roman" w:cs="Times New Roman"/>
                <w:sz w:val="24"/>
                <w:lang w:eastAsia="lv-LV"/>
              </w:rPr>
              <w:t xml:space="preserve">oktorantiem </w:t>
            </w:r>
            <w:r>
              <w:rPr>
                <w:rFonts w:ascii="Times New Roman" w:eastAsiaTheme="minorEastAsia" w:hAnsi="Times New Roman" w:cs="Times New Roman"/>
                <w:sz w:val="24"/>
                <w:lang w:eastAsia="lv-LV"/>
              </w:rPr>
              <w:t>E</w:t>
            </w:r>
            <w:r w:rsidRPr="005D6549">
              <w:rPr>
                <w:rFonts w:ascii="Times New Roman" w:eastAsiaTheme="minorEastAsia" w:hAnsi="Times New Roman" w:cs="Times New Roman"/>
                <w:sz w:val="24"/>
                <w:lang w:eastAsia="lv-LV"/>
              </w:rPr>
              <w:t>SF finansējuma saņemšanai</w:t>
            </w:r>
            <w:r>
              <w:rPr>
                <w:rFonts w:ascii="Times New Roman" w:eastAsiaTheme="minorEastAsia" w:hAnsi="Times New Roman" w:cs="Times New Roman"/>
                <w:sz w:val="24"/>
                <w:lang w:eastAsia="lv-LV"/>
              </w:rPr>
              <w:t xml:space="preserve">, paredzot </w:t>
            </w:r>
            <w:r w:rsidRPr="00452381">
              <w:rPr>
                <w:rFonts w:ascii="Times New Roman" w:eastAsiaTheme="minorEastAsia" w:hAnsi="Times New Roman" w:cs="Times New Roman"/>
                <w:sz w:val="24"/>
                <w:lang w:eastAsia="lv-LV"/>
              </w:rPr>
              <w:t>atlases komisijā pārstāvniecību no visām iesaistītām pusēm, tai skaitā, studentu</w:t>
            </w:r>
            <w:r w:rsidR="00D83EDF">
              <w:rPr>
                <w:rFonts w:ascii="Times New Roman" w:eastAsiaTheme="minorEastAsia" w:hAnsi="Times New Roman" w:cs="Times New Roman"/>
                <w:sz w:val="24"/>
                <w:lang w:eastAsia="lv-LV"/>
              </w:rPr>
              <w:t>s</w:t>
            </w:r>
            <w:r w:rsidRPr="00452381">
              <w:rPr>
                <w:rFonts w:ascii="Times New Roman" w:eastAsiaTheme="minorEastAsia" w:hAnsi="Times New Roman" w:cs="Times New Roman"/>
                <w:sz w:val="24"/>
                <w:lang w:eastAsia="lv-LV"/>
              </w:rPr>
              <w:t xml:space="preserve"> pārstāvošo institūciju, </w:t>
            </w:r>
            <w:r w:rsidR="005D5DED">
              <w:rPr>
                <w:rFonts w:ascii="Times New Roman" w:eastAsiaTheme="minorEastAsia" w:hAnsi="Times New Roman" w:cs="Times New Roman"/>
                <w:sz w:val="24"/>
                <w:lang w:eastAsia="lv-LV"/>
              </w:rPr>
              <w:t>DSP</w:t>
            </w:r>
            <w:r w:rsidRPr="00452381">
              <w:rPr>
                <w:rFonts w:ascii="Times New Roman" w:eastAsiaTheme="minorEastAsia" w:hAnsi="Times New Roman" w:cs="Times New Roman"/>
                <w:sz w:val="24"/>
                <w:lang w:eastAsia="lv-LV"/>
              </w:rPr>
              <w:t xml:space="preserve"> </w:t>
            </w:r>
            <w:r w:rsidR="005D5DED" w:rsidRPr="00452381">
              <w:rPr>
                <w:rFonts w:ascii="Times New Roman" w:eastAsiaTheme="minorEastAsia" w:hAnsi="Times New Roman" w:cs="Times New Roman"/>
                <w:sz w:val="24"/>
                <w:lang w:eastAsia="lv-LV"/>
              </w:rPr>
              <w:t>īstenošan</w:t>
            </w:r>
            <w:r w:rsidR="005D5DED">
              <w:rPr>
                <w:rFonts w:ascii="Times New Roman" w:eastAsiaTheme="minorEastAsia" w:hAnsi="Times New Roman" w:cs="Times New Roman"/>
                <w:sz w:val="24"/>
                <w:lang w:eastAsia="lv-LV"/>
              </w:rPr>
              <w:t>ā</w:t>
            </w:r>
            <w:r w:rsidR="005D5DED" w:rsidRPr="00452381">
              <w:rPr>
                <w:rFonts w:ascii="Times New Roman" w:eastAsiaTheme="minorEastAsia" w:hAnsi="Times New Roman" w:cs="Times New Roman"/>
                <w:sz w:val="24"/>
                <w:lang w:eastAsia="lv-LV"/>
              </w:rPr>
              <w:t xml:space="preserve"> </w:t>
            </w:r>
            <w:r w:rsidR="005D5DED">
              <w:rPr>
                <w:rFonts w:ascii="Times New Roman" w:eastAsiaTheme="minorEastAsia" w:hAnsi="Times New Roman" w:cs="Times New Roman"/>
                <w:sz w:val="24"/>
                <w:lang w:eastAsia="lv-LV"/>
              </w:rPr>
              <w:t xml:space="preserve">iesaistīto </w:t>
            </w:r>
            <w:r w:rsidRPr="00452381">
              <w:rPr>
                <w:rFonts w:ascii="Times New Roman" w:eastAsiaTheme="minorEastAsia" w:hAnsi="Times New Roman" w:cs="Times New Roman"/>
                <w:sz w:val="24"/>
                <w:lang w:eastAsia="lv-LV"/>
              </w:rPr>
              <w:t>sadarbības partneru, zinātnisko institūciju un citu augstāko izglītības iestāšu pārstāvniecību</w:t>
            </w:r>
            <w:r w:rsidR="00D83EDF">
              <w:rPr>
                <w:rFonts w:ascii="Times New Roman" w:eastAsiaTheme="minorEastAsia" w:hAnsi="Times New Roman" w:cs="Times New Roman"/>
                <w:sz w:val="24"/>
                <w:lang w:eastAsia="lv-LV"/>
              </w:rPr>
              <w:t>.</w:t>
            </w:r>
          </w:p>
          <w:p w14:paraId="30CC8BA9" w14:textId="7AF8D479" w:rsidR="00452381" w:rsidRDefault="00210BB5" w:rsidP="007E6EDB">
            <w:pPr>
              <w:tabs>
                <w:tab w:val="left" w:pos="356"/>
              </w:tabs>
              <w:spacing w:after="0" w:line="240" w:lineRule="auto"/>
              <w:jc w:val="both"/>
              <w:rPr>
                <w:rFonts w:ascii="Times New Roman" w:eastAsiaTheme="minorEastAsia" w:hAnsi="Times New Roman" w:cs="Times New Roman"/>
                <w:sz w:val="24"/>
                <w:lang w:eastAsia="lv-LV"/>
              </w:rPr>
            </w:pPr>
            <w:r>
              <w:rPr>
                <w:rFonts w:ascii="Times New Roman" w:eastAsiaTheme="minorEastAsia" w:hAnsi="Times New Roman" w:cs="Times New Roman"/>
                <w:sz w:val="24"/>
                <w:lang w:eastAsia="lv-LV"/>
              </w:rPr>
              <w:t xml:space="preserve">Attiecībā uz ārvalstu </w:t>
            </w:r>
            <w:r w:rsidR="005D5DED">
              <w:rPr>
                <w:rFonts w:ascii="Times New Roman" w:eastAsiaTheme="minorEastAsia" w:hAnsi="Times New Roman" w:cs="Times New Roman"/>
                <w:sz w:val="24"/>
                <w:lang w:eastAsia="lv-LV"/>
              </w:rPr>
              <w:t xml:space="preserve">akadēmiskā personāla piesaisti tiek saglabāta </w:t>
            </w:r>
            <w:r w:rsidR="00D83EDF">
              <w:rPr>
                <w:rFonts w:ascii="Times New Roman" w:eastAsiaTheme="minorEastAsia" w:hAnsi="Times New Roman" w:cs="Times New Roman"/>
                <w:sz w:val="24"/>
                <w:lang w:eastAsia="lv-LV"/>
              </w:rPr>
              <w:t>līdzšinējais 8.2.2.SAM nosacījums</w:t>
            </w:r>
            <w:r w:rsidR="005D5DED">
              <w:rPr>
                <w:rFonts w:ascii="Times New Roman" w:eastAsiaTheme="minorEastAsia" w:hAnsi="Times New Roman" w:cs="Times New Roman"/>
                <w:sz w:val="24"/>
                <w:lang w:eastAsia="lv-LV"/>
              </w:rPr>
              <w:t xml:space="preserve"> </w:t>
            </w:r>
            <w:r w:rsidR="00452381">
              <w:rPr>
                <w:rFonts w:ascii="Times New Roman" w:eastAsiaTheme="minorEastAsia" w:hAnsi="Times New Roman" w:cs="Times New Roman"/>
                <w:sz w:val="24"/>
                <w:lang w:eastAsia="lv-LV"/>
              </w:rPr>
              <w:t xml:space="preserve">paziņojumus par atlasi </w:t>
            </w:r>
            <w:r w:rsidR="00452381" w:rsidRPr="00452381">
              <w:rPr>
                <w:rFonts w:ascii="Times New Roman" w:eastAsiaTheme="minorEastAsia" w:hAnsi="Times New Roman" w:cs="Times New Roman"/>
                <w:sz w:val="24"/>
                <w:lang w:eastAsia="lv-LV"/>
              </w:rPr>
              <w:t>publicēt Eiropas Komisijas portālā "Euraxess"</w:t>
            </w:r>
            <w:r w:rsidR="005D5DED">
              <w:rPr>
                <w:rFonts w:ascii="Times New Roman" w:eastAsiaTheme="minorEastAsia" w:hAnsi="Times New Roman" w:cs="Times New Roman"/>
                <w:sz w:val="24"/>
                <w:lang w:eastAsia="lv-LV"/>
              </w:rPr>
              <w:t xml:space="preserve">. Šāda prasība </w:t>
            </w:r>
            <w:r w:rsidR="00452381">
              <w:rPr>
                <w:rFonts w:ascii="Times New Roman" w:eastAsiaTheme="minorEastAsia" w:hAnsi="Times New Roman" w:cs="Times New Roman"/>
                <w:sz w:val="24"/>
                <w:lang w:eastAsia="lv-LV"/>
              </w:rPr>
              <w:t>trešajā kārtā netiek lūgta</w:t>
            </w:r>
            <w:r w:rsidR="005D5DED">
              <w:rPr>
                <w:rFonts w:ascii="Times New Roman" w:eastAsiaTheme="minorEastAsia" w:hAnsi="Times New Roman" w:cs="Times New Roman"/>
                <w:sz w:val="24"/>
                <w:lang w:eastAsia="lv-LV"/>
              </w:rPr>
              <w:t xml:space="preserve"> attiecībā uz doktorantiem</w:t>
            </w:r>
            <w:r w:rsidR="00452381">
              <w:rPr>
                <w:rFonts w:ascii="Times New Roman" w:eastAsiaTheme="minorEastAsia" w:hAnsi="Times New Roman" w:cs="Times New Roman"/>
                <w:sz w:val="24"/>
                <w:lang w:eastAsia="lv-LV"/>
              </w:rPr>
              <w:t xml:space="preserve">, jo atbalsts paredzēts </w:t>
            </w:r>
            <w:r w:rsidR="005D5DED">
              <w:rPr>
                <w:rFonts w:ascii="Times New Roman" w:eastAsiaTheme="minorEastAsia" w:hAnsi="Times New Roman" w:cs="Times New Roman"/>
                <w:sz w:val="24"/>
                <w:lang w:eastAsia="lv-LV"/>
              </w:rPr>
              <w:t xml:space="preserve">tikai tiem </w:t>
            </w:r>
            <w:r w:rsidR="007E6EDB">
              <w:rPr>
                <w:rFonts w:ascii="Times New Roman" w:eastAsiaTheme="minorEastAsia" w:hAnsi="Times New Roman" w:cs="Times New Roman"/>
                <w:sz w:val="24"/>
                <w:lang w:eastAsia="lv-LV"/>
              </w:rPr>
              <w:t xml:space="preserve">doktorantiem, kas studē finansējuma saņēmēja vai tā sadarbības partnera </w:t>
            </w:r>
            <w:r w:rsidR="00D83EDF">
              <w:rPr>
                <w:rFonts w:ascii="Times New Roman" w:eastAsiaTheme="minorEastAsia" w:hAnsi="Times New Roman" w:cs="Times New Roman"/>
                <w:sz w:val="24"/>
                <w:lang w:eastAsia="lv-LV"/>
              </w:rPr>
              <w:t>(</w:t>
            </w:r>
            <w:r w:rsidR="007E6EDB">
              <w:rPr>
                <w:rFonts w:ascii="Times New Roman" w:eastAsiaTheme="minorEastAsia" w:hAnsi="Times New Roman" w:cs="Times New Roman"/>
                <w:sz w:val="24"/>
                <w:lang w:eastAsia="lv-LV"/>
              </w:rPr>
              <w:t xml:space="preserve">citas </w:t>
            </w:r>
            <w:r w:rsidR="005D5DED">
              <w:rPr>
                <w:rFonts w:ascii="Times New Roman" w:eastAsiaTheme="minorEastAsia" w:hAnsi="Times New Roman" w:cs="Times New Roman"/>
                <w:sz w:val="24"/>
                <w:lang w:eastAsia="lv-LV"/>
              </w:rPr>
              <w:t>augstskolas</w:t>
            </w:r>
            <w:r w:rsidR="00D83EDF">
              <w:rPr>
                <w:rFonts w:ascii="Times New Roman" w:eastAsiaTheme="minorEastAsia" w:hAnsi="Times New Roman" w:cs="Times New Roman"/>
                <w:sz w:val="24"/>
                <w:lang w:eastAsia="lv-LV"/>
              </w:rPr>
              <w:t>)</w:t>
            </w:r>
            <w:r w:rsidR="007E6EDB">
              <w:rPr>
                <w:rFonts w:ascii="Times New Roman" w:eastAsiaTheme="minorEastAsia" w:hAnsi="Times New Roman" w:cs="Times New Roman"/>
                <w:sz w:val="24"/>
                <w:lang w:eastAsia="lv-LV"/>
              </w:rPr>
              <w:t xml:space="preserve"> īstenotā DSP.</w:t>
            </w:r>
          </w:p>
          <w:p w14:paraId="6E1E2910" w14:textId="180825E6" w:rsidR="00401CAF" w:rsidRDefault="00471C77" w:rsidP="00051706">
            <w:pPr>
              <w:tabs>
                <w:tab w:val="left" w:pos="356"/>
              </w:tabs>
              <w:spacing w:after="0" w:line="240" w:lineRule="auto"/>
              <w:jc w:val="both"/>
              <w:rPr>
                <w:rFonts w:ascii="Times New Roman" w:eastAsiaTheme="minorEastAsia" w:hAnsi="Times New Roman" w:cs="Times New Roman"/>
                <w:sz w:val="24"/>
                <w:lang w:eastAsia="lv-LV"/>
              </w:rPr>
            </w:pPr>
            <w:r>
              <w:rPr>
                <w:rFonts w:ascii="Times New Roman" w:eastAsiaTheme="minorEastAsia" w:hAnsi="Times New Roman" w:cs="Times New Roman"/>
                <w:sz w:val="24"/>
                <w:lang w:eastAsia="lv-LV"/>
              </w:rPr>
              <w:t xml:space="preserve">Atbilstoši konceptuālajam ziņojumam </w:t>
            </w:r>
            <w:r w:rsidR="007C7AD1">
              <w:rPr>
                <w:rFonts w:ascii="Times New Roman" w:eastAsiaTheme="minorEastAsia" w:hAnsi="Times New Roman" w:cs="Times New Roman"/>
                <w:sz w:val="24"/>
                <w:lang w:eastAsia="lv-LV"/>
              </w:rPr>
              <w:t>d</w:t>
            </w:r>
            <w:r w:rsidRPr="00471C77">
              <w:rPr>
                <w:rFonts w:ascii="Times New Roman" w:eastAsiaTheme="minorEastAsia" w:hAnsi="Times New Roman" w:cs="Times New Roman"/>
                <w:sz w:val="24"/>
                <w:lang w:eastAsia="lv-LV"/>
              </w:rPr>
              <w:t>oktorantūras granti veido daļu no doktoranta nodarbi</w:t>
            </w:r>
            <w:r w:rsidR="007C7AD1">
              <w:rPr>
                <w:rFonts w:ascii="Times New Roman" w:eastAsiaTheme="minorEastAsia" w:hAnsi="Times New Roman" w:cs="Times New Roman"/>
                <w:sz w:val="24"/>
                <w:lang w:eastAsia="lv-LV"/>
              </w:rPr>
              <w:t>nātības pētniecībā un attīstībā. Paredzot, ka</w:t>
            </w:r>
            <w:r w:rsidR="007C7AD1" w:rsidRPr="000C4FF3">
              <w:rPr>
                <w:rFonts w:ascii="Times New Roman" w:eastAsia="Times New Roman" w:hAnsi="Times New Roman" w:cs="Times New Roman"/>
                <w:sz w:val="24"/>
                <w:szCs w:val="24"/>
                <w:shd w:val="clear" w:color="auto" w:fill="FFFFFF"/>
                <w:lang w:eastAsia="lv-LV"/>
              </w:rPr>
              <w:t xml:space="preserve"> </w:t>
            </w:r>
            <w:r w:rsidR="007C7AD1">
              <w:rPr>
                <w:rFonts w:ascii="Times New Roman" w:eastAsia="Times New Roman" w:hAnsi="Times New Roman" w:cs="Times New Roman"/>
                <w:sz w:val="24"/>
                <w:szCs w:val="24"/>
                <w:shd w:val="clear" w:color="auto" w:fill="FFFFFF"/>
                <w:lang w:eastAsia="lv-LV"/>
              </w:rPr>
              <w:t>p</w:t>
            </w:r>
            <w:r w:rsidR="007C7AD1" w:rsidRPr="000C4FF3">
              <w:rPr>
                <w:rFonts w:ascii="Times New Roman" w:eastAsia="Times New Roman" w:hAnsi="Times New Roman" w:cs="Times New Roman"/>
                <w:sz w:val="24"/>
                <w:szCs w:val="24"/>
                <w:shd w:val="clear" w:color="auto" w:fill="FFFFFF"/>
                <w:lang w:eastAsia="lv-LV"/>
              </w:rPr>
              <w:t>ārējā daļa no doktoranta finansējuma par slodzi līdz 0,5 PLE un ar līdzvērtīgu atalgojumu (</w:t>
            </w:r>
            <w:r w:rsidR="007C7AD1" w:rsidRPr="000C4FF3">
              <w:rPr>
                <w:rFonts w:ascii="Times New Roman" w:hAnsi="Times New Roman" w:cs="Times New Roman"/>
                <w:sz w:val="24"/>
                <w:szCs w:val="24"/>
                <w:shd w:val="clear" w:color="auto" w:fill="FFFFFF"/>
              </w:rPr>
              <w:t>iekļaujot visus nodokļus un sociālās garantijas</w:t>
            </w:r>
            <w:r w:rsidR="007C7AD1" w:rsidRPr="000C4FF3">
              <w:rPr>
                <w:rFonts w:ascii="Times New Roman" w:eastAsia="Times New Roman" w:hAnsi="Times New Roman" w:cs="Times New Roman"/>
                <w:sz w:val="24"/>
                <w:szCs w:val="24"/>
                <w:shd w:val="clear" w:color="auto" w:fill="FFFFFF"/>
                <w:lang w:eastAsia="lv-LV"/>
              </w:rPr>
              <w:t xml:space="preserve">) būtu jānodrošina augstskolai, nodarbinot doktorantu piesaistītajos pētniecības projektos. </w:t>
            </w:r>
            <w:r w:rsidR="00777CA2">
              <w:rPr>
                <w:rFonts w:ascii="Times New Roman" w:eastAsia="Times New Roman" w:hAnsi="Times New Roman" w:cs="Times New Roman"/>
                <w:sz w:val="24"/>
                <w:szCs w:val="24"/>
                <w:shd w:val="clear" w:color="auto" w:fill="FFFFFF"/>
                <w:lang w:eastAsia="lv-LV"/>
              </w:rPr>
              <w:t>Tā</w:t>
            </w:r>
            <w:r w:rsidR="007C7AD1" w:rsidRPr="000C4FF3">
              <w:rPr>
                <w:rFonts w:ascii="Times New Roman" w:eastAsia="Times New Roman" w:hAnsi="Times New Roman" w:cs="Times New Roman"/>
                <w:sz w:val="24"/>
                <w:szCs w:val="24"/>
                <w:shd w:val="clear" w:color="auto" w:fill="FFFFFF"/>
                <w:lang w:eastAsia="lv-LV"/>
              </w:rPr>
              <w:t xml:space="preserve"> var būt </w:t>
            </w:r>
            <w:r w:rsidR="00777CA2">
              <w:rPr>
                <w:rFonts w:ascii="Times New Roman" w:eastAsia="Times New Roman" w:hAnsi="Times New Roman" w:cs="Times New Roman"/>
                <w:sz w:val="24"/>
                <w:szCs w:val="24"/>
                <w:shd w:val="clear" w:color="auto" w:fill="FFFFFF"/>
                <w:lang w:eastAsia="lv-LV"/>
              </w:rPr>
              <w:t xml:space="preserve">arī </w:t>
            </w:r>
            <w:r w:rsidR="007C7AD1" w:rsidRPr="000C4FF3">
              <w:rPr>
                <w:rFonts w:ascii="Times New Roman" w:eastAsia="Times New Roman" w:hAnsi="Times New Roman" w:cs="Times New Roman"/>
                <w:sz w:val="24"/>
                <w:szCs w:val="24"/>
                <w:shd w:val="clear" w:color="auto" w:fill="FFFFFF"/>
                <w:lang w:eastAsia="lv-LV"/>
              </w:rPr>
              <w:t>cita ar doktorantūras studijām saistīta nodarbinātība</w:t>
            </w:r>
            <w:r w:rsidR="00777CA2">
              <w:rPr>
                <w:rFonts w:ascii="Times New Roman" w:eastAsia="Times New Roman" w:hAnsi="Times New Roman" w:cs="Times New Roman"/>
                <w:sz w:val="24"/>
                <w:szCs w:val="24"/>
                <w:shd w:val="clear" w:color="auto" w:fill="FFFFFF"/>
                <w:lang w:eastAsia="lv-LV"/>
              </w:rPr>
              <w:t>, piemēram, zinātniskajā institūcijā vai augstākās izglītības institūcijā, vai pie komersanta, kur tiek veikta ar promocijas darbu saistītā pētiecība</w:t>
            </w:r>
            <w:r w:rsidR="007C7AD1" w:rsidRPr="000C4FF3">
              <w:rPr>
                <w:rFonts w:ascii="Times New Roman" w:eastAsia="Times New Roman" w:hAnsi="Times New Roman" w:cs="Times New Roman"/>
                <w:sz w:val="24"/>
                <w:szCs w:val="24"/>
                <w:shd w:val="clear" w:color="auto" w:fill="FFFFFF"/>
                <w:lang w:eastAsia="lv-LV"/>
              </w:rPr>
              <w:t>.</w:t>
            </w:r>
            <w:r w:rsidR="007C7AD1">
              <w:rPr>
                <w:rFonts w:ascii="Times New Roman" w:eastAsiaTheme="minorEastAsia" w:hAnsi="Times New Roman" w:cs="Times New Roman"/>
                <w:sz w:val="24"/>
                <w:lang w:eastAsia="lv-LV"/>
              </w:rPr>
              <w:t xml:space="preserve"> </w:t>
            </w:r>
            <w:r w:rsidR="00401CAF">
              <w:rPr>
                <w:rFonts w:ascii="Times New Roman" w:eastAsiaTheme="minorEastAsia" w:hAnsi="Times New Roman" w:cs="Times New Roman"/>
                <w:sz w:val="24"/>
                <w:lang w:eastAsia="lv-LV"/>
              </w:rPr>
              <w:t xml:space="preserve">Tāpat </w:t>
            </w:r>
            <w:r w:rsidR="007C7AD1" w:rsidRPr="009F0166">
              <w:rPr>
                <w:rFonts w:ascii="Times New Roman" w:eastAsiaTheme="minorEastAsia" w:hAnsi="Times New Roman" w:cs="Times New Roman"/>
                <w:sz w:val="24"/>
                <w:lang w:eastAsia="lv-LV"/>
              </w:rPr>
              <w:t xml:space="preserve"> </w:t>
            </w:r>
            <w:r>
              <w:rPr>
                <w:rFonts w:ascii="Times New Roman" w:eastAsiaTheme="minorEastAsia" w:hAnsi="Times New Roman" w:cs="Times New Roman"/>
                <w:sz w:val="24"/>
                <w:lang w:eastAsia="lv-LV"/>
              </w:rPr>
              <w:t xml:space="preserve">paredz </w:t>
            </w:r>
            <w:r w:rsidR="007C7AD1">
              <w:rPr>
                <w:rFonts w:ascii="Times New Roman" w:eastAsiaTheme="minorEastAsia" w:hAnsi="Times New Roman" w:cs="Times New Roman"/>
                <w:sz w:val="24"/>
                <w:lang w:eastAsia="lv-LV"/>
              </w:rPr>
              <w:t xml:space="preserve">pienākumu </w:t>
            </w:r>
            <w:r w:rsidR="00401CAF">
              <w:rPr>
                <w:rFonts w:ascii="Times New Roman" w:eastAsiaTheme="minorEastAsia" w:hAnsi="Times New Roman" w:cs="Times New Roman"/>
                <w:sz w:val="24"/>
                <w:lang w:eastAsia="lv-LV"/>
              </w:rPr>
              <w:t xml:space="preserve">projekta iesniedzējam </w:t>
            </w:r>
            <w:r w:rsidR="007C7AD1">
              <w:rPr>
                <w:rFonts w:ascii="Times New Roman" w:eastAsiaTheme="minorEastAsia" w:hAnsi="Times New Roman" w:cs="Times New Roman"/>
                <w:sz w:val="24"/>
                <w:lang w:eastAsia="lv-LV"/>
              </w:rPr>
              <w:t>nodrošināt, ka doktorants paralēli grantam veic pētniecību finansējuma saņēmēja, zinātnisk</w:t>
            </w:r>
            <w:r w:rsidR="00777CA2">
              <w:rPr>
                <w:rFonts w:ascii="Times New Roman" w:eastAsiaTheme="minorEastAsia" w:hAnsi="Times New Roman" w:cs="Times New Roman"/>
                <w:sz w:val="24"/>
                <w:lang w:eastAsia="lv-LV"/>
              </w:rPr>
              <w:t>ās</w:t>
            </w:r>
            <w:r w:rsidR="007C7AD1">
              <w:rPr>
                <w:rFonts w:ascii="Times New Roman" w:eastAsiaTheme="minorEastAsia" w:hAnsi="Times New Roman" w:cs="Times New Roman"/>
                <w:sz w:val="24"/>
                <w:lang w:eastAsia="lv-LV"/>
              </w:rPr>
              <w:t xml:space="preserve"> institūcij</w:t>
            </w:r>
            <w:r w:rsidR="00777CA2">
              <w:rPr>
                <w:rFonts w:ascii="Times New Roman" w:eastAsiaTheme="minorEastAsia" w:hAnsi="Times New Roman" w:cs="Times New Roman"/>
                <w:sz w:val="24"/>
                <w:lang w:eastAsia="lv-LV"/>
              </w:rPr>
              <w:t>as</w:t>
            </w:r>
            <w:r w:rsidR="007C7AD1">
              <w:rPr>
                <w:rFonts w:ascii="Times New Roman" w:eastAsiaTheme="minorEastAsia" w:hAnsi="Times New Roman" w:cs="Times New Roman"/>
                <w:sz w:val="24"/>
                <w:lang w:eastAsia="lv-LV"/>
              </w:rPr>
              <w:t>, komersant</w:t>
            </w:r>
            <w:r w:rsidR="00777CA2">
              <w:rPr>
                <w:rFonts w:ascii="Times New Roman" w:eastAsiaTheme="minorEastAsia" w:hAnsi="Times New Roman" w:cs="Times New Roman"/>
                <w:sz w:val="24"/>
                <w:lang w:eastAsia="lv-LV"/>
              </w:rPr>
              <w:t>a</w:t>
            </w:r>
            <w:r w:rsidR="007C7AD1">
              <w:rPr>
                <w:rFonts w:ascii="Times New Roman" w:eastAsiaTheme="minorEastAsia" w:hAnsi="Times New Roman" w:cs="Times New Roman"/>
                <w:sz w:val="24"/>
                <w:lang w:eastAsia="lv-LV"/>
              </w:rPr>
              <w:t xml:space="preserve"> vai cit</w:t>
            </w:r>
            <w:r w:rsidR="00777CA2">
              <w:rPr>
                <w:rFonts w:ascii="Times New Roman" w:eastAsiaTheme="minorEastAsia" w:hAnsi="Times New Roman" w:cs="Times New Roman"/>
                <w:sz w:val="24"/>
                <w:lang w:eastAsia="lv-LV"/>
              </w:rPr>
              <w:t>as</w:t>
            </w:r>
            <w:r w:rsidR="007C7AD1">
              <w:rPr>
                <w:rFonts w:ascii="Times New Roman" w:eastAsiaTheme="minorEastAsia" w:hAnsi="Times New Roman" w:cs="Times New Roman"/>
                <w:sz w:val="24"/>
                <w:lang w:eastAsia="lv-LV"/>
              </w:rPr>
              <w:t xml:space="preserve"> institūciju īstenot</w:t>
            </w:r>
            <w:r w:rsidR="00777CA2">
              <w:rPr>
                <w:rFonts w:ascii="Times New Roman" w:eastAsiaTheme="minorEastAsia" w:hAnsi="Times New Roman" w:cs="Times New Roman"/>
                <w:sz w:val="24"/>
                <w:lang w:eastAsia="lv-LV"/>
              </w:rPr>
              <w:t>ā</w:t>
            </w:r>
            <w:r w:rsidR="007C7AD1">
              <w:rPr>
                <w:rFonts w:ascii="Times New Roman" w:eastAsiaTheme="minorEastAsia" w:hAnsi="Times New Roman" w:cs="Times New Roman"/>
                <w:sz w:val="24"/>
                <w:lang w:eastAsia="lv-LV"/>
              </w:rPr>
              <w:t xml:space="preserve"> projekt</w:t>
            </w:r>
            <w:r w:rsidR="00777CA2">
              <w:rPr>
                <w:rFonts w:ascii="Times New Roman" w:eastAsiaTheme="minorEastAsia" w:hAnsi="Times New Roman" w:cs="Times New Roman"/>
                <w:sz w:val="24"/>
                <w:lang w:eastAsia="lv-LV"/>
              </w:rPr>
              <w:t>ā</w:t>
            </w:r>
            <w:r w:rsidR="007C7AD1">
              <w:rPr>
                <w:rFonts w:ascii="Times New Roman" w:eastAsiaTheme="minorEastAsia" w:hAnsi="Times New Roman" w:cs="Times New Roman"/>
                <w:sz w:val="24"/>
                <w:lang w:eastAsia="lv-LV"/>
              </w:rPr>
              <w:t xml:space="preserve">, kur doktoranta veiktajā darbā pētniecības un attīstības raksturs ir skaidri </w:t>
            </w:r>
            <w:r w:rsidR="009F0166">
              <w:rPr>
                <w:rFonts w:ascii="Times New Roman" w:eastAsiaTheme="minorEastAsia" w:hAnsi="Times New Roman" w:cs="Times New Roman"/>
                <w:sz w:val="24"/>
                <w:lang w:eastAsia="lv-LV"/>
              </w:rPr>
              <w:t>pierādāms. Ja doktorants nav iesaistīts šād</w:t>
            </w:r>
            <w:r w:rsidR="00777CA2">
              <w:rPr>
                <w:rFonts w:ascii="Times New Roman" w:eastAsiaTheme="minorEastAsia" w:hAnsi="Times New Roman" w:cs="Times New Roman"/>
                <w:sz w:val="24"/>
                <w:lang w:eastAsia="lv-LV"/>
              </w:rPr>
              <w:t>a</w:t>
            </w:r>
            <w:r w:rsidR="009F0166">
              <w:rPr>
                <w:rFonts w:ascii="Times New Roman" w:eastAsiaTheme="minorEastAsia" w:hAnsi="Times New Roman" w:cs="Times New Roman"/>
                <w:sz w:val="24"/>
                <w:lang w:eastAsia="lv-LV"/>
              </w:rPr>
              <w:t xml:space="preserve"> veida darbā</w:t>
            </w:r>
            <w:r w:rsidR="00777CA2">
              <w:rPr>
                <w:rFonts w:ascii="Times New Roman" w:eastAsiaTheme="minorEastAsia" w:hAnsi="Times New Roman" w:cs="Times New Roman"/>
                <w:sz w:val="24"/>
                <w:lang w:eastAsia="lv-LV"/>
              </w:rPr>
              <w:t xml:space="preserve"> līdz grantu saņēmē</w:t>
            </w:r>
            <w:r w:rsidR="005A6CB0">
              <w:rPr>
                <w:rFonts w:ascii="Times New Roman" w:eastAsiaTheme="minorEastAsia" w:hAnsi="Times New Roman" w:cs="Times New Roman"/>
                <w:sz w:val="24"/>
                <w:lang w:eastAsia="lv-LV"/>
              </w:rPr>
              <w:t>j</w:t>
            </w:r>
            <w:r w:rsidR="00777CA2">
              <w:rPr>
                <w:rFonts w:ascii="Times New Roman" w:eastAsiaTheme="minorEastAsia" w:hAnsi="Times New Roman" w:cs="Times New Roman"/>
                <w:sz w:val="24"/>
                <w:lang w:eastAsia="lv-LV"/>
              </w:rPr>
              <w:t>u atlases konkursam</w:t>
            </w:r>
            <w:r w:rsidR="009F0166">
              <w:rPr>
                <w:rFonts w:ascii="Times New Roman" w:eastAsiaTheme="minorEastAsia" w:hAnsi="Times New Roman" w:cs="Times New Roman"/>
                <w:sz w:val="24"/>
                <w:lang w:eastAsia="lv-LV"/>
              </w:rPr>
              <w:t xml:space="preserve">, tad finansējuma </w:t>
            </w:r>
            <w:r w:rsidR="009F0166">
              <w:rPr>
                <w:rFonts w:ascii="Times New Roman" w:eastAsiaTheme="minorEastAsia" w:hAnsi="Times New Roman" w:cs="Times New Roman"/>
                <w:sz w:val="24"/>
                <w:lang w:eastAsia="lv-LV"/>
              </w:rPr>
              <w:lastRenderedPageBreak/>
              <w:t>saņēmējam vai tā sadarbības partnerim  ir jāpiedāvā atbilstoša pētniecības vieta</w:t>
            </w:r>
            <w:r w:rsidR="00777CA2">
              <w:rPr>
                <w:rFonts w:ascii="Times New Roman" w:eastAsiaTheme="minorEastAsia" w:hAnsi="Times New Roman" w:cs="Times New Roman"/>
                <w:sz w:val="24"/>
                <w:lang w:eastAsia="lv-LV"/>
              </w:rPr>
              <w:t xml:space="preserve"> granta saņemšanas gadījumā</w:t>
            </w:r>
            <w:r w:rsidR="009F0166">
              <w:rPr>
                <w:rFonts w:ascii="Times New Roman" w:eastAsiaTheme="minorEastAsia" w:hAnsi="Times New Roman" w:cs="Times New Roman"/>
                <w:sz w:val="24"/>
                <w:lang w:eastAsia="lv-LV"/>
              </w:rPr>
              <w:t xml:space="preserve">. </w:t>
            </w:r>
          </w:p>
          <w:p w14:paraId="080D7D9A" w14:textId="56C96AD8" w:rsidR="00401CAF" w:rsidRDefault="00401CAF" w:rsidP="00051706">
            <w:pPr>
              <w:tabs>
                <w:tab w:val="left" w:pos="356"/>
              </w:tabs>
              <w:spacing w:after="0" w:line="240" w:lineRule="auto"/>
              <w:jc w:val="both"/>
              <w:rPr>
                <w:rFonts w:ascii="Times New Roman" w:eastAsiaTheme="minorEastAsia" w:hAnsi="Times New Roman" w:cs="Times New Roman"/>
                <w:sz w:val="24"/>
                <w:lang w:eastAsia="lv-LV"/>
              </w:rPr>
            </w:pPr>
            <w:r>
              <w:rPr>
                <w:rFonts w:ascii="Times New Roman" w:eastAsiaTheme="minorEastAsia" w:hAnsi="Times New Roman" w:cs="Times New Roman"/>
                <w:sz w:val="24"/>
                <w:lang w:eastAsia="lv-LV"/>
              </w:rPr>
              <w:t xml:space="preserve">Noteikumu projekta 17.punkts precizēt </w:t>
            </w:r>
            <w:r>
              <w:rPr>
                <w:rFonts w:ascii="Times New Roman" w:hAnsi="Times New Roman"/>
                <w:sz w:val="24"/>
                <w:szCs w:val="24"/>
              </w:rPr>
              <w:t xml:space="preserve"> noteikumu Nr.25 40.punkta redakciju, nosakot, ka projekta iesniedzējs projekta iesniegumā </w:t>
            </w:r>
            <w:r w:rsidR="00124E3F">
              <w:rPr>
                <w:rFonts w:ascii="Times New Roman" w:hAnsi="Times New Roman"/>
                <w:sz w:val="24"/>
                <w:szCs w:val="24"/>
              </w:rPr>
              <w:t>jā</w:t>
            </w:r>
            <w:r>
              <w:rPr>
                <w:rFonts w:ascii="Times New Roman" w:hAnsi="Times New Roman"/>
                <w:sz w:val="24"/>
                <w:szCs w:val="24"/>
              </w:rPr>
              <w:t>plāno darb</w:t>
            </w:r>
            <w:r w:rsidR="00124E3F">
              <w:rPr>
                <w:rFonts w:ascii="Times New Roman" w:hAnsi="Times New Roman"/>
                <w:sz w:val="24"/>
                <w:szCs w:val="24"/>
              </w:rPr>
              <w:t>ību saturiskā</w:t>
            </w:r>
            <w:r>
              <w:rPr>
                <w:rFonts w:ascii="Times New Roman" w:hAnsi="Times New Roman"/>
                <w:sz w:val="24"/>
                <w:szCs w:val="24"/>
              </w:rPr>
              <w:t xml:space="preserve"> sasaist</w:t>
            </w:r>
            <w:r w:rsidR="00124E3F">
              <w:rPr>
                <w:rFonts w:ascii="Times New Roman" w:hAnsi="Times New Roman"/>
                <w:sz w:val="24"/>
                <w:szCs w:val="24"/>
              </w:rPr>
              <w:t>e</w:t>
            </w:r>
            <w:r>
              <w:rPr>
                <w:rFonts w:ascii="Times New Roman" w:hAnsi="Times New Roman"/>
                <w:sz w:val="24"/>
                <w:szCs w:val="24"/>
              </w:rPr>
              <w:t xml:space="preserve"> ar </w:t>
            </w:r>
            <w:r w:rsidR="00124E3F">
              <w:rPr>
                <w:rFonts w:ascii="Times New Roman" w:hAnsi="Times New Roman"/>
                <w:sz w:val="24"/>
                <w:szCs w:val="24"/>
              </w:rPr>
              <w:t>citiem specifiskiem atbalsta mērķiem un pasākumiem.</w:t>
            </w:r>
          </w:p>
          <w:p w14:paraId="3DEF06A3" w14:textId="5671CB6B" w:rsidR="007E6EDB" w:rsidRDefault="00C455AA" w:rsidP="00051706">
            <w:pPr>
              <w:tabs>
                <w:tab w:val="left" w:pos="356"/>
              </w:tabs>
              <w:spacing w:after="0" w:line="240" w:lineRule="auto"/>
              <w:jc w:val="both"/>
              <w:rPr>
                <w:rFonts w:ascii="Times New Roman" w:hAnsi="Times New Roman"/>
                <w:sz w:val="24"/>
                <w:szCs w:val="24"/>
              </w:rPr>
            </w:pPr>
            <w:r w:rsidRPr="009F0166">
              <w:rPr>
                <w:rFonts w:ascii="Times New Roman" w:eastAsiaTheme="minorEastAsia" w:hAnsi="Times New Roman" w:cs="Times New Roman"/>
                <w:sz w:val="24"/>
                <w:lang w:eastAsia="lv-LV"/>
              </w:rPr>
              <w:t>Tā kā</w:t>
            </w:r>
            <w:r w:rsidR="007E6EDB" w:rsidRPr="009F0166">
              <w:rPr>
                <w:rFonts w:ascii="Times New Roman" w:eastAsiaTheme="minorEastAsia" w:hAnsi="Times New Roman" w:cs="Times New Roman"/>
                <w:sz w:val="24"/>
                <w:lang w:eastAsia="lv-LV"/>
              </w:rPr>
              <w:t xml:space="preserve"> trešās kārtas ietvaros nav paredzēta ārvalstu</w:t>
            </w:r>
            <w:r w:rsidR="007E6EDB">
              <w:rPr>
                <w:rFonts w:ascii="Times New Roman" w:hAnsi="Times New Roman"/>
                <w:sz w:val="24"/>
                <w:szCs w:val="24"/>
              </w:rPr>
              <w:t xml:space="preserve"> ekspertu </w:t>
            </w:r>
            <w:r w:rsidR="00D83EDF">
              <w:rPr>
                <w:rFonts w:ascii="Times New Roman" w:hAnsi="Times New Roman"/>
                <w:sz w:val="24"/>
                <w:szCs w:val="24"/>
              </w:rPr>
              <w:t xml:space="preserve">piesaiste </w:t>
            </w:r>
            <w:r w:rsidR="007E6EDB">
              <w:rPr>
                <w:rFonts w:ascii="Times New Roman" w:hAnsi="Times New Roman"/>
                <w:sz w:val="24"/>
                <w:szCs w:val="24"/>
              </w:rPr>
              <w:t>projekt</w:t>
            </w:r>
            <w:r w:rsidR="00D83EDF">
              <w:rPr>
                <w:rFonts w:ascii="Times New Roman" w:hAnsi="Times New Roman"/>
                <w:sz w:val="24"/>
                <w:szCs w:val="24"/>
              </w:rPr>
              <w:t>u</w:t>
            </w:r>
            <w:r w:rsidR="007E6EDB">
              <w:rPr>
                <w:rFonts w:ascii="Times New Roman" w:hAnsi="Times New Roman"/>
                <w:sz w:val="24"/>
                <w:szCs w:val="24"/>
              </w:rPr>
              <w:t xml:space="preserve"> iesniegumu</w:t>
            </w:r>
            <w:r w:rsidR="00D83EDF">
              <w:rPr>
                <w:rFonts w:ascii="Times New Roman" w:hAnsi="Times New Roman"/>
                <w:sz w:val="24"/>
                <w:szCs w:val="24"/>
              </w:rPr>
              <w:t xml:space="preserve"> vērtēšanā</w:t>
            </w:r>
            <w:r>
              <w:rPr>
                <w:rFonts w:ascii="Times New Roman" w:hAnsi="Times New Roman"/>
                <w:sz w:val="24"/>
                <w:szCs w:val="24"/>
              </w:rPr>
              <w:t>, saskaņā ar</w:t>
            </w:r>
            <w:r w:rsidR="007E6EDB">
              <w:rPr>
                <w:rFonts w:ascii="Times New Roman" w:hAnsi="Times New Roman"/>
                <w:sz w:val="24"/>
                <w:szCs w:val="24"/>
              </w:rPr>
              <w:t xml:space="preserve"> noteikumu projekta </w:t>
            </w:r>
            <w:r w:rsidR="00401CAF">
              <w:rPr>
                <w:rFonts w:ascii="Times New Roman" w:hAnsi="Times New Roman"/>
                <w:b/>
                <w:sz w:val="24"/>
                <w:szCs w:val="24"/>
              </w:rPr>
              <w:t>1</w:t>
            </w:r>
            <w:r w:rsidR="00BB2B0D">
              <w:rPr>
                <w:rFonts w:ascii="Times New Roman" w:hAnsi="Times New Roman"/>
                <w:b/>
                <w:sz w:val="24"/>
                <w:szCs w:val="24"/>
              </w:rPr>
              <w:t>6</w:t>
            </w:r>
            <w:r w:rsidR="007E6EDB" w:rsidRPr="00120FB6">
              <w:rPr>
                <w:rFonts w:ascii="Times New Roman" w:hAnsi="Times New Roman"/>
                <w:b/>
                <w:sz w:val="24"/>
                <w:szCs w:val="24"/>
              </w:rPr>
              <w:t>.punkt</w:t>
            </w:r>
            <w:r w:rsidRPr="00120FB6">
              <w:rPr>
                <w:rFonts w:ascii="Times New Roman" w:hAnsi="Times New Roman"/>
                <w:b/>
                <w:sz w:val="24"/>
                <w:szCs w:val="24"/>
              </w:rPr>
              <w:t>u</w:t>
            </w:r>
            <w:r>
              <w:rPr>
                <w:rFonts w:ascii="Times New Roman" w:hAnsi="Times New Roman"/>
                <w:sz w:val="24"/>
                <w:szCs w:val="24"/>
              </w:rPr>
              <w:t xml:space="preserve"> jā</w:t>
            </w:r>
            <w:r w:rsidR="007E6EDB">
              <w:rPr>
                <w:rFonts w:ascii="Times New Roman" w:hAnsi="Times New Roman"/>
                <w:sz w:val="24"/>
                <w:szCs w:val="24"/>
              </w:rPr>
              <w:t>precizē noteikumu Nr.25 41.punkt</w:t>
            </w:r>
            <w:r>
              <w:rPr>
                <w:rFonts w:ascii="Times New Roman" w:hAnsi="Times New Roman"/>
                <w:sz w:val="24"/>
                <w:szCs w:val="24"/>
              </w:rPr>
              <w:t>s</w:t>
            </w:r>
            <w:r w:rsidR="007E6EDB">
              <w:rPr>
                <w:rFonts w:ascii="Times New Roman" w:hAnsi="Times New Roman"/>
                <w:sz w:val="24"/>
                <w:szCs w:val="24"/>
              </w:rPr>
              <w:t>, paredzot, ka Sadarbības iestāde ārvalstu ekspertu ekspertīzi neizmanto trešās kārtas projektu iesniegumu vērtēšanā.</w:t>
            </w:r>
            <w:r>
              <w:rPr>
                <w:rFonts w:ascii="Times New Roman" w:hAnsi="Times New Roman"/>
                <w:sz w:val="24"/>
                <w:szCs w:val="24"/>
              </w:rPr>
              <w:t xml:space="preserve"> Saskaņā ar noteikuma projekta 13.punktu m</w:t>
            </w:r>
            <w:r w:rsidR="009D514B">
              <w:rPr>
                <w:rFonts w:ascii="Times New Roman" w:hAnsi="Times New Roman"/>
                <w:sz w:val="24"/>
                <w:szCs w:val="24"/>
              </w:rPr>
              <w:t xml:space="preserve">inistrija </w:t>
            </w:r>
            <w:r w:rsidR="007E6EDB">
              <w:rPr>
                <w:rFonts w:ascii="Times New Roman" w:hAnsi="Times New Roman"/>
                <w:sz w:val="24"/>
                <w:szCs w:val="24"/>
              </w:rPr>
              <w:t xml:space="preserve">augstāko izglītības iestāžu stratēģiju vērtēšanas komisijā vērtēs projekta iesniedzēju un to sadarbības partneru </w:t>
            </w:r>
            <w:r>
              <w:rPr>
                <w:rFonts w:ascii="Times New Roman" w:hAnsi="Times New Roman"/>
                <w:sz w:val="24"/>
                <w:szCs w:val="24"/>
              </w:rPr>
              <w:t>DSP</w:t>
            </w:r>
            <w:r w:rsidR="007E6EDB" w:rsidRPr="007E6EDB">
              <w:rPr>
                <w:rFonts w:ascii="Times New Roman" w:hAnsi="Times New Roman"/>
                <w:sz w:val="24"/>
                <w:szCs w:val="24"/>
              </w:rPr>
              <w:t xml:space="preserve"> attīstības </w:t>
            </w:r>
            <w:r w:rsidR="00B738EF">
              <w:rPr>
                <w:rFonts w:ascii="Times New Roman" w:hAnsi="Times New Roman"/>
                <w:sz w:val="24"/>
                <w:szCs w:val="24"/>
              </w:rPr>
              <w:t>plānu</w:t>
            </w:r>
            <w:r w:rsidR="00051706">
              <w:rPr>
                <w:rFonts w:ascii="Times New Roman" w:hAnsi="Times New Roman"/>
                <w:sz w:val="24"/>
                <w:szCs w:val="24"/>
              </w:rPr>
              <w:t xml:space="preserve">, paredzot, ka </w:t>
            </w:r>
            <w:r w:rsidR="007E6EDB">
              <w:rPr>
                <w:rFonts w:ascii="Times New Roman" w:hAnsi="Times New Roman"/>
                <w:sz w:val="24"/>
                <w:szCs w:val="24"/>
              </w:rPr>
              <w:t xml:space="preserve">projekta </w:t>
            </w:r>
            <w:r w:rsidR="007E6EDB" w:rsidRPr="004E24E7">
              <w:rPr>
                <w:rFonts w:ascii="Times New Roman" w:hAnsi="Times New Roman"/>
                <w:sz w:val="24"/>
                <w:szCs w:val="24"/>
              </w:rPr>
              <w:t>saturisk</w:t>
            </w:r>
            <w:r w:rsidR="00051706" w:rsidRPr="004E24E7">
              <w:rPr>
                <w:rFonts w:ascii="Times New Roman" w:hAnsi="Times New Roman"/>
                <w:sz w:val="24"/>
                <w:szCs w:val="24"/>
              </w:rPr>
              <w:t xml:space="preserve">ām </w:t>
            </w:r>
            <w:r w:rsidR="007E6EDB" w:rsidRPr="004E24E7">
              <w:rPr>
                <w:rFonts w:ascii="Times New Roman" w:hAnsi="Times New Roman"/>
                <w:sz w:val="24"/>
                <w:szCs w:val="24"/>
              </w:rPr>
              <w:t>darbīb</w:t>
            </w:r>
            <w:r w:rsidR="00051706" w:rsidRPr="004E24E7">
              <w:rPr>
                <w:rFonts w:ascii="Times New Roman" w:hAnsi="Times New Roman"/>
                <w:sz w:val="24"/>
                <w:szCs w:val="24"/>
              </w:rPr>
              <w:t>ām jāatbilst</w:t>
            </w:r>
            <w:r w:rsidR="00051706">
              <w:rPr>
                <w:rFonts w:ascii="Times New Roman" w:hAnsi="Times New Roman"/>
                <w:sz w:val="24"/>
                <w:szCs w:val="24"/>
              </w:rPr>
              <w:t xml:space="preserve"> </w:t>
            </w:r>
            <w:r>
              <w:rPr>
                <w:rFonts w:ascii="Times New Roman" w:hAnsi="Times New Roman"/>
                <w:sz w:val="24"/>
                <w:szCs w:val="24"/>
              </w:rPr>
              <w:t>augstskolas</w:t>
            </w:r>
            <w:r w:rsidR="00051706" w:rsidRPr="005B6D56">
              <w:rPr>
                <w:rFonts w:ascii="Times New Roman" w:hAnsi="Times New Roman"/>
                <w:sz w:val="24"/>
                <w:szCs w:val="24"/>
              </w:rPr>
              <w:t xml:space="preserve"> </w:t>
            </w:r>
            <w:r>
              <w:rPr>
                <w:rFonts w:ascii="Times New Roman" w:hAnsi="Times New Roman"/>
                <w:sz w:val="24"/>
                <w:szCs w:val="24"/>
              </w:rPr>
              <w:t>DSP</w:t>
            </w:r>
            <w:r w:rsidR="00051706" w:rsidRPr="005B6D56">
              <w:rPr>
                <w:rFonts w:ascii="Times New Roman" w:hAnsi="Times New Roman"/>
                <w:sz w:val="24"/>
                <w:szCs w:val="24"/>
              </w:rPr>
              <w:t xml:space="preserve"> attīstības </w:t>
            </w:r>
            <w:r w:rsidR="00B738EF">
              <w:rPr>
                <w:rFonts w:ascii="Times New Roman" w:hAnsi="Times New Roman"/>
                <w:sz w:val="24"/>
                <w:szCs w:val="24"/>
              </w:rPr>
              <w:t>plānam</w:t>
            </w:r>
            <w:r w:rsidR="00051706">
              <w:rPr>
                <w:rFonts w:ascii="Times New Roman" w:hAnsi="Times New Roman"/>
                <w:sz w:val="24"/>
                <w:szCs w:val="24"/>
              </w:rPr>
              <w:t>.</w:t>
            </w:r>
          </w:p>
          <w:p w14:paraId="6121AA5A" w14:textId="5C0237E1" w:rsidR="00051706" w:rsidRDefault="00051706" w:rsidP="00051706">
            <w:pPr>
              <w:tabs>
                <w:tab w:val="left" w:pos="356"/>
              </w:tabs>
              <w:spacing w:after="0" w:line="240" w:lineRule="auto"/>
              <w:jc w:val="both"/>
              <w:rPr>
                <w:rFonts w:ascii="Times New Roman" w:hAnsi="Times New Roman"/>
                <w:sz w:val="24"/>
                <w:szCs w:val="24"/>
              </w:rPr>
            </w:pPr>
            <w:r>
              <w:rPr>
                <w:rFonts w:ascii="Times New Roman" w:hAnsi="Times New Roman"/>
                <w:sz w:val="24"/>
                <w:szCs w:val="24"/>
              </w:rPr>
              <w:t xml:space="preserve">Noteikumu projekta </w:t>
            </w:r>
            <w:r w:rsidR="00124E3F">
              <w:rPr>
                <w:rFonts w:ascii="Times New Roman" w:hAnsi="Times New Roman"/>
                <w:b/>
                <w:sz w:val="24"/>
                <w:szCs w:val="24"/>
              </w:rPr>
              <w:t>1</w:t>
            </w:r>
            <w:r w:rsidR="00BB2B0D">
              <w:rPr>
                <w:rFonts w:ascii="Times New Roman" w:hAnsi="Times New Roman"/>
                <w:b/>
                <w:sz w:val="24"/>
                <w:szCs w:val="24"/>
              </w:rPr>
              <w:t>7</w:t>
            </w:r>
            <w:r w:rsidRPr="00D83EDF">
              <w:rPr>
                <w:rFonts w:ascii="Times New Roman" w:hAnsi="Times New Roman"/>
                <w:b/>
                <w:sz w:val="24"/>
                <w:szCs w:val="24"/>
              </w:rPr>
              <w:t xml:space="preserve">. un </w:t>
            </w:r>
            <w:r w:rsidR="00BB2B0D">
              <w:rPr>
                <w:rFonts w:ascii="Times New Roman" w:hAnsi="Times New Roman"/>
                <w:b/>
                <w:sz w:val="24"/>
                <w:szCs w:val="24"/>
              </w:rPr>
              <w:t>18</w:t>
            </w:r>
            <w:r w:rsidRPr="00D83EDF">
              <w:rPr>
                <w:rFonts w:ascii="Times New Roman" w:hAnsi="Times New Roman"/>
                <w:b/>
                <w:sz w:val="24"/>
                <w:szCs w:val="24"/>
              </w:rPr>
              <w:t>.</w:t>
            </w:r>
            <w:r w:rsidR="00C455AA" w:rsidRPr="00D83EDF">
              <w:rPr>
                <w:rFonts w:ascii="Times New Roman" w:hAnsi="Times New Roman"/>
                <w:b/>
                <w:sz w:val="24"/>
                <w:szCs w:val="24"/>
              </w:rPr>
              <w:t xml:space="preserve"> </w:t>
            </w:r>
            <w:r w:rsidRPr="00D83EDF">
              <w:rPr>
                <w:rFonts w:ascii="Times New Roman" w:hAnsi="Times New Roman"/>
                <w:b/>
                <w:sz w:val="24"/>
                <w:szCs w:val="24"/>
              </w:rPr>
              <w:t>punktā</w:t>
            </w:r>
            <w:r>
              <w:rPr>
                <w:rFonts w:ascii="Times New Roman" w:hAnsi="Times New Roman"/>
                <w:sz w:val="24"/>
                <w:szCs w:val="24"/>
              </w:rPr>
              <w:t xml:space="preserve"> veikti</w:t>
            </w:r>
            <w:r w:rsidR="00C455AA">
              <w:rPr>
                <w:rFonts w:ascii="Times New Roman" w:hAnsi="Times New Roman"/>
                <w:sz w:val="24"/>
                <w:szCs w:val="24"/>
              </w:rPr>
              <w:t>e</w:t>
            </w:r>
            <w:r>
              <w:rPr>
                <w:rFonts w:ascii="Times New Roman" w:hAnsi="Times New Roman"/>
                <w:sz w:val="24"/>
                <w:szCs w:val="24"/>
              </w:rPr>
              <w:t xml:space="preserve"> grozījumi uzskatāmi par tehniskiem precizējumiem, kas paredz, </w:t>
            </w:r>
          </w:p>
          <w:p w14:paraId="1541A553" w14:textId="2911FDC1" w:rsidR="00051706" w:rsidRDefault="00051706" w:rsidP="00051706">
            <w:pPr>
              <w:pStyle w:val="ListParagraph"/>
              <w:numPr>
                <w:ilvl w:val="0"/>
                <w:numId w:val="13"/>
              </w:numPr>
              <w:tabs>
                <w:tab w:val="left" w:pos="356"/>
              </w:tabs>
              <w:spacing w:after="0" w:line="240" w:lineRule="auto"/>
              <w:jc w:val="both"/>
              <w:rPr>
                <w:rFonts w:ascii="Times New Roman" w:hAnsi="Times New Roman"/>
                <w:sz w:val="24"/>
                <w:szCs w:val="24"/>
              </w:rPr>
            </w:pPr>
            <w:r>
              <w:rPr>
                <w:rFonts w:ascii="Times New Roman" w:hAnsi="Times New Roman"/>
                <w:sz w:val="24"/>
                <w:szCs w:val="24"/>
              </w:rPr>
              <w:t>precizēt Noteikumu Nr.</w:t>
            </w:r>
            <w:r w:rsidR="00C455AA">
              <w:rPr>
                <w:rFonts w:ascii="Times New Roman" w:hAnsi="Times New Roman"/>
                <w:sz w:val="24"/>
                <w:szCs w:val="24"/>
              </w:rPr>
              <w:t xml:space="preserve"> </w:t>
            </w:r>
            <w:r>
              <w:rPr>
                <w:rFonts w:ascii="Times New Roman" w:hAnsi="Times New Roman"/>
                <w:sz w:val="24"/>
                <w:szCs w:val="24"/>
              </w:rPr>
              <w:t>25 45.</w:t>
            </w:r>
            <w:r w:rsidR="00C455AA">
              <w:rPr>
                <w:rFonts w:ascii="Times New Roman" w:hAnsi="Times New Roman"/>
                <w:sz w:val="24"/>
                <w:szCs w:val="24"/>
              </w:rPr>
              <w:t xml:space="preserve"> </w:t>
            </w:r>
            <w:r>
              <w:rPr>
                <w:rFonts w:ascii="Times New Roman" w:hAnsi="Times New Roman"/>
                <w:sz w:val="24"/>
                <w:szCs w:val="24"/>
              </w:rPr>
              <w:t xml:space="preserve">punktu, plānojot, ka </w:t>
            </w:r>
            <w:r w:rsidRPr="00051706">
              <w:rPr>
                <w:rFonts w:ascii="Times New Roman" w:hAnsi="Times New Roman"/>
                <w:sz w:val="24"/>
                <w:szCs w:val="24"/>
              </w:rPr>
              <w:t>trešās kārtas finansējuma saņēmēji nodrošina, ka tiešās attiecināmās personāla atlīdzības izmaksās tiek iekļauts projekta vadības un īstenošanas personāls, kas ir nodarbināts pilnu darba laiku vai nepilnu darba laiku, vai daļlaiku ne mazāk kā 30 procentu apmērā no normālā darba laika, attiecīgi veicot projekta vadības un īstenošanas personāla darba laika uzskaiti par veiktajām funkcijām un nostrādāto laiku</w:t>
            </w:r>
            <w:r w:rsidR="00C455AA">
              <w:rPr>
                <w:rFonts w:ascii="Times New Roman" w:hAnsi="Times New Roman"/>
                <w:sz w:val="24"/>
                <w:szCs w:val="24"/>
              </w:rPr>
              <w:t>;</w:t>
            </w:r>
          </w:p>
          <w:p w14:paraId="5AF7FB11" w14:textId="4CBAFA2D" w:rsidR="000E5963" w:rsidRDefault="00051706" w:rsidP="000E5963">
            <w:pPr>
              <w:pStyle w:val="ListParagraph"/>
              <w:numPr>
                <w:ilvl w:val="0"/>
                <w:numId w:val="13"/>
              </w:numPr>
              <w:tabs>
                <w:tab w:val="left" w:pos="356"/>
              </w:tabs>
              <w:spacing w:after="0" w:line="240" w:lineRule="auto"/>
              <w:jc w:val="both"/>
              <w:rPr>
                <w:rFonts w:ascii="Times New Roman" w:hAnsi="Times New Roman"/>
                <w:sz w:val="24"/>
                <w:szCs w:val="24"/>
              </w:rPr>
            </w:pPr>
            <w:r>
              <w:rPr>
                <w:rFonts w:ascii="Times New Roman" w:hAnsi="Times New Roman"/>
                <w:sz w:val="24"/>
                <w:szCs w:val="24"/>
              </w:rPr>
              <w:t>precizē</w:t>
            </w:r>
            <w:r w:rsidR="00C455AA">
              <w:rPr>
                <w:rFonts w:ascii="Times New Roman" w:hAnsi="Times New Roman"/>
                <w:sz w:val="24"/>
                <w:szCs w:val="24"/>
              </w:rPr>
              <w:t xml:space="preserve"> </w:t>
            </w:r>
            <w:r>
              <w:rPr>
                <w:rFonts w:ascii="Times New Roman" w:hAnsi="Times New Roman"/>
                <w:sz w:val="24"/>
                <w:szCs w:val="24"/>
              </w:rPr>
              <w:t>Noteikumu Nr.</w:t>
            </w:r>
            <w:r w:rsidR="00C455AA">
              <w:rPr>
                <w:rFonts w:ascii="Times New Roman" w:hAnsi="Times New Roman"/>
                <w:sz w:val="24"/>
                <w:szCs w:val="24"/>
              </w:rPr>
              <w:t xml:space="preserve"> </w:t>
            </w:r>
            <w:r>
              <w:rPr>
                <w:rFonts w:ascii="Times New Roman" w:hAnsi="Times New Roman"/>
                <w:sz w:val="24"/>
                <w:szCs w:val="24"/>
              </w:rPr>
              <w:t>25 48.</w:t>
            </w:r>
            <w:r w:rsidR="00C455AA">
              <w:rPr>
                <w:rFonts w:ascii="Times New Roman" w:hAnsi="Times New Roman"/>
                <w:sz w:val="24"/>
                <w:szCs w:val="24"/>
              </w:rPr>
              <w:t xml:space="preserve"> </w:t>
            </w:r>
            <w:r>
              <w:rPr>
                <w:rFonts w:ascii="Times New Roman" w:hAnsi="Times New Roman"/>
                <w:sz w:val="24"/>
                <w:szCs w:val="24"/>
              </w:rPr>
              <w:t>punktu, nodro</w:t>
            </w:r>
            <w:r w:rsidR="00AA5E3E">
              <w:rPr>
                <w:rFonts w:ascii="Times New Roman" w:hAnsi="Times New Roman"/>
                <w:sz w:val="24"/>
                <w:szCs w:val="24"/>
              </w:rPr>
              <w:t>šinot, ka trešās kārtas ietvaros f</w:t>
            </w:r>
            <w:r w:rsidRPr="00051706">
              <w:rPr>
                <w:rFonts w:ascii="Times New Roman" w:hAnsi="Times New Roman"/>
                <w:sz w:val="24"/>
                <w:szCs w:val="24"/>
              </w:rPr>
              <w:t>inansējuma saņēmējs izmaksas, kas, īstenojot projektu</w:t>
            </w:r>
            <w:r w:rsidR="000E5963">
              <w:rPr>
                <w:rFonts w:ascii="Times New Roman" w:hAnsi="Times New Roman"/>
                <w:sz w:val="24"/>
                <w:szCs w:val="24"/>
              </w:rPr>
              <w:t xml:space="preserve">, pārsniedz </w:t>
            </w:r>
            <w:r w:rsidRPr="00051706">
              <w:rPr>
                <w:rFonts w:ascii="Times New Roman" w:hAnsi="Times New Roman"/>
                <w:sz w:val="24"/>
                <w:szCs w:val="24"/>
              </w:rPr>
              <w:t>34. punktā minēto projekta maksimālo attiecināmo izmaksu kopsummu, var iekļaut projekta kopējās izmaksās kā neattiecināmās izmaksas un segt tās no saviem līdzekļiem.</w:t>
            </w:r>
          </w:p>
          <w:p w14:paraId="4BB2E0DD" w14:textId="77777777" w:rsidR="0076625B" w:rsidRDefault="0076625B" w:rsidP="00C455AA">
            <w:pPr>
              <w:tabs>
                <w:tab w:val="left" w:pos="356"/>
              </w:tabs>
              <w:spacing w:after="0" w:line="240" w:lineRule="auto"/>
              <w:jc w:val="both"/>
              <w:rPr>
                <w:rFonts w:ascii="Times New Roman" w:hAnsi="Times New Roman"/>
                <w:sz w:val="24"/>
                <w:szCs w:val="24"/>
              </w:rPr>
            </w:pPr>
          </w:p>
          <w:p w14:paraId="2DF3244F" w14:textId="390F8B11" w:rsidR="00325397" w:rsidRDefault="00325397" w:rsidP="00C455AA">
            <w:pPr>
              <w:tabs>
                <w:tab w:val="left" w:pos="356"/>
              </w:tabs>
              <w:spacing w:after="0" w:line="240" w:lineRule="auto"/>
              <w:jc w:val="both"/>
              <w:rPr>
                <w:rFonts w:ascii="Times New Roman" w:hAnsi="Times New Roman"/>
                <w:sz w:val="24"/>
                <w:szCs w:val="24"/>
              </w:rPr>
            </w:pPr>
            <w:r>
              <w:rPr>
                <w:rFonts w:ascii="Times New Roman" w:hAnsi="Times New Roman"/>
                <w:sz w:val="24"/>
                <w:szCs w:val="24"/>
              </w:rPr>
              <w:t>Komercdarbības atbalsts</w:t>
            </w:r>
            <w:r w:rsidR="00BB2B0D">
              <w:rPr>
                <w:rFonts w:ascii="Times New Roman" w:hAnsi="Times New Roman"/>
                <w:sz w:val="24"/>
                <w:szCs w:val="24"/>
              </w:rPr>
              <w:t xml:space="preserve"> – Noteikumu projekta </w:t>
            </w:r>
            <w:r w:rsidR="00BB2B0D" w:rsidRPr="00BB2B0D">
              <w:rPr>
                <w:rFonts w:ascii="Times New Roman" w:hAnsi="Times New Roman"/>
                <w:b/>
                <w:sz w:val="24"/>
                <w:szCs w:val="24"/>
              </w:rPr>
              <w:t>1.punktā</w:t>
            </w:r>
            <w:r w:rsidR="00BB2B0D">
              <w:rPr>
                <w:rFonts w:ascii="Times New Roman" w:hAnsi="Times New Roman"/>
                <w:sz w:val="24"/>
                <w:szCs w:val="24"/>
              </w:rPr>
              <w:t xml:space="preserve"> sniegt</w:t>
            </w:r>
            <w:r w:rsidR="008F28AD">
              <w:rPr>
                <w:rFonts w:ascii="Times New Roman" w:hAnsi="Times New Roman"/>
                <w:sz w:val="24"/>
                <w:szCs w:val="24"/>
              </w:rPr>
              <w:t>s</w:t>
            </w:r>
            <w:r w:rsidR="00BB2B0D">
              <w:rPr>
                <w:rFonts w:ascii="Times New Roman" w:hAnsi="Times New Roman"/>
                <w:sz w:val="24"/>
                <w:szCs w:val="24"/>
              </w:rPr>
              <w:t xml:space="preserve"> skaidrojums darbībai, kurai nav saimniecisks rakstu</w:t>
            </w:r>
            <w:r w:rsidR="008F28AD">
              <w:rPr>
                <w:rFonts w:ascii="Times New Roman" w:hAnsi="Times New Roman"/>
                <w:sz w:val="24"/>
                <w:szCs w:val="24"/>
              </w:rPr>
              <w:t>r</w:t>
            </w:r>
            <w:r w:rsidR="00BB2B0D">
              <w:rPr>
                <w:rFonts w:ascii="Times New Roman" w:hAnsi="Times New Roman"/>
                <w:sz w:val="24"/>
                <w:szCs w:val="24"/>
              </w:rPr>
              <w:t xml:space="preserve">s (2.13.apakšpunkts), noteikumu projekta </w:t>
            </w:r>
            <w:r w:rsidR="00BB2B0D" w:rsidRPr="00BB2B0D">
              <w:rPr>
                <w:rFonts w:ascii="Times New Roman" w:hAnsi="Times New Roman"/>
                <w:b/>
                <w:sz w:val="24"/>
                <w:szCs w:val="24"/>
              </w:rPr>
              <w:t>9.punkt</w:t>
            </w:r>
            <w:r w:rsidR="00BB2B0D">
              <w:rPr>
                <w:rFonts w:ascii="Times New Roman" w:hAnsi="Times New Roman"/>
                <w:b/>
                <w:sz w:val="24"/>
                <w:szCs w:val="24"/>
              </w:rPr>
              <w:t>ā</w:t>
            </w:r>
            <w:r w:rsidR="00BB2B0D">
              <w:rPr>
                <w:rFonts w:ascii="Times New Roman" w:hAnsi="Times New Roman"/>
                <w:sz w:val="24"/>
                <w:szCs w:val="24"/>
              </w:rPr>
              <w:t xml:space="preserve"> paredzēts, ka </w:t>
            </w:r>
            <w:r w:rsidR="00BB2B0D">
              <w:t xml:space="preserve"> t</w:t>
            </w:r>
            <w:r w:rsidR="00BB2B0D" w:rsidRPr="00BB2B0D">
              <w:rPr>
                <w:rFonts w:ascii="Times New Roman" w:hAnsi="Times New Roman"/>
                <w:sz w:val="24"/>
                <w:szCs w:val="24"/>
              </w:rPr>
              <w:t>rešās atlases kārtas ietvaros finansē projektus, kuru darbībām nav saimnieciska rakstura</w:t>
            </w:r>
            <w:r w:rsidR="00BB2B0D">
              <w:rPr>
                <w:rFonts w:ascii="Times New Roman" w:hAnsi="Times New Roman"/>
                <w:sz w:val="24"/>
                <w:szCs w:val="24"/>
              </w:rPr>
              <w:t xml:space="preserve"> (33.punkts), kā arī noteikuma projekta </w:t>
            </w:r>
            <w:r w:rsidR="00BB2B0D">
              <w:rPr>
                <w:rFonts w:ascii="Times New Roman" w:hAnsi="Times New Roman"/>
                <w:b/>
                <w:sz w:val="24"/>
                <w:szCs w:val="24"/>
              </w:rPr>
              <w:t xml:space="preserve">19.punktā </w:t>
            </w:r>
            <w:r w:rsidR="00BB2B0D" w:rsidRPr="00BB2B0D">
              <w:rPr>
                <w:rFonts w:ascii="Times New Roman" w:hAnsi="Times New Roman"/>
                <w:sz w:val="24"/>
                <w:szCs w:val="24"/>
              </w:rPr>
              <w:t>definēti nosacījumi projektu īstenošanai, lai to  darbībām nebūtu saimnieciska rakstura</w:t>
            </w:r>
            <w:r w:rsidR="00BB2B0D">
              <w:rPr>
                <w:rFonts w:ascii="Times New Roman" w:hAnsi="Times New Roman"/>
                <w:sz w:val="24"/>
                <w:szCs w:val="24"/>
              </w:rPr>
              <w:t xml:space="preserve"> (54</w:t>
            </w:r>
            <w:r w:rsidR="00BB2B0D" w:rsidRPr="00BB2B0D">
              <w:rPr>
                <w:rFonts w:ascii="Times New Roman" w:hAnsi="Times New Roman"/>
                <w:sz w:val="24"/>
                <w:szCs w:val="24"/>
                <w:vertAlign w:val="superscript"/>
              </w:rPr>
              <w:t>1</w:t>
            </w:r>
            <w:r w:rsidR="00BB2B0D">
              <w:rPr>
                <w:rFonts w:ascii="Times New Roman" w:hAnsi="Times New Roman"/>
                <w:sz w:val="24"/>
                <w:szCs w:val="24"/>
              </w:rPr>
              <w:t>.punkts)</w:t>
            </w:r>
            <w:r w:rsidR="00BB2B0D">
              <w:rPr>
                <w:rFonts w:ascii="Times New Roman" w:hAnsi="Times New Roman"/>
                <w:b/>
                <w:sz w:val="24"/>
                <w:szCs w:val="24"/>
              </w:rPr>
              <w:t>.</w:t>
            </w:r>
          </w:p>
          <w:p w14:paraId="6E361D7D" w14:textId="64043533" w:rsidR="00325397" w:rsidRPr="00163059" w:rsidRDefault="00325397" w:rsidP="0032539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Komersantu</w:t>
            </w:r>
            <w:r w:rsidR="00E94D5F">
              <w:rPr>
                <w:rFonts w:ascii="Times New Roman" w:eastAsia="Calibri" w:hAnsi="Times New Roman" w:cs="Times New Roman"/>
                <w:sz w:val="24"/>
                <w:szCs w:val="24"/>
              </w:rPr>
              <w:t xml:space="preserve"> / zinātnisko institūciju</w:t>
            </w:r>
            <w:r w:rsidRPr="00163059">
              <w:rPr>
                <w:rFonts w:ascii="Times New Roman" w:eastAsia="Calibri" w:hAnsi="Times New Roman" w:cs="Times New Roman"/>
                <w:sz w:val="24"/>
                <w:szCs w:val="24"/>
              </w:rPr>
              <w:t xml:space="preserve"> atbilstību dalībai projektā izvērtē </w:t>
            </w:r>
            <w:r>
              <w:rPr>
                <w:rFonts w:ascii="Times New Roman" w:eastAsia="Calibri" w:hAnsi="Times New Roman" w:cs="Times New Roman"/>
                <w:sz w:val="24"/>
                <w:szCs w:val="24"/>
              </w:rPr>
              <w:t xml:space="preserve">augstākās </w:t>
            </w:r>
            <w:r w:rsidRPr="00163059">
              <w:rPr>
                <w:rFonts w:ascii="Times New Roman" w:eastAsia="Calibri" w:hAnsi="Times New Roman" w:cs="Times New Roman"/>
                <w:sz w:val="24"/>
                <w:szCs w:val="24"/>
              </w:rPr>
              <w:t xml:space="preserve">izglītības iestādes atbilstoši </w:t>
            </w:r>
            <w:r>
              <w:rPr>
                <w:rFonts w:ascii="Times New Roman" w:eastAsia="Calibri" w:hAnsi="Times New Roman" w:cs="Times New Roman"/>
                <w:sz w:val="24"/>
                <w:szCs w:val="24"/>
              </w:rPr>
              <w:t xml:space="preserve">iekšējai </w:t>
            </w:r>
            <w:r w:rsidRPr="00325397">
              <w:rPr>
                <w:rFonts w:ascii="Times New Roman" w:eastAsia="Calibri" w:hAnsi="Times New Roman" w:cs="Times New Roman"/>
                <w:sz w:val="24"/>
                <w:szCs w:val="24"/>
              </w:rPr>
              <w:t>izstrādāt</w:t>
            </w:r>
            <w:r>
              <w:rPr>
                <w:rFonts w:ascii="Times New Roman" w:eastAsia="Calibri" w:hAnsi="Times New Roman" w:cs="Times New Roman"/>
                <w:sz w:val="24"/>
                <w:szCs w:val="24"/>
              </w:rPr>
              <w:t>ai</w:t>
            </w:r>
            <w:r w:rsidRPr="00325397">
              <w:rPr>
                <w:rFonts w:ascii="Times New Roman" w:eastAsia="Calibri" w:hAnsi="Times New Roman" w:cs="Times New Roman"/>
                <w:sz w:val="24"/>
                <w:szCs w:val="24"/>
              </w:rPr>
              <w:t xml:space="preserve"> sadarbības kārtīb</w:t>
            </w:r>
            <w:r>
              <w:rPr>
                <w:rFonts w:ascii="Times New Roman" w:eastAsia="Calibri" w:hAnsi="Times New Roman" w:cs="Times New Roman"/>
                <w:sz w:val="24"/>
                <w:szCs w:val="24"/>
              </w:rPr>
              <w:t>ai</w:t>
            </w:r>
            <w:r w:rsidRPr="00325397">
              <w:rPr>
                <w:rFonts w:ascii="Times New Roman" w:eastAsia="Calibri" w:hAnsi="Times New Roman" w:cs="Times New Roman"/>
                <w:sz w:val="24"/>
                <w:szCs w:val="24"/>
              </w:rPr>
              <w:t xml:space="preserve"> ar projekta sadarbības partneriem</w:t>
            </w:r>
            <w:r w:rsidRPr="00163059">
              <w:rPr>
                <w:rFonts w:ascii="Times New Roman" w:eastAsia="Calibri" w:hAnsi="Times New Roman" w:cs="Times New Roman"/>
                <w:sz w:val="24"/>
                <w:szCs w:val="24"/>
              </w:rPr>
              <w:t xml:space="preserve">, kas regulē </w:t>
            </w:r>
            <w:r>
              <w:rPr>
                <w:rFonts w:ascii="Times New Roman" w:eastAsia="Calibri" w:hAnsi="Times New Roman" w:cs="Times New Roman"/>
                <w:sz w:val="24"/>
                <w:szCs w:val="24"/>
              </w:rPr>
              <w:t>nosacījumus, kādiem jāatbilst komersantiem</w:t>
            </w:r>
            <w:r w:rsidR="00E94D5F">
              <w:rPr>
                <w:rFonts w:ascii="Times New Roman" w:eastAsia="Calibri" w:hAnsi="Times New Roman" w:cs="Times New Roman"/>
                <w:sz w:val="24"/>
                <w:szCs w:val="24"/>
              </w:rPr>
              <w:t>/zinātniskajām institūcijām</w:t>
            </w:r>
            <w:r>
              <w:rPr>
                <w:rFonts w:ascii="Times New Roman" w:eastAsia="Calibri" w:hAnsi="Times New Roman" w:cs="Times New Roman"/>
                <w:sz w:val="24"/>
                <w:szCs w:val="24"/>
              </w:rPr>
              <w:t>, lai t</w:t>
            </w:r>
            <w:r w:rsidR="00E94D5F">
              <w:rPr>
                <w:rFonts w:ascii="Times New Roman" w:eastAsia="Calibri" w:hAnsi="Times New Roman" w:cs="Times New Roman"/>
                <w:sz w:val="24"/>
                <w:szCs w:val="24"/>
              </w:rPr>
              <w:t>ās</w:t>
            </w:r>
            <w:r>
              <w:rPr>
                <w:rFonts w:ascii="Times New Roman" w:eastAsia="Calibri" w:hAnsi="Times New Roman" w:cs="Times New Roman"/>
                <w:sz w:val="24"/>
                <w:szCs w:val="24"/>
              </w:rPr>
              <w:t xml:space="preserve"> varētu piedalīties </w:t>
            </w:r>
            <w:r w:rsidR="00D8606A">
              <w:rPr>
                <w:rFonts w:ascii="Times New Roman" w:eastAsia="Calibri" w:hAnsi="Times New Roman" w:cs="Times New Roman"/>
                <w:sz w:val="24"/>
                <w:szCs w:val="24"/>
              </w:rPr>
              <w:t>projekta īstenošanā</w:t>
            </w:r>
            <w:r w:rsidRPr="00163059">
              <w:rPr>
                <w:rFonts w:ascii="Times New Roman" w:eastAsia="Calibri" w:hAnsi="Times New Roman" w:cs="Times New Roman"/>
                <w:sz w:val="24"/>
                <w:szCs w:val="24"/>
              </w:rPr>
              <w:t xml:space="preserve">. Projektā paredzēta sadarbība ar tādiem </w:t>
            </w:r>
            <w:r w:rsidR="00D8606A">
              <w:rPr>
                <w:rFonts w:ascii="Times New Roman" w:eastAsia="Calibri" w:hAnsi="Times New Roman" w:cs="Times New Roman"/>
                <w:sz w:val="24"/>
                <w:szCs w:val="24"/>
              </w:rPr>
              <w:t>komersantiem</w:t>
            </w:r>
            <w:r w:rsidR="00E94D5F">
              <w:rPr>
                <w:rFonts w:ascii="Times New Roman" w:eastAsia="Calibri" w:hAnsi="Times New Roman" w:cs="Times New Roman"/>
                <w:sz w:val="24"/>
                <w:szCs w:val="24"/>
              </w:rPr>
              <w:t xml:space="preserve"> un zinātniskajām in</w:t>
            </w:r>
            <w:r w:rsidR="00D04D10">
              <w:rPr>
                <w:rFonts w:ascii="Times New Roman" w:eastAsia="Calibri" w:hAnsi="Times New Roman" w:cs="Times New Roman"/>
                <w:sz w:val="24"/>
                <w:szCs w:val="24"/>
              </w:rPr>
              <w:t>s</w:t>
            </w:r>
            <w:r w:rsidR="00E94D5F">
              <w:rPr>
                <w:rFonts w:ascii="Times New Roman" w:eastAsia="Calibri" w:hAnsi="Times New Roman" w:cs="Times New Roman"/>
                <w:sz w:val="24"/>
                <w:szCs w:val="24"/>
              </w:rPr>
              <w:t>titūcijām</w:t>
            </w:r>
            <w:r w:rsidRPr="00163059">
              <w:rPr>
                <w:rFonts w:ascii="Times New Roman" w:eastAsia="Calibri" w:hAnsi="Times New Roman" w:cs="Times New Roman"/>
                <w:sz w:val="24"/>
                <w:szCs w:val="24"/>
              </w:rPr>
              <w:t>, kur</w:t>
            </w:r>
            <w:r w:rsidR="00E94D5F">
              <w:rPr>
                <w:rFonts w:ascii="Times New Roman" w:eastAsia="Calibri" w:hAnsi="Times New Roman" w:cs="Times New Roman"/>
                <w:sz w:val="24"/>
                <w:szCs w:val="24"/>
              </w:rPr>
              <w:t>ām</w:t>
            </w:r>
            <w:r w:rsidR="00D8606A">
              <w:rPr>
                <w:rFonts w:ascii="Times New Roman" w:eastAsia="Calibri" w:hAnsi="Times New Roman" w:cs="Times New Roman"/>
                <w:sz w:val="24"/>
                <w:szCs w:val="24"/>
              </w:rPr>
              <w:t xml:space="preserve"> </w:t>
            </w:r>
            <w:r w:rsidRPr="00163059">
              <w:rPr>
                <w:rFonts w:ascii="Times New Roman" w:eastAsia="Calibri" w:hAnsi="Times New Roman" w:cs="Times New Roman"/>
                <w:sz w:val="24"/>
                <w:szCs w:val="24"/>
              </w:rPr>
              <w:t xml:space="preserve">ir </w:t>
            </w:r>
            <w:r w:rsidR="00D8606A">
              <w:rPr>
                <w:rFonts w:ascii="Times New Roman" w:eastAsia="Calibri" w:hAnsi="Times New Roman" w:cs="Times New Roman"/>
                <w:sz w:val="24"/>
                <w:szCs w:val="24"/>
              </w:rPr>
              <w:t>nepieciešamā infrastruktūra un zinātniskais personāls, kas var nodrošināt doktoranta promocija</w:t>
            </w:r>
            <w:r w:rsidR="00D04D10">
              <w:rPr>
                <w:rFonts w:ascii="Times New Roman" w:eastAsia="Calibri" w:hAnsi="Times New Roman" w:cs="Times New Roman"/>
                <w:sz w:val="24"/>
                <w:szCs w:val="24"/>
              </w:rPr>
              <w:t>s</w:t>
            </w:r>
            <w:r w:rsidR="00D8606A">
              <w:rPr>
                <w:rFonts w:ascii="Times New Roman" w:eastAsia="Calibri" w:hAnsi="Times New Roman" w:cs="Times New Roman"/>
                <w:sz w:val="24"/>
                <w:szCs w:val="24"/>
              </w:rPr>
              <w:t xml:space="preserve"> darbam nepieciešamo atbalstu.</w:t>
            </w:r>
          </w:p>
          <w:p w14:paraId="2D163DF2" w14:textId="77777777" w:rsidR="00325397" w:rsidRDefault="00325397" w:rsidP="00325397">
            <w:pPr>
              <w:spacing w:after="0" w:line="240" w:lineRule="auto"/>
              <w:jc w:val="both"/>
              <w:rPr>
                <w:rFonts w:ascii="Times New Roman" w:eastAsia="Calibri" w:hAnsi="Times New Roman" w:cs="Times New Roman"/>
                <w:sz w:val="24"/>
                <w:szCs w:val="24"/>
              </w:rPr>
            </w:pPr>
            <w:r w:rsidRPr="00163059">
              <w:rPr>
                <w:rFonts w:ascii="Times New Roman" w:eastAsia="Calibri" w:hAnsi="Times New Roman" w:cs="Times New Roman"/>
                <w:sz w:val="24"/>
                <w:szCs w:val="24"/>
              </w:rPr>
              <w:t xml:space="preserve">Publisko iepirkumu likuma 1.panta 14.punkta izpratnē par publisku pakalpojumu iepirkuma līgumu, kura noslēgšanai piemērojamas Publiskā iepirkuma likuma paredzētās iepirkuma procedūras, ir </w:t>
            </w:r>
            <w:r w:rsidRPr="00163059">
              <w:rPr>
                <w:rFonts w:ascii="Times New Roman" w:eastAsia="Calibri" w:hAnsi="Times New Roman" w:cs="Times New Roman"/>
                <w:sz w:val="24"/>
                <w:szCs w:val="24"/>
              </w:rPr>
              <w:lastRenderedPageBreak/>
              <w:t>uzskatāms līgums, kas finansiālās interesēs noslēgts starp vienu vai vairākiem pasūtītājiem un vienu vai vairākiem piegādātājiem, kura priekšmets ir Publiskā iepirkuma likuma 2.pielikumā minētie pakalpojumi.</w:t>
            </w:r>
          </w:p>
          <w:p w14:paraId="10E01E43" w14:textId="77777777" w:rsidR="009C1040" w:rsidRPr="00163059" w:rsidRDefault="009C1040" w:rsidP="00325397">
            <w:pPr>
              <w:spacing w:after="0" w:line="240" w:lineRule="auto"/>
              <w:jc w:val="both"/>
              <w:rPr>
                <w:rFonts w:ascii="Times New Roman" w:eastAsia="Calibri" w:hAnsi="Times New Roman" w:cs="Times New Roman"/>
                <w:sz w:val="24"/>
                <w:szCs w:val="24"/>
              </w:rPr>
            </w:pPr>
          </w:p>
          <w:p w14:paraId="4953385E" w14:textId="49C11BCA" w:rsidR="00325397" w:rsidRPr="00163059" w:rsidRDefault="00325397" w:rsidP="00325397">
            <w:pPr>
              <w:spacing w:after="0" w:line="240" w:lineRule="auto"/>
              <w:jc w:val="both"/>
              <w:rPr>
                <w:rFonts w:ascii="Times New Roman" w:eastAsia="Calibri" w:hAnsi="Times New Roman" w:cs="Times New Roman"/>
                <w:sz w:val="24"/>
                <w:szCs w:val="24"/>
              </w:rPr>
            </w:pPr>
            <w:r w:rsidRPr="00163059">
              <w:rPr>
                <w:rFonts w:ascii="Times New Roman" w:eastAsia="Calibri" w:hAnsi="Times New Roman" w:cs="Times New Roman"/>
                <w:sz w:val="24"/>
                <w:szCs w:val="24"/>
              </w:rPr>
              <w:t xml:space="preserve">Publiskā iepirkuma likuma noteiktās iepirkuma procedūras attiecībā uz </w:t>
            </w:r>
            <w:r w:rsidR="00E94D5F">
              <w:rPr>
                <w:rFonts w:ascii="Times New Roman" w:eastAsia="Calibri" w:hAnsi="Times New Roman" w:cs="Times New Roman"/>
                <w:sz w:val="24"/>
                <w:szCs w:val="24"/>
              </w:rPr>
              <w:t xml:space="preserve">3.kārtas </w:t>
            </w:r>
            <w:r w:rsidRPr="00163059">
              <w:rPr>
                <w:rFonts w:ascii="Times New Roman" w:eastAsia="Calibri" w:hAnsi="Times New Roman" w:cs="Times New Roman"/>
                <w:sz w:val="24"/>
                <w:szCs w:val="24"/>
              </w:rPr>
              <w:t xml:space="preserve">īstenošanā iesaistītiem </w:t>
            </w:r>
            <w:r w:rsidR="00E94D5F">
              <w:rPr>
                <w:rFonts w:ascii="Times New Roman" w:eastAsia="Calibri" w:hAnsi="Times New Roman" w:cs="Times New Roman"/>
                <w:sz w:val="24"/>
                <w:szCs w:val="24"/>
              </w:rPr>
              <w:t>komersantiem / zinātniskām institūcijām</w:t>
            </w:r>
            <w:r w:rsidRPr="00163059">
              <w:rPr>
                <w:rFonts w:ascii="Times New Roman" w:eastAsia="Calibri" w:hAnsi="Times New Roman" w:cs="Times New Roman"/>
                <w:sz w:val="24"/>
                <w:szCs w:val="24"/>
              </w:rPr>
              <w:t xml:space="preserve"> nav jāpiemēro, jo nav konstatējamas publiska pakalpojuma iepirkuma līguma pazīmes </w:t>
            </w:r>
            <w:r w:rsidR="00E94D5F">
              <w:rPr>
                <w:rFonts w:ascii="Times New Roman" w:eastAsia="Calibri" w:hAnsi="Times New Roman" w:cs="Times New Roman"/>
                <w:sz w:val="24"/>
                <w:szCs w:val="24"/>
              </w:rPr>
              <w:t xml:space="preserve">3.kārtas </w:t>
            </w:r>
            <w:r w:rsidRPr="00163059">
              <w:rPr>
                <w:rFonts w:ascii="Times New Roman" w:eastAsia="Calibri" w:hAnsi="Times New Roman" w:cs="Times New Roman"/>
                <w:sz w:val="24"/>
                <w:szCs w:val="24"/>
              </w:rPr>
              <w:t>ietvaros, piemēram, nav paredzama sadarbības partneru finansiālā interese</w:t>
            </w:r>
            <w:r w:rsidR="00E94D5F">
              <w:rPr>
                <w:rFonts w:ascii="Times New Roman" w:eastAsia="Calibri" w:hAnsi="Times New Roman" w:cs="Times New Roman"/>
                <w:sz w:val="24"/>
                <w:szCs w:val="24"/>
              </w:rPr>
              <w:t xml:space="preserve"> (sadarbības partnerim paredzētais finansējums novirzāms atbalstāmajai mērķa grupai  - doktorantiem – granta veidā – atalgojumam un pētniecības izmaksām)</w:t>
            </w:r>
            <w:r w:rsidRPr="00163059">
              <w:rPr>
                <w:rFonts w:ascii="Times New Roman" w:eastAsia="Calibri" w:hAnsi="Times New Roman" w:cs="Times New Roman"/>
                <w:sz w:val="24"/>
                <w:szCs w:val="24"/>
              </w:rPr>
              <w:t>.</w:t>
            </w:r>
          </w:p>
          <w:p w14:paraId="18A6449E" w14:textId="77777777" w:rsidR="00325397" w:rsidRPr="00163059" w:rsidRDefault="00325397" w:rsidP="00325397">
            <w:pPr>
              <w:spacing w:after="0" w:line="240" w:lineRule="auto"/>
              <w:jc w:val="both"/>
              <w:rPr>
                <w:rFonts w:ascii="Times New Roman" w:eastAsia="Calibri" w:hAnsi="Times New Roman" w:cs="Times New Roman"/>
                <w:sz w:val="24"/>
                <w:szCs w:val="24"/>
              </w:rPr>
            </w:pPr>
            <w:r w:rsidRPr="00163059">
              <w:rPr>
                <w:rFonts w:ascii="Times New Roman" w:eastAsia="Calibri" w:hAnsi="Times New Roman" w:cs="Times New Roman"/>
                <w:sz w:val="24"/>
                <w:szCs w:val="24"/>
              </w:rPr>
              <w:t>Atbilstoši Komercdarbības atbalsta kontroles likuma 5.pantam, kas nosaka, ka saskaņā ar Līguma par Eiropas Savienības darbību 107.panta 1.punktā un citos Eiropas Savienības aktos noteikto, lai finansiālo palīdzību komercdarbības veicināšanai uzskatītu par komercdarbības atbalstu, tai jāatbilst visām šādām pazīmēm:</w:t>
            </w:r>
          </w:p>
          <w:p w14:paraId="3DA32C67" w14:textId="77777777" w:rsidR="00325397" w:rsidRPr="00163059" w:rsidRDefault="00325397" w:rsidP="00325397">
            <w:pPr>
              <w:pStyle w:val="ListParagraph"/>
              <w:numPr>
                <w:ilvl w:val="0"/>
                <w:numId w:val="15"/>
              </w:numPr>
              <w:spacing w:line="240" w:lineRule="auto"/>
              <w:jc w:val="both"/>
              <w:rPr>
                <w:rFonts w:ascii="Times New Roman" w:hAnsi="Times New Roman"/>
                <w:sz w:val="24"/>
                <w:szCs w:val="24"/>
              </w:rPr>
            </w:pPr>
            <w:r w:rsidRPr="00163059">
              <w:rPr>
                <w:rFonts w:ascii="Times New Roman" w:hAnsi="Times New Roman"/>
                <w:sz w:val="24"/>
                <w:szCs w:val="24"/>
              </w:rPr>
              <w:t>finansiālo palīdzību tieši vai pastarpināti sniedz no valsts, pašvaldības, Eiropas Savienības vai citiem publiskiem līdzekļiem (turpmāk – valsts vai pašvaldības līdzekļi, un valsts institūcijām ir kontrolējoša ietekme pār finanšu līdzekļiem);</w:t>
            </w:r>
          </w:p>
          <w:p w14:paraId="37EB3E70" w14:textId="77777777" w:rsidR="00325397" w:rsidRPr="00163059" w:rsidRDefault="00325397" w:rsidP="00325397">
            <w:pPr>
              <w:pStyle w:val="ListParagraph"/>
              <w:numPr>
                <w:ilvl w:val="0"/>
                <w:numId w:val="15"/>
              </w:numPr>
              <w:spacing w:line="240" w:lineRule="auto"/>
              <w:jc w:val="both"/>
              <w:rPr>
                <w:rFonts w:ascii="Times New Roman" w:hAnsi="Times New Roman"/>
                <w:sz w:val="24"/>
                <w:szCs w:val="24"/>
              </w:rPr>
            </w:pPr>
            <w:r w:rsidRPr="00163059">
              <w:rPr>
                <w:rFonts w:ascii="Times New Roman" w:hAnsi="Times New Roman"/>
                <w:sz w:val="24"/>
                <w:szCs w:val="24"/>
              </w:rPr>
              <w:t>komercsabiedrība veic saimniecisko darbību un attiecībā uz saimniecisko darbību iegūst ekonomiskās priekšrocības, kādas tā nevarētu iegūt, ja komercdarbības atbalsts netiktu sniegts;</w:t>
            </w:r>
          </w:p>
          <w:p w14:paraId="56C7326A" w14:textId="17AB4697" w:rsidR="00325397" w:rsidRPr="00163059" w:rsidRDefault="00325397" w:rsidP="00325397">
            <w:pPr>
              <w:pStyle w:val="ListParagraph"/>
              <w:numPr>
                <w:ilvl w:val="0"/>
                <w:numId w:val="15"/>
              </w:numPr>
              <w:spacing w:line="240" w:lineRule="auto"/>
              <w:jc w:val="both"/>
              <w:rPr>
                <w:rFonts w:ascii="Times New Roman" w:hAnsi="Times New Roman"/>
                <w:sz w:val="24"/>
                <w:szCs w:val="24"/>
              </w:rPr>
            </w:pPr>
            <w:r w:rsidRPr="00163059">
              <w:rPr>
                <w:rFonts w:ascii="Times New Roman" w:hAnsi="Times New Roman"/>
                <w:sz w:val="24"/>
                <w:szCs w:val="24"/>
              </w:rPr>
              <w:t>finansiālā palīdzība neattiecas uz visām komercsabiedrībām vienādi, bet ir paredzēta komercsabiedrībām atkarībā no to lieluma, darbības veida vai atrašanās vietas, kā arī citiem diferencējošiem kritērijiem vai arī ir paredzēta tikai konkrētai komercsabiedrībai;</w:t>
            </w:r>
          </w:p>
          <w:p w14:paraId="32E603A5" w14:textId="77777777" w:rsidR="00325397" w:rsidRPr="00163059" w:rsidRDefault="00325397" w:rsidP="00325397">
            <w:pPr>
              <w:pStyle w:val="ListParagraph"/>
              <w:numPr>
                <w:ilvl w:val="0"/>
                <w:numId w:val="15"/>
              </w:numPr>
              <w:spacing w:line="240" w:lineRule="auto"/>
              <w:jc w:val="both"/>
              <w:rPr>
                <w:rFonts w:ascii="Times New Roman" w:hAnsi="Times New Roman"/>
                <w:sz w:val="24"/>
                <w:szCs w:val="24"/>
              </w:rPr>
            </w:pPr>
            <w:r w:rsidRPr="00163059">
              <w:rPr>
                <w:rFonts w:ascii="Times New Roman" w:hAnsi="Times New Roman"/>
                <w:sz w:val="24"/>
                <w:szCs w:val="24"/>
              </w:rPr>
              <w:t>finansiālā palīdzība ietekmē tirdzniecību un izkropļo konkurenci Eiropas Savienības iekšējā tirgū.</w:t>
            </w:r>
          </w:p>
          <w:p w14:paraId="3D26A370" w14:textId="148045A3" w:rsidR="00325397" w:rsidRDefault="00325397" w:rsidP="00E94D5F">
            <w:pPr>
              <w:spacing w:after="0" w:line="240" w:lineRule="auto"/>
              <w:ind w:left="31"/>
              <w:jc w:val="both"/>
              <w:rPr>
                <w:rFonts w:ascii="Times New Roman" w:eastAsia="Calibri" w:hAnsi="Times New Roman" w:cs="Times New Roman"/>
                <w:sz w:val="24"/>
                <w:szCs w:val="24"/>
              </w:rPr>
            </w:pPr>
            <w:r w:rsidRPr="00871A60">
              <w:rPr>
                <w:rFonts w:ascii="Times New Roman" w:eastAsia="Calibri" w:hAnsi="Times New Roman" w:cs="Times New Roman"/>
                <w:sz w:val="24"/>
                <w:szCs w:val="24"/>
              </w:rPr>
              <w:t xml:space="preserve">Komercdarbības atbalsta kontroles likuma 5.panta 1.punktā minētā pazīme izpildās attiecībā uz </w:t>
            </w:r>
            <w:r w:rsidR="00E94D5F">
              <w:rPr>
                <w:rFonts w:ascii="Times New Roman" w:eastAsia="Calibri" w:hAnsi="Times New Roman" w:cs="Times New Roman"/>
                <w:sz w:val="24"/>
                <w:szCs w:val="24"/>
              </w:rPr>
              <w:t>3.kārtas</w:t>
            </w:r>
            <w:r w:rsidRPr="00871A60">
              <w:rPr>
                <w:rFonts w:ascii="Times New Roman" w:eastAsia="Calibri" w:hAnsi="Times New Roman" w:cs="Times New Roman"/>
                <w:sz w:val="24"/>
                <w:szCs w:val="24"/>
              </w:rPr>
              <w:t xml:space="preserve"> ietvaros iesaistītiem </w:t>
            </w:r>
            <w:r w:rsidR="00E94D5F">
              <w:rPr>
                <w:rFonts w:ascii="Times New Roman" w:eastAsia="Calibri" w:hAnsi="Times New Roman" w:cs="Times New Roman"/>
                <w:sz w:val="24"/>
                <w:szCs w:val="24"/>
              </w:rPr>
              <w:t>komersantiem / zinātniskajām institūcijām</w:t>
            </w:r>
            <w:r w:rsidRPr="00871A60">
              <w:rPr>
                <w:rFonts w:ascii="Times New Roman" w:eastAsia="Calibri" w:hAnsi="Times New Roman" w:cs="Times New Roman"/>
                <w:sz w:val="24"/>
                <w:szCs w:val="24"/>
              </w:rPr>
              <w:t>.</w:t>
            </w:r>
          </w:p>
          <w:p w14:paraId="581C85AD" w14:textId="77777777" w:rsidR="00A90F2F" w:rsidRPr="00871A60" w:rsidRDefault="00A90F2F" w:rsidP="00E94D5F">
            <w:pPr>
              <w:spacing w:after="0" w:line="240" w:lineRule="auto"/>
              <w:ind w:left="31"/>
              <w:jc w:val="both"/>
              <w:rPr>
                <w:rFonts w:ascii="Times New Roman" w:eastAsia="Calibri" w:hAnsi="Times New Roman" w:cs="Times New Roman"/>
                <w:sz w:val="24"/>
                <w:szCs w:val="24"/>
              </w:rPr>
            </w:pPr>
          </w:p>
          <w:p w14:paraId="7CFEA4CF" w14:textId="504B5E79" w:rsidR="00A90F2F" w:rsidRDefault="00325397" w:rsidP="00905CD8">
            <w:pPr>
              <w:spacing w:after="0" w:line="240" w:lineRule="auto"/>
              <w:ind w:left="31"/>
              <w:jc w:val="both"/>
              <w:rPr>
                <w:rFonts w:ascii="Times New Roman" w:eastAsia="Calibri" w:hAnsi="Times New Roman" w:cs="Times New Roman"/>
                <w:sz w:val="24"/>
                <w:szCs w:val="24"/>
              </w:rPr>
            </w:pPr>
            <w:r w:rsidRPr="00871A60">
              <w:rPr>
                <w:rFonts w:ascii="Times New Roman" w:eastAsia="Calibri" w:hAnsi="Times New Roman" w:cs="Times New Roman"/>
                <w:sz w:val="24"/>
                <w:szCs w:val="24"/>
              </w:rPr>
              <w:t>Komercdarbības atbalsta kontroles likuma 5.panta 2. punktā minētā pazīme izpildās, ja uzņēmums iegūst ekonomiskās priekšrocības, kādas tas nevarētu iegūt, ja komercdarbības atbalsts netiktu sniegts.</w:t>
            </w:r>
            <w:r w:rsidR="009C1040">
              <w:rPr>
                <w:rFonts w:ascii="Times New Roman" w:eastAsia="Calibri" w:hAnsi="Times New Roman" w:cs="Times New Roman"/>
                <w:sz w:val="24"/>
                <w:szCs w:val="24"/>
              </w:rPr>
              <w:t xml:space="preserve"> 3.kārt</w:t>
            </w:r>
            <w:r w:rsidR="009C1040" w:rsidRPr="00787F37">
              <w:rPr>
                <w:rFonts w:ascii="Times New Roman" w:eastAsia="Calibri" w:hAnsi="Times New Roman" w:cs="Times New Roman"/>
                <w:sz w:val="24"/>
                <w:szCs w:val="24"/>
              </w:rPr>
              <w:t>ā</w:t>
            </w:r>
            <w:r w:rsidRPr="00871A60">
              <w:rPr>
                <w:rFonts w:ascii="Times New Roman" w:eastAsia="Calibri" w:hAnsi="Times New Roman" w:cs="Times New Roman"/>
                <w:sz w:val="24"/>
                <w:szCs w:val="24"/>
              </w:rPr>
              <w:t xml:space="preserve"> minētā pazīme neizpildās, jo </w:t>
            </w:r>
            <w:r w:rsidR="00905CD8">
              <w:rPr>
                <w:rFonts w:ascii="Times New Roman" w:eastAsia="Calibri" w:hAnsi="Times New Roman" w:cs="Times New Roman"/>
                <w:sz w:val="24"/>
                <w:szCs w:val="24"/>
              </w:rPr>
              <w:t xml:space="preserve">netiek finansēti ar saimniecisku darbību saistīti sadarbības projekti ar komersantiem vai zinātniskajām institūcijām. </w:t>
            </w:r>
            <w:r w:rsidR="00DC39F8">
              <w:rPr>
                <w:rFonts w:ascii="Times New Roman" w:eastAsia="Calibri" w:hAnsi="Times New Roman" w:cs="Times New Roman"/>
                <w:sz w:val="24"/>
                <w:szCs w:val="24"/>
              </w:rPr>
              <w:t>Plānots, ka 3.kārtas ietvaros izstrādāt</w:t>
            </w:r>
            <w:r w:rsidR="00905CD8">
              <w:rPr>
                <w:rFonts w:ascii="Times New Roman" w:eastAsia="Calibri" w:hAnsi="Times New Roman" w:cs="Times New Roman"/>
                <w:sz w:val="24"/>
                <w:szCs w:val="24"/>
              </w:rPr>
              <w:t>aj</w:t>
            </w:r>
            <w:r w:rsidR="00DC39F8">
              <w:rPr>
                <w:rFonts w:ascii="Times New Roman" w:eastAsia="Calibri" w:hAnsi="Times New Roman" w:cs="Times New Roman"/>
                <w:sz w:val="24"/>
                <w:szCs w:val="24"/>
              </w:rPr>
              <w:t>ie</w:t>
            </w:r>
            <w:r w:rsidR="00905CD8">
              <w:rPr>
                <w:rFonts w:ascii="Times New Roman" w:eastAsia="Calibri" w:hAnsi="Times New Roman" w:cs="Times New Roman"/>
                <w:sz w:val="24"/>
                <w:szCs w:val="24"/>
              </w:rPr>
              <w:t>m</w:t>
            </w:r>
            <w:r w:rsidR="00DC39F8">
              <w:rPr>
                <w:rFonts w:ascii="Times New Roman" w:eastAsia="Calibri" w:hAnsi="Times New Roman" w:cs="Times New Roman"/>
                <w:sz w:val="24"/>
                <w:szCs w:val="24"/>
              </w:rPr>
              <w:t xml:space="preserve"> promocijas darbiem nebūs saimniecisks raksturs</w:t>
            </w:r>
            <w:r w:rsidR="00905CD8">
              <w:rPr>
                <w:rFonts w:ascii="Times New Roman" w:eastAsia="Calibri" w:hAnsi="Times New Roman" w:cs="Times New Roman"/>
                <w:sz w:val="24"/>
                <w:szCs w:val="24"/>
              </w:rPr>
              <w:t xml:space="preserve"> – to zinātniskajiem </w:t>
            </w:r>
            <w:r w:rsidR="00DC39F8">
              <w:rPr>
                <w:rFonts w:ascii="Times New Roman" w:eastAsia="Calibri" w:hAnsi="Times New Roman" w:cs="Times New Roman"/>
                <w:sz w:val="24"/>
                <w:szCs w:val="24"/>
              </w:rPr>
              <w:t>rezultātiem tiks nodrošināta piekļuve uz vienlīdzīgām tiesībām</w:t>
            </w:r>
            <w:r w:rsidR="00A90F2F">
              <w:rPr>
                <w:rFonts w:ascii="Times New Roman" w:eastAsia="Calibri" w:hAnsi="Times New Roman" w:cs="Times New Roman"/>
                <w:sz w:val="24"/>
                <w:szCs w:val="24"/>
              </w:rPr>
              <w:t xml:space="preserve"> un nosacījumiem</w:t>
            </w:r>
            <w:r w:rsidR="00DC39F8">
              <w:rPr>
                <w:rFonts w:ascii="Times New Roman" w:eastAsia="Calibri" w:hAnsi="Times New Roman" w:cs="Times New Roman"/>
                <w:sz w:val="24"/>
                <w:szCs w:val="24"/>
              </w:rPr>
              <w:t>, neradot kādam subjektam priekšrocības.</w:t>
            </w:r>
            <w:r w:rsidR="00A90F2F">
              <w:rPr>
                <w:rFonts w:ascii="Times New Roman" w:eastAsia="Calibri" w:hAnsi="Times New Roman" w:cs="Times New Roman"/>
                <w:sz w:val="24"/>
                <w:szCs w:val="24"/>
              </w:rPr>
              <w:t xml:space="preserve"> Minētais nosacījums tiks iekļauts katras 3.kārtas ietvaros iesaistītās augstskolas doktorantu atlases </w:t>
            </w:r>
            <w:r w:rsidR="00A90F2F" w:rsidRPr="00871A60">
              <w:rPr>
                <w:rFonts w:ascii="Times New Roman" w:eastAsia="Calibri" w:hAnsi="Times New Roman" w:cs="Times New Roman"/>
                <w:sz w:val="24"/>
                <w:szCs w:val="24"/>
              </w:rPr>
              <w:lastRenderedPageBreak/>
              <w:t>nolikumā</w:t>
            </w:r>
            <w:r w:rsidR="00A90F2F">
              <w:rPr>
                <w:rFonts w:ascii="Times New Roman" w:eastAsia="Calibri" w:hAnsi="Times New Roman" w:cs="Times New Roman"/>
                <w:sz w:val="24"/>
                <w:szCs w:val="24"/>
              </w:rPr>
              <w:t>.</w:t>
            </w:r>
          </w:p>
          <w:p w14:paraId="1370FEA3" w14:textId="633B8232" w:rsidR="00DC39F8" w:rsidRDefault="00DC39F8" w:rsidP="00A90F2F">
            <w:pPr>
              <w:spacing w:after="0" w:line="240" w:lineRule="auto"/>
              <w:ind w:left="31"/>
              <w:jc w:val="both"/>
              <w:rPr>
                <w:rFonts w:ascii="Times New Roman" w:eastAsia="Calibri" w:hAnsi="Times New Roman" w:cs="Times New Roman"/>
                <w:sz w:val="24"/>
                <w:szCs w:val="24"/>
              </w:rPr>
            </w:pPr>
          </w:p>
          <w:p w14:paraId="0E58D901" w14:textId="6740B29F" w:rsidR="00325397" w:rsidRPr="00871A60" w:rsidRDefault="00A90F2F" w:rsidP="00325397">
            <w:pPr>
              <w:spacing w:after="0" w:line="240" w:lineRule="auto"/>
              <w:ind w:left="31"/>
              <w:jc w:val="both"/>
              <w:rPr>
                <w:rFonts w:ascii="Times New Roman" w:eastAsia="Calibri" w:hAnsi="Times New Roman" w:cs="Times New Roman"/>
                <w:sz w:val="24"/>
                <w:szCs w:val="24"/>
              </w:rPr>
            </w:pPr>
            <w:r>
              <w:rPr>
                <w:rFonts w:ascii="Times New Roman" w:eastAsia="Calibri" w:hAnsi="Times New Roman" w:cs="Times New Roman"/>
                <w:sz w:val="24"/>
                <w:szCs w:val="24"/>
              </w:rPr>
              <w:t>Turklāt,</w:t>
            </w:r>
            <w:r w:rsidR="00325397" w:rsidRPr="00871A60">
              <w:rPr>
                <w:rFonts w:ascii="Times New Roman" w:eastAsia="Calibri" w:hAnsi="Times New Roman" w:cs="Times New Roman"/>
                <w:sz w:val="24"/>
                <w:szCs w:val="24"/>
              </w:rPr>
              <w:t xml:space="preserve"> SAM ietvaros noteiktais kopējais izmaksu apmērs</w:t>
            </w:r>
            <w:r w:rsidR="004B547D" w:rsidRPr="00871A60">
              <w:rPr>
                <w:rFonts w:ascii="Times New Roman" w:eastAsia="Calibri" w:hAnsi="Times New Roman" w:cs="Times New Roman"/>
                <w:sz w:val="24"/>
                <w:szCs w:val="24"/>
              </w:rPr>
              <w:t xml:space="preserve"> sedz doktoranta atalgojumu 0,5 slodzēs un pētniecības izmaksas, kas saistītas ar doktoranta promocijas darba izstrādi</w:t>
            </w:r>
            <w:r w:rsidR="000B780F" w:rsidRPr="00871A60">
              <w:rPr>
                <w:rFonts w:ascii="Times New Roman" w:eastAsia="Calibri" w:hAnsi="Times New Roman" w:cs="Times New Roman"/>
                <w:sz w:val="24"/>
                <w:szCs w:val="24"/>
              </w:rPr>
              <w:t>. Atsevišķs finansējums komersantam vai zinātniskai institūcija netiek paredzēts.</w:t>
            </w:r>
          </w:p>
          <w:p w14:paraId="045D5ED6" w14:textId="76743B45" w:rsidR="00325397" w:rsidRPr="00871A60" w:rsidRDefault="00333710" w:rsidP="00325397">
            <w:pPr>
              <w:spacing w:after="0" w:line="240" w:lineRule="auto"/>
              <w:ind w:left="31"/>
              <w:jc w:val="both"/>
              <w:rPr>
                <w:rFonts w:ascii="Times New Roman" w:eastAsia="Calibri" w:hAnsi="Times New Roman" w:cs="Times New Roman"/>
                <w:sz w:val="24"/>
                <w:szCs w:val="24"/>
              </w:rPr>
            </w:pPr>
            <w:r>
              <w:rPr>
                <w:rFonts w:ascii="Times New Roman" w:eastAsia="Calibri" w:hAnsi="Times New Roman" w:cs="Times New Roman"/>
                <w:sz w:val="24"/>
                <w:szCs w:val="24"/>
              </w:rPr>
              <w:t>Komersanta / Zinātniskā institūcijas papildus izmaksas</w:t>
            </w:r>
            <w:r w:rsidR="009D00BB">
              <w:rPr>
                <w:rFonts w:ascii="Times New Roman" w:eastAsia="Calibri" w:hAnsi="Times New Roman" w:cs="Times New Roman"/>
                <w:sz w:val="24"/>
                <w:szCs w:val="24"/>
              </w:rPr>
              <w:t>,</w:t>
            </w:r>
            <w:r w:rsidR="00325397" w:rsidRPr="00871A60">
              <w:rPr>
                <w:rFonts w:ascii="Times New Roman" w:eastAsia="Calibri" w:hAnsi="Times New Roman" w:cs="Times New Roman"/>
                <w:sz w:val="24"/>
                <w:szCs w:val="24"/>
              </w:rPr>
              <w:t xml:space="preserve"> </w:t>
            </w:r>
            <w:r>
              <w:rPr>
                <w:rFonts w:ascii="Times New Roman" w:eastAsia="Calibri" w:hAnsi="Times New Roman" w:cs="Times New Roman"/>
                <w:sz w:val="24"/>
                <w:szCs w:val="24"/>
              </w:rPr>
              <w:t>nodrošinot doktorantam darba vietu, kas saistīta ar tā promocijas darba izstrādi,</w:t>
            </w:r>
            <w:r w:rsidR="00325397" w:rsidRPr="00871A60">
              <w:rPr>
                <w:rFonts w:ascii="Times New Roman" w:eastAsia="Calibri" w:hAnsi="Times New Roman" w:cs="Times New Roman"/>
                <w:sz w:val="24"/>
                <w:szCs w:val="24"/>
              </w:rPr>
              <w:t xml:space="preserve"> veido: </w:t>
            </w:r>
          </w:p>
          <w:p w14:paraId="01AF0B26" w14:textId="065806C9" w:rsidR="00325397" w:rsidRPr="00871A60" w:rsidRDefault="00325397" w:rsidP="00A90F2F">
            <w:pPr>
              <w:spacing w:after="0" w:line="240" w:lineRule="auto"/>
              <w:ind w:left="31"/>
              <w:jc w:val="both"/>
              <w:rPr>
                <w:rFonts w:ascii="Times New Roman" w:eastAsia="Calibri" w:hAnsi="Times New Roman" w:cs="Times New Roman"/>
                <w:sz w:val="24"/>
                <w:szCs w:val="24"/>
              </w:rPr>
            </w:pPr>
            <w:r w:rsidRPr="00871A60">
              <w:rPr>
                <w:rFonts w:ascii="Times New Roman" w:eastAsia="Calibri" w:hAnsi="Times New Roman" w:cs="Times New Roman"/>
                <w:sz w:val="24"/>
                <w:szCs w:val="24"/>
              </w:rPr>
              <w:t xml:space="preserve">a) </w:t>
            </w:r>
            <w:r w:rsidR="00333710">
              <w:rPr>
                <w:rFonts w:ascii="Times New Roman" w:eastAsia="Calibri" w:hAnsi="Times New Roman" w:cs="Times New Roman"/>
                <w:sz w:val="24"/>
                <w:szCs w:val="24"/>
              </w:rPr>
              <w:t xml:space="preserve">promocijas darba </w:t>
            </w:r>
            <w:r w:rsidRPr="00871A60">
              <w:rPr>
                <w:rFonts w:ascii="Times New Roman" w:eastAsia="Calibri" w:hAnsi="Times New Roman" w:cs="Times New Roman"/>
                <w:sz w:val="24"/>
                <w:szCs w:val="24"/>
              </w:rPr>
              <w:t>vadītāja izmaksas</w:t>
            </w:r>
            <w:r w:rsidR="00A90F2F">
              <w:rPr>
                <w:rFonts w:ascii="Times New Roman" w:eastAsia="Calibri" w:hAnsi="Times New Roman" w:cs="Times New Roman"/>
                <w:sz w:val="24"/>
                <w:szCs w:val="24"/>
              </w:rPr>
              <w:t>;</w:t>
            </w:r>
          </w:p>
          <w:p w14:paraId="334B54E2" w14:textId="4403753A" w:rsidR="00325397" w:rsidRPr="00871A60" w:rsidRDefault="00A90F2F" w:rsidP="00325397">
            <w:pPr>
              <w:spacing w:after="0" w:line="240" w:lineRule="auto"/>
              <w:ind w:left="31"/>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325397" w:rsidRPr="00871A60">
              <w:rPr>
                <w:rFonts w:ascii="Times New Roman" w:eastAsia="Calibri" w:hAnsi="Times New Roman" w:cs="Times New Roman"/>
                <w:sz w:val="24"/>
                <w:szCs w:val="24"/>
              </w:rPr>
              <w:t xml:space="preserve">) instruktāža darba aizsardzības jautājumos un iepazīstināšana ar uzņēmuma </w:t>
            </w:r>
            <w:r w:rsidR="00333710">
              <w:rPr>
                <w:rFonts w:ascii="Times New Roman" w:eastAsia="Calibri" w:hAnsi="Times New Roman" w:cs="Times New Roman"/>
                <w:sz w:val="24"/>
                <w:szCs w:val="24"/>
              </w:rPr>
              <w:t xml:space="preserve">/ zinātniskās institūcijas </w:t>
            </w:r>
            <w:r w:rsidR="00325397" w:rsidRPr="00871A60">
              <w:rPr>
                <w:rFonts w:ascii="Times New Roman" w:eastAsia="Calibri" w:hAnsi="Times New Roman" w:cs="Times New Roman"/>
                <w:sz w:val="24"/>
                <w:szCs w:val="24"/>
              </w:rPr>
              <w:t>darba kārtības noteikumiem</w:t>
            </w:r>
            <w:r>
              <w:rPr>
                <w:rFonts w:ascii="Times New Roman" w:eastAsia="Calibri" w:hAnsi="Times New Roman" w:cs="Times New Roman"/>
                <w:sz w:val="24"/>
                <w:szCs w:val="24"/>
              </w:rPr>
              <w:t>;</w:t>
            </w:r>
          </w:p>
          <w:p w14:paraId="6C043A68" w14:textId="623DCAD5" w:rsidR="00325397" w:rsidRPr="00871A60" w:rsidRDefault="00A90F2F" w:rsidP="00325397">
            <w:pPr>
              <w:spacing w:after="0" w:line="240" w:lineRule="auto"/>
              <w:ind w:left="31"/>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00325397" w:rsidRPr="00871A60">
              <w:rPr>
                <w:rFonts w:ascii="Times New Roman" w:eastAsia="Calibri" w:hAnsi="Times New Roman" w:cs="Times New Roman"/>
                <w:sz w:val="24"/>
                <w:szCs w:val="24"/>
              </w:rPr>
              <w:t>) darba tiesisko att</w:t>
            </w:r>
            <w:r>
              <w:rPr>
                <w:rFonts w:ascii="Times New Roman" w:eastAsia="Calibri" w:hAnsi="Times New Roman" w:cs="Times New Roman"/>
                <w:sz w:val="24"/>
                <w:szCs w:val="24"/>
              </w:rPr>
              <w:t>iecību noslēgšana;</w:t>
            </w:r>
          </w:p>
          <w:p w14:paraId="794187E0" w14:textId="16EB44CE" w:rsidR="00325397" w:rsidRPr="00871A60" w:rsidRDefault="00A90F2F" w:rsidP="00325397">
            <w:pPr>
              <w:spacing w:after="0" w:line="240" w:lineRule="auto"/>
              <w:ind w:left="31"/>
              <w:jc w:val="both"/>
              <w:rPr>
                <w:rFonts w:ascii="Times New Roman" w:eastAsia="Calibri" w:hAnsi="Times New Roman" w:cs="Times New Roman"/>
                <w:sz w:val="24"/>
                <w:szCs w:val="24"/>
              </w:rPr>
            </w:pPr>
            <w:r>
              <w:rPr>
                <w:rFonts w:ascii="Times New Roman" w:eastAsia="Calibri" w:hAnsi="Times New Roman" w:cs="Times New Roman"/>
                <w:sz w:val="24"/>
                <w:szCs w:val="24"/>
              </w:rPr>
              <w:t>d) studiju</w:t>
            </w:r>
            <w:r w:rsidR="00325397" w:rsidRPr="00871A60">
              <w:rPr>
                <w:rFonts w:ascii="Times New Roman" w:eastAsia="Calibri" w:hAnsi="Times New Roman" w:cs="Times New Roman"/>
                <w:sz w:val="24"/>
                <w:szCs w:val="24"/>
              </w:rPr>
              <w:t xml:space="preserve"> procesā izmantoto materiālu izmaksas;</w:t>
            </w:r>
          </w:p>
          <w:p w14:paraId="620687BF" w14:textId="1C816F9E" w:rsidR="00325397" w:rsidRPr="00871A60" w:rsidRDefault="00A90F2F" w:rsidP="00333710">
            <w:pPr>
              <w:spacing w:after="0" w:line="240" w:lineRule="auto"/>
              <w:ind w:left="31"/>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325397" w:rsidRPr="00871A60">
              <w:rPr>
                <w:rFonts w:ascii="Times New Roman" w:eastAsia="Calibri" w:hAnsi="Times New Roman" w:cs="Times New Roman"/>
                <w:sz w:val="24"/>
                <w:szCs w:val="24"/>
              </w:rPr>
              <w:t>) negūtās peļņas izmaksas, ražošanas</w:t>
            </w:r>
            <w:r w:rsidR="00333710">
              <w:rPr>
                <w:rFonts w:ascii="Times New Roman" w:eastAsia="Calibri" w:hAnsi="Times New Roman" w:cs="Times New Roman"/>
                <w:sz w:val="24"/>
                <w:szCs w:val="24"/>
              </w:rPr>
              <w:t xml:space="preserve"> / pētniecības </w:t>
            </w:r>
            <w:r w:rsidR="00325397" w:rsidRPr="00871A60">
              <w:rPr>
                <w:rFonts w:ascii="Times New Roman" w:eastAsia="Calibri" w:hAnsi="Times New Roman" w:cs="Times New Roman"/>
                <w:sz w:val="24"/>
                <w:szCs w:val="24"/>
              </w:rPr>
              <w:t xml:space="preserve">iekārtu izmantošana </w:t>
            </w:r>
            <w:r w:rsidR="00333710">
              <w:rPr>
                <w:rFonts w:ascii="Times New Roman" w:eastAsia="Calibri" w:hAnsi="Times New Roman" w:cs="Times New Roman"/>
                <w:sz w:val="24"/>
                <w:szCs w:val="24"/>
              </w:rPr>
              <w:t>promocijas darba izstrādei nepieciešamo datu ieguvei</w:t>
            </w:r>
            <w:r w:rsidR="00325397" w:rsidRPr="00871A60">
              <w:rPr>
                <w:rFonts w:ascii="Times New Roman" w:eastAsia="Calibri" w:hAnsi="Times New Roman" w:cs="Times New Roman"/>
                <w:sz w:val="24"/>
                <w:szCs w:val="24"/>
              </w:rPr>
              <w:t>;</w:t>
            </w:r>
          </w:p>
          <w:p w14:paraId="2F928F77" w14:textId="5BF7BC90" w:rsidR="00325397" w:rsidRPr="00871A60" w:rsidRDefault="00A90F2F" w:rsidP="00325397">
            <w:pPr>
              <w:spacing w:after="0" w:line="240" w:lineRule="auto"/>
              <w:ind w:left="31"/>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325397" w:rsidRPr="00871A60">
              <w:rPr>
                <w:rFonts w:ascii="Times New Roman" w:eastAsia="Calibri" w:hAnsi="Times New Roman" w:cs="Times New Roman"/>
                <w:sz w:val="24"/>
                <w:szCs w:val="24"/>
              </w:rPr>
              <w:t xml:space="preserve">) </w:t>
            </w:r>
            <w:r w:rsidR="00333710">
              <w:rPr>
                <w:rFonts w:ascii="Times New Roman" w:eastAsia="Calibri" w:hAnsi="Times New Roman" w:cs="Times New Roman"/>
                <w:sz w:val="24"/>
                <w:szCs w:val="24"/>
              </w:rPr>
              <w:t xml:space="preserve">ražošanas / pētniecības iekārtu </w:t>
            </w:r>
            <w:r>
              <w:rPr>
                <w:rFonts w:ascii="Times New Roman" w:eastAsia="Calibri" w:hAnsi="Times New Roman" w:cs="Times New Roman"/>
                <w:sz w:val="24"/>
                <w:szCs w:val="24"/>
              </w:rPr>
              <w:t>amortizācijas izmaksas;</w:t>
            </w:r>
          </w:p>
          <w:p w14:paraId="2496A358" w14:textId="72DDF456" w:rsidR="00325397" w:rsidRPr="00871A60" w:rsidRDefault="00A90F2F" w:rsidP="00325397">
            <w:pPr>
              <w:spacing w:after="0" w:line="240" w:lineRule="auto"/>
              <w:ind w:left="31"/>
              <w:jc w:val="both"/>
              <w:rPr>
                <w:rFonts w:ascii="Times New Roman" w:eastAsia="Calibri" w:hAnsi="Times New Roman" w:cs="Times New Roman"/>
                <w:sz w:val="24"/>
                <w:szCs w:val="24"/>
              </w:rPr>
            </w:pPr>
            <w:r>
              <w:rPr>
                <w:rFonts w:ascii="Times New Roman" w:eastAsia="Calibri" w:hAnsi="Times New Roman" w:cs="Times New Roman"/>
                <w:sz w:val="24"/>
                <w:szCs w:val="24"/>
              </w:rPr>
              <w:t>g</w:t>
            </w:r>
            <w:r w:rsidR="00325397" w:rsidRPr="00871A60">
              <w:rPr>
                <w:rFonts w:ascii="Times New Roman" w:eastAsia="Calibri" w:hAnsi="Times New Roman" w:cs="Times New Roman"/>
                <w:sz w:val="24"/>
                <w:szCs w:val="24"/>
              </w:rPr>
              <w:t xml:space="preserve">) </w:t>
            </w:r>
            <w:r w:rsidR="00333710">
              <w:rPr>
                <w:rFonts w:ascii="Times New Roman" w:eastAsia="Calibri" w:hAnsi="Times New Roman" w:cs="Times New Roman"/>
                <w:sz w:val="24"/>
                <w:szCs w:val="24"/>
              </w:rPr>
              <w:t xml:space="preserve">iekārtu </w:t>
            </w:r>
            <w:r w:rsidR="00325397" w:rsidRPr="00871A60">
              <w:rPr>
                <w:rFonts w:ascii="Times New Roman" w:eastAsia="Calibri" w:hAnsi="Times New Roman" w:cs="Times New Roman"/>
                <w:sz w:val="24"/>
                <w:szCs w:val="24"/>
              </w:rPr>
              <w:t>apdrošināšanas izmaksas.</w:t>
            </w:r>
          </w:p>
          <w:p w14:paraId="515B3AC6" w14:textId="4A1A40B5" w:rsidR="00EF7A55" w:rsidRDefault="00163059" w:rsidP="00636F33">
            <w:pPr>
              <w:spacing w:after="0" w:line="240" w:lineRule="auto"/>
              <w:jc w:val="both"/>
              <w:rPr>
                <w:rFonts w:ascii="Times New Roman" w:eastAsia="Calibri" w:hAnsi="Times New Roman" w:cs="Times New Roman"/>
                <w:sz w:val="24"/>
                <w:szCs w:val="24"/>
              </w:rPr>
            </w:pPr>
            <w:r w:rsidRPr="00871A60">
              <w:rPr>
                <w:rFonts w:ascii="Times New Roman" w:eastAsia="Calibri" w:hAnsi="Times New Roman" w:cs="Times New Roman"/>
                <w:sz w:val="24"/>
                <w:szCs w:val="24"/>
              </w:rPr>
              <w:t xml:space="preserve">Komercdarbības atbalsta kontroles likuma 5.panta </w:t>
            </w:r>
            <w:r>
              <w:rPr>
                <w:rFonts w:ascii="Times New Roman" w:eastAsia="Calibri" w:hAnsi="Times New Roman" w:cs="Times New Roman"/>
                <w:sz w:val="24"/>
                <w:szCs w:val="24"/>
              </w:rPr>
              <w:t>3</w:t>
            </w:r>
            <w:r w:rsidRPr="00871A60">
              <w:rPr>
                <w:rFonts w:ascii="Times New Roman" w:eastAsia="Calibri" w:hAnsi="Times New Roman" w:cs="Times New Roman"/>
                <w:sz w:val="24"/>
                <w:szCs w:val="24"/>
              </w:rPr>
              <w:t xml:space="preserve">.punktā minētā pazīme </w:t>
            </w:r>
            <w:r w:rsidR="00636F33">
              <w:rPr>
                <w:rFonts w:ascii="Times New Roman" w:eastAsia="Calibri" w:hAnsi="Times New Roman" w:cs="Times New Roman"/>
                <w:sz w:val="24"/>
                <w:szCs w:val="24"/>
              </w:rPr>
              <w:t xml:space="preserve">neizpildās, jo 3.kārtas ietvaros finansējums netiek piešķirts ar saimniecisku darbību saistītiem projektiem. </w:t>
            </w:r>
            <w:r w:rsidR="00EF7A55">
              <w:rPr>
                <w:rFonts w:ascii="Times New Roman" w:eastAsia="Calibri" w:hAnsi="Times New Roman" w:cs="Times New Roman"/>
                <w:sz w:val="24"/>
                <w:szCs w:val="24"/>
              </w:rPr>
              <w:t>Par sadarbības partneriem universitātēm doktorantūras studiju programmu īstenošanā var pretendēt jebkura zinātniskā institūcija vai komersants, kam ir atbilstoša pētniecības un inovācijas cilvēkresursu un infrastruktūras kapacitāte (promocijas darbu izstrādei nepieciešamie intelektuālie un tehnoloģiskie resursi).</w:t>
            </w:r>
          </w:p>
          <w:p w14:paraId="69654E70" w14:textId="77777777" w:rsidR="00163059" w:rsidRDefault="00163059" w:rsidP="00C86800">
            <w:pPr>
              <w:spacing w:after="0" w:line="240" w:lineRule="auto"/>
              <w:jc w:val="both"/>
              <w:rPr>
                <w:rFonts w:ascii="Times New Roman" w:eastAsia="Calibri" w:hAnsi="Times New Roman" w:cs="Times New Roman"/>
                <w:sz w:val="24"/>
                <w:szCs w:val="24"/>
              </w:rPr>
            </w:pPr>
          </w:p>
          <w:p w14:paraId="6E7F0616" w14:textId="45EC933E" w:rsidR="00163059" w:rsidRPr="00871A60" w:rsidRDefault="00163059" w:rsidP="00163059">
            <w:pPr>
              <w:spacing w:after="0" w:line="240" w:lineRule="auto"/>
              <w:ind w:left="31"/>
              <w:jc w:val="both"/>
              <w:rPr>
                <w:rFonts w:ascii="Times New Roman" w:eastAsia="Calibri" w:hAnsi="Times New Roman" w:cs="Times New Roman"/>
                <w:sz w:val="24"/>
                <w:szCs w:val="24"/>
              </w:rPr>
            </w:pPr>
            <w:r w:rsidRPr="00871A60">
              <w:rPr>
                <w:rFonts w:ascii="Times New Roman" w:eastAsia="Calibri" w:hAnsi="Times New Roman" w:cs="Times New Roman"/>
                <w:sz w:val="24"/>
                <w:szCs w:val="24"/>
              </w:rPr>
              <w:t xml:space="preserve">Komercdarbības atbalsta kontroles likuma 5.panta </w:t>
            </w:r>
            <w:r>
              <w:rPr>
                <w:rFonts w:ascii="Times New Roman" w:eastAsia="Calibri" w:hAnsi="Times New Roman" w:cs="Times New Roman"/>
                <w:sz w:val="24"/>
                <w:szCs w:val="24"/>
              </w:rPr>
              <w:t>4</w:t>
            </w:r>
            <w:r w:rsidRPr="00871A60">
              <w:rPr>
                <w:rFonts w:ascii="Times New Roman" w:eastAsia="Calibri" w:hAnsi="Times New Roman" w:cs="Times New Roman"/>
                <w:sz w:val="24"/>
                <w:szCs w:val="24"/>
              </w:rPr>
              <w:t xml:space="preserve">. punktā minētā pazīme izpildās, ja  </w:t>
            </w:r>
            <w:r>
              <w:rPr>
                <w:rFonts w:ascii="Times New Roman" w:eastAsia="Calibri" w:hAnsi="Times New Roman" w:cs="Times New Roman"/>
                <w:sz w:val="24"/>
                <w:szCs w:val="24"/>
              </w:rPr>
              <w:t>komersantam vai zinātnisk</w:t>
            </w:r>
            <w:r w:rsidR="00614304">
              <w:rPr>
                <w:rFonts w:ascii="Times New Roman" w:eastAsia="Calibri" w:hAnsi="Times New Roman" w:cs="Times New Roman"/>
                <w:sz w:val="24"/>
                <w:szCs w:val="24"/>
              </w:rPr>
              <w:t>ajai</w:t>
            </w:r>
            <w:r>
              <w:rPr>
                <w:rFonts w:ascii="Times New Roman" w:eastAsia="Calibri" w:hAnsi="Times New Roman" w:cs="Times New Roman"/>
                <w:sz w:val="24"/>
                <w:szCs w:val="24"/>
              </w:rPr>
              <w:t xml:space="preserve"> institūcijai sniegtais atbalsts</w:t>
            </w:r>
            <w:r w:rsidRPr="00163059">
              <w:rPr>
                <w:rFonts w:ascii="Times New Roman" w:eastAsia="Calibri" w:hAnsi="Times New Roman" w:cs="Times New Roman"/>
                <w:sz w:val="24"/>
                <w:szCs w:val="24"/>
              </w:rPr>
              <w:t xml:space="preserve"> ietekmē tirdzniecību un izkropļo konkurenci Eiropas Savienības iekšējā tirgū.</w:t>
            </w:r>
          </w:p>
          <w:p w14:paraId="7DE15420" w14:textId="74B792B7" w:rsidR="00163059" w:rsidRDefault="00614304" w:rsidP="00871A60">
            <w:pPr>
              <w:spacing w:after="0" w:line="240" w:lineRule="auto"/>
              <w:ind w:left="31"/>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163059" w:rsidRPr="00163059">
              <w:rPr>
                <w:rFonts w:ascii="Times New Roman" w:eastAsia="Calibri" w:hAnsi="Times New Roman" w:cs="Times New Roman"/>
                <w:sz w:val="24"/>
                <w:szCs w:val="24"/>
              </w:rPr>
              <w:t xml:space="preserve">inētā pazīme neizpildās, jo komersantiem / zinātniskajām institūcijām, kas iesaistīsies 3.kārtas  īstenošanā kā sadarbības partneri, nodrošinot doktorantam </w:t>
            </w:r>
            <w:r w:rsidR="00035B5C">
              <w:rPr>
                <w:rFonts w:ascii="Times New Roman" w:eastAsia="Calibri" w:hAnsi="Times New Roman" w:cs="Times New Roman"/>
                <w:sz w:val="24"/>
                <w:szCs w:val="24"/>
              </w:rPr>
              <w:t>ar saimniecisku darbību nesaistītu P&amp;I</w:t>
            </w:r>
            <w:r w:rsidR="004A140E">
              <w:rPr>
                <w:rFonts w:ascii="Times New Roman" w:eastAsia="Calibri" w:hAnsi="Times New Roman" w:cs="Times New Roman"/>
                <w:sz w:val="24"/>
                <w:szCs w:val="24"/>
              </w:rPr>
              <w:t xml:space="preserve"> </w:t>
            </w:r>
            <w:r w:rsidR="00163059">
              <w:rPr>
                <w:rFonts w:ascii="Times New Roman" w:eastAsia="Calibri" w:hAnsi="Times New Roman" w:cs="Times New Roman"/>
                <w:sz w:val="24"/>
                <w:szCs w:val="24"/>
              </w:rPr>
              <w:t xml:space="preserve">darbu, kas saistīts ar tā </w:t>
            </w:r>
            <w:r w:rsidR="00163059" w:rsidRPr="00163059">
              <w:rPr>
                <w:rFonts w:ascii="Times New Roman" w:eastAsia="Calibri" w:hAnsi="Times New Roman" w:cs="Times New Roman"/>
                <w:sz w:val="24"/>
                <w:szCs w:val="24"/>
              </w:rPr>
              <w:t>promocijas darba izstrād</w:t>
            </w:r>
            <w:r w:rsidR="00163059">
              <w:rPr>
                <w:rFonts w:ascii="Times New Roman" w:eastAsia="Calibri" w:hAnsi="Times New Roman" w:cs="Times New Roman"/>
                <w:sz w:val="24"/>
                <w:szCs w:val="24"/>
              </w:rPr>
              <w:t>i</w:t>
            </w:r>
            <w:r w:rsidR="00951974">
              <w:rPr>
                <w:rFonts w:ascii="Times New Roman" w:eastAsia="Calibri" w:hAnsi="Times New Roman" w:cs="Times New Roman"/>
                <w:sz w:val="24"/>
                <w:szCs w:val="24"/>
              </w:rPr>
              <w:t>,</w:t>
            </w:r>
            <w:r w:rsidR="00163059" w:rsidRPr="00163059">
              <w:rPr>
                <w:rFonts w:ascii="Times New Roman" w:eastAsia="Calibri" w:hAnsi="Times New Roman" w:cs="Times New Roman"/>
                <w:sz w:val="24"/>
                <w:szCs w:val="24"/>
              </w:rPr>
              <w:t xml:space="preserve"> un plānojot doktoranta</w:t>
            </w:r>
            <w:r w:rsidR="00163059">
              <w:rPr>
                <w:rFonts w:ascii="Times New Roman" w:eastAsia="Calibri" w:hAnsi="Times New Roman" w:cs="Times New Roman"/>
                <w:sz w:val="24"/>
                <w:szCs w:val="24"/>
              </w:rPr>
              <w:t xml:space="preserve"> tālāku </w:t>
            </w:r>
            <w:r w:rsidR="00163059" w:rsidRPr="00163059">
              <w:rPr>
                <w:rFonts w:ascii="Times New Roman" w:eastAsia="Calibri" w:hAnsi="Times New Roman" w:cs="Times New Roman"/>
                <w:sz w:val="24"/>
                <w:szCs w:val="24"/>
              </w:rPr>
              <w:t>iesaisti zinātnisk</w:t>
            </w:r>
            <w:r w:rsidR="00951974">
              <w:rPr>
                <w:rFonts w:ascii="Times New Roman" w:eastAsia="Calibri" w:hAnsi="Times New Roman" w:cs="Times New Roman"/>
                <w:sz w:val="24"/>
                <w:szCs w:val="24"/>
              </w:rPr>
              <w:t>aj</w:t>
            </w:r>
            <w:r w:rsidR="00163059" w:rsidRPr="00163059">
              <w:rPr>
                <w:rFonts w:ascii="Times New Roman" w:eastAsia="Calibri" w:hAnsi="Times New Roman" w:cs="Times New Roman"/>
                <w:sz w:val="24"/>
                <w:szCs w:val="24"/>
              </w:rPr>
              <w:t>ā darb</w:t>
            </w:r>
            <w:r w:rsidR="00951974">
              <w:rPr>
                <w:rFonts w:ascii="Times New Roman" w:eastAsia="Calibri" w:hAnsi="Times New Roman" w:cs="Times New Roman"/>
                <w:sz w:val="24"/>
                <w:szCs w:val="24"/>
              </w:rPr>
              <w:t>ā</w:t>
            </w:r>
            <w:r w:rsidR="00163059">
              <w:rPr>
                <w:rFonts w:ascii="Times New Roman" w:eastAsia="Calibri" w:hAnsi="Times New Roman" w:cs="Times New Roman"/>
                <w:sz w:val="24"/>
                <w:szCs w:val="24"/>
              </w:rPr>
              <w:t xml:space="preserve"> pēc atbalsta beigām</w:t>
            </w:r>
            <w:r w:rsidR="00163059" w:rsidRPr="00163059">
              <w:rPr>
                <w:rFonts w:ascii="Times New Roman" w:eastAsia="Calibri" w:hAnsi="Times New Roman" w:cs="Times New Roman"/>
                <w:sz w:val="24"/>
                <w:szCs w:val="24"/>
              </w:rPr>
              <w:t xml:space="preserve">, nepastāv finansiāls </w:t>
            </w:r>
            <w:r w:rsidR="00163059">
              <w:rPr>
                <w:rFonts w:ascii="Times New Roman" w:eastAsia="Calibri" w:hAnsi="Times New Roman" w:cs="Times New Roman"/>
                <w:sz w:val="24"/>
                <w:szCs w:val="24"/>
              </w:rPr>
              <w:t>atbalsts, kas ietekmētu tirdzniecību un izkropļotu konkurenci Eiropas Savienības iekšējā tirgū</w:t>
            </w:r>
            <w:r w:rsidR="00163059" w:rsidRPr="00163059">
              <w:rPr>
                <w:rFonts w:ascii="Times New Roman" w:eastAsia="Calibri" w:hAnsi="Times New Roman" w:cs="Times New Roman"/>
                <w:sz w:val="24"/>
                <w:szCs w:val="24"/>
              </w:rPr>
              <w:t xml:space="preserve">. </w:t>
            </w:r>
          </w:p>
          <w:p w14:paraId="37D8EACD" w14:textId="1CD8834D" w:rsidR="00163059" w:rsidRDefault="00163059" w:rsidP="00871A60">
            <w:pPr>
              <w:spacing w:after="0" w:line="240" w:lineRule="auto"/>
              <w:ind w:left="31"/>
              <w:jc w:val="both"/>
              <w:rPr>
                <w:rFonts w:ascii="Times New Roman" w:eastAsia="Calibri" w:hAnsi="Times New Roman" w:cs="Times New Roman"/>
                <w:sz w:val="24"/>
                <w:szCs w:val="24"/>
              </w:rPr>
            </w:pPr>
            <w:r>
              <w:rPr>
                <w:rFonts w:ascii="Times New Roman" w:eastAsia="Calibri" w:hAnsi="Times New Roman" w:cs="Times New Roman"/>
                <w:sz w:val="24"/>
                <w:szCs w:val="24"/>
              </w:rPr>
              <w:t>Doktorantam</w:t>
            </w:r>
            <w:r w:rsidR="00614304">
              <w:rPr>
                <w:rFonts w:ascii="Times New Roman" w:eastAsia="Calibri" w:hAnsi="Times New Roman" w:cs="Times New Roman"/>
                <w:sz w:val="24"/>
                <w:szCs w:val="24"/>
              </w:rPr>
              <w:t>,</w:t>
            </w:r>
            <w:r>
              <w:rPr>
                <w:rFonts w:ascii="Times New Roman" w:eastAsia="Calibri" w:hAnsi="Times New Roman" w:cs="Times New Roman"/>
                <w:sz w:val="24"/>
                <w:szCs w:val="24"/>
              </w:rPr>
              <w:t xml:space="preserve"> veicot pētniecisko darbu pie komersanta / zinātniskajā institūcijā, iegūtā pieredze un dati tiks izmantoti </w:t>
            </w:r>
            <w:r w:rsidR="003559A7">
              <w:rPr>
                <w:rFonts w:ascii="Times New Roman" w:eastAsia="Calibri" w:hAnsi="Times New Roman" w:cs="Times New Roman"/>
                <w:sz w:val="24"/>
                <w:szCs w:val="24"/>
              </w:rPr>
              <w:t>promocijas darba izstrādei.</w:t>
            </w:r>
            <w:r w:rsidR="00614304">
              <w:rPr>
                <w:rFonts w:ascii="Times New Roman" w:eastAsia="Calibri" w:hAnsi="Times New Roman" w:cs="Times New Roman"/>
                <w:sz w:val="24"/>
                <w:szCs w:val="24"/>
              </w:rPr>
              <w:t xml:space="preserve"> Promocijas pētniecības rezultātā izstrādātajiem rezultātiem tiks nodrošināta piekļuve uz vienlīdzīgām tiesībām un nosacījumiem, neradot kādam subjektam priekšrocības.</w:t>
            </w:r>
            <w:r w:rsidR="003559A7">
              <w:rPr>
                <w:rFonts w:ascii="Times New Roman" w:eastAsia="Calibri" w:hAnsi="Times New Roman" w:cs="Times New Roman"/>
                <w:sz w:val="24"/>
                <w:szCs w:val="24"/>
              </w:rPr>
              <w:t xml:space="preserve"> Promocijas darba ietvaros radītais intelektuālais īpašums būs 3.kārtas ietvaros iesaistītās augstskolas īpašums, kas tik</w:t>
            </w:r>
            <w:r w:rsidR="002C64DC">
              <w:rPr>
                <w:rFonts w:ascii="Times New Roman" w:eastAsia="Calibri" w:hAnsi="Times New Roman" w:cs="Times New Roman"/>
                <w:sz w:val="24"/>
                <w:szCs w:val="24"/>
              </w:rPr>
              <w:t>s</w:t>
            </w:r>
            <w:r w:rsidR="003559A7">
              <w:rPr>
                <w:rFonts w:ascii="Times New Roman" w:eastAsia="Calibri" w:hAnsi="Times New Roman" w:cs="Times New Roman"/>
                <w:sz w:val="24"/>
                <w:szCs w:val="24"/>
              </w:rPr>
              <w:t xml:space="preserve"> pārvaldīts un ir pieejams atbilstoši augstskolas izstrādātajai </w:t>
            </w:r>
            <w:r w:rsidR="003559A7">
              <w:t xml:space="preserve"> </w:t>
            </w:r>
            <w:r w:rsidR="003559A7">
              <w:rPr>
                <w:rFonts w:ascii="Times New Roman" w:eastAsia="Calibri" w:hAnsi="Times New Roman" w:cs="Times New Roman"/>
                <w:sz w:val="24"/>
                <w:szCs w:val="24"/>
              </w:rPr>
              <w:t>i</w:t>
            </w:r>
            <w:r w:rsidR="003559A7" w:rsidRPr="003559A7">
              <w:rPr>
                <w:rFonts w:ascii="Times New Roman" w:eastAsia="Calibri" w:hAnsi="Times New Roman" w:cs="Times New Roman"/>
                <w:sz w:val="24"/>
                <w:szCs w:val="24"/>
              </w:rPr>
              <w:t>ntelektuālā īpašuma tiesību pārvaldības un izmantošanas politika</w:t>
            </w:r>
            <w:r w:rsidR="003559A7">
              <w:rPr>
                <w:rFonts w:ascii="Times New Roman" w:eastAsia="Calibri" w:hAnsi="Times New Roman" w:cs="Times New Roman"/>
                <w:sz w:val="24"/>
                <w:szCs w:val="24"/>
              </w:rPr>
              <w:t>i.</w:t>
            </w:r>
          </w:p>
          <w:p w14:paraId="26F2870C" w14:textId="77777777" w:rsidR="003559A7" w:rsidRDefault="003559A7" w:rsidP="00871A60">
            <w:pPr>
              <w:spacing w:after="0" w:line="240" w:lineRule="auto"/>
              <w:ind w:left="31"/>
              <w:jc w:val="both"/>
              <w:rPr>
                <w:rFonts w:ascii="Times New Roman" w:eastAsia="Calibri" w:hAnsi="Times New Roman" w:cs="Times New Roman"/>
                <w:sz w:val="24"/>
                <w:szCs w:val="24"/>
              </w:rPr>
            </w:pPr>
          </w:p>
          <w:p w14:paraId="4CF40799" w14:textId="0E5D30D8" w:rsidR="00325397" w:rsidRPr="00C455AA" w:rsidRDefault="00325397" w:rsidP="004A140E">
            <w:pPr>
              <w:spacing w:after="0" w:line="240" w:lineRule="auto"/>
              <w:ind w:left="31"/>
              <w:jc w:val="both"/>
              <w:rPr>
                <w:rFonts w:ascii="Times New Roman" w:hAnsi="Times New Roman"/>
                <w:sz w:val="24"/>
                <w:szCs w:val="24"/>
              </w:rPr>
            </w:pPr>
            <w:r w:rsidRPr="00871A60">
              <w:rPr>
                <w:rFonts w:ascii="Times New Roman" w:eastAsia="Calibri" w:hAnsi="Times New Roman" w:cs="Times New Roman"/>
                <w:sz w:val="24"/>
                <w:szCs w:val="24"/>
              </w:rPr>
              <w:t xml:space="preserve">Ņemot vērā </w:t>
            </w:r>
            <w:r w:rsidR="00614304">
              <w:rPr>
                <w:rFonts w:ascii="Times New Roman" w:eastAsia="Calibri" w:hAnsi="Times New Roman" w:cs="Times New Roman"/>
                <w:sz w:val="24"/>
                <w:szCs w:val="24"/>
              </w:rPr>
              <w:t>izklāstītos argumentus</w:t>
            </w:r>
            <w:r w:rsidRPr="00871A60">
              <w:rPr>
                <w:rFonts w:ascii="Times New Roman" w:eastAsia="Calibri" w:hAnsi="Times New Roman" w:cs="Times New Roman"/>
                <w:sz w:val="24"/>
                <w:szCs w:val="24"/>
              </w:rPr>
              <w:t xml:space="preserve">, attiecībā </w:t>
            </w:r>
            <w:r w:rsidR="00475456">
              <w:rPr>
                <w:rFonts w:ascii="Times New Roman" w:eastAsia="Calibri" w:hAnsi="Times New Roman" w:cs="Times New Roman"/>
                <w:sz w:val="24"/>
                <w:szCs w:val="24"/>
              </w:rPr>
              <w:t xml:space="preserve">uz </w:t>
            </w:r>
            <w:r w:rsidR="00871A60">
              <w:rPr>
                <w:rFonts w:ascii="Times New Roman" w:eastAsia="Calibri" w:hAnsi="Times New Roman" w:cs="Times New Roman"/>
                <w:sz w:val="24"/>
                <w:szCs w:val="24"/>
              </w:rPr>
              <w:t>komersantiem un zinātniskajām institūcijām</w:t>
            </w:r>
            <w:r w:rsidRPr="00871A60">
              <w:rPr>
                <w:rFonts w:ascii="Times New Roman" w:eastAsia="Calibri" w:hAnsi="Times New Roman" w:cs="Times New Roman"/>
                <w:sz w:val="24"/>
                <w:szCs w:val="24"/>
              </w:rPr>
              <w:t>, kas būs iesaistīt</w:t>
            </w:r>
            <w:r w:rsidR="00871A60">
              <w:rPr>
                <w:rFonts w:ascii="Times New Roman" w:eastAsia="Calibri" w:hAnsi="Times New Roman" w:cs="Times New Roman"/>
                <w:sz w:val="24"/>
                <w:szCs w:val="24"/>
              </w:rPr>
              <w:t>as</w:t>
            </w:r>
            <w:r w:rsidRPr="00871A60">
              <w:rPr>
                <w:rFonts w:ascii="Times New Roman" w:eastAsia="Calibri" w:hAnsi="Times New Roman" w:cs="Times New Roman"/>
                <w:sz w:val="24"/>
                <w:szCs w:val="24"/>
              </w:rPr>
              <w:t xml:space="preserve"> </w:t>
            </w:r>
            <w:r w:rsidR="00871A60">
              <w:rPr>
                <w:rFonts w:ascii="Times New Roman" w:eastAsia="Calibri" w:hAnsi="Times New Roman" w:cs="Times New Roman"/>
                <w:sz w:val="24"/>
                <w:szCs w:val="24"/>
              </w:rPr>
              <w:t>3.kārtā</w:t>
            </w:r>
            <w:r w:rsidRPr="00871A60">
              <w:rPr>
                <w:rFonts w:ascii="Times New Roman" w:eastAsia="Calibri" w:hAnsi="Times New Roman" w:cs="Times New Roman"/>
                <w:sz w:val="24"/>
                <w:szCs w:val="24"/>
              </w:rPr>
              <w:t>, neizpildās Komercdarbības atbalsta kontroles likuma 5.panta 2.</w:t>
            </w:r>
            <w:r w:rsidR="004A140E">
              <w:rPr>
                <w:rFonts w:ascii="Times New Roman" w:eastAsia="Calibri" w:hAnsi="Times New Roman" w:cs="Times New Roman"/>
                <w:sz w:val="24"/>
                <w:szCs w:val="24"/>
              </w:rPr>
              <w:t>, 3.</w:t>
            </w:r>
            <w:r w:rsidRPr="00871A60">
              <w:rPr>
                <w:rFonts w:ascii="Times New Roman" w:eastAsia="Calibri" w:hAnsi="Times New Roman" w:cs="Times New Roman"/>
                <w:sz w:val="24"/>
                <w:szCs w:val="24"/>
              </w:rPr>
              <w:t xml:space="preserve"> </w:t>
            </w:r>
            <w:r w:rsidR="00163059">
              <w:rPr>
                <w:rFonts w:ascii="Times New Roman" w:eastAsia="Calibri" w:hAnsi="Times New Roman" w:cs="Times New Roman"/>
                <w:sz w:val="24"/>
                <w:szCs w:val="24"/>
              </w:rPr>
              <w:t xml:space="preserve">un </w:t>
            </w:r>
            <w:r w:rsidR="00163059">
              <w:rPr>
                <w:rFonts w:ascii="Times New Roman" w:eastAsia="Calibri" w:hAnsi="Times New Roman" w:cs="Times New Roman"/>
                <w:sz w:val="24"/>
                <w:szCs w:val="24"/>
              </w:rPr>
              <w:lastRenderedPageBreak/>
              <w:t>4.punktā</w:t>
            </w:r>
            <w:r w:rsidRPr="00871A60">
              <w:rPr>
                <w:rFonts w:ascii="Times New Roman" w:eastAsia="Calibri" w:hAnsi="Times New Roman" w:cs="Times New Roman"/>
                <w:sz w:val="24"/>
                <w:szCs w:val="24"/>
              </w:rPr>
              <w:t xml:space="preserve"> minētā komercdarbības atbalstu raksturojošā</w:t>
            </w:r>
            <w:r w:rsidR="00614304">
              <w:rPr>
                <w:rFonts w:ascii="Times New Roman" w:eastAsia="Calibri" w:hAnsi="Times New Roman" w:cs="Times New Roman"/>
                <w:sz w:val="24"/>
                <w:szCs w:val="24"/>
              </w:rPr>
              <w:t>s</w:t>
            </w:r>
            <w:r w:rsidRPr="00871A60">
              <w:rPr>
                <w:rFonts w:ascii="Times New Roman" w:eastAsia="Calibri" w:hAnsi="Times New Roman" w:cs="Times New Roman"/>
                <w:sz w:val="24"/>
                <w:szCs w:val="24"/>
              </w:rPr>
              <w:t xml:space="preserve"> pazīme</w:t>
            </w:r>
            <w:r w:rsidR="00614304">
              <w:rPr>
                <w:rFonts w:ascii="Times New Roman" w:eastAsia="Calibri" w:hAnsi="Times New Roman" w:cs="Times New Roman"/>
                <w:sz w:val="24"/>
                <w:szCs w:val="24"/>
              </w:rPr>
              <w:t>s</w:t>
            </w:r>
            <w:r w:rsidRPr="00871A60">
              <w:rPr>
                <w:rFonts w:ascii="Times New Roman" w:eastAsia="Calibri" w:hAnsi="Times New Roman" w:cs="Times New Roman"/>
                <w:sz w:val="24"/>
                <w:szCs w:val="24"/>
              </w:rPr>
              <w:t xml:space="preserve">. Tādējādi uzskatām, ka </w:t>
            </w:r>
            <w:r w:rsidR="00871A60">
              <w:rPr>
                <w:rFonts w:ascii="Times New Roman" w:eastAsia="Calibri" w:hAnsi="Times New Roman" w:cs="Times New Roman"/>
                <w:sz w:val="24"/>
                <w:szCs w:val="24"/>
              </w:rPr>
              <w:t xml:space="preserve">3.kārtas </w:t>
            </w:r>
            <w:r w:rsidRPr="00871A60">
              <w:rPr>
                <w:rFonts w:ascii="Times New Roman" w:eastAsia="Calibri" w:hAnsi="Times New Roman" w:cs="Times New Roman"/>
                <w:sz w:val="24"/>
                <w:szCs w:val="24"/>
              </w:rPr>
              <w:t>ietvaros komercdarbības atbalsts netiek sniegts.</w:t>
            </w:r>
          </w:p>
        </w:tc>
      </w:tr>
      <w:tr w:rsidR="003C26C4" w:rsidRPr="00F24248" w14:paraId="72ED8A81" w14:textId="77777777" w:rsidTr="00EC06A8">
        <w:tc>
          <w:tcPr>
            <w:tcW w:w="295" w:type="pct"/>
            <w:tcBorders>
              <w:top w:val="outset" w:sz="6" w:space="0" w:color="414142"/>
              <w:left w:val="outset" w:sz="6" w:space="0" w:color="414142"/>
              <w:bottom w:val="outset" w:sz="6" w:space="0" w:color="414142"/>
              <w:right w:val="outset" w:sz="6" w:space="0" w:color="414142"/>
            </w:tcBorders>
            <w:hideMark/>
          </w:tcPr>
          <w:p w14:paraId="137675E7" w14:textId="476B0152"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lastRenderedPageBreak/>
              <w:t>3.</w:t>
            </w:r>
          </w:p>
        </w:tc>
        <w:tc>
          <w:tcPr>
            <w:tcW w:w="1164" w:type="pct"/>
            <w:tcBorders>
              <w:top w:val="outset" w:sz="6" w:space="0" w:color="414142"/>
              <w:left w:val="outset" w:sz="6" w:space="0" w:color="414142"/>
              <w:bottom w:val="outset" w:sz="6" w:space="0" w:color="414142"/>
              <w:right w:val="outset" w:sz="6" w:space="0" w:color="414142"/>
            </w:tcBorders>
            <w:hideMark/>
          </w:tcPr>
          <w:p w14:paraId="4295D6F7"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Projekta izstrādē iesaistītās institūcijas un publiskas personas kapitālsabiedrības</w:t>
            </w:r>
          </w:p>
        </w:tc>
        <w:tc>
          <w:tcPr>
            <w:tcW w:w="3541" w:type="pct"/>
            <w:tcBorders>
              <w:top w:val="outset" w:sz="6" w:space="0" w:color="414142"/>
              <w:left w:val="outset" w:sz="6" w:space="0" w:color="414142"/>
              <w:bottom w:val="outset" w:sz="6" w:space="0" w:color="414142"/>
              <w:right w:val="outset" w:sz="6" w:space="0" w:color="414142"/>
            </w:tcBorders>
            <w:hideMark/>
          </w:tcPr>
          <w:p w14:paraId="0964967A" w14:textId="1F9D6F78" w:rsidR="005C334C" w:rsidRPr="00F24248" w:rsidRDefault="00843D48" w:rsidP="00433619">
            <w:pPr>
              <w:spacing w:after="0" w:line="240" w:lineRule="auto"/>
              <w:ind w:left="-399" w:firstLine="399"/>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Noteikumu p</w:t>
            </w:r>
            <w:r w:rsidR="005C334C" w:rsidRPr="00F24248">
              <w:rPr>
                <w:rFonts w:ascii="Times New Roman" w:eastAsia="Times New Roman" w:hAnsi="Times New Roman" w:cs="Times New Roman"/>
                <w:sz w:val="24"/>
                <w:szCs w:val="24"/>
                <w:lang w:eastAsia="lv-LV"/>
              </w:rPr>
              <w:t>rojekts šo jomu neskar.</w:t>
            </w:r>
          </w:p>
        </w:tc>
      </w:tr>
      <w:tr w:rsidR="003C26C4" w:rsidRPr="005D3EA6" w14:paraId="7417D76B" w14:textId="77777777" w:rsidTr="00EC06A8">
        <w:tc>
          <w:tcPr>
            <w:tcW w:w="295" w:type="pct"/>
            <w:tcBorders>
              <w:top w:val="outset" w:sz="6" w:space="0" w:color="414142"/>
              <w:left w:val="outset" w:sz="6" w:space="0" w:color="414142"/>
              <w:bottom w:val="outset" w:sz="6" w:space="0" w:color="414142"/>
              <w:right w:val="outset" w:sz="6" w:space="0" w:color="414142"/>
            </w:tcBorders>
            <w:hideMark/>
          </w:tcPr>
          <w:p w14:paraId="1DE75BF2"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4.</w:t>
            </w:r>
          </w:p>
        </w:tc>
        <w:tc>
          <w:tcPr>
            <w:tcW w:w="1164" w:type="pct"/>
            <w:tcBorders>
              <w:top w:val="outset" w:sz="6" w:space="0" w:color="414142"/>
              <w:left w:val="outset" w:sz="6" w:space="0" w:color="414142"/>
              <w:bottom w:val="outset" w:sz="6" w:space="0" w:color="414142"/>
              <w:right w:val="outset" w:sz="6" w:space="0" w:color="414142"/>
            </w:tcBorders>
            <w:hideMark/>
          </w:tcPr>
          <w:p w14:paraId="4FBF07BD"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Cita informācija</w:t>
            </w:r>
          </w:p>
        </w:tc>
        <w:tc>
          <w:tcPr>
            <w:tcW w:w="3541" w:type="pct"/>
            <w:tcBorders>
              <w:top w:val="outset" w:sz="6" w:space="0" w:color="414142"/>
              <w:left w:val="outset" w:sz="6" w:space="0" w:color="414142"/>
              <w:bottom w:val="outset" w:sz="6" w:space="0" w:color="414142"/>
              <w:right w:val="outset" w:sz="6" w:space="0" w:color="414142"/>
            </w:tcBorders>
            <w:hideMark/>
          </w:tcPr>
          <w:p w14:paraId="6E98B9AB" w14:textId="03D6CB80" w:rsidR="005C334C" w:rsidRPr="005D3EA6" w:rsidRDefault="00F64E67" w:rsidP="005D3EA6">
            <w:pPr>
              <w:spacing w:after="0" w:line="240" w:lineRule="auto"/>
              <w:jc w:val="both"/>
              <w:rPr>
                <w:rFonts w:ascii="Times New Roman" w:eastAsia="Times New Roman" w:hAnsi="Times New Roman" w:cs="Times New Roman"/>
                <w:sz w:val="24"/>
                <w:szCs w:val="24"/>
                <w:lang w:eastAsia="lv-LV"/>
              </w:rPr>
            </w:pPr>
            <w:r w:rsidRPr="005D3EA6">
              <w:rPr>
                <w:rFonts w:ascii="Times New Roman" w:hAnsi="Times New Roman" w:cs="Times New Roman"/>
                <w:sz w:val="24"/>
                <w:szCs w:val="24"/>
              </w:rPr>
              <w:t xml:space="preserve">8.2.2. SAM projektu iesniegumu trešās atlases kārtas vērtēšanas kritēriji, kritēriju piemērošanas metodika un sākotnējais novērtējums tiks izskatīti ES struktūrfondu un Kohēzijas fonda 2014.–2020. gada plānošanas perioda Izglītības, prasmju un mūžizglītības prioritārā virziena apakškomitejas 2020. gada </w:t>
            </w:r>
            <w:r w:rsidR="005E429B" w:rsidRPr="005D3EA6">
              <w:rPr>
                <w:rFonts w:ascii="Times New Roman" w:hAnsi="Times New Roman" w:cs="Times New Roman"/>
                <w:sz w:val="24"/>
                <w:szCs w:val="24"/>
              </w:rPr>
              <w:t>27.</w:t>
            </w:r>
            <w:r w:rsidR="005D3EA6">
              <w:rPr>
                <w:rFonts w:ascii="Times New Roman" w:hAnsi="Times New Roman" w:cs="Times New Roman"/>
                <w:sz w:val="24"/>
                <w:szCs w:val="24"/>
              </w:rPr>
              <w:t> </w:t>
            </w:r>
            <w:r w:rsidR="004E24E7" w:rsidRPr="005D3EA6">
              <w:rPr>
                <w:rFonts w:ascii="Times New Roman" w:hAnsi="Times New Roman" w:cs="Times New Roman"/>
                <w:sz w:val="24"/>
                <w:szCs w:val="24"/>
              </w:rPr>
              <w:t xml:space="preserve">februāra </w:t>
            </w:r>
            <w:r w:rsidRPr="005D3EA6">
              <w:rPr>
                <w:rFonts w:ascii="Times New Roman" w:hAnsi="Times New Roman" w:cs="Times New Roman"/>
                <w:sz w:val="24"/>
                <w:szCs w:val="24"/>
              </w:rPr>
              <w:t>sēdē.</w:t>
            </w:r>
          </w:p>
        </w:tc>
      </w:tr>
    </w:tbl>
    <w:p w14:paraId="5BB6B7E1" w14:textId="144F9193" w:rsidR="005C334C" w:rsidRPr="00F24248" w:rsidRDefault="005C334C" w:rsidP="005C334C">
      <w:pPr>
        <w:shd w:val="clear" w:color="auto" w:fill="FFFFFF"/>
        <w:spacing w:after="0" w:line="240" w:lineRule="auto"/>
        <w:rPr>
          <w:rFonts w:ascii="Times New Roman" w:eastAsia="Times New Roman" w:hAnsi="Times New Roman" w:cs="Times New Roman"/>
          <w:sz w:val="24"/>
          <w:szCs w:val="24"/>
          <w:lang w:eastAsia="lv-LV"/>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397"/>
        <w:gridCol w:w="5357"/>
      </w:tblGrid>
      <w:tr w:rsidR="00484BF0" w:rsidRPr="00484BF0" w14:paraId="67543C86" w14:textId="77777777" w:rsidTr="00BC76BE">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56A067" w14:textId="77777777" w:rsidR="00484BF0" w:rsidRPr="00484BF0" w:rsidRDefault="00484BF0" w:rsidP="00484BF0">
            <w:pPr>
              <w:tabs>
                <w:tab w:val="left" w:pos="2268"/>
                <w:tab w:val="left" w:pos="2410"/>
              </w:tabs>
              <w:spacing w:after="0" w:line="240" w:lineRule="auto"/>
              <w:ind w:left="1080"/>
              <w:contextualSpacing/>
              <w:jc w:val="center"/>
              <w:rPr>
                <w:rFonts w:ascii="Times New Roman" w:eastAsia="Times New Roman" w:hAnsi="Times New Roman" w:cs="Times New Roman"/>
                <w:b/>
                <w:sz w:val="24"/>
                <w:szCs w:val="24"/>
              </w:rPr>
            </w:pPr>
            <w:r w:rsidRPr="00484BF0">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484BF0" w:rsidRPr="00484BF0" w14:paraId="76C18C5D" w14:textId="77777777" w:rsidTr="00484BF0">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25A2C7DC" w14:textId="77777777" w:rsidR="00484BF0" w:rsidRPr="00484BF0" w:rsidRDefault="00484BF0" w:rsidP="00484BF0">
            <w:pPr>
              <w:spacing w:after="0" w:line="240" w:lineRule="auto"/>
              <w:jc w:val="center"/>
              <w:rPr>
                <w:rFonts w:ascii="Times New Roman" w:eastAsia="Calibri" w:hAnsi="Times New Roman" w:cs="Times New Roman"/>
                <w:sz w:val="24"/>
                <w:szCs w:val="24"/>
              </w:rPr>
            </w:pPr>
            <w:r w:rsidRPr="00484BF0">
              <w:rPr>
                <w:rFonts w:ascii="Times New Roman" w:eastAsia="Calibri" w:hAnsi="Times New Roman" w:cs="Times New Roman"/>
                <w:sz w:val="24"/>
                <w:szCs w:val="24"/>
                <w:lang w:eastAsia="lv-LV"/>
              </w:rPr>
              <w:t>1.</w:t>
            </w:r>
          </w:p>
        </w:tc>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0D9FAF7" w14:textId="77777777" w:rsidR="00484BF0" w:rsidRPr="00484BF0" w:rsidRDefault="00484BF0" w:rsidP="00484BF0">
            <w:pPr>
              <w:spacing w:after="0" w:line="240" w:lineRule="auto"/>
              <w:rPr>
                <w:rFonts w:ascii="Times New Roman" w:eastAsia="Calibri" w:hAnsi="Times New Roman" w:cs="Times New Roman"/>
                <w:sz w:val="24"/>
                <w:szCs w:val="24"/>
              </w:rPr>
            </w:pPr>
            <w:r w:rsidRPr="00484BF0">
              <w:rPr>
                <w:rFonts w:ascii="Times New Roman" w:eastAsia="Calibri" w:hAnsi="Times New Roman" w:cs="Times New Roman"/>
                <w:sz w:val="24"/>
                <w:szCs w:val="24"/>
                <w:lang w:eastAsia="lv-LV"/>
              </w:rPr>
              <w:t>Sabiedrības mērķgrupas, kuras tiesiskais regulējums ietekmē vai varētu ietekmēt</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133DC5" w14:textId="77777777" w:rsidR="00F64E67" w:rsidRPr="00F64E67" w:rsidRDefault="00F64E67" w:rsidP="00F64E67">
            <w:pPr>
              <w:tabs>
                <w:tab w:val="left" w:pos="317"/>
              </w:tabs>
              <w:spacing w:after="0" w:line="240" w:lineRule="auto"/>
              <w:ind w:left="-79"/>
              <w:contextualSpacing/>
              <w:jc w:val="both"/>
              <w:rPr>
                <w:rFonts w:ascii="Times New Roman" w:eastAsia="Times New Roman" w:hAnsi="Times New Roman" w:cs="Times New Roman"/>
                <w:iCs/>
                <w:sz w:val="24"/>
                <w:szCs w:val="24"/>
                <w:lang w:eastAsia="lv-LV"/>
              </w:rPr>
            </w:pPr>
            <w:r w:rsidRPr="00F64E67">
              <w:rPr>
                <w:rFonts w:ascii="Times New Roman" w:eastAsia="Times New Roman" w:hAnsi="Times New Roman" w:cs="Times New Roman"/>
                <w:iCs/>
                <w:sz w:val="24"/>
                <w:szCs w:val="24"/>
                <w:lang w:eastAsia="lv-LV"/>
              </w:rPr>
              <w:t>Tiesiskais regulējums ietekmē:</w:t>
            </w:r>
          </w:p>
          <w:p w14:paraId="4C357DB1" w14:textId="60097EA1" w:rsidR="00F64E67" w:rsidRPr="00F64E67" w:rsidRDefault="00F64E67" w:rsidP="00F64E67">
            <w:pPr>
              <w:tabs>
                <w:tab w:val="left" w:pos="317"/>
              </w:tabs>
              <w:spacing w:after="0" w:line="240" w:lineRule="auto"/>
              <w:ind w:left="-79"/>
              <w:contextualSpacing/>
              <w:jc w:val="both"/>
              <w:rPr>
                <w:rFonts w:ascii="Times New Roman" w:eastAsia="Times New Roman" w:hAnsi="Times New Roman" w:cs="Times New Roman"/>
                <w:iCs/>
                <w:sz w:val="24"/>
                <w:szCs w:val="24"/>
                <w:lang w:eastAsia="lv-LV"/>
              </w:rPr>
            </w:pPr>
            <w:r w:rsidRPr="00F64E67">
              <w:rPr>
                <w:rFonts w:ascii="Times New Roman" w:eastAsia="Times New Roman" w:hAnsi="Times New Roman" w:cs="Times New Roman"/>
                <w:iCs/>
                <w:sz w:val="24"/>
                <w:szCs w:val="24"/>
                <w:lang w:eastAsia="lv-LV"/>
              </w:rPr>
              <w:t>1)</w:t>
            </w:r>
            <w:r w:rsidRPr="00F64E67">
              <w:rPr>
                <w:rFonts w:ascii="Times New Roman" w:eastAsia="Times New Roman" w:hAnsi="Times New Roman" w:cs="Times New Roman"/>
                <w:iCs/>
                <w:sz w:val="24"/>
                <w:szCs w:val="24"/>
                <w:lang w:eastAsia="lv-LV"/>
              </w:rPr>
              <w:tab/>
              <w:t xml:space="preserve"> </w:t>
            </w:r>
            <w:r w:rsidR="003233C6">
              <w:rPr>
                <w:rFonts w:ascii="Times New Roman" w:eastAsia="Times New Roman" w:hAnsi="Times New Roman" w:cs="Times New Roman"/>
                <w:iCs/>
                <w:sz w:val="24"/>
                <w:szCs w:val="24"/>
                <w:lang w:eastAsia="lv-LV"/>
              </w:rPr>
              <w:t>augstskolas</w:t>
            </w:r>
            <w:r w:rsidRPr="00F64E67">
              <w:rPr>
                <w:rFonts w:ascii="Times New Roman" w:eastAsia="Times New Roman" w:hAnsi="Times New Roman" w:cs="Times New Roman"/>
                <w:iCs/>
                <w:sz w:val="24"/>
                <w:szCs w:val="24"/>
                <w:lang w:eastAsia="lv-LV"/>
              </w:rPr>
              <w:t>;</w:t>
            </w:r>
          </w:p>
          <w:p w14:paraId="757DD0D6" w14:textId="3B23C1F3" w:rsidR="00484BF0" w:rsidRPr="00484BF0" w:rsidRDefault="00F64E67" w:rsidP="00F64E67">
            <w:pPr>
              <w:tabs>
                <w:tab w:val="left" w:pos="317"/>
              </w:tabs>
              <w:spacing w:after="0" w:line="240" w:lineRule="auto"/>
              <w:ind w:left="-79"/>
              <w:contextualSpacing/>
              <w:jc w:val="both"/>
              <w:rPr>
                <w:rFonts w:ascii="Times New Roman" w:eastAsia="Times New Roman" w:hAnsi="Times New Roman" w:cs="Times New Roman"/>
                <w:bCs/>
                <w:sz w:val="24"/>
                <w:szCs w:val="24"/>
              </w:rPr>
            </w:pPr>
            <w:r w:rsidRPr="00F64E67">
              <w:rPr>
                <w:rFonts w:ascii="Times New Roman" w:eastAsia="Times New Roman" w:hAnsi="Times New Roman" w:cs="Times New Roman"/>
                <w:iCs/>
                <w:sz w:val="24"/>
                <w:szCs w:val="24"/>
                <w:lang w:eastAsia="lv-LV"/>
              </w:rPr>
              <w:t>2)</w:t>
            </w:r>
            <w:r w:rsidRPr="00F64E67">
              <w:rPr>
                <w:rFonts w:ascii="Times New Roman" w:eastAsia="Times New Roman" w:hAnsi="Times New Roman" w:cs="Times New Roman"/>
                <w:iCs/>
                <w:sz w:val="24"/>
                <w:szCs w:val="24"/>
                <w:lang w:eastAsia="lv-LV"/>
              </w:rPr>
              <w:tab/>
              <w:t>doktorantus;</w:t>
            </w:r>
          </w:p>
        </w:tc>
      </w:tr>
      <w:tr w:rsidR="00484BF0" w:rsidRPr="00484BF0" w14:paraId="607532F6" w14:textId="77777777" w:rsidTr="00484BF0">
        <w:tc>
          <w:tcPr>
            <w:tcW w:w="426" w:type="dxa"/>
            <w:tcBorders>
              <w:top w:val="single" w:sz="4" w:space="0" w:color="auto"/>
              <w:left w:val="single" w:sz="4" w:space="0" w:color="auto"/>
              <w:bottom w:val="single" w:sz="4" w:space="0" w:color="auto"/>
              <w:right w:val="single" w:sz="4" w:space="0" w:color="auto"/>
            </w:tcBorders>
            <w:shd w:val="clear" w:color="auto" w:fill="auto"/>
          </w:tcPr>
          <w:p w14:paraId="7A32B7E7" w14:textId="77777777" w:rsidR="00484BF0" w:rsidRPr="00484BF0" w:rsidRDefault="00484BF0" w:rsidP="00484BF0">
            <w:pPr>
              <w:spacing w:after="0" w:line="240" w:lineRule="auto"/>
              <w:jc w:val="center"/>
              <w:rPr>
                <w:rFonts w:ascii="Times New Roman" w:eastAsia="Calibri" w:hAnsi="Times New Roman" w:cs="Times New Roman"/>
                <w:sz w:val="24"/>
                <w:szCs w:val="24"/>
                <w:lang w:eastAsia="lv-LV"/>
              </w:rPr>
            </w:pPr>
            <w:r w:rsidRPr="00484BF0">
              <w:rPr>
                <w:rFonts w:ascii="Times New Roman" w:eastAsia="Calibri" w:hAnsi="Times New Roman" w:cs="Times New Roman"/>
                <w:sz w:val="24"/>
                <w:szCs w:val="24"/>
                <w:lang w:eastAsia="lv-LV"/>
              </w:rPr>
              <w:t>2.</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06C61D52" w14:textId="77777777" w:rsidR="00484BF0" w:rsidRPr="00484BF0" w:rsidRDefault="00484BF0" w:rsidP="00484BF0">
            <w:pPr>
              <w:spacing w:after="0" w:line="240" w:lineRule="auto"/>
              <w:rPr>
                <w:rFonts w:ascii="Times New Roman" w:eastAsia="Calibri" w:hAnsi="Times New Roman" w:cs="Times New Roman"/>
                <w:color w:val="414142"/>
                <w:sz w:val="24"/>
                <w:szCs w:val="24"/>
                <w:lang w:eastAsia="lv-LV"/>
              </w:rPr>
            </w:pPr>
            <w:r w:rsidRPr="00484BF0">
              <w:rPr>
                <w:rFonts w:ascii="Times New Roman" w:eastAsia="Calibri" w:hAnsi="Times New Roman" w:cs="Times New Roman"/>
                <w:sz w:val="24"/>
                <w:szCs w:val="24"/>
                <w:lang w:eastAsia="lv-LV"/>
              </w:rPr>
              <w:t>Tiesiskā regulējuma ietekme uz tautsaimniecību un administratīvo slogu</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14:paraId="795F84C3" w14:textId="77777777" w:rsidR="00484BF0" w:rsidRPr="00484BF0" w:rsidRDefault="00484BF0" w:rsidP="00484BF0">
            <w:pPr>
              <w:tabs>
                <w:tab w:val="left" w:pos="317"/>
              </w:tabs>
              <w:spacing w:after="0" w:line="240" w:lineRule="auto"/>
              <w:ind w:left="-79"/>
              <w:contextualSpacing/>
              <w:jc w:val="both"/>
              <w:rPr>
                <w:rFonts w:ascii="Times New Roman" w:eastAsia="Times New Roman" w:hAnsi="Times New Roman" w:cs="Times New Roman"/>
                <w:bCs/>
                <w:sz w:val="24"/>
                <w:szCs w:val="24"/>
              </w:rPr>
            </w:pPr>
            <w:r w:rsidRPr="00484BF0">
              <w:rPr>
                <w:rFonts w:ascii="Times New Roman" w:eastAsia="Times New Roman" w:hAnsi="Times New Roman" w:cs="Times New Roman"/>
                <w:sz w:val="24"/>
                <w:szCs w:val="24"/>
                <w:lang w:eastAsia="lv-LV"/>
              </w:rPr>
              <w:t>Sabiedrības grupām un institūcijām noteikumu projekta tiesiskais regulējums nemaina tiesības un pienākumus, kā arī veicamās darbības.</w:t>
            </w:r>
          </w:p>
        </w:tc>
      </w:tr>
      <w:tr w:rsidR="00484BF0" w:rsidRPr="00484BF0" w14:paraId="4638984F" w14:textId="77777777" w:rsidTr="00484BF0">
        <w:tc>
          <w:tcPr>
            <w:tcW w:w="426" w:type="dxa"/>
            <w:tcBorders>
              <w:top w:val="single" w:sz="4" w:space="0" w:color="auto"/>
              <w:left w:val="single" w:sz="4" w:space="0" w:color="auto"/>
              <w:bottom w:val="single" w:sz="4" w:space="0" w:color="auto"/>
              <w:right w:val="single" w:sz="4" w:space="0" w:color="auto"/>
            </w:tcBorders>
            <w:shd w:val="clear" w:color="auto" w:fill="auto"/>
          </w:tcPr>
          <w:p w14:paraId="0B30E69B" w14:textId="77777777" w:rsidR="00484BF0" w:rsidRPr="00484BF0" w:rsidRDefault="00484BF0" w:rsidP="00484BF0">
            <w:pPr>
              <w:spacing w:after="0" w:line="240" w:lineRule="auto"/>
              <w:jc w:val="center"/>
              <w:rPr>
                <w:rFonts w:ascii="Times New Roman" w:eastAsia="Calibri" w:hAnsi="Times New Roman" w:cs="Times New Roman"/>
                <w:sz w:val="24"/>
                <w:szCs w:val="24"/>
                <w:lang w:eastAsia="lv-LV"/>
              </w:rPr>
            </w:pPr>
            <w:r w:rsidRPr="00484BF0">
              <w:rPr>
                <w:rFonts w:ascii="Times New Roman" w:eastAsia="Calibri" w:hAnsi="Times New Roman" w:cs="Times New Roman"/>
                <w:sz w:val="24"/>
                <w:szCs w:val="24"/>
                <w:lang w:eastAsia="lv-LV"/>
              </w:rPr>
              <w:t>3.</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6E0B769D" w14:textId="77777777" w:rsidR="00484BF0" w:rsidRPr="00484BF0" w:rsidRDefault="00484BF0" w:rsidP="00484BF0">
            <w:pPr>
              <w:spacing w:after="0" w:line="240" w:lineRule="auto"/>
              <w:rPr>
                <w:rFonts w:ascii="Times New Roman" w:eastAsia="Calibri" w:hAnsi="Times New Roman" w:cs="Times New Roman"/>
                <w:color w:val="414142"/>
                <w:sz w:val="24"/>
                <w:szCs w:val="24"/>
                <w:lang w:eastAsia="lv-LV"/>
              </w:rPr>
            </w:pPr>
            <w:r w:rsidRPr="00484BF0">
              <w:rPr>
                <w:rFonts w:ascii="Times New Roman" w:eastAsia="Calibri" w:hAnsi="Times New Roman" w:cs="Times New Roman"/>
                <w:sz w:val="24"/>
                <w:szCs w:val="24"/>
                <w:lang w:eastAsia="lv-LV"/>
              </w:rPr>
              <w:t>Administratīvo izmaksu monetārs novērtējums</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14:paraId="48D2489D" w14:textId="77777777" w:rsidR="00484BF0" w:rsidRPr="00484BF0" w:rsidRDefault="00484BF0" w:rsidP="00484BF0">
            <w:pPr>
              <w:tabs>
                <w:tab w:val="left" w:pos="317"/>
              </w:tabs>
              <w:spacing w:after="0" w:line="240" w:lineRule="auto"/>
              <w:ind w:left="-79"/>
              <w:contextualSpacing/>
              <w:jc w:val="both"/>
              <w:rPr>
                <w:rFonts w:ascii="Times New Roman" w:eastAsia="Times New Roman" w:hAnsi="Times New Roman" w:cs="Times New Roman"/>
                <w:bCs/>
                <w:sz w:val="24"/>
                <w:szCs w:val="24"/>
              </w:rPr>
            </w:pPr>
            <w:r w:rsidRPr="00484BF0">
              <w:rPr>
                <w:rFonts w:ascii="Times New Roman" w:eastAsia="Times New Roman" w:hAnsi="Times New Roman" w:cs="Times New Roman"/>
                <w:sz w:val="24"/>
                <w:szCs w:val="24"/>
                <w:lang w:eastAsia="lv-LV"/>
              </w:rPr>
              <w:t>Noteikumu projekts šo jomu neskar.</w:t>
            </w:r>
          </w:p>
        </w:tc>
      </w:tr>
      <w:tr w:rsidR="00484BF0" w:rsidRPr="00484BF0" w14:paraId="14FB7BBD" w14:textId="77777777" w:rsidTr="00484BF0">
        <w:tc>
          <w:tcPr>
            <w:tcW w:w="426" w:type="dxa"/>
            <w:tcBorders>
              <w:top w:val="single" w:sz="4" w:space="0" w:color="auto"/>
              <w:left w:val="single" w:sz="4" w:space="0" w:color="auto"/>
              <w:bottom w:val="single" w:sz="4" w:space="0" w:color="auto"/>
              <w:right w:val="single" w:sz="4" w:space="0" w:color="auto"/>
            </w:tcBorders>
            <w:shd w:val="clear" w:color="auto" w:fill="auto"/>
          </w:tcPr>
          <w:p w14:paraId="0437F069" w14:textId="77777777" w:rsidR="00484BF0" w:rsidRPr="00484BF0" w:rsidRDefault="00484BF0" w:rsidP="00484BF0">
            <w:pPr>
              <w:spacing w:after="0" w:line="240" w:lineRule="auto"/>
              <w:jc w:val="center"/>
              <w:rPr>
                <w:rFonts w:ascii="Times New Roman" w:eastAsia="Calibri" w:hAnsi="Times New Roman" w:cs="Times New Roman"/>
                <w:sz w:val="24"/>
                <w:szCs w:val="24"/>
                <w:lang w:eastAsia="lv-LV"/>
              </w:rPr>
            </w:pPr>
            <w:r w:rsidRPr="00484BF0">
              <w:rPr>
                <w:rFonts w:ascii="Times New Roman" w:eastAsia="Calibri" w:hAnsi="Times New Roman" w:cs="Times New Roman"/>
                <w:sz w:val="24"/>
                <w:szCs w:val="24"/>
                <w:lang w:eastAsia="lv-LV"/>
              </w:rPr>
              <w:t>4.</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710E9A39" w14:textId="77777777" w:rsidR="00484BF0" w:rsidRPr="00484BF0" w:rsidRDefault="00484BF0" w:rsidP="00484BF0">
            <w:pPr>
              <w:spacing w:after="0" w:line="240" w:lineRule="auto"/>
              <w:rPr>
                <w:rFonts w:ascii="Times New Roman" w:eastAsia="Calibri" w:hAnsi="Times New Roman" w:cs="Times New Roman"/>
                <w:sz w:val="24"/>
                <w:szCs w:val="24"/>
                <w:lang w:eastAsia="lv-LV"/>
              </w:rPr>
            </w:pPr>
            <w:r w:rsidRPr="00484BF0">
              <w:rPr>
                <w:rFonts w:ascii="Times New Roman" w:eastAsia="Calibri" w:hAnsi="Times New Roman" w:cs="Times New Roman"/>
                <w:sz w:val="24"/>
                <w:szCs w:val="24"/>
                <w:lang w:eastAsia="lv-LV"/>
              </w:rPr>
              <w:t>Atbilstības izmaksu monetārs novērtējums</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14:paraId="583F71BE" w14:textId="77777777" w:rsidR="00484BF0" w:rsidRPr="00484BF0" w:rsidRDefault="00484BF0" w:rsidP="00484BF0">
            <w:pPr>
              <w:tabs>
                <w:tab w:val="left" w:pos="317"/>
              </w:tabs>
              <w:spacing w:after="0" w:line="240" w:lineRule="auto"/>
              <w:ind w:left="-79"/>
              <w:contextualSpacing/>
              <w:jc w:val="both"/>
              <w:rPr>
                <w:rFonts w:ascii="Times New Roman" w:eastAsia="Times New Roman" w:hAnsi="Times New Roman" w:cs="Times New Roman"/>
                <w:bCs/>
                <w:sz w:val="24"/>
                <w:szCs w:val="24"/>
              </w:rPr>
            </w:pPr>
            <w:r w:rsidRPr="00484BF0">
              <w:rPr>
                <w:rFonts w:ascii="Times New Roman" w:eastAsia="Times New Roman" w:hAnsi="Times New Roman" w:cs="Times New Roman"/>
                <w:sz w:val="24"/>
                <w:szCs w:val="24"/>
                <w:lang w:eastAsia="lv-LV"/>
              </w:rPr>
              <w:t>Noteikumu projekts šo jomu neskar.</w:t>
            </w:r>
          </w:p>
        </w:tc>
      </w:tr>
      <w:tr w:rsidR="00484BF0" w:rsidRPr="00484BF0" w14:paraId="28F87264" w14:textId="77777777" w:rsidTr="00484BF0">
        <w:tc>
          <w:tcPr>
            <w:tcW w:w="426" w:type="dxa"/>
            <w:tcBorders>
              <w:top w:val="single" w:sz="4" w:space="0" w:color="auto"/>
              <w:left w:val="single" w:sz="4" w:space="0" w:color="auto"/>
              <w:bottom w:val="single" w:sz="4" w:space="0" w:color="auto"/>
              <w:right w:val="single" w:sz="4" w:space="0" w:color="auto"/>
            </w:tcBorders>
            <w:shd w:val="clear" w:color="auto" w:fill="auto"/>
          </w:tcPr>
          <w:p w14:paraId="0EC6C2DA" w14:textId="77777777" w:rsidR="00484BF0" w:rsidRPr="00484BF0" w:rsidRDefault="00484BF0" w:rsidP="00484BF0">
            <w:pPr>
              <w:spacing w:after="0" w:line="240" w:lineRule="auto"/>
              <w:jc w:val="center"/>
              <w:rPr>
                <w:rFonts w:ascii="Times New Roman" w:eastAsia="Calibri" w:hAnsi="Times New Roman" w:cs="Times New Roman"/>
                <w:sz w:val="24"/>
                <w:szCs w:val="24"/>
                <w:lang w:eastAsia="lv-LV"/>
              </w:rPr>
            </w:pPr>
            <w:r w:rsidRPr="00484BF0">
              <w:rPr>
                <w:rFonts w:ascii="Times New Roman" w:eastAsia="Calibri" w:hAnsi="Times New Roman" w:cs="Times New Roman"/>
                <w:sz w:val="24"/>
                <w:szCs w:val="24"/>
                <w:lang w:eastAsia="lv-LV"/>
              </w:rPr>
              <w:t>5.</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7A2DD9B8" w14:textId="77777777" w:rsidR="00484BF0" w:rsidRPr="00484BF0" w:rsidRDefault="00484BF0" w:rsidP="00484BF0">
            <w:pPr>
              <w:spacing w:after="0" w:line="240" w:lineRule="auto"/>
              <w:rPr>
                <w:rFonts w:ascii="Times New Roman" w:eastAsia="Calibri" w:hAnsi="Times New Roman" w:cs="Times New Roman"/>
                <w:color w:val="414142"/>
                <w:sz w:val="24"/>
                <w:szCs w:val="24"/>
                <w:lang w:eastAsia="lv-LV"/>
              </w:rPr>
            </w:pPr>
            <w:r w:rsidRPr="00484BF0">
              <w:rPr>
                <w:rFonts w:ascii="Times New Roman" w:eastAsia="Calibri" w:hAnsi="Times New Roman" w:cs="Times New Roman"/>
                <w:sz w:val="24"/>
                <w:szCs w:val="24"/>
                <w:lang w:eastAsia="lv-LV"/>
              </w:rPr>
              <w:t>Cita informācija</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14:paraId="4C064E58" w14:textId="77777777" w:rsidR="00484BF0" w:rsidRPr="00484BF0" w:rsidRDefault="00484BF0" w:rsidP="00484BF0">
            <w:pPr>
              <w:tabs>
                <w:tab w:val="left" w:pos="317"/>
              </w:tabs>
              <w:spacing w:after="0" w:line="240" w:lineRule="auto"/>
              <w:ind w:left="-79"/>
              <w:contextualSpacing/>
              <w:jc w:val="both"/>
              <w:rPr>
                <w:rFonts w:ascii="Times New Roman" w:eastAsia="Times New Roman" w:hAnsi="Times New Roman" w:cs="Times New Roman"/>
                <w:bCs/>
                <w:sz w:val="24"/>
                <w:szCs w:val="24"/>
              </w:rPr>
            </w:pPr>
            <w:r w:rsidRPr="00484BF0">
              <w:rPr>
                <w:rFonts w:ascii="Times New Roman" w:eastAsia="Times New Roman" w:hAnsi="Times New Roman" w:cs="Times New Roman"/>
                <w:bCs/>
                <w:sz w:val="24"/>
                <w:szCs w:val="24"/>
              </w:rPr>
              <w:t>Nav.</w:t>
            </w:r>
          </w:p>
        </w:tc>
      </w:tr>
    </w:tbl>
    <w:p w14:paraId="091CF328" w14:textId="77777777" w:rsidR="005C334C" w:rsidRDefault="005C334C" w:rsidP="005C334C">
      <w:pPr>
        <w:shd w:val="clear" w:color="auto" w:fill="FFFFFF"/>
        <w:spacing w:after="0" w:line="240" w:lineRule="auto"/>
        <w:rPr>
          <w:rFonts w:ascii="Times New Roman" w:eastAsia="Times New Roman" w:hAnsi="Times New Roman" w:cs="Times New Roman"/>
          <w:sz w:val="28"/>
          <w:szCs w:val="28"/>
          <w:lang w:eastAsia="lv-LV"/>
        </w:rPr>
      </w:pPr>
    </w:p>
    <w:tbl>
      <w:tblPr>
        <w:tblW w:w="5083"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9283"/>
      </w:tblGrid>
      <w:tr w:rsidR="00E17512" w:rsidRPr="00E17512" w14:paraId="04D74C00" w14:textId="77777777" w:rsidTr="00E17512">
        <w:tc>
          <w:tcPr>
            <w:tcW w:w="5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C08C68" w14:textId="77777777" w:rsidR="00E17512" w:rsidRPr="00E17512" w:rsidRDefault="00E17512" w:rsidP="00E17512">
            <w:pPr>
              <w:spacing w:after="0" w:line="240" w:lineRule="auto"/>
              <w:jc w:val="center"/>
              <w:rPr>
                <w:rFonts w:ascii="Times New Roman" w:eastAsia="Calibri" w:hAnsi="Times New Roman" w:cs="Times New Roman"/>
                <w:b/>
                <w:bCs/>
                <w:sz w:val="24"/>
                <w:szCs w:val="24"/>
                <w:lang w:eastAsia="lv-LV"/>
              </w:rPr>
            </w:pPr>
            <w:r w:rsidRPr="00CC61C7">
              <w:rPr>
                <w:rFonts w:ascii="Times New Roman" w:eastAsia="Calibri" w:hAnsi="Times New Roman" w:cs="Times New Roman"/>
                <w:b/>
                <w:bCs/>
                <w:sz w:val="24"/>
                <w:szCs w:val="24"/>
                <w:lang w:eastAsia="lv-LV"/>
              </w:rPr>
              <w:t>III. Tiesību akta projekta ietekme uz valsts budžetu un pašvaldību budžetiem</w:t>
            </w:r>
          </w:p>
        </w:tc>
      </w:tr>
      <w:tr w:rsidR="00F52BF9" w:rsidRPr="00E17512" w14:paraId="2D0C02F1" w14:textId="77777777" w:rsidTr="00F52BF9">
        <w:tc>
          <w:tcPr>
            <w:tcW w:w="50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54D99A5" w14:textId="448A6D77" w:rsidR="00F52BF9" w:rsidRPr="00E17512" w:rsidRDefault="00F52BF9" w:rsidP="00495DC6">
            <w:pPr>
              <w:spacing w:after="0" w:line="240" w:lineRule="auto"/>
              <w:jc w:val="center"/>
              <w:rPr>
                <w:rFonts w:ascii="Times New Roman" w:eastAsia="Calibri" w:hAnsi="Times New Roman" w:cs="Times New Roman"/>
                <w:sz w:val="24"/>
                <w:szCs w:val="24"/>
                <w:lang w:eastAsia="lv-LV"/>
              </w:rPr>
            </w:pPr>
            <w:r w:rsidRPr="00F52BF9">
              <w:rPr>
                <w:rFonts w:ascii="Times New Roman" w:eastAsia="Calibri" w:hAnsi="Times New Roman" w:cs="Times New Roman"/>
                <w:sz w:val="24"/>
                <w:szCs w:val="24"/>
                <w:lang w:eastAsia="lv-LV"/>
              </w:rPr>
              <w:t>Noteikumu projekts šo jomu neskar.</w:t>
            </w:r>
          </w:p>
        </w:tc>
      </w:tr>
    </w:tbl>
    <w:p w14:paraId="4644CE80" w14:textId="77777777" w:rsidR="001C18A0" w:rsidRDefault="001C18A0" w:rsidP="001C18A0">
      <w:pPr>
        <w:shd w:val="clear" w:color="auto" w:fill="FFFFFF"/>
        <w:spacing w:after="0" w:line="240" w:lineRule="auto"/>
        <w:rPr>
          <w:rFonts w:ascii="Arial" w:eastAsia="Times New Roman" w:hAnsi="Arial" w:cs="Arial"/>
          <w:sz w:val="27"/>
          <w:szCs w:val="27"/>
          <w:lang w:eastAsia="lv-LV"/>
        </w:rPr>
      </w:pPr>
      <w:r w:rsidRPr="00BB2D8F">
        <w:rPr>
          <w:rFonts w:ascii="Arial" w:eastAsia="Times New Roman" w:hAnsi="Arial" w:cs="Arial"/>
          <w:sz w:val="27"/>
          <w:szCs w:val="27"/>
          <w:lang w:eastAsia="lv-LV"/>
        </w:rPr>
        <w:t> </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tblGrid>
      <w:tr w:rsidR="00F40679" w:rsidRPr="00F40679" w14:paraId="74107128" w14:textId="77777777" w:rsidTr="008A273C">
        <w:tc>
          <w:tcPr>
            <w:tcW w:w="5000" w:type="pct"/>
            <w:shd w:val="clear" w:color="auto" w:fill="auto"/>
          </w:tcPr>
          <w:p w14:paraId="73072481" w14:textId="0C04CF8B" w:rsidR="00F40679" w:rsidRPr="00F40679" w:rsidRDefault="00F40679" w:rsidP="00EC06A8">
            <w:pPr>
              <w:spacing w:after="0" w:line="240" w:lineRule="auto"/>
              <w:jc w:val="center"/>
              <w:rPr>
                <w:rFonts w:ascii="Times New Roman" w:eastAsia="Times New Roman" w:hAnsi="Times New Roman" w:cs="Times New Roman"/>
                <w:b/>
                <w:sz w:val="24"/>
                <w:szCs w:val="24"/>
                <w:lang w:eastAsia="lv-LV"/>
              </w:rPr>
            </w:pPr>
            <w:r w:rsidRPr="00F40679">
              <w:rPr>
                <w:rFonts w:ascii="Times New Roman" w:eastAsia="Times New Roman" w:hAnsi="Times New Roman" w:cs="Times New Roman"/>
                <w:b/>
                <w:sz w:val="24"/>
                <w:szCs w:val="24"/>
                <w:lang w:eastAsia="lv-LV"/>
              </w:rPr>
              <w:t>IV.  Tiesību akta projekta ietekme uz spēkā esošo tiesību normu sistēmu</w:t>
            </w:r>
          </w:p>
        </w:tc>
      </w:tr>
      <w:tr w:rsidR="00F26C9E" w:rsidRPr="00F40679" w14:paraId="3D622A8F" w14:textId="77777777" w:rsidTr="00F741EB">
        <w:tc>
          <w:tcPr>
            <w:tcW w:w="5000" w:type="pct"/>
            <w:shd w:val="clear" w:color="auto" w:fill="auto"/>
          </w:tcPr>
          <w:p w14:paraId="150008E6" w14:textId="0AB90629" w:rsidR="00F26C9E" w:rsidRPr="00923210" w:rsidRDefault="00F26C9E" w:rsidP="00F741EB">
            <w:pPr>
              <w:spacing w:after="0" w:line="240" w:lineRule="auto"/>
              <w:jc w:val="center"/>
              <w:rPr>
                <w:rFonts w:ascii="Times New Roman" w:hAnsi="Times New Roman" w:cs="Times New Roman"/>
                <w:sz w:val="24"/>
                <w:szCs w:val="24"/>
              </w:rPr>
            </w:pPr>
            <w:r w:rsidRPr="00F52BF9">
              <w:rPr>
                <w:rFonts w:ascii="Times New Roman" w:eastAsia="Calibri" w:hAnsi="Times New Roman" w:cs="Times New Roman"/>
                <w:sz w:val="24"/>
                <w:szCs w:val="24"/>
                <w:lang w:eastAsia="lv-LV"/>
              </w:rPr>
              <w:t>Noteikumu projekts šo jomu neskar.</w:t>
            </w:r>
          </w:p>
        </w:tc>
      </w:tr>
    </w:tbl>
    <w:p w14:paraId="536D580A" w14:textId="77777777" w:rsidR="00F40679" w:rsidRPr="00BB2D8F" w:rsidRDefault="00F40679" w:rsidP="001C18A0">
      <w:pPr>
        <w:shd w:val="clear" w:color="auto" w:fill="FFFFFF"/>
        <w:spacing w:after="0" w:line="240" w:lineRule="auto"/>
        <w:rPr>
          <w:rFonts w:ascii="Arial" w:eastAsia="Times New Roman" w:hAnsi="Arial" w:cs="Arial"/>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1C18A0" w:rsidRPr="00BB2D8F" w14:paraId="603F4A54" w14:textId="77777777" w:rsidTr="00BC76BE">
        <w:tc>
          <w:tcPr>
            <w:tcW w:w="0" w:type="auto"/>
            <w:tcBorders>
              <w:top w:val="outset" w:sz="6" w:space="0" w:color="414142"/>
              <w:left w:val="outset" w:sz="6" w:space="0" w:color="414142"/>
              <w:bottom w:val="outset" w:sz="6" w:space="0" w:color="414142"/>
              <w:right w:val="outset" w:sz="6" w:space="0" w:color="414142"/>
            </w:tcBorders>
            <w:vAlign w:val="center"/>
            <w:hideMark/>
          </w:tcPr>
          <w:p w14:paraId="58B2D918" w14:textId="77777777" w:rsidR="001C18A0" w:rsidRPr="00BB2D8F" w:rsidRDefault="001C18A0" w:rsidP="00BC76BE">
            <w:pPr>
              <w:spacing w:after="100" w:afterAutospacing="1" w:line="254" w:lineRule="atLeast"/>
              <w:jc w:val="center"/>
              <w:rPr>
                <w:rFonts w:ascii="Times New Roman" w:eastAsia="Times New Roman" w:hAnsi="Times New Roman" w:cs="Times New Roman"/>
                <w:b/>
                <w:bCs/>
                <w:sz w:val="24"/>
                <w:szCs w:val="24"/>
                <w:lang w:eastAsia="lv-LV"/>
              </w:rPr>
            </w:pPr>
            <w:r w:rsidRPr="00BB2D8F">
              <w:rPr>
                <w:rFonts w:ascii="Times New Roman" w:eastAsia="Times New Roman" w:hAnsi="Times New Roman" w:cs="Times New Roman"/>
                <w:b/>
                <w:bCs/>
                <w:sz w:val="24"/>
                <w:szCs w:val="24"/>
                <w:lang w:eastAsia="lv-LV"/>
              </w:rPr>
              <w:t>V. Tiesību akta projekta atbilstība Latvijas Republikas starptautiskajām saistībām</w:t>
            </w:r>
          </w:p>
        </w:tc>
      </w:tr>
      <w:tr w:rsidR="001C18A0" w:rsidRPr="00BB2D8F" w14:paraId="3E369D1B" w14:textId="77777777" w:rsidTr="00BC76BE">
        <w:tc>
          <w:tcPr>
            <w:tcW w:w="5000" w:type="pct"/>
            <w:tcBorders>
              <w:top w:val="outset" w:sz="6" w:space="0" w:color="414142"/>
              <w:left w:val="outset" w:sz="6" w:space="0" w:color="414142"/>
              <w:bottom w:val="outset" w:sz="6" w:space="0" w:color="414142"/>
              <w:right w:val="outset" w:sz="6" w:space="0" w:color="414142"/>
            </w:tcBorders>
            <w:hideMark/>
          </w:tcPr>
          <w:p w14:paraId="771365D5" w14:textId="77777777" w:rsidR="001C18A0" w:rsidRPr="00BB2D8F" w:rsidRDefault="001C18A0" w:rsidP="00BC76BE">
            <w:pPr>
              <w:spacing w:after="0" w:line="240" w:lineRule="auto"/>
              <w:jc w:val="center"/>
              <w:rPr>
                <w:rFonts w:ascii="Times New Roman" w:eastAsia="Times New Roman" w:hAnsi="Times New Roman" w:cs="Times New Roman"/>
                <w:sz w:val="24"/>
                <w:szCs w:val="24"/>
                <w:lang w:eastAsia="lv-LV"/>
              </w:rPr>
            </w:pPr>
            <w:r>
              <w:rPr>
                <w:rFonts w:ascii="Times New Roman" w:eastAsia="Calibri" w:hAnsi="Times New Roman" w:cs="Times New Roman"/>
                <w:iCs/>
                <w:sz w:val="24"/>
                <w:szCs w:val="24"/>
                <w:lang w:eastAsia="lv-LV"/>
              </w:rPr>
              <w:t>Noteikumu p</w:t>
            </w:r>
            <w:r w:rsidRPr="00BB2D8F">
              <w:rPr>
                <w:rFonts w:ascii="Times New Roman" w:eastAsia="Times New Roman" w:hAnsi="Times New Roman" w:cs="Times New Roman"/>
                <w:sz w:val="24"/>
                <w:szCs w:val="24"/>
                <w:lang w:eastAsia="lv-LV"/>
              </w:rPr>
              <w:t>rojekts šo jomu neskar.</w:t>
            </w:r>
          </w:p>
        </w:tc>
      </w:tr>
    </w:tbl>
    <w:p w14:paraId="41623BD1" w14:textId="77777777" w:rsidR="005C334C" w:rsidRPr="00F24248" w:rsidRDefault="005C334C" w:rsidP="005C334C">
      <w:pPr>
        <w:shd w:val="clear" w:color="auto" w:fill="FFFFFF"/>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8"/>
        <w:gridCol w:w="2303"/>
        <w:gridCol w:w="6280"/>
      </w:tblGrid>
      <w:tr w:rsidR="003C26C4" w:rsidRPr="00F24248" w14:paraId="6644C588" w14:textId="77777777" w:rsidTr="00BC76BE">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09D86AE" w14:textId="77777777" w:rsidR="005C334C" w:rsidRPr="00F24248" w:rsidRDefault="005C334C" w:rsidP="00BC76BE">
            <w:pPr>
              <w:spacing w:after="100" w:afterAutospacing="1" w:line="254" w:lineRule="atLeast"/>
              <w:jc w:val="center"/>
              <w:rPr>
                <w:rFonts w:ascii="Times New Roman" w:eastAsia="Times New Roman" w:hAnsi="Times New Roman" w:cs="Times New Roman"/>
                <w:b/>
                <w:bCs/>
                <w:sz w:val="24"/>
                <w:szCs w:val="24"/>
                <w:lang w:eastAsia="lv-LV"/>
              </w:rPr>
            </w:pPr>
            <w:r w:rsidRPr="00F24248">
              <w:rPr>
                <w:rFonts w:ascii="Times New Roman" w:eastAsia="Times New Roman" w:hAnsi="Times New Roman" w:cs="Times New Roman"/>
                <w:b/>
                <w:bCs/>
                <w:sz w:val="24"/>
                <w:szCs w:val="24"/>
                <w:lang w:eastAsia="lv-LV"/>
              </w:rPr>
              <w:t>VI. Sabiedrības līdzdalība un komunikācijas aktivitātes</w:t>
            </w:r>
          </w:p>
        </w:tc>
      </w:tr>
      <w:tr w:rsidR="003C26C4" w:rsidRPr="00F24248" w14:paraId="0DB481C2"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775AEA37"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1.</w:t>
            </w:r>
          </w:p>
        </w:tc>
        <w:tc>
          <w:tcPr>
            <w:tcW w:w="1261" w:type="pct"/>
            <w:tcBorders>
              <w:top w:val="outset" w:sz="6" w:space="0" w:color="414142"/>
              <w:left w:val="outset" w:sz="6" w:space="0" w:color="414142"/>
              <w:bottom w:val="outset" w:sz="6" w:space="0" w:color="414142"/>
              <w:right w:val="outset" w:sz="6" w:space="0" w:color="414142"/>
            </w:tcBorders>
            <w:hideMark/>
          </w:tcPr>
          <w:p w14:paraId="75D82AD3"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Plānotās sabiedrības līdzdalības un komunikācijas aktivitātes saistībā ar projektu</w:t>
            </w:r>
          </w:p>
        </w:tc>
        <w:tc>
          <w:tcPr>
            <w:tcW w:w="3439" w:type="pct"/>
            <w:tcBorders>
              <w:top w:val="outset" w:sz="6" w:space="0" w:color="414142"/>
              <w:left w:val="outset" w:sz="6" w:space="0" w:color="414142"/>
              <w:bottom w:val="outset" w:sz="6" w:space="0" w:color="414142"/>
              <w:right w:val="outset" w:sz="6" w:space="0" w:color="414142"/>
            </w:tcBorders>
            <w:hideMark/>
          </w:tcPr>
          <w:p w14:paraId="00EFE1C2" w14:textId="6856F0DD" w:rsidR="005C334C" w:rsidRPr="00F24248" w:rsidRDefault="00923210" w:rsidP="006C39FC">
            <w:pPr>
              <w:spacing w:after="0" w:line="240" w:lineRule="auto"/>
              <w:jc w:val="both"/>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Sabiedrības līdzdalība noteikumu projekta izstrādē tik</w:t>
            </w:r>
            <w:r w:rsidR="00E87C7C">
              <w:rPr>
                <w:rFonts w:ascii="Times New Roman" w:eastAsia="Times New Roman" w:hAnsi="Times New Roman" w:cs="Times New Roman"/>
                <w:sz w:val="24"/>
                <w:szCs w:val="24"/>
                <w:lang w:eastAsia="lv-LV"/>
              </w:rPr>
              <w:t>a</w:t>
            </w:r>
            <w:r w:rsidRPr="00D16297">
              <w:rPr>
                <w:rFonts w:ascii="Times New Roman" w:eastAsia="Times New Roman" w:hAnsi="Times New Roman" w:cs="Times New Roman"/>
                <w:sz w:val="24"/>
                <w:szCs w:val="24"/>
                <w:lang w:eastAsia="lv-LV"/>
              </w:rPr>
              <w:t xml:space="preserve"> nodrošināta, ievietojot informāciju par noteikumu projektu </w:t>
            </w:r>
            <w:r w:rsidR="006C39FC">
              <w:rPr>
                <w:rFonts w:ascii="Times New Roman" w:hAnsi="Times New Roman" w:cs="Times New Roman"/>
                <w:bCs/>
                <w:sz w:val="24"/>
                <w:szCs w:val="24"/>
              </w:rPr>
              <w:t xml:space="preserve">ministrijas </w:t>
            </w:r>
            <w:r w:rsidRPr="00D16297">
              <w:rPr>
                <w:rFonts w:ascii="Times New Roman" w:hAnsi="Times New Roman" w:cs="Times New Roman"/>
                <w:bCs/>
                <w:sz w:val="24"/>
                <w:szCs w:val="24"/>
              </w:rPr>
              <w:t xml:space="preserve">tīmekļvietnē </w:t>
            </w:r>
            <w:hyperlink r:id="rId8" w:history="1">
              <w:r w:rsidRPr="00D16297">
                <w:rPr>
                  <w:rStyle w:val="Hyperlink"/>
                  <w:rFonts w:ascii="Times New Roman" w:hAnsi="Times New Roman" w:cs="Times New Roman"/>
                  <w:bCs/>
                  <w:color w:val="auto"/>
                  <w:sz w:val="24"/>
                  <w:szCs w:val="24"/>
                  <w:u w:val="none"/>
                </w:rPr>
                <w:t>www.izm.gov.lv</w:t>
              </w:r>
            </w:hyperlink>
            <w:r w:rsidRPr="00D16297">
              <w:rPr>
                <w:rFonts w:ascii="Times New Roman" w:hAnsi="Times New Roman" w:cs="Times New Roman"/>
                <w:bCs/>
                <w:sz w:val="24"/>
                <w:szCs w:val="24"/>
              </w:rPr>
              <w:t xml:space="preserve"> (</w:t>
            </w:r>
            <w:r w:rsidRPr="0044198D">
              <w:rPr>
                <w:rFonts w:ascii="Times New Roman" w:hAnsi="Times New Roman" w:cs="Times New Roman"/>
                <w:bCs/>
                <w:sz w:val="24"/>
                <w:szCs w:val="24"/>
              </w:rPr>
              <w:t xml:space="preserve">sadaļā </w:t>
            </w:r>
            <w:r w:rsidR="0044198D" w:rsidRPr="0044198D">
              <w:rPr>
                <w:rFonts w:ascii="Times New Roman" w:hAnsi="Times New Roman" w:cs="Times New Roman"/>
                <w:bCs/>
                <w:sz w:val="24"/>
                <w:szCs w:val="24"/>
              </w:rPr>
              <w:t>Sabiedrības līdzdalība</w:t>
            </w:r>
            <w:r w:rsidRPr="0044198D">
              <w:rPr>
                <w:rFonts w:ascii="Times New Roman" w:hAnsi="Times New Roman" w:cs="Times New Roman"/>
                <w:bCs/>
                <w:sz w:val="24"/>
                <w:szCs w:val="24"/>
              </w:rPr>
              <w:t> → </w:t>
            </w:r>
            <w:r w:rsidR="0044198D">
              <w:rPr>
                <w:rFonts w:ascii="Times New Roman" w:hAnsi="Times New Roman" w:cs="Times New Roman"/>
                <w:bCs/>
                <w:sz w:val="24"/>
                <w:szCs w:val="24"/>
              </w:rPr>
              <w:t>Sabiedriskajai apspriešanai nodotie normatī</w:t>
            </w:r>
            <w:r w:rsidR="0044198D" w:rsidRPr="0044198D">
              <w:rPr>
                <w:rFonts w:ascii="Times New Roman" w:hAnsi="Times New Roman" w:cs="Times New Roman"/>
                <w:bCs/>
                <w:sz w:val="24"/>
                <w:szCs w:val="24"/>
              </w:rPr>
              <w:t>vo</w:t>
            </w:r>
            <w:r w:rsidR="0044198D">
              <w:rPr>
                <w:rFonts w:ascii="Times New Roman" w:hAnsi="Times New Roman" w:cs="Times New Roman"/>
                <w:bCs/>
                <w:sz w:val="24"/>
                <w:szCs w:val="24"/>
              </w:rPr>
              <w:t xml:space="preserve"> </w:t>
            </w:r>
            <w:r w:rsidR="0044198D" w:rsidRPr="0044198D">
              <w:rPr>
                <w:rFonts w:ascii="Times New Roman" w:hAnsi="Times New Roman" w:cs="Times New Roman"/>
                <w:bCs/>
                <w:sz w:val="24"/>
                <w:szCs w:val="24"/>
              </w:rPr>
              <w:t>aktu</w:t>
            </w:r>
            <w:r w:rsidR="0044198D">
              <w:rPr>
                <w:rFonts w:ascii="Times New Roman" w:hAnsi="Times New Roman" w:cs="Times New Roman"/>
                <w:bCs/>
                <w:sz w:val="24"/>
                <w:szCs w:val="24"/>
              </w:rPr>
              <w:t xml:space="preserve"> </w:t>
            </w:r>
            <w:r w:rsidR="0044198D" w:rsidRPr="0044198D">
              <w:rPr>
                <w:rFonts w:ascii="Times New Roman" w:hAnsi="Times New Roman" w:cs="Times New Roman"/>
                <w:bCs/>
                <w:sz w:val="24"/>
                <w:szCs w:val="24"/>
              </w:rPr>
              <w:t>projekti</w:t>
            </w:r>
            <w:r w:rsidRPr="00D16297">
              <w:rPr>
                <w:rFonts w:ascii="Times New Roman" w:hAnsi="Times New Roman" w:cs="Times New Roman"/>
                <w:bCs/>
                <w:sz w:val="24"/>
                <w:szCs w:val="24"/>
              </w:rPr>
              <w:t xml:space="preserve">) </w:t>
            </w:r>
            <w:r w:rsidRPr="00D16297">
              <w:rPr>
                <w:rFonts w:ascii="Times New Roman" w:eastAsia="Times New Roman" w:hAnsi="Times New Roman" w:cs="Times New Roman"/>
                <w:sz w:val="24"/>
                <w:szCs w:val="24"/>
                <w:lang w:eastAsia="lv-LV"/>
              </w:rPr>
              <w:t xml:space="preserve">un aicinot sabiedrības pārstāvjus rakstiski sniegt viedokli par noteikumu projektu tā izstrādes stadijā – nosūtot viedokli elektroniski uz elektronisko pasta adresi: </w:t>
            </w:r>
            <w:hyperlink r:id="rId9" w:history="1">
              <w:r w:rsidRPr="00D16297">
                <w:rPr>
                  <w:rStyle w:val="Hyperlink"/>
                  <w:rFonts w:ascii="Times New Roman" w:eastAsia="Times New Roman" w:hAnsi="Times New Roman" w:cs="Times New Roman"/>
                  <w:bCs/>
                  <w:color w:val="auto"/>
                  <w:sz w:val="24"/>
                  <w:szCs w:val="24"/>
                  <w:lang w:eastAsia="lv-LV"/>
                </w:rPr>
                <w:t>pasts@izm.gov.lv</w:t>
              </w:r>
            </w:hyperlink>
            <w:r w:rsidRPr="00D16297">
              <w:rPr>
                <w:rFonts w:ascii="Times New Roman" w:eastAsia="Times New Roman" w:hAnsi="Times New Roman" w:cs="Times New Roman"/>
                <w:sz w:val="24"/>
                <w:szCs w:val="24"/>
                <w:lang w:eastAsia="lv-LV"/>
              </w:rPr>
              <w:t xml:space="preserve"> vai sniedzot viedokli klāti</w:t>
            </w:r>
            <w:r w:rsidR="00E87C7C">
              <w:rPr>
                <w:rFonts w:ascii="Times New Roman" w:eastAsia="Times New Roman" w:hAnsi="Times New Roman" w:cs="Times New Roman"/>
                <w:sz w:val="24"/>
                <w:szCs w:val="24"/>
                <w:lang w:eastAsia="lv-LV"/>
              </w:rPr>
              <w:t>enē. Sabiedrības pārstāvji var</w:t>
            </w:r>
            <w:r w:rsidRPr="00D16297">
              <w:rPr>
                <w:rFonts w:ascii="Times New Roman" w:eastAsia="Times New Roman" w:hAnsi="Times New Roman" w:cs="Times New Roman"/>
                <w:sz w:val="24"/>
                <w:szCs w:val="24"/>
                <w:lang w:eastAsia="lv-LV"/>
              </w:rPr>
              <w:t xml:space="preserve"> līdzdarboties noteikumu projekta izstrādē, sniedzot atzinumu un viedokli par noteikumu projektu.</w:t>
            </w:r>
          </w:p>
        </w:tc>
      </w:tr>
      <w:tr w:rsidR="003C26C4" w:rsidRPr="00F24248" w14:paraId="5F0FDC26"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60E29E62"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lastRenderedPageBreak/>
              <w:t>2.</w:t>
            </w:r>
          </w:p>
        </w:tc>
        <w:tc>
          <w:tcPr>
            <w:tcW w:w="1261" w:type="pct"/>
            <w:tcBorders>
              <w:top w:val="outset" w:sz="6" w:space="0" w:color="414142"/>
              <w:left w:val="outset" w:sz="6" w:space="0" w:color="414142"/>
              <w:bottom w:val="outset" w:sz="6" w:space="0" w:color="414142"/>
              <w:right w:val="outset" w:sz="6" w:space="0" w:color="414142"/>
            </w:tcBorders>
            <w:hideMark/>
          </w:tcPr>
          <w:p w14:paraId="70E2EFB3"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Sabiedrības līdzdalība projekta izstrādē</w:t>
            </w:r>
          </w:p>
        </w:tc>
        <w:tc>
          <w:tcPr>
            <w:tcW w:w="3439" w:type="pct"/>
            <w:tcBorders>
              <w:top w:val="outset" w:sz="6" w:space="0" w:color="414142"/>
              <w:left w:val="outset" w:sz="6" w:space="0" w:color="414142"/>
              <w:bottom w:val="outset" w:sz="6" w:space="0" w:color="414142"/>
              <w:right w:val="outset" w:sz="6" w:space="0" w:color="414142"/>
            </w:tcBorders>
            <w:hideMark/>
          </w:tcPr>
          <w:p w14:paraId="4D12A34F" w14:textId="1FBE798D" w:rsidR="005C334C" w:rsidRPr="00F24248" w:rsidRDefault="00923210" w:rsidP="00F2662A">
            <w:pPr>
              <w:spacing w:after="0" w:line="240" w:lineRule="auto"/>
              <w:jc w:val="both"/>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Sabiedrības grupu viedoklis tiks apkopots, izmantojot sabiedrības līdzdalības un komunikācijas aktivitāšu rezultātus.</w:t>
            </w:r>
          </w:p>
        </w:tc>
      </w:tr>
      <w:tr w:rsidR="003C26C4" w:rsidRPr="00F24248" w14:paraId="593BDC25"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7E7D7E75"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3.</w:t>
            </w:r>
          </w:p>
        </w:tc>
        <w:tc>
          <w:tcPr>
            <w:tcW w:w="1261" w:type="pct"/>
            <w:tcBorders>
              <w:top w:val="outset" w:sz="6" w:space="0" w:color="414142"/>
              <w:left w:val="outset" w:sz="6" w:space="0" w:color="414142"/>
              <w:bottom w:val="outset" w:sz="6" w:space="0" w:color="414142"/>
              <w:right w:val="outset" w:sz="6" w:space="0" w:color="414142"/>
            </w:tcBorders>
            <w:hideMark/>
          </w:tcPr>
          <w:p w14:paraId="2F695AD9"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Sabiedrības līdzdalības rezultāti</w:t>
            </w:r>
          </w:p>
        </w:tc>
        <w:tc>
          <w:tcPr>
            <w:tcW w:w="3439" w:type="pct"/>
            <w:tcBorders>
              <w:top w:val="outset" w:sz="6" w:space="0" w:color="414142"/>
              <w:left w:val="outset" w:sz="6" w:space="0" w:color="414142"/>
              <w:bottom w:val="outset" w:sz="6" w:space="0" w:color="414142"/>
              <w:right w:val="outset" w:sz="6" w:space="0" w:color="414142"/>
            </w:tcBorders>
            <w:hideMark/>
          </w:tcPr>
          <w:p w14:paraId="77CEF28C" w14:textId="350FFFE9" w:rsidR="005C334C" w:rsidRPr="007D65BF" w:rsidRDefault="00923210" w:rsidP="003402D9">
            <w:pPr>
              <w:spacing w:after="0" w:line="240" w:lineRule="auto"/>
              <w:jc w:val="both"/>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Ja līdz sabiedrības līdzdalības procesa beigām tiks saņemti sabiedrības pārstāvju viedokļi, tad tie tiks vērtēti noteikumu projekta saskaņošanas procesā un attiecīgi tiks precizēts noteikumu projekts un tā anotācija pirms noteikumu projekta iesniegšanas izskatīšanai Ministru kabineta sēdē.</w:t>
            </w:r>
          </w:p>
        </w:tc>
      </w:tr>
      <w:tr w:rsidR="003C26C4" w:rsidRPr="00F24248" w14:paraId="289FA3DA"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687957DF"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4.</w:t>
            </w:r>
          </w:p>
        </w:tc>
        <w:tc>
          <w:tcPr>
            <w:tcW w:w="1261" w:type="pct"/>
            <w:tcBorders>
              <w:top w:val="outset" w:sz="6" w:space="0" w:color="414142"/>
              <w:left w:val="outset" w:sz="6" w:space="0" w:color="414142"/>
              <w:bottom w:val="outset" w:sz="6" w:space="0" w:color="414142"/>
              <w:right w:val="outset" w:sz="6" w:space="0" w:color="414142"/>
            </w:tcBorders>
            <w:hideMark/>
          </w:tcPr>
          <w:p w14:paraId="122CFD73" w14:textId="77777777" w:rsidR="005C334C" w:rsidRPr="00876CCA" w:rsidRDefault="005C334C" w:rsidP="00BC76BE">
            <w:pPr>
              <w:spacing w:after="0" w:line="240" w:lineRule="auto"/>
              <w:rPr>
                <w:rFonts w:ascii="Times New Roman" w:eastAsia="Times New Roman" w:hAnsi="Times New Roman" w:cs="Times New Roman"/>
                <w:sz w:val="24"/>
                <w:szCs w:val="24"/>
                <w:lang w:eastAsia="lv-LV"/>
              </w:rPr>
            </w:pPr>
            <w:r w:rsidRPr="00876CCA">
              <w:rPr>
                <w:rFonts w:ascii="Times New Roman" w:eastAsia="Times New Roman" w:hAnsi="Times New Roman" w:cs="Times New Roman"/>
                <w:sz w:val="24"/>
                <w:szCs w:val="24"/>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14:paraId="6303ECC8" w14:textId="53157C14" w:rsidR="005C334C" w:rsidRPr="00876CCA" w:rsidRDefault="005C334C" w:rsidP="006934B5">
            <w:pPr>
              <w:spacing w:after="0" w:line="240" w:lineRule="auto"/>
              <w:jc w:val="both"/>
              <w:rPr>
                <w:rFonts w:ascii="Times New Roman" w:eastAsia="Times New Roman" w:hAnsi="Times New Roman" w:cs="Times New Roman"/>
                <w:sz w:val="24"/>
                <w:szCs w:val="24"/>
                <w:lang w:eastAsia="lv-LV"/>
              </w:rPr>
            </w:pPr>
          </w:p>
        </w:tc>
      </w:tr>
    </w:tbl>
    <w:p w14:paraId="0F5DAAF4" w14:textId="2F4B5FB1" w:rsidR="005C334C" w:rsidRPr="00F24248" w:rsidRDefault="005C334C" w:rsidP="005C334C">
      <w:pPr>
        <w:shd w:val="clear" w:color="auto" w:fill="FFFFFF"/>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8"/>
        <w:gridCol w:w="3590"/>
        <w:gridCol w:w="4993"/>
      </w:tblGrid>
      <w:tr w:rsidR="003C26C4" w:rsidRPr="00F24248" w14:paraId="5B4085DE" w14:textId="77777777" w:rsidTr="00BC76BE">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774146E" w14:textId="77777777" w:rsidR="005C334C" w:rsidRPr="00F24248" w:rsidRDefault="005C334C" w:rsidP="00BC76BE">
            <w:pPr>
              <w:spacing w:after="100" w:afterAutospacing="1" w:line="254" w:lineRule="atLeast"/>
              <w:jc w:val="center"/>
              <w:rPr>
                <w:rFonts w:ascii="Times New Roman" w:eastAsia="Times New Roman" w:hAnsi="Times New Roman" w:cs="Times New Roman"/>
                <w:b/>
                <w:bCs/>
                <w:sz w:val="24"/>
                <w:szCs w:val="24"/>
                <w:lang w:eastAsia="lv-LV"/>
              </w:rPr>
            </w:pPr>
            <w:r w:rsidRPr="00F24248">
              <w:rPr>
                <w:rFonts w:ascii="Times New Roman" w:eastAsia="Times New Roman" w:hAnsi="Times New Roman" w:cs="Times New Roman"/>
                <w:b/>
                <w:bCs/>
                <w:sz w:val="24"/>
                <w:szCs w:val="24"/>
                <w:lang w:eastAsia="lv-LV"/>
              </w:rPr>
              <w:t>VII. Tiesību akta projekta izpildes nodrošināšana un tās ietekme uz institūcijām</w:t>
            </w:r>
          </w:p>
        </w:tc>
      </w:tr>
      <w:tr w:rsidR="003C26C4" w:rsidRPr="00F24248" w14:paraId="12F391E9" w14:textId="77777777" w:rsidTr="00EC06A8">
        <w:tc>
          <w:tcPr>
            <w:tcW w:w="300" w:type="pct"/>
            <w:tcBorders>
              <w:top w:val="outset" w:sz="6" w:space="0" w:color="414142"/>
              <w:left w:val="outset" w:sz="6" w:space="0" w:color="414142"/>
              <w:bottom w:val="outset" w:sz="6" w:space="0" w:color="414142"/>
              <w:right w:val="outset" w:sz="6" w:space="0" w:color="414142"/>
            </w:tcBorders>
            <w:hideMark/>
          </w:tcPr>
          <w:p w14:paraId="555C818B"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1.</w:t>
            </w:r>
          </w:p>
        </w:tc>
        <w:tc>
          <w:tcPr>
            <w:tcW w:w="1966" w:type="pct"/>
            <w:tcBorders>
              <w:top w:val="outset" w:sz="6" w:space="0" w:color="414142"/>
              <w:left w:val="outset" w:sz="6" w:space="0" w:color="414142"/>
              <w:bottom w:val="outset" w:sz="6" w:space="0" w:color="414142"/>
              <w:right w:val="outset" w:sz="6" w:space="0" w:color="414142"/>
            </w:tcBorders>
            <w:hideMark/>
          </w:tcPr>
          <w:p w14:paraId="58E2A0EA"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Projekta izpildē iesaistītās institūcijas</w:t>
            </w:r>
          </w:p>
        </w:tc>
        <w:tc>
          <w:tcPr>
            <w:tcW w:w="2734" w:type="pct"/>
            <w:tcBorders>
              <w:top w:val="outset" w:sz="6" w:space="0" w:color="414142"/>
              <w:left w:val="outset" w:sz="6" w:space="0" w:color="414142"/>
              <w:bottom w:val="outset" w:sz="6" w:space="0" w:color="414142"/>
              <w:right w:val="outset" w:sz="6" w:space="0" w:color="414142"/>
            </w:tcBorders>
            <w:hideMark/>
          </w:tcPr>
          <w:p w14:paraId="09440EAC" w14:textId="0705477A" w:rsidR="005C334C" w:rsidRPr="00F24248" w:rsidRDefault="006C39FC" w:rsidP="003233C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Ministrija</w:t>
            </w:r>
            <w:r w:rsidR="003233C6">
              <w:rPr>
                <w:rFonts w:ascii="Times New Roman" w:eastAsia="Times New Roman" w:hAnsi="Times New Roman" w:cs="Times New Roman"/>
                <w:sz w:val="24"/>
                <w:szCs w:val="24"/>
                <w:lang w:eastAsia="lv-LV"/>
              </w:rPr>
              <w:t xml:space="preserve"> </w:t>
            </w:r>
            <w:r w:rsidR="00080741" w:rsidRPr="00F24248">
              <w:rPr>
                <w:rFonts w:ascii="Times New Roman" w:eastAsia="Times New Roman" w:hAnsi="Times New Roman" w:cs="Times New Roman"/>
                <w:sz w:val="24"/>
                <w:szCs w:val="24"/>
                <w:lang w:eastAsia="lv-LV"/>
              </w:rPr>
              <w:t>(pilda atbildīgās iestādes funkcijas)</w:t>
            </w:r>
            <w:r w:rsidR="005C334C" w:rsidRPr="00F24248">
              <w:rPr>
                <w:rFonts w:ascii="Times New Roman" w:eastAsia="Times New Roman" w:hAnsi="Times New Roman" w:cs="Times New Roman"/>
                <w:sz w:val="24"/>
                <w:szCs w:val="24"/>
                <w:lang w:eastAsia="lv-LV"/>
              </w:rPr>
              <w:t xml:space="preserve">, </w:t>
            </w:r>
            <w:r w:rsidR="00612BF8">
              <w:rPr>
                <w:rFonts w:ascii="Times New Roman" w:eastAsia="Times New Roman" w:hAnsi="Times New Roman" w:cs="Times New Roman"/>
                <w:sz w:val="24"/>
                <w:szCs w:val="24"/>
                <w:lang w:eastAsia="lv-LV"/>
              </w:rPr>
              <w:t>Augstākās izglītības institūcijas</w:t>
            </w:r>
            <w:r w:rsidR="005C334C" w:rsidRPr="00F24248">
              <w:rPr>
                <w:rFonts w:ascii="Times New Roman" w:eastAsia="Times New Roman" w:hAnsi="Times New Roman" w:cs="Times New Roman"/>
                <w:sz w:val="24"/>
                <w:szCs w:val="24"/>
                <w:lang w:eastAsia="lv-LV"/>
              </w:rPr>
              <w:t xml:space="preserve"> </w:t>
            </w:r>
            <w:r w:rsidR="00080741" w:rsidRPr="00F24248">
              <w:rPr>
                <w:rFonts w:ascii="Times New Roman" w:eastAsia="Times New Roman" w:hAnsi="Times New Roman" w:cs="Times New Roman"/>
                <w:sz w:val="24"/>
                <w:szCs w:val="24"/>
                <w:lang w:eastAsia="lv-LV"/>
              </w:rPr>
              <w:t>(</w:t>
            </w:r>
            <w:r w:rsidR="005C334C" w:rsidRPr="00F24248">
              <w:rPr>
                <w:rFonts w:ascii="Times New Roman" w:eastAsia="Times New Roman" w:hAnsi="Times New Roman" w:cs="Times New Roman"/>
                <w:sz w:val="24"/>
                <w:szCs w:val="24"/>
                <w:lang w:eastAsia="lv-LV"/>
              </w:rPr>
              <w:t>finansējuma saņēmēj</w:t>
            </w:r>
            <w:r w:rsidR="00612BF8">
              <w:rPr>
                <w:rFonts w:ascii="Times New Roman" w:eastAsia="Times New Roman" w:hAnsi="Times New Roman" w:cs="Times New Roman"/>
                <w:sz w:val="24"/>
                <w:szCs w:val="24"/>
                <w:lang w:eastAsia="lv-LV"/>
              </w:rPr>
              <w:t>as</w:t>
            </w:r>
            <w:r w:rsidR="00080741" w:rsidRPr="00F24248">
              <w:rPr>
                <w:rFonts w:ascii="Times New Roman" w:eastAsia="Times New Roman" w:hAnsi="Times New Roman" w:cs="Times New Roman"/>
                <w:sz w:val="24"/>
                <w:szCs w:val="24"/>
                <w:lang w:eastAsia="lv-LV"/>
              </w:rPr>
              <w:t>)</w:t>
            </w:r>
            <w:r w:rsidR="00876CCA">
              <w:rPr>
                <w:rFonts w:ascii="Times New Roman" w:eastAsia="Times New Roman" w:hAnsi="Times New Roman" w:cs="Times New Roman"/>
                <w:sz w:val="24"/>
                <w:szCs w:val="24"/>
                <w:lang w:eastAsia="lv-LV"/>
              </w:rPr>
              <w:t xml:space="preserve">, </w:t>
            </w:r>
            <w:r w:rsidR="003233C6">
              <w:rPr>
                <w:rFonts w:ascii="Times New Roman" w:eastAsia="Times New Roman" w:hAnsi="Times New Roman" w:cs="Times New Roman"/>
                <w:sz w:val="24"/>
                <w:szCs w:val="24"/>
                <w:lang w:eastAsia="lv-LV"/>
              </w:rPr>
              <w:t xml:space="preserve">Centrālā finanšu un līguma aģentūra </w:t>
            </w:r>
            <w:r w:rsidR="00876CCA">
              <w:rPr>
                <w:rFonts w:ascii="Times New Roman" w:eastAsia="Times New Roman" w:hAnsi="Times New Roman" w:cs="Times New Roman"/>
                <w:sz w:val="24"/>
                <w:szCs w:val="24"/>
                <w:lang w:eastAsia="lv-LV"/>
              </w:rPr>
              <w:t>(pilda sadarbības iestādes funkcijas)</w:t>
            </w:r>
            <w:r w:rsidR="005C334C" w:rsidRPr="00F24248">
              <w:rPr>
                <w:rFonts w:ascii="Times New Roman" w:eastAsia="Times New Roman" w:hAnsi="Times New Roman" w:cs="Times New Roman"/>
                <w:sz w:val="24"/>
                <w:szCs w:val="24"/>
                <w:lang w:eastAsia="lv-LV"/>
              </w:rPr>
              <w:t>.</w:t>
            </w:r>
          </w:p>
        </w:tc>
      </w:tr>
      <w:tr w:rsidR="003C26C4" w:rsidRPr="00F24248" w14:paraId="4E2EB047" w14:textId="77777777" w:rsidTr="00EC06A8">
        <w:tc>
          <w:tcPr>
            <w:tcW w:w="300" w:type="pct"/>
            <w:tcBorders>
              <w:top w:val="outset" w:sz="6" w:space="0" w:color="414142"/>
              <w:left w:val="outset" w:sz="6" w:space="0" w:color="414142"/>
              <w:bottom w:val="outset" w:sz="6" w:space="0" w:color="414142"/>
              <w:right w:val="outset" w:sz="6" w:space="0" w:color="414142"/>
            </w:tcBorders>
            <w:hideMark/>
          </w:tcPr>
          <w:p w14:paraId="25315EAE" w14:textId="3981B4F3"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2.</w:t>
            </w:r>
          </w:p>
        </w:tc>
        <w:tc>
          <w:tcPr>
            <w:tcW w:w="1966" w:type="pct"/>
            <w:tcBorders>
              <w:top w:val="outset" w:sz="6" w:space="0" w:color="414142"/>
              <w:left w:val="outset" w:sz="6" w:space="0" w:color="414142"/>
              <w:bottom w:val="outset" w:sz="6" w:space="0" w:color="414142"/>
              <w:right w:val="outset" w:sz="6" w:space="0" w:color="414142"/>
            </w:tcBorders>
            <w:hideMark/>
          </w:tcPr>
          <w:p w14:paraId="7209F42D"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Projekta izpildes ietekme uz pārvaldes funkcijām un institucionālo struktūru.</w:t>
            </w:r>
            <w:r w:rsidRPr="00F24248">
              <w:rPr>
                <w:rFonts w:ascii="Times New Roman" w:eastAsia="Times New Roman" w:hAnsi="Times New Roman" w:cs="Times New Roman"/>
                <w:sz w:val="24"/>
                <w:szCs w:val="24"/>
                <w:lang w:eastAsia="lv-LV"/>
              </w:rPr>
              <w:br/>
              <w:t>Jaunu institūciju izveide, esošu institūciju likvidācija vai reorganizācija, to ietekme uz institūcijas cilvēkresursiem</w:t>
            </w:r>
          </w:p>
        </w:tc>
        <w:tc>
          <w:tcPr>
            <w:tcW w:w="2734" w:type="pct"/>
            <w:tcBorders>
              <w:top w:val="outset" w:sz="6" w:space="0" w:color="414142"/>
              <w:left w:val="outset" w:sz="6" w:space="0" w:color="414142"/>
              <w:bottom w:val="outset" w:sz="6" w:space="0" w:color="414142"/>
              <w:right w:val="outset" w:sz="6" w:space="0" w:color="414142"/>
            </w:tcBorders>
            <w:hideMark/>
          </w:tcPr>
          <w:p w14:paraId="6C3893D7" w14:textId="77777777" w:rsidR="005C334C" w:rsidRPr="00F24248" w:rsidRDefault="005C334C" w:rsidP="00BC76BE">
            <w:pPr>
              <w:spacing w:after="0" w:line="240" w:lineRule="auto"/>
              <w:jc w:val="both"/>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Nav plānota jaunu institūciju izveide, esošo institūciju likvidācija vai reorganizācija.</w:t>
            </w:r>
          </w:p>
          <w:p w14:paraId="02E960AE" w14:textId="0A709628" w:rsidR="0080070F" w:rsidRPr="00F24248" w:rsidRDefault="0080070F" w:rsidP="0080070F">
            <w:pPr>
              <w:spacing w:after="0" w:line="240" w:lineRule="auto"/>
              <w:jc w:val="both"/>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Noteikumu projekta izpildei nav ietekmes uz iesaistīto institūciju cilvēkresursiem, funkcijām un uzdevumiem.</w:t>
            </w:r>
          </w:p>
        </w:tc>
      </w:tr>
      <w:tr w:rsidR="003C26C4" w:rsidRPr="00F24248" w14:paraId="7657E00C" w14:textId="77777777" w:rsidTr="00EC06A8">
        <w:tc>
          <w:tcPr>
            <w:tcW w:w="300" w:type="pct"/>
            <w:tcBorders>
              <w:top w:val="outset" w:sz="6" w:space="0" w:color="414142"/>
              <w:left w:val="outset" w:sz="6" w:space="0" w:color="414142"/>
              <w:bottom w:val="outset" w:sz="6" w:space="0" w:color="414142"/>
              <w:right w:val="outset" w:sz="6" w:space="0" w:color="414142"/>
            </w:tcBorders>
            <w:hideMark/>
          </w:tcPr>
          <w:p w14:paraId="702D6F0E"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3.</w:t>
            </w:r>
          </w:p>
        </w:tc>
        <w:tc>
          <w:tcPr>
            <w:tcW w:w="1966" w:type="pct"/>
            <w:tcBorders>
              <w:top w:val="outset" w:sz="6" w:space="0" w:color="414142"/>
              <w:left w:val="outset" w:sz="6" w:space="0" w:color="414142"/>
              <w:bottom w:val="outset" w:sz="6" w:space="0" w:color="414142"/>
              <w:right w:val="outset" w:sz="6" w:space="0" w:color="414142"/>
            </w:tcBorders>
            <w:hideMark/>
          </w:tcPr>
          <w:p w14:paraId="1A0A6612"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Cita informācija</w:t>
            </w:r>
          </w:p>
        </w:tc>
        <w:tc>
          <w:tcPr>
            <w:tcW w:w="2734" w:type="pct"/>
            <w:tcBorders>
              <w:top w:val="outset" w:sz="6" w:space="0" w:color="414142"/>
              <w:left w:val="outset" w:sz="6" w:space="0" w:color="414142"/>
              <w:bottom w:val="outset" w:sz="6" w:space="0" w:color="414142"/>
              <w:right w:val="outset" w:sz="6" w:space="0" w:color="414142"/>
            </w:tcBorders>
            <w:hideMark/>
          </w:tcPr>
          <w:p w14:paraId="1BFA8F4B" w14:textId="59EA0452" w:rsidR="005C334C" w:rsidRPr="00F24248" w:rsidRDefault="00AD4C6B" w:rsidP="00AD4C6B">
            <w:pPr>
              <w:spacing w:after="0" w:line="240" w:lineRule="auto"/>
              <w:jc w:val="both"/>
              <w:rPr>
                <w:rFonts w:ascii="Times New Roman" w:eastAsia="Times New Roman" w:hAnsi="Times New Roman" w:cs="Times New Roman"/>
                <w:sz w:val="24"/>
                <w:szCs w:val="24"/>
                <w:lang w:eastAsia="lv-LV"/>
              </w:rPr>
            </w:pPr>
            <w:r w:rsidRPr="00F24248">
              <w:rPr>
                <w:rFonts w:ascii="Times New Roman" w:eastAsia="Calibri" w:hAnsi="Times New Roman" w:cs="Times New Roman"/>
                <w:iCs/>
                <w:sz w:val="24"/>
                <w:szCs w:val="24"/>
                <w:lang w:eastAsia="lv-LV"/>
              </w:rPr>
              <w:t>Nav.</w:t>
            </w:r>
          </w:p>
        </w:tc>
      </w:tr>
    </w:tbl>
    <w:p w14:paraId="2A1839E4" w14:textId="77777777" w:rsidR="003C26C4" w:rsidRDefault="003C26C4" w:rsidP="00433619">
      <w:pPr>
        <w:tabs>
          <w:tab w:val="left" w:pos="6946"/>
        </w:tabs>
        <w:spacing w:after="0" w:line="240" w:lineRule="auto"/>
        <w:jc w:val="both"/>
        <w:rPr>
          <w:rFonts w:ascii="Times New Roman" w:hAnsi="Times New Roman" w:cs="Times New Roman"/>
          <w:sz w:val="24"/>
          <w:szCs w:val="24"/>
        </w:rPr>
      </w:pPr>
    </w:p>
    <w:p w14:paraId="0C82A990" w14:textId="2E8A3C9C" w:rsidR="005C334C" w:rsidRPr="00F24248" w:rsidRDefault="001A3CEA" w:rsidP="0028035B">
      <w:pPr>
        <w:tabs>
          <w:tab w:val="left" w:pos="6946"/>
        </w:tabs>
        <w:spacing w:after="0" w:line="240" w:lineRule="auto"/>
        <w:ind w:firstLine="709"/>
        <w:jc w:val="both"/>
        <w:rPr>
          <w:rFonts w:ascii="Times New Roman" w:hAnsi="Times New Roman" w:cs="Times New Roman"/>
          <w:sz w:val="24"/>
          <w:szCs w:val="24"/>
        </w:rPr>
      </w:pPr>
      <w:r w:rsidRPr="00F24248">
        <w:rPr>
          <w:rFonts w:ascii="Times New Roman" w:hAnsi="Times New Roman" w:cs="Times New Roman"/>
          <w:sz w:val="24"/>
          <w:szCs w:val="24"/>
        </w:rPr>
        <w:t>Izglītības un zinātnes ministr</w:t>
      </w:r>
      <w:r w:rsidR="003D01F0">
        <w:rPr>
          <w:rFonts w:ascii="Times New Roman" w:hAnsi="Times New Roman" w:cs="Times New Roman"/>
          <w:sz w:val="24"/>
          <w:szCs w:val="24"/>
        </w:rPr>
        <w:t>e</w:t>
      </w:r>
      <w:r w:rsidR="003D01F0">
        <w:rPr>
          <w:rFonts w:ascii="Times New Roman" w:hAnsi="Times New Roman" w:cs="Times New Roman"/>
          <w:sz w:val="24"/>
          <w:szCs w:val="24"/>
        </w:rPr>
        <w:tab/>
      </w:r>
      <w:r w:rsidR="003D01F0">
        <w:rPr>
          <w:rFonts w:ascii="Times New Roman" w:hAnsi="Times New Roman" w:cs="Times New Roman"/>
          <w:sz w:val="24"/>
          <w:szCs w:val="24"/>
        </w:rPr>
        <w:tab/>
      </w:r>
      <w:r w:rsidR="003C26C4" w:rsidRPr="00F24248">
        <w:rPr>
          <w:rFonts w:ascii="Times New Roman" w:hAnsi="Times New Roman" w:cs="Times New Roman"/>
          <w:sz w:val="24"/>
          <w:szCs w:val="24"/>
        </w:rPr>
        <w:t>I.</w:t>
      </w:r>
      <w:r w:rsidR="0028035B" w:rsidRPr="00F24248">
        <w:rPr>
          <w:rFonts w:ascii="Times New Roman" w:hAnsi="Times New Roman" w:cs="Times New Roman"/>
          <w:sz w:val="24"/>
          <w:szCs w:val="24"/>
        </w:rPr>
        <w:t>Šuplinska</w:t>
      </w:r>
    </w:p>
    <w:p w14:paraId="43685521" w14:textId="77777777" w:rsidR="00E24655" w:rsidRPr="00F24248" w:rsidRDefault="00E24655" w:rsidP="00A67952">
      <w:pPr>
        <w:tabs>
          <w:tab w:val="left" w:pos="6946"/>
        </w:tabs>
        <w:spacing w:after="0" w:line="240" w:lineRule="auto"/>
        <w:jc w:val="both"/>
        <w:rPr>
          <w:rFonts w:ascii="Times New Roman" w:hAnsi="Times New Roman" w:cs="Times New Roman"/>
          <w:sz w:val="24"/>
          <w:szCs w:val="24"/>
        </w:rPr>
      </w:pPr>
    </w:p>
    <w:p w14:paraId="606D250F" w14:textId="77777777" w:rsidR="005C334C" w:rsidRPr="00F24248" w:rsidRDefault="005C334C" w:rsidP="005C334C">
      <w:pPr>
        <w:tabs>
          <w:tab w:val="left" w:pos="6946"/>
        </w:tabs>
        <w:spacing w:after="0" w:line="240" w:lineRule="auto"/>
        <w:ind w:firstLine="709"/>
        <w:jc w:val="both"/>
        <w:rPr>
          <w:rFonts w:ascii="Times New Roman" w:hAnsi="Times New Roman" w:cs="Times New Roman"/>
          <w:sz w:val="24"/>
          <w:szCs w:val="24"/>
        </w:rPr>
      </w:pPr>
      <w:r w:rsidRPr="00F24248">
        <w:rPr>
          <w:rFonts w:ascii="Times New Roman" w:hAnsi="Times New Roman" w:cs="Times New Roman"/>
          <w:sz w:val="24"/>
          <w:szCs w:val="24"/>
        </w:rPr>
        <w:t xml:space="preserve">Vizē: </w:t>
      </w:r>
    </w:p>
    <w:p w14:paraId="6792ADCB" w14:textId="0F2558F7" w:rsidR="003C26C4" w:rsidRPr="007C1A56" w:rsidRDefault="005C334C" w:rsidP="007C1A56">
      <w:pPr>
        <w:tabs>
          <w:tab w:val="left" w:pos="6946"/>
        </w:tabs>
        <w:spacing w:after="0" w:line="240" w:lineRule="auto"/>
        <w:ind w:firstLine="709"/>
        <w:jc w:val="both"/>
        <w:rPr>
          <w:rFonts w:ascii="Times New Roman" w:hAnsi="Times New Roman" w:cs="Times New Roman"/>
          <w:sz w:val="24"/>
          <w:szCs w:val="24"/>
        </w:rPr>
      </w:pPr>
      <w:r w:rsidRPr="00F24248">
        <w:rPr>
          <w:rFonts w:ascii="Times New Roman" w:hAnsi="Times New Roman" w:cs="Times New Roman"/>
          <w:sz w:val="24"/>
          <w:szCs w:val="24"/>
        </w:rPr>
        <w:t xml:space="preserve">Valsts sekretāre </w:t>
      </w:r>
      <w:r w:rsidRPr="00F24248">
        <w:rPr>
          <w:rFonts w:ascii="Times New Roman" w:hAnsi="Times New Roman" w:cs="Times New Roman"/>
          <w:sz w:val="24"/>
          <w:szCs w:val="24"/>
        </w:rPr>
        <w:tab/>
      </w:r>
      <w:r w:rsidR="003D01F0">
        <w:rPr>
          <w:rFonts w:ascii="Times New Roman" w:hAnsi="Times New Roman" w:cs="Times New Roman"/>
          <w:sz w:val="24"/>
          <w:szCs w:val="24"/>
        </w:rPr>
        <w:tab/>
      </w:r>
      <w:r w:rsidRPr="00F24248">
        <w:rPr>
          <w:rFonts w:ascii="Times New Roman" w:hAnsi="Times New Roman" w:cs="Times New Roman"/>
          <w:sz w:val="24"/>
          <w:szCs w:val="24"/>
        </w:rPr>
        <w:t>L</w:t>
      </w:r>
      <w:r w:rsidR="003C26C4" w:rsidRPr="00F24248">
        <w:rPr>
          <w:rFonts w:ascii="Times New Roman" w:hAnsi="Times New Roman" w:cs="Times New Roman"/>
          <w:sz w:val="24"/>
          <w:szCs w:val="24"/>
        </w:rPr>
        <w:t>.</w:t>
      </w:r>
      <w:r w:rsidRPr="00F24248">
        <w:rPr>
          <w:rFonts w:ascii="Times New Roman" w:hAnsi="Times New Roman" w:cs="Times New Roman"/>
          <w:sz w:val="24"/>
          <w:szCs w:val="24"/>
        </w:rPr>
        <w:t>Lejiņa</w:t>
      </w:r>
    </w:p>
    <w:p w14:paraId="5857494C" w14:textId="77777777" w:rsidR="00DB75D6" w:rsidRPr="00BB2D8F" w:rsidRDefault="00DB75D6" w:rsidP="005C334C">
      <w:pPr>
        <w:spacing w:after="0" w:line="240" w:lineRule="auto"/>
        <w:rPr>
          <w:rFonts w:ascii="Times New Roman" w:hAnsi="Times New Roman" w:cs="Times New Roman"/>
          <w:sz w:val="20"/>
          <w:szCs w:val="20"/>
        </w:rPr>
      </w:pPr>
    </w:p>
    <w:p w14:paraId="5CD7E13A" w14:textId="2515DBCF" w:rsidR="005C334C" w:rsidRPr="00BB2D8F" w:rsidRDefault="00612BF8" w:rsidP="005C334C">
      <w:pPr>
        <w:spacing w:after="0" w:line="240" w:lineRule="auto"/>
        <w:rPr>
          <w:rFonts w:ascii="Times New Roman" w:hAnsi="Times New Roman" w:cs="Times New Roman"/>
          <w:sz w:val="20"/>
          <w:szCs w:val="20"/>
        </w:rPr>
      </w:pPr>
      <w:r>
        <w:rPr>
          <w:rFonts w:ascii="Times New Roman" w:hAnsi="Times New Roman" w:cs="Times New Roman"/>
          <w:sz w:val="20"/>
          <w:szCs w:val="20"/>
        </w:rPr>
        <w:t>Grīnbergs</w:t>
      </w:r>
      <w:r w:rsidR="00231EA4">
        <w:rPr>
          <w:rFonts w:ascii="Times New Roman" w:hAnsi="Times New Roman" w:cs="Times New Roman"/>
          <w:sz w:val="20"/>
          <w:szCs w:val="20"/>
        </w:rPr>
        <w:t>, 67047</w:t>
      </w:r>
      <w:r>
        <w:rPr>
          <w:rFonts w:ascii="Times New Roman" w:hAnsi="Times New Roman" w:cs="Times New Roman"/>
          <w:sz w:val="20"/>
          <w:szCs w:val="20"/>
        </w:rPr>
        <w:t>88</w:t>
      </w:r>
      <w:r w:rsidR="00231EA4">
        <w:rPr>
          <w:rFonts w:ascii="Times New Roman" w:hAnsi="Times New Roman" w:cs="Times New Roman"/>
          <w:sz w:val="20"/>
          <w:szCs w:val="20"/>
        </w:rPr>
        <w:t>3</w:t>
      </w:r>
    </w:p>
    <w:p w14:paraId="2C3D398F" w14:textId="0E217568" w:rsidR="003C26C4" w:rsidRPr="00BB2D8F" w:rsidRDefault="00C86800">
      <w:pPr>
        <w:spacing w:after="0" w:line="240" w:lineRule="auto"/>
        <w:rPr>
          <w:rFonts w:ascii="Times New Roman" w:hAnsi="Times New Roman" w:cs="Times New Roman"/>
          <w:sz w:val="20"/>
          <w:szCs w:val="20"/>
        </w:rPr>
      </w:pPr>
      <w:hyperlink r:id="rId10" w:history="1">
        <w:r w:rsidR="00612BF8" w:rsidRPr="00095856">
          <w:rPr>
            <w:rStyle w:val="Hyperlink"/>
            <w:rFonts w:ascii="Times New Roman" w:hAnsi="Times New Roman" w:cs="Times New Roman"/>
            <w:sz w:val="20"/>
            <w:szCs w:val="20"/>
          </w:rPr>
          <w:t>nauris.grinbergs@izm.gov.lv</w:t>
        </w:r>
      </w:hyperlink>
    </w:p>
    <w:sectPr w:rsidR="003C26C4" w:rsidRPr="00BB2D8F" w:rsidSect="00BC76BE">
      <w:headerReference w:type="default" r:id="rId11"/>
      <w:footerReference w:type="defaul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6614D" w14:textId="77777777" w:rsidR="00636F33" w:rsidRDefault="00636F33" w:rsidP="005C334C">
      <w:pPr>
        <w:spacing w:after="0" w:line="240" w:lineRule="auto"/>
      </w:pPr>
      <w:r>
        <w:separator/>
      </w:r>
    </w:p>
  </w:endnote>
  <w:endnote w:type="continuationSeparator" w:id="0">
    <w:p w14:paraId="2117BECE" w14:textId="77777777" w:rsidR="00636F33" w:rsidRDefault="00636F33" w:rsidP="005C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F083" w14:textId="6D191BAC" w:rsidR="00636F33" w:rsidRPr="000D528D" w:rsidRDefault="00636F33" w:rsidP="000D528D">
    <w:pPr>
      <w:pStyle w:val="Footer"/>
      <w:jc w:val="both"/>
      <w:rPr>
        <w:rFonts w:ascii="Times New Roman" w:hAnsi="Times New Roman"/>
        <w:noProof/>
        <w:sz w:val="20"/>
        <w:szCs w:val="20"/>
      </w:rPr>
    </w:pPr>
    <w:r w:rsidRPr="00AB5A10">
      <w:rPr>
        <w:rFonts w:ascii="Times New Roman" w:hAnsi="Times New Roman"/>
        <w:noProof/>
        <w:sz w:val="20"/>
        <w:szCs w:val="20"/>
      </w:rPr>
      <w:fldChar w:fldCharType="begin"/>
    </w:r>
    <w:r w:rsidRPr="00AB5A10">
      <w:rPr>
        <w:rFonts w:ascii="Times New Roman" w:hAnsi="Times New Roman"/>
        <w:noProof/>
        <w:sz w:val="20"/>
        <w:szCs w:val="20"/>
      </w:rPr>
      <w:instrText xml:space="preserve"> FILENAME   \* MERGEFORMAT </w:instrText>
    </w:r>
    <w:r w:rsidRPr="00AB5A10">
      <w:rPr>
        <w:rFonts w:ascii="Times New Roman" w:hAnsi="Times New Roman"/>
        <w:noProof/>
        <w:sz w:val="20"/>
        <w:szCs w:val="20"/>
      </w:rPr>
      <w:fldChar w:fldCharType="separate"/>
    </w:r>
    <w:r>
      <w:rPr>
        <w:rFonts w:ascii="Times New Roman" w:hAnsi="Times New Roman"/>
        <w:noProof/>
        <w:sz w:val="20"/>
        <w:szCs w:val="20"/>
      </w:rPr>
      <w:t>IZMAnot_822_270420</w:t>
    </w:r>
    <w:r w:rsidRPr="00AB5A10">
      <w:rPr>
        <w:rFonts w:ascii="Times New Roman" w:hAnsi="Times New Roman"/>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F9526" w14:textId="63C73A6C" w:rsidR="00636F33" w:rsidRPr="00C952F0" w:rsidRDefault="00636F33" w:rsidP="00BC76BE">
    <w:pPr>
      <w:pStyle w:val="Footer"/>
      <w:jc w:val="both"/>
      <w:rPr>
        <w:vanish/>
      </w:rPr>
    </w:pPr>
    <w:r w:rsidRPr="00AB5A10">
      <w:rPr>
        <w:rFonts w:ascii="Times New Roman" w:hAnsi="Times New Roman"/>
        <w:noProof/>
        <w:sz w:val="20"/>
        <w:szCs w:val="20"/>
      </w:rPr>
      <w:fldChar w:fldCharType="begin"/>
    </w:r>
    <w:r w:rsidRPr="00AB5A10">
      <w:rPr>
        <w:rFonts w:ascii="Times New Roman" w:hAnsi="Times New Roman"/>
        <w:noProof/>
        <w:sz w:val="20"/>
        <w:szCs w:val="20"/>
      </w:rPr>
      <w:instrText xml:space="preserve"> FILENAME   \* MERGEFORMAT </w:instrText>
    </w:r>
    <w:r w:rsidRPr="00AB5A10">
      <w:rPr>
        <w:rFonts w:ascii="Times New Roman" w:hAnsi="Times New Roman"/>
        <w:noProof/>
        <w:sz w:val="20"/>
        <w:szCs w:val="20"/>
      </w:rPr>
      <w:fldChar w:fldCharType="separate"/>
    </w:r>
    <w:r>
      <w:rPr>
        <w:rFonts w:ascii="Times New Roman" w:hAnsi="Times New Roman"/>
        <w:noProof/>
        <w:sz w:val="20"/>
        <w:szCs w:val="20"/>
      </w:rPr>
      <w:t>IZMAnot_822_270420</w:t>
    </w:r>
    <w:r w:rsidRPr="00AB5A10">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3336B" w14:textId="77777777" w:rsidR="00636F33" w:rsidRDefault="00636F33" w:rsidP="005C334C">
      <w:pPr>
        <w:spacing w:after="0" w:line="240" w:lineRule="auto"/>
      </w:pPr>
      <w:r>
        <w:separator/>
      </w:r>
    </w:p>
  </w:footnote>
  <w:footnote w:type="continuationSeparator" w:id="0">
    <w:p w14:paraId="370160F2" w14:textId="77777777" w:rsidR="00636F33" w:rsidRDefault="00636F33" w:rsidP="005C334C">
      <w:pPr>
        <w:spacing w:after="0" w:line="240" w:lineRule="auto"/>
      </w:pPr>
      <w:r>
        <w:continuationSeparator/>
      </w:r>
    </w:p>
  </w:footnote>
  <w:footnote w:id="1">
    <w:p w14:paraId="7CC28532" w14:textId="7D4BA4AF" w:rsidR="00636F33" w:rsidRPr="00777CA2" w:rsidRDefault="00636F33" w:rsidP="00DB75D6">
      <w:pPr>
        <w:pStyle w:val="FootnoteText"/>
        <w:jc w:val="both"/>
        <w:rPr>
          <w:rFonts w:ascii="Times New Roman" w:hAnsi="Times New Roman"/>
        </w:rPr>
      </w:pPr>
      <w:r>
        <w:rPr>
          <w:rStyle w:val="FootnoteReference"/>
        </w:rPr>
        <w:footnoteRef/>
      </w:r>
      <w:r>
        <w:t xml:space="preserve"> </w:t>
      </w:r>
      <w:r w:rsidRPr="00BD51E9">
        <w:rPr>
          <w:rFonts w:ascii="Times New Roman" w:hAnsi="Times New Roman"/>
        </w:rPr>
        <w:t xml:space="preserve">Noteikumu projekts </w:t>
      </w:r>
      <w:r w:rsidRPr="00F64E67">
        <w:rPr>
          <w:rFonts w:ascii="Times New Roman" w:hAnsi="Times New Roman"/>
        </w:rPr>
        <w:t xml:space="preserve">„Grozījumi Ministru kabineta 2018. gada 9. janvāra noteikumos Nr. 25 "Darbības programmas "Izaugsme un nodarbinātība" 8.2.2. specifiskā atbalsta mērķa "Stiprināt augstākās izglītības institūciju akadēmisko personālu stratēģiskās specializācijas jomās" pirmās, otrās un trešās projektu iesniegumu </w:t>
      </w:r>
      <w:r w:rsidRPr="00777CA2">
        <w:rPr>
          <w:rFonts w:ascii="Times New Roman" w:hAnsi="Times New Roman"/>
        </w:rPr>
        <w:t>atlases kārtas īstenošanas noteikumi””</w:t>
      </w:r>
    </w:p>
  </w:footnote>
  <w:footnote w:id="2">
    <w:p w14:paraId="664AC1F6" w14:textId="16DCA0E3" w:rsidR="00636F33" w:rsidRPr="00777CA2" w:rsidRDefault="00636F33">
      <w:pPr>
        <w:pStyle w:val="FootnoteText"/>
      </w:pPr>
      <w:r w:rsidRPr="00777CA2">
        <w:rPr>
          <w:rStyle w:val="FootnoteReference"/>
        </w:rPr>
        <w:footnoteRef/>
      </w:r>
      <w:r w:rsidRPr="00777CA2">
        <w:t xml:space="preserve"> </w:t>
      </w:r>
      <w:r w:rsidRPr="00777CA2">
        <w:rPr>
          <w:rFonts w:ascii="Times New Roman" w:hAnsi="Times New Roman"/>
        </w:rPr>
        <w:t>Konceptuālais ziņojums “</w:t>
      </w:r>
      <w:r w:rsidRPr="004A7AC6">
        <w:rPr>
          <w:rFonts w:ascii="Times New Roman" w:hAnsi="Times New Roman"/>
        </w:rPr>
        <w:t>Par jauna doktorantūras modeļa ieviešanu Latvijā</w:t>
      </w:r>
      <w:r w:rsidRPr="00777CA2">
        <w:rPr>
          <w:rFonts w:ascii="Times New Roman" w:hAnsi="Times New Roman"/>
        </w:rPr>
        <w:t xml:space="preserve">” </w:t>
      </w:r>
      <w:r>
        <w:rPr>
          <w:rFonts w:ascii="Times New Roman" w:hAnsi="Times New Roman"/>
        </w:rPr>
        <w:t>nosūtīts saskaņošanai 2020.gada 17.aprīlī</w:t>
      </w:r>
      <w:r w:rsidRPr="00777CA2">
        <w:rPr>
          <w:rFonts w:ascii="Times New Roman" w:hAnsi="Times New Roman"/>
        </w:rPr>
        <w:t>.</w:t>
      </w:r>
    </w:p>
  </w:footnote>
  <w:footnote w:id="3">
    <w:p w14:paraId="747442F8" w14:textId="14FABE52" w:rsidR="00636F33" w:rsidRDefault="00636F33">
      <w:pPr>
        <w:pStyle w:val="FootnoteText"/>
      </w:pPr>
      <w:r w:rsidRPr="00777CA2">
        <w:rPr>
          <w:rStyle w:val="FootnoteReference"/>
        </w:rPr>
        <w:footnoteRef/>
      </w:r>
      <w:r w:rsidRPr="00777CA2">
        <w:t xml:space="preserve"> </w:t>
      </w:r>
      <w:r w:rsidRPr="00777CA2">
        <w:rPr>
          <w:rFonts w:ascii="Times New Roman" w:hAnsi="Times New Roman"/>
        </w:rPr>
        <w:t>Apraksts par Zalcburgas principiem pieejamas interneta vietnē</w:t>
      </w:r>
      <w:r w:rsidRPr="004E24E7">
        <w:rPr>
          <w:rFonts w:ascii="Times New Roman" w:hAnsi="Times New Roman"/>
        </w:rPr>
        <w:t xml:space="preserve"> </w:t>
      </w:r>
      <w:hyperlink r:id="rId1" w:history="1">
        <w:r w:rsidRPr="004E24E7">
          <w:rPr>
            <w:rStyle w:val="Hyperlink"/>
            <w:rFonts w:ascii="Times New Roman" w:hAnsi="Times New Roman"/>
          </w:rPr>
          <w:t>https://eua.eu/downloads/publications/salzburg%20ii%20recommendations%202010.pdf</w:t>
        </w:r>
      </w:hyperlink>
    </w:p>
  </w:footnote>
  <w:footnote w:id="4">
    <w:p w14:paraId="52E22BCC" w14:textId="11E2E3BA" w:rsidR="00636F33" w:rsidRPr="004064CC" w:rsidRDefault="00636F33" w:rsidP="006352DF">
      <w:pPr>
        <w:pStyle w:val="FootnoteText"/>
        <w:rPr>
          <w:rFonts w:ascii="Times New Roman" w:hAnsi="Times New Roman"/>
        </w:rPr>
      </w:pPr>
      <w:r w:rsidRPr="004064CC">
        <w:rPr>
          <w:rStyle w:val="FootnoteReference"/>
          <w:rFonts w:ascii="Times New Roman" w:hAnsi="Times New Roman"/>
        </w:rPr>
        <w:footnoteRef/>
      </w:r>
      <w:r w:rsidRPr="004064CC">
        <w:rPr>
          <w:rFonts w:ascii="Times New Roman" w:hAnsi="Times New Roman"/>
        </w:rPr>
        <w:t xml:space="preserve"> Eiropas Komisija, 2006, </w:t>
      </w:r>
      <w:r w:rsidRPr="004064CC">
        <w:rPr>
          <w:rFonts w:ascii="Times New Roman" w:hAnsi="Times New Roman"/>
          <w:i/>
        </w:rPr>
        <w:t>Eiropas pētnieku harta un Uzvedības kodekss pētnieku pieņemšanai darbā</w:t>
      </w:r>
      <w:r w:rsidRPr="004064CC">
        <w:rPr>
          <w:rFonts w:ascii="Times New Roman" w:hAnsi="Times New Roman"/>
        </w:rPr>
        <w:t xml:space="preserve">. Pieejams: </w:t>
      </w:r>
      <w:hyperlink r:id="rId2" w:history="1">
        <w:r w:rsidRPr="004064CC">
          <w:rPr>
            <w:rStyle w:val="Hyperlink"/>
            <w:rFonts w:ascii="Times New Roman" w:hAnsi="Times New Roman"/>
          </w:rPr>
          <w:t>https://cdn5.</w:t>
        </w:r>
        <w:r w:rsidRPr="00677C12">
          <w:rPr>
            <w:rStyle w:val="Hyperlink"/>
            <w:rFonts w:ascii="Times New Roman" w:hAnsi="Times New Roman"/>
            <w:i/>
            <w:iCs/>
          </w:rPr>
          <w:t>euro</w:t>
        </w:r>
        <w:r w:rsidRPr="004064CC">
          <w:rPr>
            <w:rStyle w:val="Hyperlink"/>
            <w:rFonts w:ascii="Times New Roman" w:hAnsi="Times New Roman"/>
          </w:rPr>
          <w:t>axess.org/sites/default/files/brochures/kina21620b3c_lv.pdf</w:t>
        </w:r>
      </w:hyperlink>
    </w:p>
  </w:footnote>
  <w:footnote w:id="5">
    <w:p w14:paraId="49B707CD" w14:textId="7A7D0865" w:rsidR="00636F33" w:rsidRPr="004064CC" w:rsidRDefault="00636F33" w:rsidP="006352DF">
      <w:pPr>
        <w:pStyle w:val="FootnoteText"/>
        <w:rPr>
          <w:rFonts w:ascii="Times New Roman" w:hAnsi="Times New Roman"/>
        </w:rPr>
      </w:pPr>
      <w:r w:rsidRPr="004064CC">
        <w:rPr>
          <w:rStyle w:val="FootnoteReference"/>
          <w:rFonts w:ascii="Times New Roman" w:hAnsi="Times New Roman"/>
        </w:rPr>
        <w:footnoteRef/>
      </w:r>
      <w:r w:rsidRPr="004064CC">
        <w:rPr>
          <w:rFonts w:ascii="Times New Roman" w:hAnsi="Times New Roman"/>
        </w:rPr>
        <w:t xml:space="preserve"> Par angļu valodas terminu </w:t>
      </w:r>
      <w:r w:rsidRPr="004064CC">
        <w:rPr>
          <w:rFonts w:ascii="Times New Roman" w:hAnsi="Times New Roman"/>
          <w:i/>
        </w:rPr>
        <w:t>joint degree, joint diploma; double degree, double diplom</w:t>
      </w:r>
      <w:r w:rsidRPr="004064CC">
        <w:rPr>
          <w:rFonts w:ascii="Times New Roman" w:hAnsi="Times New Roman"/>
        </w:rPr>
        <w:t xml:space="preserve">a un </w:t>
      </w:r>
      <w:r w:rsidRPr="004064CC">
        <w:rPr>
          <w:rFonts w:ascii="Times New Roman" w:hAnsi="Times New Roman"/>
          <w:i/>
        </w:rPr>
        <w:t>multiple degree, multiple diploma</w:t>
      </w:r>
      <w:r>
        <w:rPr>
          <w:rFonts w:ascii="Times New Roman" w:hAnsi="Times New Roman"/>
          <w:i/>
        </w:rPr>
        <w:t xml:space="preserve">; </w:t>
      </w:r>
      <w:r w:rsidRPr="00EB4691">
        <w:rPr>
          <w:rFonts w:ascii="Times New Roman" w:hAnsi="Times New Roman"/>
          <w:i/>
        </w:rPr>
        <w:t>co-tutelle</w:t>
      </w:r>
      <w:r w:rsidRPr="004064CC">
        <w:rPr>
          <w:rFonts w:ascii="Times New Roman" w:hAnsi="Times New Roman"/>
        </w:rPr>
        <w:t xml:space="preserve"> atbilsmēm latviešu valodā skat. </w:t>
      </w:r>
      <w:r w:rsidRPr="004064CC">
        <w:rPr>
          <w:rFonts w:ascii="Times New Roman" w:hAnsi="Times New Roman"/>
          <w:i/>
        </w:rPr>
        <w:t>LZA Terminoloģijas komisijas lēmums Nr.34</w:t>
      </w:r>
      <w:r w:rsidRPr="004064CC">
        <w:rPr>
          <w:rFonts w:ascii="Times New Roman" w:hAnsi="Times New Roman"/>
        </w:rPr>
        <w:t xml:space="preserve">, 31.08.2004. Pieejams: </w:t>
      </w:r>
      <w:hyperlink r:id="rId3" w:history="1">
        <w:r w:rsidRPr="004064CC">
          <w:rPr>
            <w:rFonts w:ascii="Times New Roman" w:hAnsi="Times New Roman"/>
          </w:rPr>
          <w:t>https://likumi.lv/doc.php?id=93535</w:t>
        </w:r>
      </w:hyperlink>
      <w:r w:rsidRPr="004064CC">
        <w:rPr>
          <w:rFonts w:ascii="Times New Roman" w:hAnsi="Times New Roman"/>
        </w:rPr>
        <w:t>.</w:t>
      </w:r>
    </w:p>
  </w:footnote>
  <w:footnote w:id="6">
    <w:p w14:paraId="0DB32362" w14:textId="795517EA" w:rsidR="00636F33" w:rsidRPr="004064CC" w:rsidRDefault="00636F33" w:rsidP="006352DF">
      <w:pPr>
        <w:pStyle w:val="FootnoteText"/>
        <w:rPr>
          <w:rFonts w:ascii="Times New Roman" w:hAnsi="Times New Roman"/>
        </w:rPr>
      </w:pPr>
      <w:r w:rsidRPr="004064CC">
        <w:rPr>
          <w:rStyle w:val="FootnoteReference"/>
          <w:rFonts w:ascii="Times New Roman" w:hAnsi="Times New Roman"/>
        </w:rPr>
        <w:footnoteRef/>
      </w:r>
      <w:r w:rsidRPr="004064CC">
        <w:rPr>
          <w:rFonts w:ascii="Times New Roman" w:hAnsi="Times New Roman"/>
        </w:rPr>
        <w:t xml:space="preserve"> Cf. </w:t>
      </w:r>
      <w:r w:rsidRPr="004064CC">
        <w:rPr>
          <w:rFonts w:ascii="Times New Roman" w:hAnsi="Times New Roman"/>
          <w:i/>
          <w:iCs/>
        </w:rPr>
        <w:t>Austria. Third</w:t>
      </w:r>
      <w:r w:rsidRPr="004064CC">
        <w:rPr>
          <w:rFonts w:ascii="Times New Roman" w:hAnsi="Times New Roman"/>
          <w:i/>
        </w:rPr>
        <w:t xml:space="preserve"> Cycle (PhD) Programmes</w:t>
      </w:r>
      <w:r w:rsidRPr="004064CC">
        <w:rPr>
          <w:rFonts w:ascii="Times New Roman" w:hAnsi="Times New Roman"/>
        </w:rPr>
        <w:t xml:space="preserve">, 2018. Pieejams: </w:t>
      </w:r>
      <w:hyperlink r:id="rId4" w:history="1">
        <w:r w:rsidRPr="004064CC">
          <w:rPr>
            <w:rStyle w:val="Hyperlink"/>
            <w:rFonts w:ascii="Times New Roman" w:hAnsi="Times New Roman"/>
          </w:rPr>
          <w:t>https://eacea.ec.</w:t>
        </w:r>
        <w:r w:rsidRPr="00677C12">
          <w:rPr>
            <w:rStyle w:val="Hyperlink"/>
            <w:rFonts w:ascii="Times New Roman" w:hAnsi="Times New Roman"/>
            <w:i/>
            <w:iCs/>
          </w:rPr>
          <w:t>euro</w:t>
        </w:r>
        <w:r w:rsidRPr="004064CC">
          <w:rPr>
            <w:rStyle w:val="Hyperlink"/>
            <w:rFonts w:ascii="Times New Roman" w:hAnsi="Times New Roman"/>
          </w:rPr>
          <w:t>opa.eu/national-policies/</w:t>
        </w:r>
        <w:r w:rsidRPr="00677C12">
          <w:rPr>
            <w:rStyle w:val="Hyperlink"/>
            <w:rFonts w:ascii="Times New Roman" w:hAnsi="Times New Roman"/>
            <w:i/>
            <w:iCs/>
          </w:rPr>
          <w:t>euro</w:t>
        </w:r>
        <w:r w:rsidRPr="004064CC">
          <w:rPr>
            <w:rStyle w:val="Hyperlink"/>
            <w:rFonts w:ascii="Times New Roman" w:hAnsi="Times New Roman"/>
          </w:rPr>
          <w:t>ydice/content/third-cycle-phd-programmes-1_it</w:t>
        </w:r>
      </w:hyperlink>
    </w:p>
  </w:footnote>
  <w:footnote w:id="7">
    <w:p w14:paraId="2C612D43" w14:textId="77777777" w:rsidR="00636F33" w:rsidRPr="004064CC" w:rsidRDefault="00636F33" w:rsidP="006352DF">
      <w:pPr>
        <w:pStyle w:val="FootnoteText"/>
        <w:rPr>
          <w:rFonts w:ascii="Times New Roman" w:hAnsi="Times New Roman"/>
        </w:rPr>
      </w:pPr>
      <w:r w:rsidRPr="004064CC">
        <w:rPr>
          <w:rStyle w:val="Hyperlink"/>
          <w:rFonts w:ascii="Times New Roman" w:hAnsi="Times New Roman"/>
          <w:vertAlign w:val="superscript"/>
        </w:rPr>
        <w:footnoteRef/>
      </w:r>
      <w:r w:rsidRPr="004064CC">
        <w:rPr>
          <w:rStyle w:val="Hyperlink"/>
          <w:rFonts w:ascii="Times New Roman" w:hAnsi="Times New Roman"/>
        </w:rPr>
        <w:t xml:space="preserve"> Informāciju par sadarbībā ar Pasaules Banku veikto pētījumu skat. “Pētījums par augstākās izglītības pārvaldību sadarbībā ar Pasaules Banku”: </w:t>
      </w:r>
      <w:hyperlink r:id="rId5" w:history="1">
        <w:r w:rsidRPr="004064CC">
          <w:rPr>
            <w:rStyle w:val="Hyperlink"/>
            <w:rFonts w:ascii="Times New Roman" w:hAnsi="Times New Roman"/>
          </w:rPr>
          <w:t>https://izm.gov.lv/lv/izglitiba/augstaka-izglitiba/petijums-augstakas-izglitibas-parvaldibas-efektivizacijai</w:t>
        </w:r>
      </w:hyperlink>
      <w:r w:rsidRPr="004064CC">
        <w:rPr>
          <w:rFonts w:ascii="Times New Roman" w:hAnsi="Times New Roman"/>
        </w:rPr>
        <w:t>.</w:t>
      </w:r>
    </w:p>
  </w:footnote>
  <w:footnote w:id="8">
    <w:p w14:paraId="271221D5" w14:textId="77777777" w:rsidR="00636F33" w:rsidRPr="004064CC" w:rsidRDefault="00636F33" w:rsidP="006352DF">
      <w:pPr>
        <w:pStyle w:val="FootnoteText"/>
        <w:rPr>
          <w:rFonts w:ascii="Times New Roman" w:hAnsi="Times New Roman"/>
        </w:rPr>
      </w:pPr>
      <w:r w:rsidRPr="004064CC">
        <w:rPr>
          <w:rStyle w:val="FootnoteReference"/>
          <w:rFonts w:ascii="Times New Roman" w:hAnsi="Times New Roman"/>
        </w:rPr>
        <w:footnoteRef/>
      </w:r>
      <w:r w:rsidRPr="004064CC">
        <w:rPr>
          <w:rFonts w:ascii="Times New Roman" w:hAnsi="Times New Roman"/>
        </w:rPr>
        <w:t xml:space="preserve"> EUA, </w:t>
      </w:r>
      <w:r w:rsidRPr="004064CC">
        <w:rPr>
          <w:rFonts w:ascii="Times New Roman" w:hAnsi="Times New Roman"/>
          <w:i/>
        </w:rPr>
        <w:t>Salzburg II Recommendations</w:t>
      </w:r>
      <w:r w:rsidRPr="004064CC">
        <w:rPr>
          <w:rFonts w:ascii="Times New Roman" w:hAnsi="Times New Roman"/>
        </w:rPr>
        <w:t xml:space="preserve">, 2010. Pieejams: </w:t>
      </w:r>
      <w:hyperlink r:id="rId6" w:history="1">
        <w:r w:rsidRPr="004064CC">
          <w:rPr>
            <w:rStyle w:val="Hyperlink"/>
            <w:rFonts w:ascii="Times New Roman" w:hAnsi="Times New Roman"/>
          </w:rPr>
          <w:t>https://eua.eu/downloads/publications/salzburg%20ii%20recommendations%202010.pdf</w:t>
        </w:r>
      </w:hyperlink>
      <w:r w:rsidRPr="004064CC">
        <w:rPr>
          <w:rStyle w:val="Hyperlink"/>
          <w:rFonts w:ascii="Times New Roman" w:hAnsi="Times New Roman"/>
        </w:rPr>
        <w:t>.</w:t>
      </w:r>
    </w:p>
  </w:footnote>
  <w:footnote w:id="9">
    <w:p w14:paraId="314A3920" w14:textId="708C9801" w:rsidR="00636F33" w:rsidRPr="00D87277" w:rsidRDefault="00636F33">
      <w:pPr>
        <w:pStyle w:val="FootnoteText"/>
        <w:rPr>
          <w:rFonts w:ascii="Times New Roman" w:hAnsi="Times New Roman"/>
        </w:rPr>
      </w:pPr>
      <w:r w:rsidRPr="00D87277">
        <w:rPr>
          <w:rStyle w:val="FootnoteReference"/>
          <w:rFonts w:ascii="Times New Roman" w:hAnsi="Times New Roman"/>
        </w:rPr>
        <w:footnoteRef/>
      </w:r>
      <w:r w:rsidRPr="00D87277">
        <w:rPr>
          <w:rFonts w:ascii="Times New Roman" w:hAnsi="Times New Roman"/>
        </w:rPr>
        <w:t xml:space="preserve"> Noteikumu Nr.25 sākotnējās ietekmes novērtējuma ziņojuma (anotācija) 4.lpp (Anotācija pieejama: http://tap.mk.gov.lv/doc/2018_01/IZMAnot_SAM822_030118.2802.docx)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5503434"/>
      <w:docPartObj>
        <w:docPartGallery w:val="Page Numbers (Top of Page)"/>
        <w:docPartUnique/>
      </w:docPartObj>
    </w:sdtPr>
    <w:sdtEndPr>
      <w:rPr>
        <w:noProof/>
      </w:rPr>
    </w:sdtEndPr>
    <w:sdtContent>
      <w:p w14:paraId="2D7AC32E" w14:textId="77777777" w:rsidR="00636F33" w:rsidRPr="003C26C4" w:rsidRDefault="00636F33">
        <w:pPr>
          <w:pStyle w:val="Header"/>
          <w:jc w:val="center"/>
          <w:rPr>
            <w:rFonts w:ascii="Times New Roman" w:hAnsi="Times New Roman" w:cs="Times New Roman"/>
          </w:rPr>
        </w:pPr>
        <w:r w:rsidRPr="003C26C4">
          <w:rPr>
            <w:rFonts w:ascii="Times New Roman" w:hAnsi="Times New Roman" w:cs="Times New Roman"/>
          </w:rPr>
          <w:fldChar w:fldCharType="begin"/>
        </w:r>
        <w:r w:rsidRPr="003C26C4">
          <w:rPr>
            <w:rFonts w:ascii="Times New Roman" w:hAnsi="Times New Roman" w:cs="Times New Roman"/>
          </w:rPr>
          <w:instrText xml:space="preserve"> PAGE   \* MERGEFORMAT </w:instrText>
        </w:r>
        <w:r w:rsidRPr="003C26C4">
          <w:rPr>
            <w:rFonts w:ascii="Times New Roman" w:hAnsi="Times New Roman" w:cs="Times New Roman"/>
          </w:rPr>
          <w:fldChar w:fldCharType="separate"/>
        </w:r>
        <w:r w:rsidR="00C86800">
          <w:rPr>
            <w:rFonts w:ascii="Times New Roman" w:hAnsi="Times New Roman" w:cs="Times New Roman"/>
            <w:noProof/>
          </w:rPr>
          <w:t>2</w:t>
        </w:r>
        <w:r w:rsidRPr="003C26C4">
          <w:rPr>
            <w:rFonts w:ascii="Times New Roman" w:hAnsi="Times New Roman" w:cs="Times New Roman"/>
            <w:noProof/>
          </w:rPr>
          <w:fldChar w:fldCharType="end"/>
        </w:r>
      </w:p>
    </w:sdtContent>
  </w:sdt>
  <w:p w14:paraId="599E843E" w14:textId="77777777" w:rsidR="00636F33" w:rsidRDefault="00636F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F7327"/>
    <w:multiLevelType w:val="hybridMultilevel"/>
    <w:tmpl w:val="1CA2F1D8"/>
    <w:lvl w:ilvl="0" w:tplc="FCD065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8473D"/>
    <w:multiLevelType w:val="hybridMultilevel"/>
    <w:tmpl w:val="706E84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5466024"/>
    <w:multiLevelType w:val="hybridMultilevel"/>
    <w:tmpl w:val="17F8C59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63F339C"/>
    <w:multiLevelType w:val="hybridMultilevel"/>
    <w:tmpl w:val="6D0E50D4"/>
    <w:lvl w:ilvl="0" w:tplc="96F233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D2BAB"/>
    <w:multiLevelType w:val="hybridMultilevel"/>
    <w:tmpl w:val="6868D53E"/>
    <w:lvl w:ilvl="0" w:tplc="57FE264A">
      <w:start w:val="1"/>
      <w:numFmt w:val="decimal"/>
      <w:lvlText w:val="%1)"/>
      <w:lvlJc w:val="left"/>
      <w:pPr>
        <w:ind w:left="1080" w:hanging="360"/>
      </w:pPr>
      <w:rPr>
        <w:rFonts w:ascii="Times New Roman" w:hAnsi="Times New Roman" w:cs="Times New Roman" w:hint="default"/>
        <w:sz w:val="28"/>
        <w:szCs w:val="28"/>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nsid w:val="1D6B5799"/>
    <w:multiLevelType w:val="hybridMultilevel"/>
    <w:tmpl w:val="7EE8EF5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1491F40"/>
    <w:multiLevelType w:val="hybridMultilevel"/>
    <w:tmpl w:val="CD4E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25F3D54"/>
    <w:multiLevelType w:val="hybridMultilevel"/>
    <w:tmpl w:val="074400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2665BCF"/>
    <w:multiLevelType w:val="hybridMultilevel"/>
    <w:tmpl w:val="378083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FCD4A46"/>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10">
    <w:nsid w:val="429D355F"/>
    <w:multiLevelType w:val="hybridMultilevel"/>
    <w:tmpl w:val="AF8E55BC"/>
    <w:lvl w:ilvl="0" w:tplc="08FCE5C0">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1">
    <w:nsid w:val="6398079E"/>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12">
    <w:nsid w:val="75452DDF"/>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13">
    <w:nsid w:val="763A71AB"/>
    <w:multiLevelType w:val="hybridMultilevel"/>
    <w:tmpl w:val="1A9661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9656C54"/>
    <w:multiLevelType w:val="hybridMultilevel"/>
    <w:tmpl w:val="3B86D276"/>
    <w:lvl w:ilvl="0" w:tplc="FCD065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10"/>
  </w:num>
  <w:num w:numId="5">
    <w:abstractNumId w:val="6"/>
  </w:num>
  <w:num w:numId="6">
    <w:abstractNumId w:val="8"/>
  </w:num>
  <w:num w:numId="7">
    <w:abstractNumId w:val="3"/>
  </w:num>
  <w:num w:numId="8">
    <w:abstractNumId w:val="0"/>
  </w:num>
  <w:num w:numId="9">
    <w:abstractNumId w:val="14"/>
  </w:num>
  <w:num w:numId="10">
    <w:abstractNumId w:val="7"/>
  </w:num>
  <w:num w:numId="11">
    <w:abstractNumId w:val="5"/>
  </w:num>
  <w:num w:numId="12">
    <w:abstractNumId w:val="13"/>
  </w:num>
  <w:num w:numId="13">
    <w:abstractNumId w:val="1"/>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4C"/>
    <w:rsid w:val="000052E5"/>
    <w:rsid w:val="00011B18"/>
    <w:rsid w:val="000225A5"/>
    <w:rsid w:val="00022DA6"/>
    <w:rsid w:val="000261CF"/>
    <w:rsid w:val="00035B5C"/>
    <w:rsid w:val="0003608B"/>
    <w:rsid w:val="00040663"/>
    <w:rsid w:val="00044BE9"/>
    <w:rsid w:val="00051706"/>
    <w:rsid w:val="000613AE"/>
    <w:rsid w:val="0006538F"/>
    <w:rsid w:val="00070DF3"/>
    <w:rsid w:val="000717A4"/>
    <w:rsid w:val="00073B78"/>
    <w:rsid w:val="00076417"/>
    <w:rsid w:val="00080741"/>
    <w:rsid w:val="0008524C"/>
    <w:rsid w:val="00096EA9"/>
    <w:rsid w:val="0009707B"/>
    <w:rsid w:val="000A3759"/>
    <w:rsid w:val="000B6ED0"/>
    <w:rsid w:val="000B780F"/>
    <w:rsid w:val="000D3610"/>
    <w:rsid w:val="000D528D"/>
    <w:rsid w:val="000E52FF"/>
    <w:rsid w:val="000E5963"/>
    <w:rsid w:val="000F2C84"/>
    <w:rsid w:val="000F2D0B"/>
    <w:rsid w:val="000F5C6E"/>
    <w:rsid w:val="00103294"/>
    <w:rsid w:val="001040D4"/>
    <w:rsid w:val="001053E4"/>
    <w:rsid w:val="001066E0"/>
    <w:rsid w:val="001121DD"/>
    <w:rsid w:val="00120FB6"/>
    <w:rsid w:val="00121068"/>
    <w:rsid w:val="00123F56"/>
    <w:rsid w:val="00124AAC"/>
    <w:rsid w:val="00124E3F"/>
    <w:rsid w:val="00126C2A"/>
    <w:rsid w:val="00127D3E"/>
    <w:rsid w:val="001364CD"/>
    <w:rsid w:val="00140B59"/>
    <w:rsid w:val="00141692"/>
    <w:rsid w:val="00141F3A"/>
    <w:rsid w:val="001454E0"/>
    <w:rsid w:val="00145AFC"/>
    <w:rsid w:val="0015340B"/>
    <w:rsid w:val="001573B9"/>
    <w:rsid w:val="00160040"/>
    <w:rsid w:val="00163059"/>
    <w:rsid w:val="00170401"/>
    <w:rsid w:val="001804FF"/>
    <w:rsid w:val="00192EF6"/>
    <w:rsid w:val="001934A7"/>
    <w:rsid w:val="001965B5"/>
    <w:rsid w:val="001A181A"/>
    <w:rsid w:val="001A3CEA"/>
    <w:rsid w:val="001A3FCE"/>
    <w:rsid w:val="001A5CB7"/>
    <w:rsid w:val="001B2044"/>
    <w:rsid w:val="001C18A0"/>
    <w:rsid w:val="001C2840"/>
    <w:rsid w:val="001C46B7"/>
    <w:rsid w:val="001D4A11"/>
    <w:rsid w:val="001D7541"/>
    <w:rsid w:val="001D7FB3"/>
    <w:rsid w:val="001E6C3F"/>
    <w:rsid w:val="001E6CF9"/>
    <w:rsid w:val="001F0645"/>
    <w:rsid w:val="001F16FB"/>
    <w:rsid w:val="001F32CC"/>
    <w:rsid w:val="002022AB"/>
    <w:rsid w:val="00203D31"/>
    <w:rsid w:val="00204B54"/>
    <w:rsid w:val="00210BB5"/>
    <w:rsid w:val="002112D4"/>
    <w:rsid w:val="0021649F"/>
    <w:rsid w:val="00221D19"/>
    <w:rsid w:val="00231EA4"/>
    <w:rsid w:val="00233E5D"/>
    <w:rsid w:val="00234EDB"/>
    <w:rsid w:val="00235460"/>
    <w:rsid w:val="002373AB"/>
    <w:rsid w:val="0024318F"/>
    <w:rsid w:val="00250D68"/>
    <w:rsid w:val="00260241"/>
    <w:rsid w:val="002633B7"/>
    <w:rsid w:val="002707A8"/>
    <w:rsid w:val="00273BF0"/>
    <w:rsid w:val="00275A04"/>
    <w:rsid w:val="00276C4A"/>
    <w:rsid w:val="002779D6"/>
    <w:rsid w:val="0028035B"/>
    <w:rsid w:val="00294186"/>
    <w:rsid w:val="00294413"/>
    <w:rsid w:val="002A0169"/>
    <w:rsid w:val="002A5F28"/>
    <w:rsid w:val="002A72E8"/>
    <w:rsid w:val="002B1D00"/>
    <w:rsid w:val="002B5128"/>
    <w:rsid w:val="002B67C4"/>
    <w:rsid w:val="002B780D"/>
    <w:rsid w:val="002B7CE8"/>
    <w:rsid w:val="002C2DCD"/>
    <w:rsid w:val="002C346C"/>
    <w:rsid w:val="002C5507"/>
    <w:rsid w:val="002C64DC"/>
    <w:rsid w:val="002D1BF3"/>
    <w:rsid w:val="002E36B9"/>
    <w:rsid w:val="002F131B"/>
    <w:rsid w:val="002F6FF9"/>
    <w:rsid w:val="00300ED0"/>
    <w:rsid w:val="003041A5"/>
    <w:rsid w:val="00305F41"/>
    <w:rsid w:val="00311620"/>
    <w:rsid w:val="003143AC"/>
    <w:rsid w:val="00314B71"/>
    <w:rsid w:val="003233C6"/>
    <w:rsid w:val="00325397"/>
    <w:rsid w:val="00327100"/>
    <w:rsid w:val="003308E8"/>
    <w:rsid w:val="00330F03"/>
    <w:rsid w:val="00333710"/>
    <w:rsid w:val="003402D9"/>
    <w:rsid w:val="00342450"/>
    <w:rsid w:val="003540F3"/>
    <w:rsid w:val="003559A7"/>
    <w:rsid w:val="00363267"/>
    <w:rsid w:val="00363EEE"/>
    <w:rsid w:val="00364C03"/>
    <w:rsid w:val="0036732D"/>
    <w:rsid w:val="00371241"/>
    <w:rsid w:val="0037204B"/>
    <w:rsid w:val="00387CB7"/>
    <w:rsid w:val="00390175"/>
    <w:rsid w:val="00390228"/>
    <w:rsid w:val="003974D1"/>
    <w:rsid w:val="003B0C8E"/>
    <w:rsid w:val="003B645A"/>
    <w:rsid w:val="003B66F7"/>
    <w:rsid w:val="003C26C4"/>
    <w:rsid w:val="003C3002"/>
    <w:rsid w:val="003C50A6"/>
    <w:rsid w:val="003D01F0"/>
    <w:rsid w:val="003D469A"/>
    <w:rsid w:val="003E7421"/>
    <w:rsid w:val="003F56AE"/>
    <w:rsid w:val="00401CAF"/>
    <w:rsid w:val="0040419B"/>
    <w:rsid w:val="00404315"/>
    <w:rsid w:val="00404D5E"/>
    <w:rsid w:val="00412D47"/>
    <w:rsid w:val="00423845"/>
    <w:rsid w:val="00433619"/>
    <w:rsid w:val="004365BC"/>
    <w:rsid w:val="00436FEB"/>
    <w:rsid w:val="00441296"/>
    <w:rsid w:val="0044198D"/>
    <w:rsid w:val="00447D8E"/>
    <w:rsid w:val="00452381"/>
    <w:rsid w:val="00452780"/>
    <w:rsid w:val="00453BE1"/>
    <w:rsid w:val="00461E15"/>
    <w:rsid w:val="00463714"/>
    <w:rsid w:val="004704E2"/>
    <w:rsid w:val="00471C77"/>
    <w:rsid w:val="00475456"/>
    <w:rsid w:val="00476AD7"/>
    <w:rsid w:val="004811A1"/>
    <w:rsid w:val="00484BF0"/>
    <w:rsid w:val="0048756A"/>
    <w:rsid w:val="00495DC6"/>
    <w:rsid w:val="004A140E"/>
    <w:rsid w:val="004A4EAD"/>
    <w:rsid w:val="004A7AC6"/>
    <w:rsid w:val="004B2220"/>
    <w:rsid w:val="004B547D"/>
    <w:rsid w:val="004C43ED"/>
    <w:rsid w:val="004C5F2E"/>
    <w:rsid w:val="004D1361"/>
    <w:rsid w:val="004D326D"/>
    <w:rsid w:val="004E24E7"/>
    <w:rsid w:val="004E62A3"/>
    <w:rsid w:val="004F0AB7"/>
    <w:rsid w:val="00506F1F"/>
    <w:rsid w:val="0052338B"/>
    <w:rsid w:val="00526EDD"/>
    <w:rsid w:val="00541708"/>
    <w:rsid w:val="005434F9"/>
    <w:rsid w:val="0054745D"/>
    <w:rsid w:val="005507C1"/>
    <w:rsid w:val="005517D6"/>
    <w:rsid w:val="00555156"/>
    <w:rsid w:val="00561930"/>
    <w:rsid w:val="00564BEF"/>
    <w:rsid w:val="00564F84"/>
    <w:rsid w:val="00565109"/>
    <w:rsid w:val="00574D9A"/>
    <w:rsid w:val="00575390"/>
    <w:rsid w:val="005768D3"/>
    <w:rsid w:val="0058415B"/>
    <w:rsid w:val="00585255"/>
    <w:rsid w:val="005967D3"/>
    <w:rsid w:val="005A47AC"/>
    <w:rsid w:val="005A6CB0"/>
    <w:rsid w:val="005B34E6"/>
    <w:rsid w:val="005B6D56"/>
    <w:rsid w:val="005C334C"/>
    <w:rsid w:val="005D3EA6"/>
    <w:rsid w:val="005D4640"/>
    <w:rsid w:val="005D5DED"/>
    <w:rsid w:val="005E2A1B"/>
    <w:rsid w:val="005E2DC3"/>
    <w:rsid w:val="005E429B"/>
    <w:rsid w:val="005F0A32"/>
    <w:rsid w:val="005F6363"/>
    <w:rsid w:val="00604FF0"/>
    <w:rsid w:val="00612BF8"/>
    <w:rsid w:val="00614304"/>
    <w:rsid w:val="00623866"/>
    <w:rsid w:val="00624895"/>
    <w:rsid w:val="00626F2E"/>
    <w:rsid w:val="0063016C"/>
    <w:rsid w:val="00633863"/>
    <w:rsid w:val="006352DF"/>
    <w:rsid w:val="00636F33"/>
    <w:rsid w:val="00642ADA"/>
    <w:rsid w:val="00655A42"/>
    <w:rsid w:val="00656BAA"/>
    <w:rsid w:val="006638BA"/>
    <w:rsid w:val="00667D38"/>
    <w:rsid w:val="006716FE"/>
    <w:rsid w:val="00674A70"/>
    <w:rsid w:val="00677C12"/>
    <w:rsid w:val="006806A9"/>
    <w:rsid w:val="00684C9E"/>
    <w:rsid w:val="00691798"/>
    <w:rsid w:val="006934B5"/>
    <w:rsid w:val="006A1C77"/>
    <w:rsid w:val="006B271D"/>
    <w:rsid w:val="006B7DE7"/>
    <w:rsid w:val="006C09C1"/>
    <w:rsid w:val="006C39FC"/>
    <w:rsid w:val="006E10E6"/>
    <w:rsid w:val="006E5513"/>
    <w:rsid w:val="006E5E2D"/>
    <w:rsid w:val="006F2178"/>
    <w:rsid w:val="006F4361"/>
    <w:rsid w:val="006F5FA1"/>
    <w:rsid w:val="00720B59"/>
    <w:rsid w:val="0072663F"/>
    <w:rsid w:val="007552FA"/>
    <w:rsid w:val="007614F2"/>
    <w:rsid w:val="0076625B"/>
    <w:rsid w:val="00766C07"/>
    <w:rsid w:val="00775161"/>
    <w:rsid w:val="007773A5"/>
    <w:rsid w:val="00777CA2"/>
    <w:rsid w:val="0078209E"/>
    <w:rsid w:val="007854B1"/>
    <w:rsid w:val="00787F37"/>
    <w:rsid w:val="007918FC"/>
    <w:rsid w:val="007C0CA1"/>
    <w:rsid w:val="007C1607"/>
    <w:rsid w:val="007C1A56"/>
    <w:rsid w:val="007C2CC6"/>
    <w:rsid w:val="007C7087"/>
    <w:rsid w:val="007C7AD1"/>
    <w:rsid w:val="007D0688"/>
    <w:rsid w:val="007D0AB8"/>
    <w:rsid w:val="007D5CF7"/>
    <w:rsid w:val="007D65BF"/>
    <w:rsid w:val="007E3EE7"/>
    <w:rsid w:val="007E4064"/>
    <w:rsid w:val="007E5375"/>
    <w:rsid w:val="007E6EDB"/>
    <w:rsid w:val="0080070F"/>
    <w:rsid w:val="00813691"/>
    <w:rsid w:val="00813985"/>
    <w:rsid w:val="00815FD0"/>
    <w:rsid w:val="0082422D"/>
    <w:rsid w:val="00835AD8"/>
    <w:rsid w:val="00843D48"/>
    <w:rsid w:val="00844566"/>
    <w:rsid w:val="008462E6"/>
    <w:rsid w:val="00846D69"/>
    <w:rsid w:val="00851B7B"/>
    <w:rsid w:val="008626F5"/>
    <w:rsid w:val="0087036E"/>
    <w:rsid w:val="00871A60"/>
    <w:rsid w:val="00876CCA"/>
    <w:rsid w:val="008806A6"/>
    <w:rsid w:val="00883D12"/>
    <w:rsid w:val="008855C5"/>
    <w:rsid w:val="008872F1"/>
    <w:rsid w:val="0089080E"/>
    <w:rsid w:val="00890A80"/>
    <w:rsid w:val="00895A63"/>
    <w:rsid w:val="008A1B06"/>
    <w:rsid w:val="008A273C"/>
    <w:rsid w:val="008A403E"/>
    <w:rsid w:val="008A5CDC"/>
    <w:rsid w:val="008B06A9"/>
    <w:rsid w:val="008B0A3C"/>
    <w:rsid w:val="008B2794"/>
    <w:rsid w:val="008B7619"/>
    <w:rsid w:val="008B7EBE"/>
    <w:rsid w:val="008C0CF8"/>
    <w:rsid w:val="008C2EF9"/>
    <w:rsid w:val="008C511B"/>
    <w:rsid w:val="008C524D"/>
    <w:rsid w:val="008C5BD5"/>
    <w:rsid w:val="008C76CB"/>
    <w:rsid w:val="008C774E"/>
    <w:rsid w:val="008E115D"/>
    <w:rsid w:val="008E420D"/>
    <w:rsid w:val="008E5210"/>
    <w:rsid w:val="008E7672"/>
    <w:rsid w:val="008F28AD"/>
    <w:rsid w:val="008F57EB"/>
    <w:rsid w:val="00902BAA"/>
    <w:rsid w:val="009058D7"/>
    <w:rsid w:val="00905CD8"/>
    <w:rsid w:val="00910A1D"/>
    <w:rsid w:val="00915362"/>
    <w:rsid w:val="00920680"/>
    <w:rsid w:val="00923210"/>
    <w:rsid w:val="00933080"/>
    <w:rsid w:val="00937E1F"/>
    <w:rsid w:val="0094442E"/>
    <w:rsid w:val="0095172A"/>
    <w:rsid w:val="00951974"/>
    <w:rsid w:val="0095527A"/>
    <w:rsid w:val="00962293"/>
    <w:rsid w:val="009649D0"/>
    <w:rsid w:val="009705FE"/>
    <w:rsid w:val="00973386"/>
    <w:rsid w:val="00974716"/>
    <w:rsid w:val="00974B97"/>
    <w:rsid w:val="00984009"/>
    <w:rsid w:val="00985993"/>
    <w:rsid w:val="009862E2"/>
    <w:rsid w:val="0099084C"/>
    <w:rsid w:val="00993500"/>
    <w:rsid w:val="009952CA"/>
    <w:rsid w:val="009B1A14"/>
    <w:rsid w:val="009B2E08"/>
    <w:rsid w:val="009C1040"/>
    <w:rsid w:val="009D00BB"/>
    <w:rsid w:val="009D2A3D"/>
    <w:rsid w:val="009D2D51"/>
    <w:rsid w:val="009D514B"/>
    <w:rsid w:val="009E0856"/>
    <w:rsid w:val="009E0A93"/>
    <w:rsid w:val="009E4146"/>
    <w:rsid w:val="009F0166"/>
    <w:rsid w:val="009F5F3D"/>
    <w:rsid w:val="00A04154"/>
    <w:rsid w:val="00A0699C"/>
    <w:rsid w:val="00A13A09"/>
    <w:rsid w:val="00A144F8"/>
    <w:rsid w:val="00A236F8"/>
    <w:rsid w:val="00A26161"/>
    <w:rsid w:val="00A26732"/>
    <w:rsid w:val="00A332FE"/>
    <w:rsid w:val="00A376F6"/>
    <w:rsid w:val="00A43DE1"/>
    <w:rsid w:val="00A45395"/>
    <w:rsid w:val="00A67952"/>
    <w:rsid w:val="00A74F25"/>
    <w:rsid w:val="00A8368A"/>
    <w:rsid w:val="00A90323"/>
    <w:rsid w:val="00A90D30"/>
    <w:rsid w:val="00A90F2F"/>
    <w:rsid w:val="00A92283"/>
    <w:rsid w:val="00AA552E"/>
    <w:rsid w:val="00AA5E3E"/>
    <w:rsid w:val="00AA662D"/>
    <w:rsid w:val="00AB1BCA"/>
    <w:rsid w:val="00AC1DE7"/>
    <w:rsid w:val="00AC39F7"/>
    <w:rsid w:val="00AC59D2"/>
    <w:rsid w:val="00AD07BD"/>
    <w:rsid w:val="00AD4C6B"/>
    <w:rsid w:val="00AE69D4"/>
    <w:rsid w:val="00AE7B2E"/>
    <w:rsid w:val="00AF3485"/>
    <w:rsid w:val="00B0212E"/>
    <w:rsid w:val="00B05CD2"/>
    <w:rsid w:val="00B108A3"/>
    <w:rsid w:val="00B110C7"/>
    <w:rsid w:val="00B149F4"/>
    <w:rsid w:val="00B21F19"/>
    <w:rsid w:val="00B231B8"/>
    <w:rsid w:val="00B2353F"/>
    <w:rsid w:val="00B24350"/>
    <w:rsid w:val="00B262AA"/>
    <w:rsid w:val="00B329B7"/>
    <w:rsid w:val="00B52829"/>
    <w:rsid w:val="00B55CD7"/>
    <w:rsid w:val="00B66F32"/>
    <w:rsid w:val="00B67B15"/>
    <w:rsid w:val="00B738EF"/>
    <w:rsid w:val="00B811F1"/>
    <w:rsid w:val="00B8355B"/>
    <w:rsid w:val="00B83B77"/>
    <w:rsid w:val="00B84F90"/>
    <w:rsid w:val="00B84FF2"/>
    <w:rsid w:val="00B86AEE"/>
    <w:rsid w:val="00B87749"/>
    <w:rsid w:val="00B972B1"/>
    <w:rsid w:val="00BA476E"/>
    <w:rsid w:val="00BB00A9"/>
    <w:rsid w:val="00BB2372"/>
    <w:rsid w:val="00BB2B0D"/>
    <w:rsid w:val="00BB2D8F"/>
    <w:rsid w:val="00BB4DCB"/>
    <w:rsid w:val="00BB6331"/>
    <w:rsid w:val="00BC2645"/>
    <w:rsid w:val="00BC5382"/>
    <w:rsid w:val="00BC76BE"/>
    <w:rsid w:val="00BD0AF3"/>
    <w:rsid w:val="00BD179F"/>
    <w:rsid w:val="00BD38A1"/>
    <w:rsid w:val="00BD51E9"/>
    <w:rsid w:val="00BE538C"/>
    <w:rsid w:val="00BE743C"/>
    <w:rsid w:val="00BF3E20"/>
    <w:rsid w:val="00BF7E3E"/>
    <w:rsid w:val="00C10427"/>
    <w:rsid w:val="00C170DA"/>
    <w:rsid w:val="00C219D3"/>
    <w:rsid w:val="00C2275E"/>
    <w:rsid w:val="00C32A73"/>
    <w:rsid w:val="00C34FCE"/>
    <w:rsid w:val="00C360A1"/>
    <w:rsid w:val="00C40F66"/>
    <w:rsid w:val="00C455AA"/>
    <w:rsid w:val="00C52DA0"/>
    <w:rsid w:val="00C70952"/>
    <w:rsid w:val="00C75C72"/>
    <w:rsid w:val="00C763A3"/>
    <w:rsid w:val="00C768C1"/>
    <w:rsid w:val="00C7770F"/>
    <w:rsid w:val="00C8054C"/>
    <w:rsid w:val="00C81479"/>
    <w:rsid w:val="00C86800"/>
    <w:rsid w:val="00C870A3"/>
    <w:rsid w:val="00C907EB"/>
    <w:rsid w:val="00CA6BAD"/>
    <w:rsid w:val="00CB52FA"/>
    <w:rsid w:val="00CC1F4A"/>
    <w:rsid w:val="00CC3719"/>
    <w:rsid w:val="00CC61C7"/>
    <w:rsid w:val="00CC7AA1"/>
    <w:rsid w:val="00CD3DC8"/>
    <w:rsid w:val="00CE19F6"/>
    <w:rsid w:val="00CE3798"/>
    <w:rsid w:val="00CE4B0C"/>
    <w:rsid w:val="00CE6283"/>
    <w:rsid w:val="00CE6A3E"/>
    <w:rsid w:val="00CE6CEB"/>
    <w:rsid w:val="00CF283A"/>
    <w:rsid w:val="00D04D10"/>
    <w:rsid w:val="00D04E96"/>
    <w:rsid w:val="00D12CD3"/>
    <w:rsid w:val="00D14D65"/>
    <w:rsid w:val="00D15AD6"/>
    <w:rsid w:val="00D44429"/>
    <w:rsid w:val="00D474C9"/>
    <w:rsid w:val="00D555FD"/>
    <w:rsid w:val="00D57158"/>
    <w:rsid w:val="00D57270"/>
    <w:rsid w:val="00D5742B"/>
    <w:rsid w:val="00D62339"/>
    <w:rsid w:val="00D62893"/>
    <w:rsid w:val="00D70EDB"/>
    <w:rsid w:val="00D71C1E"/>
    <w:rsid w:val="00D73319"/>
    <w:rsid w:val="00D73C8C"/>
    <w:rsid w:val="00D75B47"/>
    <w:rsid w:val="00D81F35"/>
    <w:rsid w:val="00D83EDF"/>
    <w:rsid w:val="00D84AB4"/>
    <w:rsid w:val="00D8606A"/>
    <w:rsid w:val="00D865D1"/>
    <w:rsid w:val="00D87277"/>
    <w:rsid w:val="00DA0909"/>
    <w:rsid w:val="00DA48D1"/>
    <w:rsid w:val="00DB3EE1"/>
    <w:rsid w:val="00DB75D6"/>
    <w:rsid w:val="00DC39F8"/>
    <w:rsid w:val="00DC605E"/>
    <w:rsid w:val="00DD2DDB"/>
    <w:rsid w:val="00DD6113"/>
    <w:rsid w:val="00DD6C05"/>
    <w:rsid w:val="00DE7E5C"/>
    <w:rsid w:val="00DF0A01"/>
    <w:rsid w:val="00DF11C8"/>
    <w:rsid w:val="00DF335F"/>
    <w:rsid w:val="00DF37FF"/>
    <w:rsid w:val="00DF70B6"/>
    <w:rsid w:val="00E17512"/>
    <w:rsid w:val="00E17A59"/>
    <w:rsid w:val="00E21911"/>
    <w:rsid w:val="00E226CB"/>
    <w:rsid w:val="00E22D11"/>
    <w:rsid w:val="00E24655"/>
    <w:rsid w:val="00E25E6C"/>
    <w:rsid w:val="00E30836"/>
    <w:rsid w:val="00E312E4"/>
    <w:rsid w:val="00E36FA8"/>
    <w:rsid w:val="00E42554"/>
    <w:rsid w:val="00E50243"/>
    <w:rsid w:val="00E5079A"/>
    <w:rsid w:val="00E606F5"/>
    <w:rsid w:val="00E63039"/>
    <w:rsid w:val="00E64B38"/>
    <w:rsid w:val="00E65002"/>
    <w:rsid w:val="00E65A35"/>
    <w:rsid w:val="00E83CCB"/>
    <w:rsid w:val="00E87C7C"/>
    <w:rsid w:val="00E90F6C"/>
    <w:rsid w:val="00E92490"/>
    <w:rsid w:val="00E92593"/>
    <w:rsid w:val="00E93CA4"/>
    <w:rsid w:val="00E94C2F"/>
    <w:rsid w:val="00E94D5F"/>
    <w:rsid w:val="00E94F33"/>
    <w:rsid w:val="00EA19D1"/>
    <w:rsid w:val="00EA1B1A"/>
    <w:rsid w:val="00EA59C1"/>
    <w:rsid w:val="00EB4691"/>
    <w:rsid w:val="00EB7240"/>
    <w:rsid w:val="00EB7AD3"/>
    <w:rsid w:val="00EC06A8"/>
    <w:rsid w:val="00EC450B"/>
    <w:rsid w:val="00ED4032"/>
    <w:rsid w:val="00ED40FC"/>
    <w:rsid w:val="00ED7C27"/>
    <w:rsid w:val="00EE0131"/>
    <w:rsid w:val="00EE1258"/>
    <w:rsid w:val="00EE224F"/>
    <w:rsid w:val="00EE22E7"/>
    <w:rsid w:val="00EF6BEF"/>
    <w:rsid w:val="00EF7A55"/>
    <w:rsid w:val="00F0378A"/>
    <w:rsid w:val="00F03DB8"/>
    <w:rsid w:val="00F152E3"/>
    <w:rsid w:val="00F20F7D"/>
    <w:rsid w:val="00F229BF"/>
    <w:rsid w:val="00F24248"/>
    <w:rsid w:val="00F24F6E"/>
    <w:rsid w:val="00F2662A"/>
    <w:rsid w:val="00F26C9E"/>
    <w:rsid w:val="00F3290F"/>
    <w:rsid w:val="00F40679"/>
    <w:rsid w:val="00F41802"/>
    <w:rsid w:val="00F43E83"/>
    <w:rsid w:val="00F4600A"/>
    <w:rsid w:val="00F50387"/>
    <w:rsid w:val="00F52BF9"/>
    <w:rsid w:val="00F54E42"/>
    <w:rsid w:val="00F5745B"/>
    <w:rsid w:val="00F60C01"/>
    <w:rsid w:val="00F625D7"/>
    <w:rsid w:val="00F63D94"/>
    <w:rsid w:val="00F63DB5"/>
    <w:rsid w:val="00F64E67"/>
    <w:rsid w:val="00F741EB"/>
    <w:rsid w:val="00F80277"/>
    <w:rsid w:val="00F83E3D"/>
    <w:rsid w:val="00F96E9C"/>
    <w:rsid w:val="00F9724C"/>
    <w:rsid w:val="00FB4E35"/>
    <w:rsid w:val="00FB6399"/>
    <w:rsid w:val="00FD148F"/>
    <w:rsid w:val="00FF450C"/>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D290B4"/>
  <w15:docId w15:val="{445DBD8D-A285-44BB-AFF0-E1BF7318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34C"/>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C334C"/>
    <w:rPr>
      <w:rFonts w:ascii="Calibri" w:eastAsia="Calibri" w:hAnsi="Calibri" w:cs="Times New Roman"/>
    </w:rPr>
  </w:style>
  <w:style w:type="paragraph" w:styleId="CommentText">
    <w:name w:val="annotation text"/>
    <w:basedOn w:val="Normal"/>
    <w:link w:val="CommentTextChar"/>
    <w:uiPriority w:val="99"/>
    <w:unhideWhenUsed/>
    <w:rsid w:val="005C334C"/>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5C334C"/>
    <w:rPr>
      <w:rFonts w:ascii="Calibri" w:eastAsia="Calibri" w:hAnsi="Calibri" w:cs="Times New Roman"/>
      <w:sz w:val="20"/>
      <w:szCs w:val="20"/>
      <w:lang w:val="x-none" w:eastAsia="x-none"/>
    </w:rPr>
  </w:style>
  <w:style w:type="character" w:styleId="Hyperlink">
    <w:name w:val="Hyperlink"/>
    <w:uiPriority w:val="99"/>
    <w:unhideWhenUsed/>
    <w:rsid w:val="005C334C"/>
    <w:rPr>
      <w:color w:val="0000FF"/>
      <w:u w:val="single"/>
    </w:rPr>
  </w:style>
  <w:style w:type="paragraph" w:styleId="FootnoteText">
    <w:name w:val="footnote text"/>
    <w:aliases w:val="Footnote Char Char Char Char Char Char Char,Footnote Text Char Char,Footnote Text Char Char Char,Footnote Text Char Char Char Char Char Char Char,Footnote Text Char1 Char,Footnote Text Char2,Fußnote Char Char Char Char Char Char Char,f"/>
    <w:basedOn w:val="Normal"/>
    <w:link w:val="FootnoteTextChar"/>
    <w:uiPriority w:val="99"/>
    <w:unhideWhenUsed/>
    <w:rsid w:val="005C334C"/>
    <w:pPr>
      <w:spacing w:after="0" w:line="240" w:lineRule="auto"/>
    </w:pPr>
    <w:rPr>
      <w:rFonts w:ascii="Calibri" w:eastAsia="Calibri" w:hAnsi="Calibri" w:cs="Times New Roman"/>
      <w:sz w:val="20"/>
      <w:szCs w:val="20"/>
    </w:rPr>
  </w:style>
  <w:style w:type="character" w:customStyle="1" w:styleId="FootnoteTextChar">
    <w:name w:val="Footnote Text Char"/>
    <w:aliases w:val="Footnote Char Char Char Char Char Char Char Char,Footnote Text Char Char Char1,Footnote Text Char Char Char Char,Footnote Text Char Char Char Char Char Char Char Char,Footnote Text Char1 Char Char,Footnote Text Char2 Char,f Char"/>
    <w:basedOn w:val="DefaultParagraphFont"/>
    <w:link w:val="FootnoteText"/>
    <w:uiPriority w:val="99"/>
    <w:rsid w:val="005C334C"/>
    <w:rPr>
      <w:rFonts w:ascii="Calibri" w:eastAsia="Calibri" w:hAnsi="Calibri" w:cs="Times New Roman"/>
      <w:sz w:val="20"/>
      <w:szCs w:val="20"/>
    </w:rPr>
  </w:style>
  <w:style w:type="character" w:styleId="FootnoteReference">
    <w:name w:val="footnote reference"/>
    <w:aliases w:val="BVI fnr,Footnote Reference Number,Footnote Reference Superscript,Footnote Refernece,Footnote symbol,Footnotes refss,Fußnotenzeichen_Raxen,Odwołanie przypisu,Ref,SUPERS,Times 10 Point,Vēres atsauce,callout,de nota al pie,ftref,stylish"/>
    <w:link w:val="CharCharCharChar"/>
    <w:uiPriority w:val="99"/>
    <w:unhideWhenUsed/>
    <w:qFormat/>
    <w:rsid w:val="005C334C"/>
    <w:rPr>
      <w:vertAlign w:val="superscript"/>
    </w:rPr>
  </w:style>
  <w:style w:type="paragraph" w:customStyle="1" w:styleId="CharCharCharChar">
    <w:name w:val="Char Char Char Char"/>
    <w:aliases w:val="Char2"/>
    <w:basedOn w:val="Normal"/>
    <w:next w:val="Normal"/>
    <w:link w:val="FootnoteReference"/>
    <w:uiPriority w:val="99"/>
    <w:rsid w:val="005C334C"/>
    <w:pPr>
      <w:spacing w:line="240" w:lineRule="exact"/>
      <w:jc w:val="both"/>
      <w:textAlignment w:val="baseline"/>
    </w:pPr>
    <w:rPr>
      <w:vertAlign w:val="superscript"/>
    </w:rPr>
  </w:style>
  <w:style w:type="paragraph" w:styleId="ListParagraph">
    <w:name w:val="List Paragraph"/>
    <w:aliases w:val="H&amp;P List Paragraph,2,Strip"/>
    <w:basedOn w:val="Normal"/>
    <w:link w:val="ListParagraphChar"/>
    <w:uiPriority w:val="34"/>
    <w:qFormat/>
    <w:rsid w:val="005C334C"/>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5C33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334C"/>
  </w:style>
  <w:style w:type="paragraph" w:styleId="BalloonText">
    <w:name w:val="Balloon Text"/>
    <w:basedOn w:val="Normal"/>
    <w:link w:val="BalloonTextChar"/>
    <w:uiPriority w:val="99"/>
    <w:semiHidden/>
    <w:unhideWhenUsed/>
    <w:rsid w:val="0026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41"/>
    <w:rPr>
      <w:rFonts w:ascii="Segoe UI" w:hAnsi="Segoe UI" w:cs="Segoe UI"/>
      <w:sz w:val="18"/>
      <w:szCs w:val="18"/>
    </w:rPr>
  </w:style>
  <w:style w:type="character" w:styleId="CommentReference">
    <w:name w:val="annotation reference"/>
    <w:basedOn w:val="DefaultParagraphFont"/>
    <w:uiPriority w:val="99"/>
    <w:semiHidden/>
    <w:unhideWhenUsed/>
    <w:rsid w:val="008E420D"/>
    <w:rPr>
      <w:sz w:val="16"/>
      <w:szCs w:val="16"/>
    </w:rPr>
  </w:style>
  <w:style w:type="paragraph" w:styleId="CommentSubject">
    <w:name w:val="annotation subject"/>
    <w:basedOn w:val="CommentText"/>
    <w:next w:val="CommentText"/>
    <w:link w:val="CommentSubjectChar"/>
    <w:uiPriority w:val="99"/>
    <w:semiHidden/>
    <w:unhideWhenUsed/>
    <w:rsid w:val="008E420D"/>
    <w:pPr>
      <w:spacing w:after="16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8E420D"/>
    <w:rPr>
      <w:rFonts w:ascii="Calibri" w:eastAsia="Calibri" w:hAnsi="Calibri" w:cs="Times New Roman"/>
      <w:b/>
      <w:bCs/>
      <w:sz w:val="20"/>
      <w:szCs w:val="20"/>
      <w:lang w:val="x-none" w:eastAsia="x-none"/>
    </w:rPr>
  </w:style>
  <w:style w:type="character" w:customStyle="1" w:styleId="UnresolvedMention">
    <w:name w:val="Unresolved Mention"/>
    <w:basedOn w:val="DefaultParagraphFont"/>
    <w:uiPriority w:val="99"/>
    <w:semiHidden/>
    <w:unhideWhenUsed/>
    <w:rsid w:val="008A5CDC"/>
    <w:rPr>
      <w:color w:val="605E5C"/>
      <w:shd w:val="clear" w:color="auto" w:fill="E1DFDD"/>
    </w:rPr>
  </w:style>
  <w:style w:type="paragraph" w:customStyle="1" w:styleId="tv213">
    <w:name w:val="tv213"/>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abojumupamats">
    <w:name w:val="labojumu_pamats"/>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364C0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table" w:styleId="TableGrid">
    <w:name w:val="Table Grid"/>
    <w:basedOn w:val="TableNormal"/>
    <w:uiPriority w:val="39"/>
    <w:rsid w:val="00484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amp;P List Paragraph Char,2 Char,Strip Char"/>
    <w:link w:val="ListParagraph"/>
    <w:uiPriority w:val="34"/>
    <w:locked/>
    <w:rsid w:val="0032539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8781">
      <w:bodyDiv w:val="1"/>
      <w:marLeft w:val="0"/>
      <w:marRight w:val="0"/>
      <w:marTop w:val="0"/>
      <w:marBottom w:val="0"/>
      <w:divBdr>
        <w:top w:val="none" w:sz="0" w:space="0" w:color="auto"/>
        <w:left w:val="none" w:sz="0" w:space="0" w:color="auto"/>
        <w:bottom w:val="none" w:sz="0" w:space="0" w:color="auto"/>
        <w:right w:val="none" w:sz="0" w:space="0" w:color="auto"/>
      </w:divBdr>
      <w:divsChild>
        <w:div w:id="210771500">
          <w:marLeft w:val="0"/>
          <w:marRight w:val="0"/>
          <w:marTop w:val="0"/>
          <w:marBottom w:val="567"/>
          <w:divBdr>
            <w:top w:val="none" w:sz="0" w:space="0" w:color="auto"/>
            <w:left w:val="none" w:sz="0" w:space="0" w:color="auto"/>
            <w:bottom w:val="none" w:sz="0" w:space="0" w:color="auto"/>
            <w:right w:val="none" w:sz="0" w:space="0" w:color="auto"/>
          </w:divBdr>
        </w:div>
        <w:div w:id="777263122">
          <w:marLeft w:val="0"/>
          <w:marRight w:val="0"/>
          <w:marTop w:val="480"/>
          <w:marBottom w:val="240"/>
          <w:divBdr>
            <w:top w:val="none" w:sz="0" w:space="0" w:color="auto"/>
            <w:left w:val="none" w:sz="0" w:space="0" w:color="auto"/>
            <w:bottom w:val="none" w:sz="0" w:space="0" w:color="auto"/>
            <w:right w:val="none" w:sz="0" w:space="0" w:color="auto"/>
          </w:divBdr>
        </w:div>
      </w:divsChild>
    </w:div>
    <w:div w:id="356347634">
      <w:bodyDiv w:val="1"/>
      <w:marLeft w:val="0"/>
      <w:marRight w:val="0"/>
      <w:marTop w:val="0"/>
      <w:marBottom w:val="0"/>
      <w:divBdr>
        <w:top w:val="none" w:sz="0" w:space="0" w:color="auto"/>
        <w:left w:val="none" w:sz="0" w:space="0" w:color="auto"/>
        <w:bottom w:val="none" w:sz="0" w:space="0" w:color="auto"/>
        <w:right w:val="none" w:sz="0" w:space="0" w:color="auto"/>
      </w:divBdr>
    </w:div>
    <w:div w:id="577130926">
      <w:bodyDiv w:val="1"/>
      <w:marLeft w:val="0"/>
      <w:marRight w:val="0"/>
      <w:marTop w:val="0"/>
      <w:marBottom w:val="0"/>
      <w:divBdr>
        <w:top w:val="none" w:sz="0" w:space="0" w:color="auto"/>
        <w:left w:val="none" w:sz="0" w:space="0" w:color="auto"/>
        <w:bottom w:val="none" w:sz="0" w:space="0" w:color="auto"/>
        <w:right w:val="none" w:sz="0" w:space="0" w:color="auto"/>
      </w:divBdr>
      <w:divsChild>
        <w:div w:id="1092513665">
          <w:marLeft w:val="0"/>
          <w:marRight w:val="0"/>
          <w:marTop w:val="480"/>
          <w:marBottom w:val="240"/>
          <w:divBdr>
            <w:top w:val="none" w:sz="0" w:space="0" w:color="auto"/>
            <w:left w:val="none" w:sz="0" w:space="0" w:color="auto"/>
            <w:bottom w:val="none" w:sz="0" w:space="0" w:color="auto"/>
            <w:right w:val="none" w:sz="0" w:space="0" w:color="auto"/>
          </w:divBdr>
        </w:div>
        <w:div w:id="1501962727">
          <w:marLeft w:val="0"/>
          <w:marRight w:val="0"/>
          <w:marTop w:val="0"/>
          <w:marBottom w:val="567"/>
          <w:divBdr>
            <w:top w:val="none" w:sz="0" w:space="0" w:color="auto"/>
            <w:left w:val="none" w:sz="0" w:space="0" w:color="auto"/>
            <w:bottom w:val="none" w:sz="0" w:space="0" w:color="auto"/>
            <w:right w:val="none" w:sz="0" w:space="0" w:color="auto"/>
          </w:divBdr>
        </w:div>
      </w:divsChild>
    </w:div>
    <w:div w:id="589890628">
      <w:bodyDiv w:val="1"/>
      <w:marLeft w:val="0"/>
      <w:marRight w:val="0"/>
      <w:marTop w:val="0"/>
      <w:marBottom w:val="0"/>
      <w:divBdr>
        <w:top w:val="none" w:sz="0" w:space="0" w:color="auto"/>
        <w:left w:val="none" w:sz="0" w:space="0" w:color="auto"/>
        <w:bottom w:val="none" w:sz="0" w:space="0" w:color="auto"/>
        <w:right w:val="none" w:sz="0" w:space="0" w:color="auto"/>
      </w:divBdr>
      <w:divsChild>
        <w:div w:id="686295126">
          <w:marLeft w:val="0"/>
          <w:marRight w:val="0"/>
          <w:marTop w:val="480"/>
          <w:marBottom w:val="240"/>
          <w:divBdr>
            <w:top w:val="none" w:sz="0" w:space="0" w:color="auto"/>
            <w:left w:val="none" w:sz="0" w:space="0" w:color="auto"/>
            <w:bottom w:val="none" w:sz="0" w:space="0" w:color="auto"/>
            <w:right w:val="none" w:sz="0" w:space="0" w:color="auto"/>
          </w:divBdr>
        </w:div>
        <w:div w:id="1611818375">
          <w:marLeft w:val="0"/>
          <w:marRight w:val="0"/>
          <w:marTop w:val="0"/>
          <w:marBottom w:val="567"/>
          <w:divBdr>
            <w:top w:val="none" w:sz="0" w:space="0" w:color="auto"/>
            <w:left w:val="none" w:sz="0" w:space="0" w:color="auto"/>
            <w:bottom w:val="none" w:sz="0" w:space="0" w:color="auto"/>
            <w:right w:val="none" w:sz="0" w:space="0" w:color="auto"/>
          </w:divBdr>
        </w:div>
      </w:divsChild>
    </w:div>
    <w:div w:id="958685406">
      <w:bodyDiv w:val="1"/>
      <w:marLeft w:val="0"/>
      <w:marRight w:val="0"/>
      <w:marTop w:val="0"/>
      <w:marBottom w:val="0"/>
      <w:divBdr>
        <w:top w:val="none" w:sz="0" w:space="0" w:color="auto"/>
        <w:left w:val="none" w:sz="0" w:space="0" w:color="auto"/>
        <w:bottom w:val="none" w:sz="0" w:space="0" w:color="auto"/>
        <w:right w:val="none" w:sz="0" w:space="0" w:color="auto"/>
      </w:divBdr>
    </w:div>
    <w:div w:id="1056011158">
      <w:bodyDiv w:val="1"/>
      <w:marLeft w:val="0"/>
      <w:marRight w:val="0"/>
      <w:marTop w:val="0"/>
      <w:marBottom w:val="0"/>
      <w:divBdr>
        <w:top w:val="none" w:sz="0" w:space="0" w:color="auto"/>
        <w:left w:val="none" w:sz="0" w:space="0" w:color="auto"/>
        <w:bottom w:val="none" w:sz="0" w:space="0" w:color="auto"/>
        <w:right w:val="none" w:sz="0" w:space="0" w:color="auto"/>
      </w:divBdr>
    </w:div>
    <w:div w:id="1067529838">
      <w:bodyDiv w:val="1"/>
      <w:marLeft w:val="0"/>
      <w:marRight w:val="0"/>
      <w:marTop w:val="0"/>
      <w:marBottom w:val="0"/>
      <w:divBdr>
        <w:top w:val="none" w:sz="0" w:space="0" w:color="auto"/>
        <w:left w:val="none" w:sz="0" w:space="0" w:color="auto"/>
        <w:bottom w:val="none" w:sz="0" w:space="0" w:color="auto"/>
        <w:right w:val="none" w:sz="0" w:space="0" w:color="auto"/>
      </w:divBdr>
    </w:div>
    <w:div w:id="1096711457">
      <w:bodyDiv w:val="1"/>
      <w:marLeft w:val="0"/>
      <w:marRight w:val="0"/>
      <w:marTop w:val="0"/>
      <w:marBottom w:val="0"/>
      <w:divBdr>
        <w:top w:val="none" w:sz="0" w:space="0" w:color="auto"/>
        <w:left w:val="none" w:sz="0" w:space="0" w:color="auto"/>
        <w:bottom w:val="none" w:sz="0" w:space="0" w:color="auto"/>
        <w:right w:val="none" w:sz="0" w:space="0" w:color="auto"/>
      </w:divBdr>
      <w:divsChild>
        <w:div w:id="912935646">
          <w:marLeft w:val="0"/>
          <w:marRight w:val="0"/>
          <w:marTop w:val="0"/>
          <w:marBottom w:val="567"/>
          <w:divBdr>
            <w:top w:val="none" w:sz="0" w:space="0" w:color="auto"/>
            <w:left w:val="none" w:sz="0" w:space="0" w:color="auto"/>
            <w:bottom w:val="none" w:sz="0" w:space="0" w:color="auto"/>
            <w:right w:val="none" w:sz="0" w:space="0" w:color="auto"/>
          </w:divBdr>
        </w:div>
        <w:div w:id="1730569811">
          <w:marLeft w:val="0"/>
          <w:marRight w:val="0"/>
          <w:marTop w:val="480"/>
          <w:marBottom w:val="240"/>
          <w:divBdr>
            <w:top w:val="none" w:sz="0" w:space="0" w:color="auto"/>
            <w:left w:val="none" w:sz="0" w:space="0" w:color="auto"/>
            <w:bottom w:val="none" w:sz="0" w:space="0" w:color="auto"/>
            <w:right w:val="none" w:sz="0" w:space="0" w:color="auto"/>
          </w:divBdr>
        </w:div>
      </w:divsChild>
    </w:div>
    <w:div w:id="1236016432">
      <w:bodyDiv w:val="1"/>
      <w:marLeft w:val="0"/>
      <w:marRight w:val="0"/>
      <w:marTop w:val="0"/>
      <w:marBottom w:val="0"/>
      <w:divBdr>
        <w:top w:val="none" w:sz="0" w:space="0" w:color="auto"/>
        <w:left w:val="none" w:sz="0" w:space="0" w:color="auto"/>
        <w:bottom w:val="none" w:sz="0" w:space="0" w:color="auto"/>
        <w:right w:val="none" w:sz="0" w:space="0" w:color="auto"/>
      </w:divBdr>
      <w:divsChild>
        <w:div w:id="435028854">
          <w:marLeft w:val="0"/>
          <w:marRight w:val="0"/>
          <w:marTop w:val="0"/>
          <w:marBottom w:val="567"/>
          <w:divBdr>
            <w:top w:val="none" w:sz="0" w:space="0" w:color="auto"/>
            <w:left w:val="none" w:sz="0" w:space="0" w:color="auto"/>
            <w:bottom w:val="none" w:sz="0" w:space="0" w:color="auto"/>
            <w:right w:val="none" w:sz="0" w:space="0" w:color="auto"/>
          </w:divBdr>
        </w:div>
        <w:div w:id="1205870968">
          <w:marLeft w:val="0"/>
          <w:marRight w:val="0"/>
          <w:marTop w:val="480"/>
          <w:marBottom w:val="240"/>
          <w:divBdr>
            <w:top w:val="none" w:sz="0" w:space="0" w:color="auto"/>
            <w:left w:val="none" w:sz="0" w:space="0" w:color="auto"/>
            <w:bottom w:val="none" w:sz="0" w:space="0" w:color="auto"/>
            <w:right w:val="none" w:sz="0" w:space="0" w:color="auto"/>
          </w:divBdr>
        </w:div>
      </w:divsChild>
    </w:div>
    <w:div w:id="1273777989">
      <w:bodyDiv w:val="1"/>
      <w:marLeft w:val="0"/>
      <w:marRight w:val="0"/>
      <w:marTop w:val="0"/>
      <w:marBottom w:val="0"/>
      <w:divBdr>
        <w:top w:val="none" w:sz="0" w:space="0" w:color="auto"/>
        <w:left w:val="none" w:sz="0" w:space="0" w:color="auto"/>
        <w:bottom w:val="none" w:sz="0" w:space="0" w:color="auto"/>
        <w:right w:val="none" w:sz="0" w:space="0" w:color="auto"/>
      </w:divBdr>
    </w:div>
    <w:div w:id="1519000168">
      <w:bodyDiv w:val="1"/>
      <w:marLeft w:val="0"/>
      <w:marRight w:val="0"/>
      <w:marTop w:val="0"/>
      <w:marBottom w:val="0"/>
      <w:divBdr>
        <w:top w:val="none" w:sz="0" w:space="0" w:color="auto"/>
        <w:left w:val="none" w:sz="0" w:space="0" w:color="auto"/>
        <w:bottom w:val="none" w:sz="0" w:space="0" w:color="auto"/>
        <w:right w:val="none" w:sz="0" w:space="0" w:color="auto"/>
      </w:divBdr>
    </w:div>
    <w:div w:id="164955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uris.grinbergs@izm.gov.lv" TargetMode="External"/><Relationship Id="rId4" Type="http://schemas.openxmlformats.org/officeDocument/2006/relationships/settings" Target="settings.xml"/><Relationship Id="rId9" Type="http://schemas.openxmlformats.org/officeDocument/2006/relationships/hyperlink" Target="mailto:pasts@izm.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doc.php?id=93535" TargetMode="External"/><Relationship Id="rId2" Type="http://schemas.openxmlformats.org/officeDocument/2006/relationships/hyperlink" Target="https://cdn5.euraxess.org/sites/default/files/brochures/kina21620b3c_lv.pdf" TargetMode="External"/><Relationship Id="rId1" Type="http://schemas.openxmlformats.org/officeDocument/2006/relationships/hyperlink" Target="https://eua.eu/downloads/publications/salzburg%20ii%20recommendations%202010.pdf" TargetMode="External"/><Relationship Id="rId6" Type="http://schemas.openxmlformats.org/officeDocument/2006/relationships/hyperlink" Target="https://eua.eu/downloads/publications/salzburg%20ii%20recommendations%202010.pdf" TargetMode="External"/><Relationship Id="rId5" Type="http://schemas.openxmlformats.org/officeDocument/2006/relationships/hyperlink" Target="https://izm.gov.lv/lv/izglitiba/augstaka-izglitiba/petijums-augstakas-izglitibas-parvaldibas-efektivizacijai" TargetMode="External"/><Relationship Id="rId4" Type="http://schemas.openxmlformats.org/officeDocument/2006/relationships/hyperlink" Target="https://eacea.ec.europa.eu/national-policies/eurydice/content/third-cycle-phd-programmes-1_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CCBC5-4AD3-4170-9ABB-592D734B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21412</Words>
  <Characters>12205</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Ministru kabineta noteikumu “Grozījumi Ministru kabineta 2015. gada 7. jūlija noteikumos Nr. 385 “Darbības programmas “Izaugsme un nodarbinātība” 8.3.3. specifiskā atbalsta mērķa “Attīstīt NVA nereģistrēto NEET jauniešu prasmes un veicināt to iesaisti izg</vt:lpstr>
    </vt:vector>
  </TitlesOfParts>
  <Company/>
  <LinksUpToDate>false</LinksUpToDate>
  <CharactersWithSpaces>33550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“Grozījumi Ministru kabineta 2015. gada 7. jūlija noteikumos Nr. 385 “Darbības programmas “Izaugsme un nodarbinātība” 8.3.3. specifiskā atbalsta mērķa “Attīstīt NVA nereģistrēto NEET jauniešu prasmes un veicināt to iesaisti izg</dc:title>
  <dc:subject/>
  <dc:creator>Signe.Zvirbule@izm.gov.lv</dc:creator>
  <cp:keywords/>
  <dc:description/>
  <cp:lastModifiedBy>Nauris Grīnbergs</cp:lastModifiedBy>
  <cp:revision>2</cp:revision>
  <cp:lastPrinted>2020-01-14T10:59:00Z</cp:lastPrinted>
  <dcterms:created xsi:type="dcterms:W3CDTF">2020-04-28T04:32:00Z</dcterms:created>
  <dcterms:modified xsi:type="dcterms:W3CDTF">2020-04-28T04:32:00Z</dcterms:modified>
</cp:coreProperties>
</file>