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ED77D" w14:textId="77777777" w:rsidR="009918C7" w:rsidRPr="001568ED" w:rsidRDefault="002869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568ED">
        <w:rPr>
          <w:b/>
          <w:sz w:val="28"/>
          <w:szCs w:val="28"/>
        </w:rPr>
        <w:t>Ministru kabineta noteikumu „</w:t>
      </w:r>
      <w:r w:rsidR="002A078C" w:rsidRPr="004730A8">
        <w:rPr>
          <w:b/>
          <w:sz w:val="28"/>
          <w:szCs w:val="28"/>
        </w:rPr>
        <w:t>Noteikumi par valsts profesionālās vidējās izglītības standartu un valsts arodizglītības standartu</w:t>
      </w:r>
      <w:r w:rsidRPr="001568ED">
        <w:rPr>
          <w:b/>
          <w:sz w:val="28"/>
          <w:szCs w:val="28"/>
        </w:rPr>
        <w:t>” projekta sākotnējās ietekmes novērtējums (anotācija)</w:t>
      </w:r>
    </w:p>
    <w:p w14:paraId="6D9D9619" w14:textId="77777777" w:rsidR="009918C7" w:rsidRPr="001568ED" w:rsidRDefault="009918C7">
      <w:pPr>
        <w:jc w:val="center"/>
        <w:rPr>
          <w:b/>
          <w:sz w:val="28"/>
          <w:szCs w:val="28"/>
        </w:rPr>
      </w:pPr>
    </w:p>
    <w:tbl>
      <w:tblPr>
        <w:tblStyle w:val="a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2552"/>
        <w:gridCol w:w="6520"/>
      </w:tblGrid>
      <w:tr w:rsidR="009918C7" w:rsidRPr="001568ED" w14:paraId="3B84D35C" w14:textId="77777777" w:rsidTr="00CE2A31">
        <w:tc>
          <w:tcPr>
            <w:tcW w:w="9072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194260E" w14:textId="77777777" w:rsidR="009918C7" w:rsidRPr="001568ED" w:rsidRDefault="00286901">
            <w:pPr>
              <w:jc w:val="center"/>
              <w:rPr>
                <w:b/>
                <w:sz w:val="28"/>
                <w:szCs w:val="28"/>
              </w:rPr>
            </w:pPr>
            <w:r w:rsidRPr="001568ED">
              <w:rPr>
                <w:b/>
                <w:sz w:val="28"/>
                <w:szCs w:val="28"/>
              </w:rPr>
              <w:t>Tiesību akta projekta anotācijas kopsavilkums</w:t>
            </w:r>
          </w:p>
        </w:tc>
      </w:tr>
      <w:tr w:rsidR="009918C7" w:rsidRPr="004730A8" w14:paraId="012A3A30" w14:textId="77777777" w:rsidTr="00D64F8C">
        <w:tc>
          <w:tcPr>
            <w:tcW w:w="2552" w:type="dxa"/>
            <w:shd w:val="clear" w:color="auto" w:fill="FFFFFF"/>
          </w:tcPr>
          <w:p w14:paraId="71AD35F4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Mērķis, risinājums un projekta spēkā stāšanās laiks</w:t>
            </w:r>
          </w:p>
        </w:tc>
        <w:tc>
          <w:tcPr>
            <w:tcW w:w="6520" w:type="dxa"/>
            <w:shd w:val="clear" w:color="auto" w:fill="FFFFFF"/>
          </w:tcPr>
          <w:p w14:paraId="1CFBC110" w14:textId="77777777" w:rsidR="00153B4F" w:rsidRPr="00C6069B" w:rsidRDefault="00794E73" w:rsidP="007D713A">
            <w:pPr>
              <w:jc w:val="both"/>
              <w:rPr>
                <w:sz w:val="28"/>
                <w:szCs w:val="28"/>
              </w:rPr>
            </w:pPr>
            <w:r w:rsidRPr="004730A8">
              <w:rPr>
                <w:sz w:val="28"/>
                <w:szCs w:val="28"/>
              </w:rPr>
              <w:t xml:space="preserve">Ministru kabineta noteikumu projekts „Noteikumi par valsts profesionālās vidējās izglītības standartu un </w:t>
            </w:r>
            <w:r w:rsidR="00C6069B">
              <w:rPr>
                <w:sz w:val="28"/>
                <w:szCs w:val="28"/>
              </w:rPr>
              <w:t>valsts arodizglītības standartu</w:t>
            </w:r>
            <w:r w:rsidRPr="00C6069B">
              <w:rPr>
                <w:sz w:val="28"/>
                <w:szCs w:val="28"/>
              </w:rPr>
              <w:t>”</w:t>
            </w:r>
            <w:proofErr w:type="gramStart"/>
            <w:r w:rsidRPr="004730A8">
              <w:rPr>
                <w:sz w:val="28"/>
                <w:szCs w:val="28"/>
              </w:rPr>
              <w:t xml:space="preserve">  </w:t>
            </w:r>
            <w:proofErr w:type="gramEnd"/>
            <w:r w:rsidRPr="004730A8">
              <w:rPr>
                <w:sz w:val="28"/>
                <w:szCs w:val="28"/>
              </w:rPr>
              <w:t xml:space="preserve">(turpmāk – noteikumu projekts) izstrādāts, </w:t>
            </w:r>
            <w:r w:rsidRPr="00C6069B">
              <w:rPr>
                <w:sz w:val="28"/>
                <w:szCs w:val="28"/>
              </w:rPr>
              <w:t>lai noteiktu valsts profesionālās vidējās izglītības standartu un arodizglītības standartu.</w:t>
            </w:r>
            <w:r w:rsidRPr="004730A8">
              <w:rPr>
                <w:sz w:val="28"/>
                <w:szCs w:val="28"/>
              </w:rPr>
              <w:t xml:space="preserve"> Paredzēts, ka noteikumu projekts stāsies spēkā 2020. gada 1. septembrī, tiks īstenots</w:t>
            </w:r>
            <w:r w:rsidR="004730A8">
              <w:rPr>
                <w:sz w:val="28"/>
                <w:szCs w:val="28"/>
              </w:rPr>
              <w:t xml:space="preserve"> pakāpeniski, sākot ar I kursu</w:t>
            </w:r>
            <w:r w:rsidRPr="004730A8">
              <w:rPr>
                <w:sz w:val="28"/>
                <w:szCs w:val="28"/>
              </w:rPr>
              <w:t>.</w:t>
            </w:r>
          </w:p>
        </w:tc>
      </w:tr>
    </w:tbl>
    <w:p w14:paraId="4C06FFD4" w14:textId="77777777" w:rsidR="009918C7" w:rsidRPr="001568ED" w:rsidRDefault="009918C7">
      <w:pPr>
        <w:rPr>
          <w:sz w:val="28"/>
          <w:szCs w:val="28"/>
        </w:rPr>
      </w:pPr>
    </w:p>
    <w:tbl>
      <w:tblPr>
        <w:tblStyle w:val="a0"/>
        <w:tblpPr w:leftFromText="180" w:rightFromText="180" w:vertAnchor="text" w:tblpX="28" w:tblpY="1"/>
        <w:tblOverlap w:val="never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80"/>
        <w:gridCol w:w="6325"/>
      </w:tblGrid>
      <w:tr w:rsidR="009918C7" w:rsidRPr="001568ED" w14:paraId="38E8710E" w14:textId="77777777" w:rsidTr="00752B47">
        <w:tc>
          <w:tcPr>
            <w:tcW w:w="9072" w:type="dxa"/>
            <w:gridSpan w:val="3"/>
            <w:shd w:val="clear" w:color="auto" w:fill="FFFFFF"/>
          </w:tcPr>
          <w:p w14:paraId="4391514B" w14:textId="77777777" w:rsidR="009918C7" w:rsidRPr="001568ED" w:rsidRDefault="00286901" w:rsidP="00752B47">
            <w:pPr>
              <w:jc w:val="center"/>
              <w:rPr>
                <w:sz w:val="28"/>
                <w:szCs w:val="28"/>
              </w:rPr>
            </w:pPr>
            <w:r w:rsidRPr="001568ED">
              <w:rPr>
                <w:b/>
                <w:sz w:val="28"/>
                <w:szCs w:val="28"/>
              </w:rPr>
              <w:t>I. Tiesību akta projekta izstrādes nepieciešamība</w:t>
            </w:r>
          </w:p>
        </w:tc>
      </w:tr>
      <w:tr w:rsidR="009918C7" w:rsidRPr="001568ED" w14:paraId="4B4CA564" w14:textId="77777777" w:rsidTr="00752B47">
        <w:tc>
          <w:tcPr>
            <w:tcW w:w="567" w:type="dxa"/>
            <w:shd w:val="clear" w:color="auto" w:fill="FFFFFF"/>
          </w:tcPr>
          <w:p w14:paraId="4845F283" w14:textId="77777777" w:rsidR="009918C7" w:rsidRPr="001568ED" w:rsidRDefault="00286901" w:rsidP="00752B47">
            <w:pPr>
              <w:ind w:left="180" w:hanging="180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1.</w:t>
            </w:r>
          </w:p>
        </w:tc>
        <w:tc>
          <w:tcPr>
            <w:tcW w:w="2180" w:type="dxa"/>
            <w:shd w:val="clear" w:color="auto" w:fill="FFFFFF"/>
          </w:tcPr>
          <w:p w14:paraId="3E756FEB" w14:textId="77777777" w:rsidR="009918C7" w:rsidRPr="00C25244" w:rsidRDefault="00286901" w:rsidP="00752B47">
            <w:pPr>
              <w:ind w:firstLine="17"/>
              <w:rPr>
                <w:sz w:val="28"/>
                <w:szCs w:val="28"/>
              </w:rPr>
            </w:pPr>
            <w:r w:rsidRPr="00C25244">
              <w:rPr>
                <w:sz w:val="28"/>
                <w:szCs w:val="28"/>
              </w:rPr>
              <w:t>Pamatojums</w:t>
            </w:r>
          </w:p>
          <w:p w14:paraId="3A536C87" w14:textId="77777777" w:rsidR="009918C7" w:rsidRPr="00C25244" w:rsidRDefault="009918C7" w:rsidP="00752B47">
            <w:pPr>
              <w:spacing w:before="280"/>
              <w:rPr>
                <w:sz w:val="28"/>
                <w:szCs w:val="28"/>
              </w:rPr>
            </w:pPr>
          </w:p>
        </w:tc>
        <w:tc>
          <w:tcPr>
            <w:tcW w:w="6325" w:type="dxa"/>
            <w:shd w:val="clear" w:color="auto" w:fill="FFFFFF"/>
          </w:tcPr>
          <w:p w14:paraId="551C0323" w14:textId="727774B9" w:rsidR="00CE2A31" w:rsidRDefault="00C6069B" w:rsidP="00752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Noteikumu projekts sagatavots, </w:t>
            </w:r>
            <w:r w:rsidR="00153B4F" w:rsidRPr="00C6069B">
              <w:rPr>
                <w:iCs/>
                <w:sz w:val="28"/>
                <w:szCs w:val="28"/>
              </w:rPr>
              <w:t>ņemot vērā</w:t>
            </w:r>
            <w:proofErr w:type="gramStart"/>
            <w:r w:rsidR="00153B4F" w:rsidRPr="00C6069B">
              <w:rPr>
                <w:iCs/>
                <w:sz w:val="28"/>
                <w:szCs w:val="28"/>
              </w:rPr>
              <w:t xml:space="preserve"> </w:t>
            </w:r>
            <w:r w:rsidR="00D85F79">
              <w:t xml:space="preserve"> </w:t>
            </w:r>
            <w:proofErr w:type="gramEnd"/>
            <w:r w:rsidR="00D85F79" w:rsidRPr="00D85F79">
              <w:rPr>
                <w:iCs/>
                <w:sz w:val="28"/>
                <w:szCs w:val="28"/>
              </w:rPr>
              <w:t>Eiropas Komisijas ziņojumu ieteikum</w:t>
            </w:r>
            <w:r w:rsidR="00D85F79">
              <w:rPr>
                <w:iCs/>
                <w:sz w:val="28"/>
                <w:szCs w:val="28"/>
              </w:rPr>
              <w:t>us</w:t>
            </w:r>
            <w:r w:rsidR="00D85F79" w:rsidRPr="00D85F79">
              <w:rPr>
                <w:iCs/>
                <w:sz w:val="28"/>
                <w:szCs w:val="28"/>
              </w:rPr>
              <w:t xml:space="preserve"> </w:t>
            </w:r>
            <w:r w:rsidR="00153B4F" w:rsidRPr="00C6069B">
              <w:rPr>
                <w:iCs/>
                <w:sz w:val="28"/>
                <w:szCs w:val="28"/>
              </w:rPr>
              <w:t xml:space="preserve">profesionālajā izglītībā un </w:t>
            </w:r>
            <w:r w:rsidR="00D85F79" w:rsidRPr="00C6069B">
              <w:rPr>
                <w:iCs/>
                <w:sz w:val="28"/>
                <w:szCs w:val="28"/>
              </w:rPr>
              <w:t xml:space="preserve"> mācīb</w:t>
            </w:r>
            <w:r w:rsidR="00D85F79">
              <w:rPr>
                <w:iCs/>
                <w:sz w:val="28"/>
                <w:szCs w:val="28"/>
              </w:rPr>
              <w:t xml:space="preserve">u </w:t>
            </w:r>
            <w:r w:rsidR="00D85F79" w:rsidRPr="00C6069B">
              <w:rPr>
                <w:iCs/>
                <w:sz w:val="28"/>
                <w:szCs w:val="28"/>
              </w:rPr>
              <w:t>pamatprincipus</w:t>
            </w:r>
            <w:r w:rsidR="00153B4F" w:rsidRPr="00C6069B">
              <w:rPr>
                <w:iCs/>
                <w:sz w:val="28"/>
                <w:szCs w:val="28"/>
              </w:rPr>
              <w:t>, kā arī</w:t>
            </w:r>
            <w:r w:rsidR="00153B4F" w:rsidRPr="00C6069B">
              <w:rPr>
                <w:sz w:val="28"/>
                <w:szCs w:val="28"/>
              </w:rPr>
              <w:t xml:space="preserve"> </w:t>
            </w:r>
            <w:r w:rsidR="005961E3" w:rsidRPr="00C6069B">
              <w:rPr>
                <w:sz w:val="28"/>
                <w:szCs w:val="28"/>
              </w:rPr>
              <w:t xml:space="preserve"> </w:t>
            </w:r>
            <w:r w:rsidR="005961E3" w:rsidRPr="00C25244">
              <w:rPr>
                <w:sz w:val="28"/>
                <w:szCs w:val="28"/>
              </w:rPr>
              <w:t xml:space="preserve">ir </w:t>
            </w:r>
            <w:proofErr w:type="spellStart"/>
            <w:r w:rsidR="005961E3" w:rsidRPr="00C25244">
              <w:rPr>
                <w:sz w:val="28"/>
                <w:szCs w:val="28"/>
              </w:rPr>
              <w:t>ņemt</w:t>
            </w:r>
            <w:r w:rsidR="00D85F79">
              <w:rPr>
                <w:sz w:val="28"/>
                <w:szCs w:val="28"/>
              </w:rPr>
              <w:t>ot</w:t>
            </w:r>
            <w:proofErr w:type="spellEnd"/>
            <w:r w:rsidR="005961E3" w:rsidRPr="00C25244">
              <w:rPr>
                <w:sz w:val="28"/>
                <w:szCs w:val="28"/>
              </w:rPr>
              <w:t xml:space="preserve"> vērā</w:t>
            </w:r>
            <w:r w:rsidR="004730A8" w:rsidRPr="00C25244">
              <w:rPr>
                <w:sz w:val="28"/>
                <w:szCs w:val="28"/>
              </w:rPr>
              <w:t xml:space="preserve"> </w:t>
            </w:r>
            <w:r w:rsidR="005961E3" w:rsidRPr="00C25244">
              <w:rPr>
                <w:sz w:val="28"/>
                <w:szCs w:val="28"/>
              </w:rPr>
              <w:t xml:space="preserve">Ministru kabineta </w:t>
            </w:r>
            <w:r w:rsidR="00B413B7">
              <w:rPr>
                <w:sz w:val="28"/>
                <w:szCs w:val="28"/>
              </w:rPr>
              <w:t xml:space="preserve">2019.gada 3.septembra </w:t>
            </w:r>
            <w:r w:rsidR="005961E3" w:rsidRPr="00C25244">
              <w:rPr>
                <w:sz w:val="28"/>
                <w:szCs w:val="28"/>
              </w:rPr>
              <w:t>noteikum</w:t>
            </w:r>
            <w:r w:rsidR="00D85F79">
              <w:rPr>
                <w:sz w:val="28"/>
                <w:szCs w:val="28"/>
              </w:rPr>
              <w:t>us</w:t>
            </w:r>
            <w:r w:rsidR="005961E3" w:rsidRPr="00C25244">
              <w:rPr>
                <w:sz w:val="28"/>
                <w:szCs w:val="28"/>
              </w:rPr>
              <w:t xml:space="preserve"> Nr. 416 “Noteikumi par valsts vispārējās vidējās izglītības standartu un vispārējās vidējās izglītības programmu paraugiem”</w:t>
            </w:r>
            <w:r w:rsidR="00B413B7">
              <w:rPr>
                <w:sz w:val="28"/>
                <w:szCs w:val="28"/>
              </w:rPr>
              <w:t xml:space="preserve">. </w:t>
            </w:r>
            <w:r w:rsidR="005961E3" w:rsidRPr="00C25244">
              <w:rPr>
                <w:sz w:val="28"/>
                <w:szCs w:val="28"/>
              </w:rPr>
              <w:t xml:space="preserve"> </w:t>
            </w:r>
          </w:p>
          <w:p w14:paraId="2EB1272A" w14:textId="77777777" w:rsidR="00B413B7" w:rsidRPr="00C25244" w:rsidRDefault="00B413B7" w:rsidP="00752B47">
            <w:pPr>
              <w:jc w:val="both"/>
              <w:rPr>
                <w:sz w:val="28"/>
                <w:szCs w:val="28"/>
              </w:rPr>
            </w:pPr>
          </w:p>
          <w:p w14:paraId="5D383ABE" w14:textId="77777777" w:rsidR="009918C7" w:rsidRPr="00C25244" w:rsidRDefault="00286901" w:rsidP="00752B47">
            <w:pPr>
              <w:jc w:val="both"/>
              <w:rPr>
                <w:sz w:val="28"/>
                <w:szCs w:val="28"/>
              </w:rPr>
            </w:pPr>
            <w:r w:rsidRPr="00C25244">
              <w:rPr>
                <w:sz w:val="28"/>
                <w:szCs w:val="28"/>
              </w:rPr>
              <w:t>Noteikumu projekts ir izstrādāts, lai nodrošinātu:</w:t>
            </w:r>
          </w:p>
          <w:p w14:paraId="5132659C" w14:textId="6C84782B" w:rsidR="009918C7" w:rsidRPr="00C25244" w:rsidRDefault="007E2F30" w:rsidP="00752B47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25244">
              <w:rPr>
                <w:color w:val="000000"/>
                <w:sz w:val="28"/>
                <w:szCs w:val="28"/>
              </w:rPr>
              <w:t xml:space="preserve">Latvijas Republikas </w:t>
            </w:r>
            <w:r w:rsidR="00286901" w:rsidRPr="00C25244">
              <w:rPr>
                <w:color w:val="000000"/>
                <w:sz w:val="28"/>
                <w:szCs w:val="28"/>
              </w:rPr>
              <w:t>Saeimas</w:t>
            </w:r>
            <w:r w:rsidRPr="00C25244">
              <w:rPr>
                <w:color w:val="000000"/>
                <w:sz w:val="28"/>
                <w:szCs w:val="28"/>
              </w:rPr>
              <w:t xml:space="preserve"> (turpmāk – Saeima)</w:t>
            </w:r>
            <w:r w:rsidR="00535E91" w:rsidRPr="00C25244">
              <w:rPr>
                <w:color w:val="000000"/>
                <w:sz w:val="28"/>
                <w:szCs w:val="28"/>
              </w:rPr>
              <w:t xml:space="preserve"> 2014. </w:t>
            </w:r>
            <w:r w:rsidR="00286901" w:rsidRPr="00C25244">
              <w:rPr>
                <w:color w:val="000000"/>
                <w:sz w:val="28"/>
                <w:szCs w:val="28"/>
              </w:rPr>
              <w:t>gada</w:t>
            </w:r>
            <w:r w:rsidR="00535E91" w:rsidRPr="00C25244">
              <w:rPr>
                <w:color w:val="000000"/>
                <w:sz w:val="28"/>
                <w:szCs w:val="28"/>
              </w:rPr>
              <w:t> </w:t>
            </w:r>
            <w:r w:rsidR="00286901" w:rsidRPr="00C25244">
              <w:rPr>
                <w:color w:val="000000"/>
                <w:sz w:val="28"/>
                <w:szCs w:val="28"/>
              </w:rPr>
              <w:t>22.</w:t>
            </w:r>
            <w:r w:rsidR="00535E91" w:rsidRPr="00C25244">
              <w:rPr>
                <w:color w:val="000000"/>
                <w:sz w:val="28"/>
                <w:szCs w:val="28"/>
              </w:rPr>
              <w:t> </w:t>
            </w:r>
            <w:r w:rsidR="00286901" w:rsidRPr="00C25244">
              <w:rPr>
                <w:color w:val="000000"/>
                <w:sz w:val="28"/>
                <w:szCs w:val="28"/>
              </w:rPr>
              <w:t>maijā apstiprinātajā politikas plānošanas dokumentā „Izglītības at</w:t>
            </w:r>
            <w:r w:rsidR="00535E91" w:rsidRPr="00C25244">
              <w:rPr>
                <w:color w:val="000000"/>
                <w:sz w:val="28"/>
                <w:szCs w:val="28"/>
              </w:rPr>
              <w:t>tīstības pamatnostādnes 2014. – </w:t>
            </w:r>
            <w:r w:rsidR="00286901" w:rsidRPr="00C25244">
              <w:rPr>
                <w:color w:val="000000"/>
                <w:sz w:val="28"/>
                <w:szCs w:val="28"/>
              </w:rPr>
              <w:t>2020.</w:t>
            </w:r>
            <w:r w:rsidR="00535E91" w:rsidRPr="00C25244">
              <w:rPr>
                <w:color w:val="000000"/>
                <w:sz w:val="28"/>
                <w:szCs w:val="28"/>
              </w:rPr>
              <w:t> </w:t>
            </w:r>
            <w:r w:rsidR="00286901" w:rsidRPr="00C25244">
              <w:rPr>
                <w:color w:val="000000"/>
                <w:sz w:val="28"/>
                <w:szCs w:val="28"/>
              </w:rPr>
              <w:t>gadam” rīcības virziena 1.1.</w:t>
            </w:r>
            <w:r w:rsidR="00535E91" w:rsidRPr="00C25244">
              <w:rPr>
                <w:color w:val="000000"/>
                <w:sz w:val="28"/>
                <w:szCs w:val="28"/>
              </w:rPr>
              <w:t> </w:t>
            </w:r>
            <w:r w:rsidR="00286901" w:rsidRPr="00C25244">
              <w:rPr>
                <w:color w:val="000000"/>
                <w:sz w:val="28"/>
                <w:szCs w:val="28"/>
              </w:rPr>
              <w:t xml:space="preserve">“Uz zināšanu sabiedrībā pieprasītām kompetencēm orientēta, radošumu, inovāciju un veselīga </w:t>
            </w:r>
            <w:proofErr w:type="gramStart"/>
            <w:r w:rsidR="00286901" w:rsidRPr="00C25244">
              <w:rPr>
                <w:color w:val="000000"/>
                <w:sz w:val="28"/>
                <w:szCs w:val="28"/>
              </w:rPr>
              <w:t>dzīves veida</w:t>
            </w:r>
            <w:proofErr w:type="gramEnd"/>
            <w:r w:rsidR="00286901" w:rsidRPr="00C25244">
              <w:rPr>
                <w:color w:val="000000"/>
                <w:sz w:val="28"/>
                <w:szCs w:val="28"/>
              </w:rPr>
              <w:t xml:space="preserve"> veicinoša izglīt</w:t>
            </w:r>
            <w:r w:rsidRPr="00C25244">
              <w:rPr>
                <w:color w:val="000000"/>
                <w:sz w:val="28"/>
                <w:szCs w:val="28"/>
              </w:rPr>
              <w:t xml:space="preserve">ības satura pilnveide” noteikto </w:t>
            </w:r>
            <w:r w:rsidR="004730A8" w:rsidRPr="00C25244">
              <w:rPr>
                <w:color w:val="000000"/>
                <w:sz w:val="28"/>
                <w:szCs w:val="28"/>
              </w:rPr>
              <w:t>4</w:t>
            </w:r>
            <w:r w:rsidRPr="00C25244">
              <w:rPr>
                <w:color w:val="000000"/>
                <w:sz w:val="28"/>
                <w:szCs w:val="28"/>
              </w:rPr>
              <w:t>.</w:t>
            </w:r>
            <w:r w:rsidR="008F2977" w:rsidRPr="00C25244">
              <w:rPr>
                <w:color w:val="000000"/>
                <w:sz w:val="28"/>
                <w:szCs w:val="28"/>
              </w:rPr>
              <w:t xml:space="preserve">, </w:t>
            </w:r>
            <w:r w:rsidR="004730A8" w:rsidRPr="00C25244">
              <w:rPr>
                <w:color w:val="000000"/>
                <w:sz w:val="28"/>
                <w:szCs w:val="28"/>
              </w:rPr>
              <w:t>5</w:t>
            </w:r>
            <w:r w:rsidR="008F2977" w:rsidRPr="00C25244">
              <w:rPr>
                <w:color w:val="000000"/>
                <w:sz w:val="28"/>
                <w:szCs w:val="28"/>
              </w:rPr>
              <w:t>.</w:t>
            </w:r>
            <w:r w:rsidR="00535E91" w:rsidRPr="00C25244">
              <w:rPr>
                <w:color w:val="000000"/>
                <w:sz w:val="28"/>
                <w:szCs w:val="28"/>
              </w:rPr>
              <w:t> </w:t>
            </w:r>
            <w:r w:rsidRPr="00C25244">
              <w:rPr>
                <w:color w:val="000000"/>
                <w:sz w:val="28"/>
                <w:szCs w:val="28"/>
              </w:rPr>
              <w:t xml:space="preserve">un </w:t>
            </w:r>
            <w:r w:rsidR="00C25244" w:rsidRPr="00C25244">
              <w:rPr>
                <w:color w:val="000000"/>
                <w:sz w:val="28"/>
                <w:szCs w:val="28"/>
              </w:rPr>
              <w:t>6</w:t>
            </w:r>
            <w:r w:rsidR="008F2977" w:rsidRPr="00C25244">
              <w:rPr>
                <w:color w:val="000000"/>
                <w:sz w:val="28"/>
                <w:szCs w:val="28"/>
              </w:rPr>
              <w:t>.</w:t>
            </w:r>
            <w:r w:rsidR="00535E91" w:rsidRPr="00C25244">
              <w:rPr>
                <w:color w:val="000000"/>
                <w:sz w:val="28"/>
                <w:szCs w:val="28"/>
              </w:rPr>
              <w:t> </w:t>
            </w:r>
            <w:r w:rsidRPr="00C25244">
              <w:rPr>
                <w:color w:val="000000"/>
                <w:sz w:val="28"/>
                <w:szCs w:val="28"/>
              </w:rPr>
              <w:t>uzdevumu</w:t>
            </w:r>
            <w:r w:rsidR="00286901" w:rsidRPr="00C25244">
              <w:rPr>
                <w:color w:val="000000"/>
                <w:sz w:val="28"/>
                <w:szCs w:val="28"/>
              </w:rPr>
              <w:t>;</w:t>
            </w:r>
            <w:r w:rsidR="00286901" w:rsidRPr="00C25244">
              <w:rPr>
                <w:color w:val="000000"/>
                <w:sz w:val="26"/>
                <w:szCs w:val="26"/>
              </w:rPr>
              <w:t xml:space="preserve"> </w:t>
            </w:r>
          </w:p>
          <w:p w14:paraId="157102AB" w14:textId="77777777" w:rsidR="00794E73" w:rsidRPr="00C25244" w:rsidRDefault="00286901" w:rsidP="00752B47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25244">
              <w:rPr>
                <w:color w:val="000000"/>
                <w:sz w:val="28"/>
                <w:szCs w:val="28"/>
              </w:rPr>
              <w:t xml:space="preserve">Latvijas Ilgtspējīgas attīstības stratēģijā “Latvija </w:t>
            </w:r>
            <w:r w:rsidR="00794E73" w:rsidRPr="00C25244">
              <w:rPr>
                <w:color w:val="000000"/>
                <w:sz w:val="28"/>
                <w:szCs w:val="28"/>
              </w:rPr>
              <w:t xml:space="preserve">2030” noteikto: izglītībai jābūt kvalitatīvai, visa mūža garumā pieejamai un uz radošumu orientētai, lai reaģētu uz globālās konkurences un demogrāfijas izaicinājumiem (Nacionālajā attīstības plānā </w:t>
            </w:r>
            <w:proofErr w:type="gramStart"/>
            <w:r w:rsidR="00794E73" w:rsidRPr="00C25244">
              <w:rPr>
                <w:color w:val="000000"/>
                <w:sz w:val="28"/>
                <w:szCs w:val="28"/>
              </w:rPr>
              <w:t>2014. – 2020.</w:t>
            </w:r>
            <w:proofErr w:type="gramEnd"/>
            <w:r w:rsidR="00794E73" w:rsidRPr="00C25244">
              <w:rPr>
                <w:color w:val="000000"/>
                <w:sz w:val="28"/>
                <w:szCs w:val="28"/>
              </w:rPr>
              <w:t xml:space="preserve"> gadam definētais virziens par nepieciešamību cilvēkam attīstīt daudzveidīgas kompetences);</w:t>
            </w:r>
          </w:p>
          <w:p w14:paraId="1D533A4E" w14:textId="77777777" w:rsidR="00816897" w:rsidRPr="00816897" w:rsidRDefault="00794E73" w:rsidP="00752B47">
            <w:pPr>
              <w:pStyle w:val="ListParagraph"/>
              <w:numPr>
                <w:ilvl w:val="0"/>
                <w:numId w:val="42"/>
              </w:numPr>
              <w:jc w:val="both"/>
              <w:rPr>
                <w:color w:val="FF0000"/>
                <w:sz w:val="28"/>
                <w:szCs w:val="28"/>
              </w:rPr>
            </w:pPr>
            <w:r w:rsidRPr="004F6DB9">
              <w:rPr>
                <w:sz w:val="28"/>
                <w:szCs w:val="28"/>
              </w:rPr>
              <w:t>Deklarācijā par Artura Krišjāņa Kariņa vadītā Ministru kabineta iecerēto darbību 123., 124 un 206.punktā noteikto;</w:t>
            </w:r>
          </w:p>
          <w:p w14:paraId="524F67C4" w14:textId="1CF08EC4" w:rsidR="00FA560A" w:rsidRPr="003C4EFA" w:rsidRDefault="00794E73" w:rsidP="00752B47">
            <w:pPr>
              <w:pStyle w:val="ListParagraph"/>
              <w:numPr>
                <w:ilvl w:val="0"/>
                <w:numId w:val="42"/>
              </w:numPr>
              <w:jc w:val="both"/>
              <w:rPr>
                <w:color w:val="FF0000"/>
                <w:sz w:val="28"/>
                <w:szCs w:val="28"/>
              </w:rPr>
            </w:pPr>
            <w:r w:rsidRPr="004F6DB9">
              <w:rPr>
                <w:sz w:val="28"/>
                <w:szCs w:val="28"/>
              </w:rPr>
              <w:t xml:space="preserve">Saeimā 2018. gada 7. jūnijā pieņemtā lēmuma </w:t>
            </w:r>
            <w:r w:rsidRPr="004F6DB9">
              <w:rPr>
                <w:sz w:val="28"/>
                <w:szCs w:val="28"/>
              </w:rPr>
              <w:lastRenderedPageBreak/>
              <w:t xml:space="preserve">“Par valsts aizsardzības mācības iekļaušanu valsts vidējās izglītības standartā” </w:t>
            </w:r>
          </w:p>
        </w:tc>
      </w:tr>
      <w:tr w:rsidR="009918C7" w:rsidRPr="001568ED" w14:paraId="26DDCCCC" w14:textId="77777777" w:rsidTr="00752B47">
        <w:tc>
          <w:tcPr>
            <w:tcW w:w="567" w:type="dxa"/>
            <w:shd w:val="clear" w:color="auto" w:fill="FFFFFF"/>
          </w:tcPr>
          <w:p w14:paraId="5671C957" w14:textId="77777777" w:rsidR="009918C7" w:rsidRPr="001568ED" w:rsidRDefault="00286901" w:rsidP="00752B47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80" w:type="dxa"/>
            <w:shd w:val="clear" w:color="auto" w:fill="FFFFFF"/>
          </w:tcPr>
          <w:p w14:paraId="6645EA8A" w14:textId="77777777" w:rsidR="009918C7" w:rsidRPr="001568ED" w:rsidRDefault="00286901" w:rsidP="00752B47">
            <w:pPr>
              <w:ind w:firstLine="17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6325" w:type="dxa"/>
            <w:shd w:val="clear" w:color="auto" w:fill="FFFFFF"/>
            <w:vAlign w:val="center"/>
          </w:tcPr>
          <w:p w14:paraId="70C48019" w14:textId="2B1446CD" w:rsidR="00E07E98" w:rsidRDefault="00286901" w:rsidP="00752B47">
            <w:pPr>
              <w:spacing w:after="120"/>
              <w:jc w:val="both"/>
              <w:rPr>
                <w:sz w:val="28"/>
                <w:szCs w:val="28"/>
              </w:rPr>
            </w:pPr>
            <w:r w:rsidRPr="00D7471F">
              <w:rPr>
                <w:sz w:val="28"/>
                <w:szCs w:val="28"/>
              </w:rPr>
              <w:t>Šobrīd</w:t>
            </w:r>
            <w:r w:rsidR="00CA54BE" w:rsidRPr="00D7471F">
              <w:rPr>
                <w:sz w:val="28"/>
                <w:szCs w:val="28"/>
              </w:rPr>
              <w:t xml:space="preserve"> </w:t>
            </w:r>
            <w:r w:rsidR="00D7471F" w:rsidRPr="00D7471F">
              <w:rPr>
                <w:sz w:val="28"/>
                <w:szCs w:val="28"/>
              </w:rPr>
              <w:t>profesionālajā</w:t>
            </w:r>
            <w:r w:rsidR="006D4D19" w:rsidRPr="00D7471F">
              <w:rPr>
                <w:sz w:val="28"/>
                <w:szCs w:val="28"/>
              </w:rPr>
              <w:t xml:space="preserve"> vidējā izglītībā </w:t>
            </w:r>
            <w:r w:rsidRPr="00D7471F">
              <w:rPr>
                <w:sz w:val="28"/>
                <w:szCs w:val="28"/>
              </w:rPr>
              <w:t>i</w:t>
            </w:r>
            <w:r w:rsidR="00535E91" w:rsidRPr="00D7471F">
              <w:rPr>
                <w:sz w:val="28"/>
                <w:szCs w:val="28"/>
              </w:rPr>
              <w:t xml:space="preserve">r spēkā Ministru kabineta </w:t>
            </w:r>
            <w:proofErr w:type="gramStart"/>
            <w:r w:rsidR="00B36C86">
              <w:rPr>
                <w:sz w:val="28"/>
                <w:szCs w:val="28"/>
              </w:rPr>
              <w:t>2000.gada</w:t>
            </w:r>
            <w:proofErr w:type="gramEnd"/>
            <w:r w:rsidR="00B36C86">
              <w:rPr>
                <w:sz w:val="28"/>
                <w:szCs w:val="28"/>
              </w:rPr>
              <w:t xml:space="preserve"> 27.jūnija </w:t>
            </w:r>
            <w:r w:rsidR="006D4D19" w:rsidRPr="00D7471F">
              <w:rPr>
                <w:sz w:val="28"/>
                <w:szCs w:val="28"/>
              </w:rPr>
              <w:t>noteikumi Nr.211</w:t>
            </w:r>
            <w:r w:rsidRPr="00D7471F">
              <w:rPr>
                <w:sz w:val="28"/>
                <w:szCs w:val="28"/>
              </w:rPr>
              <w:t xml:space="preserve"> </w:t>
            </w:r>
            <w:r w:rsidR="006D4D19" w:rsidRPr="00D7471F">
              <w:rPr>
                <w:sz w:val="28"/>
                <w:szCs w:val="28"/>
              </w:rPr>
              <w:t>“Noteikumi par valsts profesionālās</w:t>
            </w:r>
            <w:r w:rsidRPr="00D7471F">
              <w:rPr>
                <w:sz w:val="28"/>
                <w:szCs w:val="28"/>
              </w:rPr>
              <w:t xml:space="preserve"> vidējās izglītības  standartu </w:t>
            </w:r>
            <w:r w:rsidR="006D4D19" w:rsidRPr="00D7471F">
              <w:rPr>
                <w:sz w:val="28"/>
                <w:szCs w:val="28"/>
              </w:rPr>
              <w:t xml:space="preserve">un valsts arodizglītības </w:t>
            </w:r>
            <w:r w:rsidR="00B36C86">
              <w:rPr>
                <w:sz w:val="28"/>
                <w:szCs w:val="28"/>
              </w:rPr>
              <w:t>standartu”</w:t>
            </w:r>
            <w:r w:rsidRPr="00D7471F">
              <w:rPr>
                <w:sz w:val="28"/>
                <w:szCs w:val="28"/>
              </w:rPr>
              <w:t>.</w:t>
            </w:r>
            <w:r w:rsidR="00D7471F" w:rsidRPr="00D7471F">
              <w:rPr>
                <w:sz w:val="28"/>
                <w:szCs w:val="28"/>
              </w:rPr>
              <w:t xml:space="preserve"> </w:t>
            </w:r>
            <w:r w:rsidR="00FB04BD" w:rsidRPr="00D7471F">
              <w:rPr>
                <w:sz w:val="28"/>
                <w:szCs w:val="28"/>
              </w:rPr>
              <w:t>Tie nosaka</w:t>
            </w:r>
            <w:proofErr w:type="gramStart"/>
            <w:r w:rsidR="00FB04BD" w:rsidRPr="00D7471F">
              <w:rPr>
                <w:sz w:val="28"/>
                <w:szCs w:val="28"/>
              </w:rPr>
              <w:t xml:space="preserve"> </w:t>
            </w:r>
            <w:r w:rsidR="00B940AD">
              <w:rPr>
                <w:sz w:val="28"/>
                <w:szCs w:val="28"/>
              </w:rPr>
              <w:t xml:space="preserve"> </w:t>
            </w:r>
            <w:proofErr w:type="gramEnd"/>
            <w:r w:rsidR="00B940AD">
              <w:rPr>
                <w:sz w:val="28"/>
                <w:szCs w:val="28"/>
              </w:rPr>
              <w:t xml:space="preserve">profesionālo mācību priekšmetu, </w:t>
            </w:r>
            <w:r w:rsidR="00FB04BD" w:rsidRPr="00D7471F">
              <w:rPr>
                <w:sz w:val="28"/>
                <w:szCs w:val="28"/>
              </w:rPr>
              <w:t>modu</w:t>
            </w:r>
            <w:r w:rsidR="00B85E6E" w:rsidRPr="00D7471F">
              <w:rPr>
                <w:sz w:val="28"/>
                <w:szCs w:val="28"/>
              </w:rPr>
              <w:t xml:space="preserve">ļu kopumu, kas izglītojamajam nodrošina vispārīgās un </w:t>
            </w:r>
            <w:r w:rsidR="00E07E98">
              <w:rPr>
                <w:sz w:val="28"/>
                <w:szCs w:val="28"/>
              </w:rPr>
              <w:t xml:space="preserve">specifiskās zināšanas, </w:t>
            </w:r>
            <w:r w:rsidR="00B85E6E" w:rsidRPr="00D7471F">
              <w:rPr>
                <w:sz w:val="28"/>
                <w:szCs w:val="28"/>
              </w:rPr>
              <w:t xml:space="preserve">prasmes uzdevumu veikšanai attiecīgajā profesijā, </w:t>
            </w:r>
            <w:r w:rsidR="00FB04BD" w:rsidRPr="00D7471F">
              <w:rPr>
                <w:sz w:val="28"/>
                <w:szCs w:val="28"/>
              </w:rPr>
              <w:t>kā arī vispārizglītojošo mācību priek</w:t>
            </w:r>
            <w:r w:rsidR="00B85E6E" w:rsidRPr="00D7471F">
              <w:rPr>
                <w:sz w:val="28"/>
                <w:szCs w:val="28"/>
              </w:rPr>
              <w:t>šmetu satura</w:t>
            </w:r>
            <w:r w:rsidR="00FB04BD" w:rsidRPr="00D7471F">
              <w:rPr>
                <w:sz w:val="28"/>
                <w:szCs w:val="28"/>
              </w:rPr>
              <w:t xml:space="preserve"> </w:t>
            </w:r>
            <w:r w:rsidR="00B85E6E" w:rsidRPr="00D7471F">
              <w:rPr>
                <w:sz w:val="28"/>
                <w:szCs w:val="28"/>
              </w:rPr>
              <w:t xml:space="preserve">apguvi </w:t>
            </w:r>
            <w:r w:rsidR="00FB04BD" w:rsidRPr="00D7471F">
              <w:rPr>
                <w:sz w:val="28"/>
                <w:szCs w:val="28"/>
              </w:rPr>
              <w:t xml:space="preserve">atbilstoši Ministru kabineta </w:t>
            </w:r>
            <w:r w:rsidR="00B36C86">
              <w:rPr>
                <w:sz w:val="28"/>
                <w:szCs w:val="28"/>
              </w:rPr>
              <w:t xml:space="preserve">2013.gada 21.maija </w:t>
            </w:r>
            <w:r w:rsidR="00FB04BD" w:rsidRPr="00D7471F">
              <w:rPr>
                <w:sz w:val="28"/>
                <w:szCs w:val="28"/>
              </w:rPr>
              <w:t>noteikumiem Nr.</w:t>
            </w:r>
            <w:r w:rsidR="00B85E6E" w:rsidRPr="00D7471F">
              <w:rPr>
                <w:sz w:val="28"/>
                <w:szCs w:val="28"/>
              </w:rPr>
              <w:t>281</w:t>
            </w:r>
            <w:r w:rsidR="0062730F">
              <w:rPr>
                <w:sz w:val="28"/>
                <w:szCs w:val="28"/>
              </w:rPr>
              <w:t xml:space="preserve"> “</w:t>
            </w:r>
            <w:r w:rsidR="0062730F" w:rsidRPr="0062730F">
              <w:rPr>
                <w:sz w:val="28"/>
                <w:szCs w:val="28"/>
              </w:rPr>
              <w:t>Noteikumi par valsts vispārējās vidējās izglītības standartu, mācību priekšmetu standartiem un izglītības programmu paraugiem</w:t>
            </w:r>
            <w:r w:rsidR="0062730F">
              <w:rPr>
                <w:sz w:val="28"/>
                <w:szCs w:val="28"/>
              </w:rPr>
              <w:t>”</w:t>
            </w:r>
            <w:r w:rsidR="00CA54BE" w:rsidRPr="00D7471F">
              <w:rPr>
                <w:sz w:val="28"/>
                <w:szCs w:val="28"/>
              </w:rPr>
              <w:t xml:space="preserve">. </w:t>
            </w:r>
          </w:p>
          <w:p w14:paraId="0C39A8DC" w14:textId="428B442A" w:rsidR="00BE72CA" w:rsidRDefault="00BE72CA" w:rsidP="00752B4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Ņemot vērā, ka ir pieņemti </w:t>
            </w:r>
            <w:r w:rsidRPr="00BE72CA">
              <w:rPr>
                <w:sz w:val="28"/>
                <w:szCs w:val="28"/>
              </w:rPr>
              <w:t>Ministru kabinet</w:t>
            </w:r>
            <w:r>
              <w:rPr>
                <w:sz w:val="28"/>
                <w:szCs w:val="28"/>
              </w:rPr>
              <w:t>a</w:t>
            </w:r>
            <w:r w:rsidRPr="00BE72CA">
              <w:rPr>
                <w:sz w:val="28"/>
                <w:szCs w:val="28"/>
              </w:rPr>
              <w:t xml:space="preserve"> </w:t>
            </w:r>
            <w:proofErr w:type="gramStart"/>
            <w:r w:rsidRPr="00BE72CA">
              <w:rPr>
                <w:sz w:val="28"/>
                <w:szCs w:val="28"/>
              </w:rPr>
              <w:t>2019.gada</w:t>
            </w:r>
            <w:proofErr w:type="gramEnd"/>
            <w:r w:rsidRPr="00BE72CA">
              <w:rPr>
                <w:sz w:val="28"/>
                <w:szCs w:val="28"/>
              </w:rPr>
              <w:t xml:space="preserve"> 3.septembr</w:t>
            </w:r>
            <w:r>
              <w:rPr>
                <w:sz w:val="28"/>
                <w:szCs w:val="28"/>
              </w:rPr>
              <w:t xml:space="preserve">a </w:t>
            </w:r>
            <w:r w:rsidRPr="00BE72CA">
              <w:rPr>
                <w:sz w:val="28"/>
                <w:szCs w:val="28"/>
              </w:rPr>
              <w:t xml:space="preserve"> noteikumi Nr. 416 “Noteikumi par valsts vispārējās vidējās izglītības standartu un vispārējās vidējās izglītības programmu paraugiem</w:t>
            </w:r>
            <w:r>
              <w:rPr>
                <w:sz w:val="28"/>
                <w:szCs w:val="28"/>
              </w:rPr>
              <w:t xml:space="preserve">”, kuri ir attiecināmi arī uz izglītojamajiem, kuri mācās profesionālās vidējās izglītības un </w:t>
            </w:r>
            <w:proofErr w:type="spellStart"/>
            <w:r>
              <w:rPr>
                <w:sz w:val="28"/>
                <w:szCs w:val="28"/>
              </w:rPr>
              <w:t>arodziglītības</w:t>
            </w:r>
            <w:proofErr w:type="spellEnd"/>
            <w:r>
              <w:rPr>
                <w:sz w:val="28"/>
                <w:szCs w:val="28"/>
              </w:rPr>
              <w:t xml:space="preserve"> programmās, kā arī kopš 2011.gada tiek īstenota profesionālās izglītības satura reforma, kura paredz jaunu pieeju profesionālās izglītības satura īstenošanā un vērtēšanā, un jāņem vērā </w:t>
            </w:r>
            <w:bookmarkStart w:id="1" w:name="_1fob9te" w:colFirst="0" w:colLast="0"/>
            <w:bookmarkEnd w:id="1"/>
            <w:r w:rsidR="00404F54" w:rsidRPr="00E07E98">
              <w:rPr>
                <w:sz w:val="28"/>
                <w:szCs w:val="28"/>
              </w:rPr>
              <w:t xml:space="preserve"> izmaiņ</w:t>
            </w:r>
            <w:r>
              <w:rPr>
                <w:sz w:val="28"/>
                <w:szCs w:val="28"/>
              </w:rPr>
              <w:t>as</w:t>
            </w:r>
            <w:r w:rsidR="00404F54" w:rsidRPr="00E07E98">
              <w:rPr>
                <w:sz w:val="28"/>
                <w:szCs w:val="28"/>
              </w:rPr>
              <w:t xml:space="preserve"> ekonomiskajā, politiskajā un sociālajā situācijā</w:t>
            </w:r>
            <w:r>
              <w:rPr>
                <w:sz w:val="28"/>
                <w:szCs w:val="28"/>
              </w:rPr>
              <w:t xml:space="preserve">, kas pieprasa papildu kompetences mūsdienu darba tirgū, ir nepieciešams izstrādāt jaunu profesionālās vidējās izglītības un arodizglītības standartu. </w:t>
            </w:r>
          </w:p>
          <w:p w14:paraId="0F5C6A1E" w14:textId="2101E56B" w:rsidR="00404F54" w:rsidRPr="00153B4F" w:rsidRDefault="00404F54" w:rsidP="00752B47">
            <w:pPr>
              <w:spacing w:after="120"/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E07E98">
              <w:rPr>
                <w:sz w:val="28"/>
                <w:szCs w:val="28"/>
              </w:rPr>
              <w:t>Izglītojamajam ir jāiemācās dzīvot pasaulē, kas nepārtraukti mainās, pielāgojoties mainīgajām ekonomikas prasībām un sociālajiem apstākļiem visa mūža garumā.</w:t>
            </w:r>
            <w:r>
              <w:rPr>
                <w:sz w:val="28"/>
                <w:szCs w:val="28"/>
              </w:rPr>
              <w:t xml:space="preserve"> </w:t>
            </w:r>
            <w:r w:rsidRPr="00C6069B">
              <w:rPr>
                <w:iCs/>
                <w:sz w:val="28"/>
                <w:szCs w:val="28"/>
              </w:rPr>
              <w:t>Līdz ar to arī izglītības sistēma ir jāveido vairāk uz indivīda vajadzībām vērsta, elastīgāka, spējīga ātri r</w:t>
            </w:r>
            <w:r>
              <w:rPr>
                <w:iCs/>
                <w:sz w:val="28"/>
                <w:szCs w:val="28"/>
              </w:rPr>
              <w:t xml:space="preserve">eaģēt uz mainīgajiem apstākļiem un tās </w:t>
            </w:r>
            <w:r w:rsidRPr="00C6069B">
              <w:rPr>
                <w:iCs/>
                <w:sz w:val="28"/>
                <w:szCs w:val="28"/>
              </w:rPr>
              <w:t>mērķis ir veicināt profesionālās izglītības pievilcību, piedāvājot dažādas izvēles iespējas, palielināt profesionālu kvalifikāciju ieguvušo skaitu, samazināt priekšl</w:t>
            </w:r>
            <w:r>
              <w:rPr>
                <w:iCs/>
                <w:sz w:val="28"/>
                <w:szCs w:val="28"/>
              </w:rPr>
              <w:t>aicīgi mācību pārtraukušo</w:t>
            </w:r>
            <w:r w:rsidRPr="00C6069B">
              <w:rPr>
                <w:iCs/>
                <w:sz w:val="28"/>
                <w:szCs w:val="28"/>
              </w:rPr>
              <w:t xml:space="preserve"> skaitu u.tml</w:t>
            </w:r>
            <w:r>
              <w:rPr>
                <w:iCs/>
                <w:sz w:val="28"/>
                <w:szCs w:val="28"/>
              </w:rPr>
              <w:t>.</w:t>
            </w:r>
          </w:p>
          <w:p w14:paraId="40BF5094" w14:textId="28CEF23B" w:rsidR="00132AC3" w:rsidRDefault="00132AC3" w:rsidP="00752B4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752B47">
              <w:rPr>
                <w:bCs/>
                <w:color w:val="000000"/>
                <w:sz w:val="28"/>
                <w:szCs w:val="28"/>
              </w:rPr>
              <w:t>Jaunais profesionālās vidējās izglītības un arodizglītības standarts ir veidots</w:t>
            </w:r>
            <w:r>
              <w:rPr>
                <w:bCs/>
                <w:color w:val="000000"/>
                <w:sz w:val="28"/>
                <w:szCs w:val="28"/>
              </w:rPr>
              <w:t xml:space="preserve"> atbilstoši</w:t>
            </w:r>
            <w:r w:rsidRPr="00D7471F">
              <w:rPr>
                <w:sz w:val="28"/>
                <w:szCs w:val="28"/>
              </w:rPr>
              <w:t xml:space="preserve"> Eiropas Komisijas ziņojumu ieteikumi</w:t>
            </w:r>
            <w:r>
              <w:rPr>
                <w:sz w:val="28"/>
                <w:szCs w:val="28"/>
              </w:rPr>
              <w:t xml:space="preserve">em, tai skaitā </w:t>
            </w:r>
            <w:proofErr w:type="gramStart"/>
            <w:r>
              <w:rPr>
                <w:sz w:val="28"/>
                <w:szCs w:val="28"/>
              </w:rPr>
              <w:t>2017.gada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22.</w:t>
            </w:r>
            <w:r w:rsidR="005566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maija Eiropas Parlamenta un Padomes ieteikumiem </w:t>
            </w:r>
            <w:r w:rsidRPr="00132AC3">
              <w:rPr>
                <w:sz w:val="28"/>
                <w:szCs w:val="28"/>
              </w:rPr>
              <w:t xml:space="preserve">“Par Eiropas kvalifikāciju </w:t>
            </w:r>
            <w:proofErr w:type="spellStart"/>
            <w:r w:rsidRPr="00132AC3">
              <w:rPr>
                <w:sz w:val="28"/>
                <w:szCs w:val="28"/>
              </w:rPr>
              <w:t>ietvarstruktūru</w:t>
            </w:r>
            <w:proofErr w:type="spellEnd"/>
            <w:r w:rsidRPr="00132AC3">
              <w:rPr>
                <w:sz w:val="28"/>
                <w:szCs w:val="28"/>
              </w:rPr>
              <w:t xml:space="preserve"> mūžizglītībai un ar ko atceļ Eiropas Parlamenta un Padomes 2008. gada 23. aprīļa Ieteikumu par Eiropas kvalifikāciju </w:t>
            </w:r>
            <w:proofErr w:type="spellStart"/>
            <w:r w:rsidRPr="00132AC3">
              <w:rPr>
                <w:sz w:val="28"/>
                <w:szCs w:val="28"/>
              </w:rPr>
              <w:t>ietvarstruktūras</w:t>
            </w:r>
            <w:proofErr w:type="spellEnd"/>
            <w:r w:rsidRPr="00132AC3">
              <w:rPr>
                <w:sz w:val="28"/>
                <w:szCs w:val="28"/>
              </w:rPr>
              <w:t xml:space="preserve"> izveidošanu mūžizglītībai”</w:t>
            </w:r>
            <w:r>
              <w:rPr>
                <w:sz w:val="28"/>
                <w:szCs w:val="28"/>
              </w:rPr>
              <w:t>, 2009.gada 18.jūnija Eiropas Parlamenta un Padomes ieteikumiem “P</w:t>
            </w:r>
            <w:r w:rsidRPr="00132AC3">
              <w:rPr>
                <w:sz w:val="28"/>
                <w:szCs w:val="28"/>
              </w:rPr>
              <w:t>ar Eiropas kredītpunktu sistēmas izstrādi profesionālajai izglītībai un apmācībai</w:t>
            </w:r>
            <w:r>
              <w:rPr>
                <w:sz w:val="28"/>
                <w:szCs w:val="28"/>
              </w:rPr>
              <w:t>”</w:t>
            </w:r>
            <w:r w:rsidRPr="00D7471F">
              <w:rPr>
                <w:sz w:val="28"/>
                <w:szCs w:val="28"/>
              </w:rPr>
              <w:t xml:space="preserve"> un </w:t>
            </w:r>
            <w:r w:rsidR="0055665C">
              <w:rPr>
                <w:sz w:val="28"/>
                <w:szCs w:val="28"/>
              </w:rPr>
              <w:t>2018.gada 22. maija</w:t>
            </w:r>
            <w:r w:rsidRPr="00D74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Eiropas Parlamenta un Padomes ieteikumiem </w:t>
            </w:r>
            <w:r w:rsidR="0055665C" w:rsidRPr="00752B47">
              <w:rPr>
                <w:bCs/>
                <w:color w:val="000000"/>
                <w:sz w:val="28"/>
                <w:szCs w:val="28"/>
              </w:rPr>
              <w:t>“</w:t>
            </w:r>
            <w:r w:rsidR="0055665C">
              <w:rPr>
                <w:bCs/>
                <w:color w:val="000000"/>
                <w:sz w:val="28"/>
                <w:szCs w:val="28"/>
              </w:rPr>
              <w:t>P</w:t>
            </w:r>
            <w:r w:rsidR="0055665C" w:rsidRPr="00752B47">
              <w:rPr>
                <w:bCs/>
                <w:color w:val="000000"/>
                <w:sz w:val="28"/>
                <w:szCs w:val="28"/>
              </w:rPr>
              <w:t xml:space="preserve">ar </w:t>
            </w:r>
            <w:proofErr w:type="spellStart"/>
            <w:r w:rsidR="0055665C" w:rsidRPr="00752B47">
              <w:rPr>
                <w:bCs/>
                <w:color w:val="000000"/>
                <w:sz w:val="28"/>
                <w:szCs w:val="28"/>
              </w:rPr>
              <w:t>pamatkompetencēm</w:t>
            </w:r>
            <w:proofErr w:type="spellEnd"/>
            <w:r w:rsidR="0055665C" w:rsidRPr="00752B47">
              <w:rPr>
                <w:bCs/>
                <w:color w:val="000000"/>
                <w:sz w:val="28"/>
                <w:szCs w:val="28"/>
              </w:rPr>
              <w:t xml:space="preserve"> mūžizglītībā”</w:t>
            </w:r>
            <w:r w:rsidR="0055665C">
              <w:rPr>
                <w:bCs/>
                <w:color w:val="000000"/>
                <w:sz w:val="28"/>
                <w:szCs w:val="28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6249"/>
            </w:tblGrid>
            <w:tr w:rsidR="00132AC3" w14:paraId="4708EAF4" w14:textId="77777777" w:rsidTr="00132AC3">
              <w:tc>
                <w:tcPr>
                  <w:tcW w:w="6" w:type="dxa"/>
                  <w:shd w:val="clear" w:color="auto" w:fill="auto"/>
                  <w:hideMark/>
                </w:tcPr>
                <w:p w14:paraId="06831E34" w14:textId="77777777" w:rsidR="00132AC3" w:rsidRDefault="00132AC3" w:rsidP="000E54CF">
                  <w:pPr>
                    <w:framePr w:hSpace="180" w:wrap="around" w:vAnchor="text" w:hAnchor="text" w:x="28" w:y="1"/>
                    <w:suppressOverlap/>
                  </w:pPr>
                </w:p>
              </w:tc>
              <w:tc>
                <w:tcPr>
                  <w:tcW w:w="8634" w:type="dxa"/>
                  <w:shd w:val="clear" w:color="auto" w:fill="auto"/>
                  <w:hideMark/>
                </w:tcPr>
                <w:p w14:paraId="6F2A5B99" w14:textId="262F78E3" w:rsidR="00132AC3" w:rsidRDefault="00132AC3" w:rsidP="000E54CF">
                  <w:pPr>
                    <w:pStyle w:val="ti-doc-eph"/>
                    <w:framePr w:hSpace="180" w:wrap="around" w:vAnchor="text" w:hAnchor="text" w:x="28" w:y="1"/>
                    <w:spacing w:before="180" w:beforeAutospacing="0" w:after="120" w:afterAutospacing="0" w:line="312" w:lineRule="atLeast"/>
                    <w:suppressOverlap/>
                    <w:jc w:val="both"/>
                    <w:rPr>
                      <w:rFonts w:ascii="&amp;quot" w:hAnsi="&amp;quot"/>
                      <w:color w:val="444444"/>
                    </w:rPr>
                  </w:pPr>
                </w:p>
              </w:tc>
            </w:tr>
          </w:tbl>
          <w:p w14:paraId="7CB258E9" w14:textId="7E11CBF0" w:rsidR="00E246D8" w:rsidRDefault="00B8228C" w:rsidP="00752B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52B47">
              <w:rPr>
                <w:bCs/>
                <w:color w:val="000000"/>
                <w:sz w:val="28"/>
                <w:szCs w:val="28"/>
              </w:rPr>
              <w:t>Atšķirībā no spēkā esošā profesionālās vidējās izglītības un arodizglītības standarta, k</w:t>
            </w:r>
            <w:r w:rsidR="003F1C5D" w:rsidRPr="00752B47">
              <w:rPr>
                <w:bCs/>
                <w:color w:val="000000"/>
                <w:sz w:val="28"/>
                <w:szCs w:val="28"/>
              </w:rPr>
              <w:t>ur</w:t>
            </w:r>
            <w:r w:rsidRPr="00752B47">
              <w:rPr>
                <w:bCs/>
                <w:color w:val="000000"/>
                <w:sz w:val="28"/>
                <w:szCs w:val="28"/>
              </w:rPr>
              <w:t xml:space="preserve"> no</w:t>
            </w:r>
            <w:r w:rsidR="003F1C5D" w:rsidRPr="00752B47">
              <w:rPr>
                <w:bCs/>
                <w:color w:val="000000"/>
                <w:sz w:val="28"/>
                <w:szCs w:val="28"/>
              </w:rPr>
              <w:t>tei</w:t>
            </w:r>
            <w:r w:rsidRPr="00752B47">
              <w:rPr>
                <w:bCs/>
                <w:color w:val="000000"/>
                <w:sz w:val="28"/>
                <w:szCs w:val="28"/>
              </w:rPr>
              <w:t>k</w:t>
            </w:r>
            <w:r w:rsidR="003F1C5D" w:rsidRPr="00752B47">
              <w:rPr>
                <w:bCs/>
                <w:color w:val="000000"/>
                <w:sz w:val="28"/>
                <w:szCs w:val="28"/>
              </w:rPr>
              <w:t>tas</w:t>
            </w:r>
            <w:r w:rsidRPr="00752B47">
              <w:rPr>
                <w:bCs/>
                <w:color w:val="000000"/>
                <w:sz w:val="28"/>
                <w:szCs w:val="28"/>
              </w:rPr>
              <w:t xml:space="preserve"> izglītības programmu pamatdaļas </w:t>
            </w:r>
            <w:r w:rsidR="003F1C5D" w:rsidRPr="00752B47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752B47">
              <w:rPr>
                <w:bCs/>
                <w:color w:val="000000"/>
                <w:sz w:val="28"/>
                <w:szCs w:val="28"/>
              </w:rPr>
              <w:t>teorija un prakse</w:t>
            </w:r>
            <w:r w:rsidR="003F1C5D" w:rsidRPr="00752B47">
              <w:rPr>
                <w:bCs/>
                <w:color w:val="000000"/>
                <w:sz w:val="28"/>
                <w:szCs w:val="28"/>
              </w:rPr>
              <w:t>,</w:t>
            </w:r>
            <w:r w:rsidRPr="00752B47">
              <w:rPr>
                <w:bCs/>
                <w:color w:val="000000"/>
                <w:sz w:val="28"/>
                <w:szCs w:val="28"/>
              </w:rPr>
              <w:t xml:space="preserve"> jaunais profesionālās vidējās izglītības un arodizglītības standarts ir veidots</w:t>
            </w:r>
            <w:r w:rsidR="003F1C5D" w:rsidRPr="00752B47">
              <w:rPr>
                <w:bCs/>
                <w:color w:val="000000"/>
                <w:sz w:val="28"/>
                <w:szCs w:val="28"/>
              </w:rPr>
              <w:t xml:space="preserve"> pēc citiem principiem -</w:t>
            </w:r>
            <w:r w:rsidRPr="00752B47">
              <w:rPr>
                <w:bCs/>
                <w:color w:val="000000"/>
                <w:sz w:val="28"/>
                <w:szCs w:val="28"/>
              </w:rPr>
              <w:t xml:space="preserve"> obligāto saturu sadalot</w:t>
            </w:r>
            <w:proofErr w:type="gramStart"/>
            <w:r w:rsidRPr="00752B4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52B47">
              <w:rPr>
                <w:sz w:val="28"/>
                <w:szCs w:val="28"/>
              </w:rPr>
              <w:t xml:space="preserve"> </w:t>
            </w:r>
            <w:proofErr w:type="gramEnd"/>
            <w:r w:rsidRPr="00752B47">
              <w:rPr>
                <w:sz w:val="28"/>
                <w:szCs w:val="28"/>
              </w:rPr>
              <w:t>pamatdaļ</w:t>
            </w:r>
            <w:r w:rsidR="003F1C5D" w:rsidRPr="00752B47">
              <w:rPr>
                <w:sz w:val="28"/>
                <w:szCs w:val="28"/>
              </w:rPr>
              <w:t>ā</w:t>
            </w:r>
            <w:r w:rsidRPr="00752B47">
              <w:rPr>
                <w:sz w:val="28"/>
                <w:szCs w:val="28"/>
              </w:rPr>
              <w:t xml:space="preserve"> un mainīg</w:t>
            </w:r>
            <w:r w:rsidR="003F1C5D" w:rsidRPr="00752B47">
              <w:rPr>
                <w:sz w:val="28"/>
                <w:szCs w:val="28"/>
              </w:rPr>
              <w:t>aj</w:t>
            </w:r>
            <w:r w:rsidRPr="00752B47">
              <w:rPr>
                <w:sz w:val="28"/>
                <w:szCs w:val="28"/>
              </w:rPr>
              <w:t>ā daļ</w:t>
            </w:r>
            <w:r w:rsidR="003F1C5D" w:rsidRPr="00752B47">
              <w:rPr>
                <w:sz w:val="28"/>
                <w:szCs w:val="28"/>
              </w:rPr>
              <w:t xml:space="preserve">ā, kas savstarpēji integrējot aptver </w:t>
            </w:r>
            <w:r w:rsidR="001D1D06" w:rsidRPr="00752B47">
              <w:rPr>
                <w:sz w:val="28"/>
                <w:szCs w:val="28"/>
              </w:rPr>
              <w:t>profesiju standartos vai profesionālās kvalifikāciju prasībās noteiktās</w:t>
            </w:r>
            <w:r w:rsidR="001D1D06" w:rsidRPr="00752B47">
              <w:rPr>
                <w:color w:val="FF0000"/>
                <w:sz w:val="28"/>
                <w:szCs w:val="28"/>
              </w:rPr>
              <w:t xml:space="preserve"> </w:t>
            </w:r>
            <w:r w:rsidR="001D1D06" w:rsidRPr="00752B47">
              <w:rPr>
                <w:sz w:val="28"/>
                <w:szCs w:val="28"/>
              </w:rPr>
              <w:t>zināšanas, prasmes, attieksmes un kompetences atbilstoši profesijai,</w:t>
            </w:r>
            <w:r w:rsidR="001D1D06">
              <w:rPr>
                <w:sz w:val="28"/>
                <w:szCs w:val="28"/>
              </w:rPr>
              <w:t xml:space="preserve"> </w:t>
            </w:r>
            <w:r w:rsidR="00101D17" w:rsidRPr="00101D17">
              <w:rPr>
                <w:sz w:val="28"/>
                <w:szCs w:val="28"/>
              </w:rPr>
              <w:t>mūžizglītības kompetenču modu</w:t>
            </w:r>
            <w:r w:rsidR="00101D17">
              <w:rPr>
                <w:sz w:val="28"/>
                <w:szCs w:val="28"/>
              </w:rPr>
              <w:t>ļos iekļauto saturu</w:t>
            </w:r>
            <w:r w:rsidR="00101D17" w:rsidRPr="00101D17">
              <w:rPr>
                <w:sz w:val="28"/>
                <w:szCs w:val="28"/>
              </w:rPr>
              <w:t xml:space="preserve"> </w:t>
            </w:r>
            <w:r w:rsidR="001D1D06">
              <w:rPr>
                <w:sz w:val="28"/>
                <w:szCs w:val="28"/>
              </w:rPr>
              <w:t>un</w:t>
            </w:r>
            <w:r w:rsidR="001D1D06" w:rsidRPr="00181BAF">
              <w:rPr>
                <w:sz w:val="28"/>
                <w:szCs w:val="28"/>
              </w:rPr>
              <w:t xml:space="preserve"> </w:t>
            </w:r>
            <w:r w:rsidR="001D1D06" w:rsidRPr="00CF676D">
              <w:rPr>
                <w:sz w:val="28"/>
                <w:szCs w:val="28"/>
              </w:rPr>
              <w:t>valsts vispārējās vidējās izglītības standart</w:t>
            </w:r>
            <w:r w:rsidR="00101D17">
              <w:rPr>
                <w:sz w:val="28"/>
                <w:szCs w:val="28"/>
              </w:rPr>
              <w:t>ā</w:t>
            </w:r>
            <w:r w:rsidR="001D1D06" w:rsidRPr="00CF676D">
              <w:rPr>
                <w:sz w:val="28"/>
                <w:szCs w:val="28"/>
              </w:rPr>
              <w:t xml:space="preserve"> un vispārējās vidējās izglītības programmu paraug</w:t>
            </w:r>
            <w:r w:rsidR="00101D17">
              <w:rPr>
                <w:sz w:val="28"/>
                <w:szCs w:val="28"/>
              </w:rPr>
              <w:t>os noteikto saturu</w:t>
            </w:r>
            <w:r w:rsidR="001D1D06" w:rsidRPr="00CF676D">
              <w:rPr>
                <w:sz w:val="28"/>
                <w:szCs w:val="28"/>
              </w:rPr>
              <w:t>.</w:t>
            </w:r>
            <w:r w:rsidR="00101D17">
              <w:rPr>
                <w:sz w:val="28"/>
                <w:szCs w:val="28"/>
              </w:rPr>
              <w:t xml:space="preserve"> </w:t>
            </w:r>
            <w:r w:rsidR="003F1C5D" w:rsidRPr="007550D8">
              <w:rPr>
                <w:sz w:val="28"/>
                <w:szCs w:val="28"/>
              </w:rPr>
              <w:t xml:space="preserve">Profesionālās vidējās izglītības un arodizglītības programmas </w:t>
            </w:r>
            <w:r w:rsidR="003F1C5D" w:rsidRPr="00D71C50">
              <w:rPr>
                <w:sz w:val="28"/>
                <w:szCs w:val="28"/>
              </w:rPr>
              <w:t>pamatdaļa</w:t>
            </w:r>
            <w:r w:rsidR="003F1C5D" w:rsidRPr="007550D8">
              <w:rPr>
                <w:sz w:val="28"/>
                <w:szCs w:val="28"/>
              </w:rPr>
              <w:t xml:space="preserve"> ir 70</w:t>
            </w:r>
            <w:r w:rsidR="003F1C5D">
              <w:rPr>
                <w:sz w:val="28"/>
                <w:szCs w:val="28"/>
              </w:rPr>
              <w:t xml:space="preserve"> procentu</w:t>
            </w:r>
            <w:r w:rsidR="003F1C5D" w:rsidRPr="007550D8">
              <w:rPr>
                <w:sz w:val="28"/>
                <w:szCs w:val="28"/>
              </w:rPr>
              <w:t xml:space="preserve"> apmērā no izglītības programmas apjoma</w:t>
            </w:r>
            <w:r w:rsidR="003F1C5D">
              <w:rPr>
                <w:sz w:val="28"/>
                <w:szCs w:val="28"/>
              </w:rPr>
              <w:t xml:space="preserve">, bet </w:t>
            </w:r>
            <w:r w:rsidR="003F1C5D" w:rsidRPr="00984F60">
              <w:rPr>
                <w:sz w:val="28"/>
                <w:szCs w:val="28"/>
              </w:rPr>
              <w:t>mainīgā daļa ir 30 procentu apmērā no izglītības programmas apjoma</w:t>
            </w:r>
            <w:r w:rsidR="00752B47">
              <w:rPr>
                <w:sz w:val="28"/>
                <w:szCs w:val="28"/>
              </w:rPr>
              <w:t xml:space="preserve"> </w:t>
            </w:r>
            <w:r w:rsidR="00752B47">
              <w:rPr>
                <w:color w:val="000000"/>
                <w:sz w:val="28"/>
                <w:szCs w:val="28"/>
              </w:rPr>
              <w:t>(skat. noteikumu projekta 1.pielikumu)</w:t>
            </w:r>
            <w:r w:rsidR="003F1C5D">
              <w:rPr>
                <w:sz w:val="28"/>
                <w:szCs w:val="28"/>
              </w:rPr>
              <w:t>.</w:t>
            </w:r>
          </w:p>
          <w:p w14:paraId="0DB6B046" w14:textId="4482DF5E" w:rsidR="00071244" w:rsidRDefault="002C279B" w:rsidP="00752B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105B0">
              <w:rPr>
                <w:bCs/>
                <w:color w:val="000000"/>
                <w:sz w:val="28"/>
                <w:szCs w:val="28"/>
              </w:rPr>
              <w:t>Jaunais profesionālās vidējās izglītības un arodizglītības standarts</w:t>
            </w:r>
            <w:r>
              <w:rPr>
                <w:bCs/>
                <w:color w:val="000000"/>
                <w:sz w:val="28"/>
                <w:szCs w:val="28"/>
              </w:rPr>
              <w:t xml:space="preserve"> ļauj </w:t>
            </w:r>
            <w:r>
              <w:rPr>
                <w:color w:val="000000"/>
                <w:sz w:val="28"/>
                <w:szCs w:val="28"/>
              </w:rPr>
              <w:t>p</w:t>
            </w:r>
            <w:r w:rsidRPr="00D066D4">
              <w:rPr>
                <w:color w:val="000000"/>
                <w:sz w:val="28"/>
                <w:szCs w:val="28"/>
              </w:rPr>
              <w:t>rofesionālā mācību satura noteiktos sasniedzamos rezultātus apgūt caur konkrētu profesionālo moduļu kopumu</w:t>
            </w:r>
            <w:r>
              <w:rPr>
                <w:color w:val="000000"/>
                <w:sz w:val="28"/>
                <w:szCs w:val="28"/>
              </w:rPr>
              <w:t xml:space="preserve"> vai </w:t>
            </w:r>
            <w:r w:rsidRPr="00984F60">
              <w:rPr>
                <w:sz w:val="28"/>
                <w:szCs w:val="28"/>
              </w:rPr>
              <w:t>profesionāl</w:t>
            </w:r>
            <w:r>
              <w:rPr>
                <w:sz w:val="28"/>
                <w:szCs w:val="28"/>
              </w:rPr>
              <w:t>o</w:t>
            </w:r>
            <w:r w:rsidRPr="00984F60">
              <w:rPr>
                <w:sz w:val="28"/>
                <w:szCs w:val="28"/>
              </w:rPr>
              <w:t xml:space="preserve"> mācību priekšmet</w:t>
            </w:r>
            <w:r>
              <w:rPr>
                <w:sz w:val="28"/>
                <w:szCs w:val="28"/>
              </w:rPr>
              <w:t>iem</w:t>
            </w:r>
            <w:r w:rsidRPr="00D066D4">
              <w:rPr>
                <w:color w:val="000000"/>
                <w:sz w:val="28"/>
                <w:szCs w:val="28"/>
              </w:rPr>
              <w:t>, kas ļauj veikt konkrētus pienākumus un darba uzdevumus attiecīgajā profesijā atbilstoši definētajam kvalifikācijas līmenim.</w:t>
            </w:r>
            <w:r>
              <w:rPr>
                <w:color w:val="000000"/>
                <w:sz w:val="28"/>
                <w:szCs w:val="28"/>
              </w:rPr>
              <w:t xml:space="preserve"> Šis princips ir</w:t>
            </w:r>
            <w:r w:rsidRPr="00D066D4">
              <w:rPr>
                <w:color w:val="000000"/>
                <w:sz w:val="28"/>
                <w:szCs w:val="28"/>
              </w:rPr>
              <w:t xml:space="preserve"> attiecināms </w:t>
            </w:r>
            <w:r>
              <w:rPr>
                <w:color w:val="000000"/>
                <w:sz w:val="28"/>
                <w:szCs w:val="28"/>
              </w:rPr>
              <w:t xml:space="preserve">arī </w:t>
            </w:r>
            <w:r w:rsidRPr="00D066D4">
              <w:rPr>
                <w:color w:val="000000"/>
                <w:sz w:val="28"/>
                <w:szCs w:val="28"/>
              </w:rPr>
              <w:t>uz izglītības programmām, ko īsteno Aizsardzības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066D4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ekšlietu</w:t>
            </w:r>
            <w:r w:rsidRPr="00D066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un Kultūras ministriju </w:t>
            </w:r>
            <w:r w:rsidRPr="00D066D4">
              <w:rPr>
                <w:color w:val="000000"/>
                <w:sz w:val="28"/>
                <w:szCs w:val="28"/>
              </w:rPr>
              <w:t>padotībā esošās izglītības iestādes</w:t>
            </w:r>
            <w:r>
              <w:rPr>
                <w:color w:val="000000"/>
                <w:sz w:val="28"/>
                <w:szCs w:val="28"/>
              </w:rPr>
              <w:t xml:space="preserve">, kas īsteno </w:t>
            </w:r>
            <w:r w:rsidRPr="00984F60">
              <w:rPr>
                <w:sz w:val="28"/>
                <w:szCs w:val="28"/>
              </w:rPr>
              <w:t>profesionāl</w:t>
            </w:r>
            <w:r>
              <w:rPr>
                <w:sz w:val="28"/>
                <w:szCs w:val="28"/>
              </w:rPr>
              <w:t>os</w:t>
            </w:r>
            <w:r w:rsidRPr="00984F60">
              <w:rPr>
                <w:sz w:val="28"/>
                <w:szCs w:val="28"/>
              </w:rPr>
              <w:t xml:space="preserve"> mācību priekšmet</w:t>
            </w:r>
            <w:r>
              <w:rPr>
                <w:sz w:val="28"/>
                <w:szCs w:val="28"/>
              </w:rPr>
              <w:t>u programmas un</w:t>
            </w:r>
            <w:r>
              <w:rPr>
                <w:color w:val="000000"/>
                <w:sz w:val="28"/>
                <w:szCs w:val="28"/>
              </w:rPr>
              <w:t xml:space="preserve"> neīsteno modulārās izglītības programmas.</w:t>
            </w:r>
          </w:p>
          <w:p w14:paraId="1539D5DD" w14:textId="1DF66378" w:rsidR="00071244" w:rsidRPr="00D57C62" w:rsidRDefault="002C279B" w:rsidP="00752B4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71244" w:rsidRPr="00B64B80">
              <w:rPr>
                <w:color w:val="000000"/>
                <w:sz w:val="28"/>
                <w:szCs w:val="28"/>
              </w:rPr>
              <w:t xml:space="preserve">Izglītības iestādei nostiprinātas iespējas pieņemt patstāvīgus lēmumus par izglītības programmas īstenošanu un mācību darba organizāciju, </w:t>
            </w:r>
            <w:proofErr w:type="spellStart"/>
            <w:r w:rsidR="00071244" w:rsidRPr="00B64B80">
              <w:rPr>
                <w:color w:val="000000"/>
                <w:sz w:val="28"/>
                <w:szCs w:val="28"/>
              </w:rPr>
              <w:t>attīstītot</w:t>
            </w:r>
            <w:proofErr w:type="spellEnd"/>
            <w:r w:rsidR="00071244" w:rsidRPr="00B64B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71244" w:rsidRPr="00B64B80">
              <w:rPr>
                <w:color w:val="000000"/>
                <w:sz w:val="28"/>
                <w:szCs w:val="28"/>
              </w:rPr>
              <w:t>un</w:t>
            </w:r>
            <w:proofErr w:type="gramEnd"/>
            <w:r w:rsidR="00071244" w:rsidRPr="00B64B80">
              <w:rPr>
                <w:color w:val="000000"/>
                <w:sz w:val="28"/>
                <w:szCs w:val="28"/>
              </w:rPr>
              <w:t xml:space="preserve"> turpinot pilnveidot savu piedāvājumu</w:t>
            </w:r>
            <w:r w:rsidR="00071244">
              <w:rPr>
                <w:color w:val="000000"/>
                <w:sz w:val="28"/>
                <w:szCs w:val="28"/>
              </w:rPr>
              <w:t xml:space="preserve">, </w:t>
            </w:r>
            <w:r w:rsidR="00071244" w:rsidRPr="00B64B80">
              <w:rPr>
                <w:color w:val="000000"/>
                <w:sz w:val="28"/>
                <w:szCs w:val="28"/>
              </w:rPr>
              <w:t xml:space="preserve">izglītības iestāde </w:t>
            </w:r>
            <w:r w:rsidR="00071244" w:rsidRPr="00B64B80">
              <w:rPr>
                <w:color w:val="000000"/>
                <w:sz w:val="28"/>
                <w:szCs w:val="28"/>
              </w:rPr>
              <w:lastRenderedPageBreak/>
              <w:t>var elastīgi veidot mācību plānu, īstenojot kursus</w:t>
            </w:r>
            <w:r w:rsidR="00071244">
              <w:rPr>
                <w:color w:val="000000"/>
                <w:sz w:val="28"/>
                <w:szCs w:val="28"/>
              </w:rPr>
              <w:t xml:space="preserve"> īsākā vai garākā laika periodā (skat. noteikumu projekta 1.pielikumu)</w:t>
            </w:r>
            <w:r w:rsidR="00071244" w:rsidRPr="00B64B80">
              <w:rPr>
                <w:color w:val="000000"/>
                <w:sz w:val="28"/>
                <w:szCs w:val="28"/>
              </w:rPr>
              <w:t>;</w:t>
            </w:r>
          </w:p>
          <w:p w14:paraId="4723C613" w14:textId="489261FC" w:rsidR="00C1022C" w:rsidRPr="00C1022C" w:rsidRDefault="002C279B" w:rsidP="00752B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Izglītības iestāde </w:t>
            </w:r>
            <w:r w:rsidR="00071244" w:rsidRPr="00071244">
              <w:rPr>
                <w:sz w:val="28"/>
                <w:szCs w:val="28"/>
              </w:rPr>
              <w:t xml:space="preserve">atbilstoši normatīvajiem aktiem par </w:t>
            </w:r>
            <w:r w:rsidR="00071244" w:rsidRPr="00C1022C">
              <w:rPr>
                <w:sz w:val="28"/>
                <w:szCs w:val="28"/>
              </w:rPr>
              <w:t>valsts vispārējās vidējās izglītības standartu un vispārējās vidējās izglītības programmu paraugiem</w:t>
            </w:r>
            <w:r w:rsidR="00C1022C" w:rsidRPr="00C1022C">
              <w:rPr>
                <w:sz w:val="28"/>
                <w:szCs w:val="28"/>
              </w:rPr>
              <w:t>:</w:t>
            </w:r>
          </w:p>
          <w:p w14:paraId="4478F495" w14:textId="3441D7EA" w:rsidR="00C1022C" w:rsidRPr="00C1022C" w:rsidRDefault="00C1022C" w:rsidP="00752B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1022C">
              <w:rPr>
                <w:sz w:val="28"/>
                <w:szCs w:val="28"/>
              </w:rPr>
              <w:t>1) nodrošina, ka vispārīgajā apguves līmenī ir obligāti apgūstama katras mācību jomas satura daļa atbilstoši vispārējās vidējās izglītības pakāpei;</w:t>
            </w:r>
          </w:p>
          <w:p w14:paraId="5C3E397B" w14:textId="5FF7906F" w:rsidR="002C279B" w:rsidRDefault="00C1022C" w:rsidP="00752B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2C279B">
              <w:rPr>
                <w:color w:val="000000"/>
                <w:sz w:val="28"/>
                <w:szCs w:val="28"/>
              </w:rPr>
              <w:t xml:space="preserve">piedāvā vismaz divus </w:t>
            </w:r>
            <w:r w:rsidR="002C279B" w:rsidRPr="00C2471A">
              <w:rPr>
                <w:color w:val="000000"/>
                <w:sz w:val="28"/>
                <w:szCs w:val="28"/>
              </w:rPr>
              <w:t>padziļināt</w:t>
            </w:r>
            <w:r>
              <w:rPr>
                <w:color w:val="000000"/>
                <w:sz w:val="28"/>
                <w:szCs w:val="28"/>
              </w:rPr>
              <w:t>o</w:t>
            </w:r>
            <w:r w:rsidR="002C279B">
              <w:rPr>
                <w:color w:val="000000"/>
                <w:sz w:val="28"/>
                <w:szCs w:val="28"/>
              </w:rPr>
              <w:t>s</w:t>
            </w:r>
            <w:r w:rsidR="002C279B" w:rsidRPr="00C2471A">
              <w:rPr>
                <w:color w:val="000000"/>
                <w:sz w:val="28"/>
                <w:szCs w:val="28"/>
              </w:rPr>
              <w:t xml:space="preserve"> kursu</w:t>
            </w:r>
            <w:r w:rsidR="00071244">
              <w:rPr>
                <w:color w:val="000000"/>
                <w:sz w:val="28"/>
                <w:szCs w:val="28"/>
              </w:rPr>
              <w:t>s</w:t>
            </w:r>
            <w:proofErr w:type="gramStart"/>
            <w:r w:rsidR="002C279B" w:rsidRPr="00C247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color w:val="000000"/>
                <w:sz w:val="28"/>
                <w:szCs w:val="28"/>
              </w:rPr>
              <w:t>un nodrošina iespēju kārtot valsts pārbaudījumus</w:t>
            </w:r>
            <w:r w:rsidRPr="00C2471A">
              <w:rPr>
                <w:color w:val="000000"/>
                <w:sz w:val="28"/>
                <w:szCs w:val="28"/>
              </w:rPr>
              <w:t xml:space="preserve"> </w:t>
            </w:r>
            <w:r w:rsidR="002C279B" w:rsidRPr="00C2471A">
              <w:rPr>
                <w:color w:val="000000"/>
                <w:sz w:val="28"/>
                <w:szCs w:val="28"/>
              </w:rPr>
              <w:t>augstākajā mācību satura apguves līmenī</w:t>
            </w:r>
            <w:r>
              <w:rPr>
                <w:color w:val="000000"/>
                <w:sz w:val="28"/>
                <w:szCs w:val="28"/>
              </w:rPr>
              <w:t>.</w:t>
            </w:r>
            <w:r w:rsidR="002C27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</w:t>
            </w:r>
            <w:r w:rsidR="002C279B">
              <w:rPr>
                <w:color w:val="000000"/>
                <w:sz w:val="28"/>
                <w:szCs w:val="28"/>
              </w:rPr>
              <w:t>zglītojamais</w:t>
            </w:r>
            <w:r w:rsidR="002C279B" w:rsidRPr="00C2471A">
              <w:rPr>
                <w:color w:val="000000"/>
                <w:sz w:val="28"/>
                <w:szCs w:val="28"/>
              </w:rPr>
              <w:t xml:space="preserve"> </w:t>
            </w:r>
            <w:r w:rsidR="002C279B">
              <w:rPr>
                <w:color w:val="000000"/>
                <w:sz w:val="28"/>
                <w:szCs w:val="28"/>
              </w:rPr>
              <w:t>var izvēlēties apgūt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C279B" w:rsidRPr="0035518A">
              <w:rPr>
                <w:color w:val="000000"/>
                <w:sz w:val="28"/>
                <w:szCs w:val="28"/>
              </w:rPr>
              <w:t>vienu padziļinātu kursu</w:t>
            </w:r>
            <w:proofErr w:type="gramStart"/>
            <w:r w:rsidR="002C279B" w:rsidRPr="0035518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="002C279B" w:rsidRPr="0035518A">
              <w:rPr>
                <w:color w:val="000000"/>
                <w:sz w:val="28"/>
                <w:szCs w:val="28"/>
              </w:rPr>
              <w:t>augstākajā mācību satura apguves līmenī</w:t>
            </w:r>
            <w:r w:rsidR="002C279B">
              <w:rPr>
                <w:color w:val="000000"/>
                <w:sz w:val="28"/>
                <w:szCs w:val="28"/>
              </w:rPr>
              <w:t xml:space="preserve"> vai neizvēlēties apgūt </w:t>
            </w:r>
            <w:r w:rsidR="002C279B" w:rsidRPr="00C2471A">
              <w:rPr>
                <w:color w:val="000000"/>
                <w:sz w:val="28"/>
                <w:szCs w:val="28"/>
              </w:rPr>
              <w:t>padziļināt</w:t>
            </w:r>
            <w:r w:rsidR="002C279B">
              <w:rPr>
                <w:color w:val="000000"/>
                <w:sz w:val="28"/>
                <w:szCs w:val="28"/>
              </w:rPr>
              <w:t>u</w:t>
            </w:r>
            <w:r w:rsidR="002C279B" w:rsidRPr="00C2471A">
              <w:rPr>
                <w:color w:val="000000"/>
                <w:sz w:val="28"/>
                <w:szCs w:val="28"/>
              </w:rPr>
              <w:t xml:space="preserve"> kurs</w:t>
            </w:r>
            <w:r w:rsidR="002C279B">
              <w:rPr>
                <w:color w:val="000000"/>
                <w:sz w:val="28"/>
                <w:szCs w:val="28"/>
              </w:rPr>
              <w:t xml:space="preserve">u </w:t>
            </w:r>
            <w:r w:rsidR="002C279B" w:rsidRPr="00C2471A">
              <w:rPr>
                <w:color w:val="000000"/>
                <w:sz w:val="28"/>
                <w:szCs w:val="28"/>
              </w:rPr>
              <w:t>augstākajā mācību satura apguves līmenī</w:t>
            </w:r>
            <w:r w:rsidR="00D9450E">
              <w:rPr>
                <w:color w:val="000000"/>
                <w:sz w:val="28"/>
                <w:szCs w:val="28"/>
              </w:rPr>
              <w:t xml:space="preserve"> un kārtot vai nekārtot valsts pārbaudījumus</w:t>
            </w:r>
            <w:r w:rsidR="002C279B">
              <w:rPr>
                <w:color w:val="000000"/>
                <w:sz w:val="28"/>
                <w:szCs w:val="28"/>
              </w:rPr>
              <w:t>.</w:t>
            </w:r>
          </w:p>
          <w:p w14:paraId="7D7AA8A8" w14:textId="72E12FF0" w:rsidR="00C02C62" w:rsidRPr="00EC21C3" w:rsidRDefault="00C02C62" w:rsidP="00752B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C21C3">
              <w:rPr>
                <w:color w:val="000000"/>
                <w:sz w:val="28"/>
                <w:szCs w:val="28"/>
              </w:rPr>
              <w:t xml:space="preserve">Profesionālās vidējās izglītības programmas apguvi </w:t>
            </w:r>
            <w:r w:rsidRPr="00EC21C3">
              <w:rPr>
                <w:sz w:val="28"/>
                <w:szCs w:val="28"/>
              </w:rPr>
              <w:t xml:space="preserve">noslēdz </w:t>
            </w:r>
            <w:r w:rsidR="002C4160" w:rsidRPr="00EC21C3">
              <w:rPr>
                <w:sz w:val="28"/>
                <w:szCs w:val="28"/>
              </w:rPr>
              <w:t xml:space="preserve">profesionālās </w:t>
            </w:r>
            <w:r w:rsidRPr="00EC21C3">
              <w:rPr>
                <w:sz w:val="28"/>
                <w:szCs w:val="28"/>
              </w:rPr>
              <w:t xml:space="preserve">kvalifikācijas </w:t>
            </w:r>
            <w:r w:rsidRPr="00EC21C3">
              <w:rPr>
                <w:color w:val="000000"/>
                <w:sz w:val="28"/>
                <w:szCs w:val="28"/>
              </w:rPr>
              <w:t>eksāmen</w:t>
            </w:r>
            <w:r w:rsidR="009711EA" w:rsidRPr="00EC21C3">
              <w:rPr>
                <w:color w:val="000000"/>
                <w:sz w:val="28"/>
                <w:szCs w:val="28"/>
              </w:rPr>
              <w:t>s (turpmāk – PKE)</w:t>
            </w:r>
            <w:r w:rsidR="0007062E">
              <w:rPr>
                <w:color w:val="000000"/>
                <w:sz w:val="28"/>
                <w:szCs w:val="28"/>
              </w:rPr>
              <w:t xml:space="preserve"> </w:t>
            </w:r>
            <w:r w:rsidRPr="00EC21C3">
              <w:rPr>
                <w:color w:val="000000"/>
                <w:sz w:val="28"/>
                <w:szCs w:val="28"/>
              </w:rPr>
              <w:t xml:space="preserve">un </w:t>
            </w:r>
            <w:r w:rsidRPr="006A640A">
              <w:rPr>
                <w:color w:val="000000"/>
                <w:sz w:val="28"/>
                <w:szCs w:val="28"/>
              </w:rPr>
              <w:t xml:space="preserve">noteiktie obligātie valsts pārbaudes darbi atbilstoši valsts vispārējās vidējās izglītības standartam, nosakot, ka noteiktie obligātie valsts pārbaudes </w:t>
            </w:r>
            <w:r w:rsidRPr="006A640A">
              <w:rPr>
                <w:sz w:val="28"/>
                <w:szCs w:val="28"/>
              </w:rPr>
              <w:t xml:space="preserve">darbi </w:t>
            </w:r>
            <w:r w:rsidR="002C4160" w:rsidRPr="006A640A">
              <w:rPr>
                <w:sz w:val="28"/>
                <w:szCs w:val="28"/>
              </w:rPr>
              <w:t xml:space="preserve">ir </w:t>
            </w:r>
            <w:r w:rsidRPr="006A640A">
              <w:rPr>
                <w:sz w:val="28"/>
                <w:szCs w:val="28"/>
              </w:rPr>
              <w:t>latviešu valodā, svešvalodā un matemātikā.</w:t>
            </w:r>
            <w:r w:rsidRPr="00EC21C3">
              <w:rPr>
                <w:sz w:val="28"/>
                <w:szCs w:val="28"/>
              </w:rPr>
              <w:t xml:space="preserve"> </w:t>
            </w:r>
            <w:r w:rsidR="002C4160" w:rsidRPr="00EC21C3">
              <w:rPr>
                <w:sz w:val="28"/>
                <w:szCs w:val="28"/>
              </w:rPr>
              <w:t xml:space="preserve">Valsts pārbaudes darbu </w:t>
            </w:r>
            <w:r w:rsidR="002C4160" w:rsidRPr="00EC21C3">
              <w:rPr>
                <w:color w:val="000000"/>
                <w:sz w:val="28"/>
                <w:szCs w:val="28"/>
              </w:rPr>
              <w:t>l</w:t>
            </w:r>
            <w:r w:rsidRPr="00EC21C3">
              <w:rPr>
                <w:color w:val="000000"/>
                <w:sz w:val="28"/>
                <w:szCs w:val="28"/>
              </w:rPr>
              <w:t xml:space="preserve">atviešu valodā un svešvalodā (angļu, franču, vācu) visi izglītojamie kārto vismaz optimālā mācību satura apguves </w:t>
            </w:r>
            <w:r w:rsidRPr="00EC21C3">
              <w:rPr>
                <w:sz w:val="28"/>
                <w:szCs w:val="28"/>
              </w:rPr>
              <w:t>līme</w:t>
            </w:r>
            <w:r w:rsidR="00EC21C3">
              <w:rPr>
                <w:sz w:val="28"/>
                <w:szCs w:val="28"/>
              </w:rPr>
              <w:t>n</w:t>
            </w:r>
            <w:r w:rsidR="002C4160" w:rsidRPr="00EC21C3">
              <w:rPr>
                <w:sz w:val="28"/>
                <w:szCs w:val="28"/>
              </w:rPr>
              <w:t>ī</w:t>
            </w:r>
            <w:r w:rsidRPr="00EC21C3">
              <w:rPr>
                <w:sz w:val="28"/>
                <w:szCs w:val="28"/>
              </w:rPr>
              <w:t xml:space="preserve">. </w:t>
            </w:r>
            <w:r w:rsidR="002C4160" w:rsidRPr="00EC21C3">
              <w:rPr>
                <w:sz w:val="28"/>
                <w:szCs w:val="28"/>
              </w:rPr>
              <w:t xml:space="preserve">Valsts pārbaudes darbu </w:t>
            </w:r>
            <w:r w:rsidR="002C4160" w:rsidRPr="00EC21C3">
              <w:rPr>
                <w:color w:val="000000"/>
                <w:sz w:val="28"/>
                <w:szCs w:val="28"/>
              </w:rPr>
              <w:t>m</w:t>
            </w:r>
            <w:r w:rsidRPr="00EC21C3">
              <w:rPr>
                <w:color w:val="000000"/>
                <w:sz w:val="28"/>
                <w:szCs w:val="28"/>
              </w:rPr>
              <w:t>atemātikā izglītojamie kārto vismaz vispārīgajā līmenī, j</w:t>
            </w:r>
            <w:r w:rsidR="00752B47">
              <w:rPr>
                <w:color w:val="000000"/>
                <w:sz w:val="28"/>
                <w:szCs w:val="28"/>
              </w:rPr>
              <w:t>a</w:t>
            </w:r>
            <w:r w:rsidRPr="00EC21C3">
              <w:rPr>
                <w:color w:val="000000"/>
                <w:sz w:val="28"/>
                <w:szCs w:val="28"/>
              </w:rPr>
              <w:t xml:space="preserve"> atbilstoši matemātikas kursa plānotajiem sasniedzamajiem rezultātiem, šis līmenis tiek uzskatīts par pietiekamu nākotnes profesionālās darbības veikšanai (</w:t>
            </w:r>
            <w:r w:rsidR="00EC21C3">
              <w:rPr>
                <w:color w:val="000000"/>
                <w:sz w:val="28"/>
                <w:szCs w:val="28"/>
              </w:rPr>
              <w:t xml:space="preserve">profesionālās </w:t>
            </w:r>
            <w:r w:rsidRPr="00EC21C3">
              <w:rPr>
                <w:color w:val="000000"/>
                <w:sz w:val="28"/>
                <w:szCs w:val="28"/>
              </w:rPr>
              <w:t xml:space="preserve">kvalifikācijas iegūšanai). Ja izglītojamais kārto augstākā līmeņa valsts pārbaudes darbu latviešu valodā, svešvalodā vai matemātikā, tad viņam tas nav jākārto zemākā apguves līmenī.  </w:t>
            </w:r>
          </w:p>
          <w:p w14:paraId="6E090DBE" w14:textId="53A6CFFD" w:rsidR="00C91CAE" w:rsidRDefault="00C91CAE" w:rsidP="00752B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711EA">
              <w:rPr>
                <w:sz w:val="28"/>
                <w:szCs w:val="28"/>
              </w:rPr>
              <w:t>KE</w:t>
            </w:r>
            <w:r w:rsidR="002B16AB">
              <w:rPr>
                <w:sz w:val="28"/>
                <w:szCs w:val="28"/>
              </w:rPr>
              <w:t xml:space="preserve"> ir valsts pārbaudījums </w:t>
            </w:r>
            <w:r w:rsidR="002B16AB" w:rsidRPr="002B16AB">
              <w:rPr>
                <w:sz w:val="28"/>
                <w:szCs w:val="28"/>
              </w:rPr>
              <w:t>profesionālās kvalifikācijas</w:t>
            </w:r>
            <w:r w:rsidR="002B16AB">
              <w:rPr>
                <w:sz w:val="28"/>
                <w:szCs w:val="28"/>
              </w:rPr>
              <w:t xml:space="preserve"> </w:t>
            </w:r>
            <w:r w:rsidR="002B16AB" w:rsidRPr="002B16AB">
              <w:rPr>
                <w:sz w:val="28"/>
                <w:szCs w:val="28"/>
              </w:rPr>
              <w:t>atzīšan</w:t>
            </w:r>
            <w:r w:rsidR="002B16AB">
              <w:rPr>
                <w:sz w:val="28"/>
                <w:szCs w:val="28"/>
              </w:rPr>
              <w:t>ai</w:t>
            </w:r>
            <w:r w:rsidR="009711EA">
              <w:rPr>
                <w:sz w:val="28"/>
                <w:szCs w:val="28"/>
              </w:rPr>
              <w:t>, kam saturs</w:t>
            </w:r>
            <w:r w:rsidR="009711EA" w:rsidRPr="009711EA">
              <w:rPr>
                <w:sz w:val="28"/>
                <w:szCs w:val="28"/>
              </w:rPr>
              <w:t xml:space="preserve"> tiek veidots balstoties tikai uz </w:t>
            </w:r>
            <w:r w:rsidR="009711EA">
              <w:rPr>
                <w:sz w:val="28"/>
                <w:szCs w:val="28"/>
              </w:rPr>
              <w:t>profesijas standartā/profesionālās kvalifikācijas prasībās</w:t>
            </w:r>
            <w:r w:rsidR="009711EA" w:rsidRPr="009711EA">
              <w:rPr>
                <w:sz w:val="28"/>
                <w:szCs w:val="28"/>
              </w:rPr>
              <w:t xml:space="preserve"> iekļauto</w:t>
            </w:r>
            <w:r w:rsidR="009711EA">
              <w:rPr>
                <w:sz w:val="28"/>
                <w:szCs w:val="28"/>
              </w:rPr>
              <w:t>, un</w:t>
            </w:r>
            <w:r w:rsidR="002B16AB" w:rsidRPr="002B16AB">
              <w:rPr>
                <w:sz w:val="28"/>
                <w:szCs w:val="28"/>
              </w:rPr>
              <w:t xml:space="preserve"> kurā</w:t>
            </w:r>
            <w:r w:rsidR="002B16AB">
              <w:rPr>
                <w:sz w:val="28"/>
                <w:szCs w:val="28"/>
              </w:rPr>
              <w:t xml:space="preserve"> </w:t>
            </w:r>
            <w:r w:rsidR="002B16AB" w:rsidRPr="002B16AB">
              <w:rPr>
                <w:sz w:val="28"/>
                <w:szCs w:val="28"/>
              </w:rPr>
              <w:t xml:space="preserve">personai, iegūstot pietiekamu vērtējumu, piešķir 2., 3. vai 4. </w:t>
            </w:r>
            <w:r w:rsidR="001E2062" w:rsidRPr="001E2062">
              <w:rPr>
                <w:sz w:val="28"/>
                <w:szCs w:val="28"/>
              </w:rPr>
              <w:t xml:space="preserve">Latvijas kvalifikāciju </w:t>
            </w:r>
            <w:proofErr w:type="spellStart"/>
            <w:r w:rsidR="001E2062" w:rsidRPr="001E2062">
              <w:rPr>
                <w:sz w:val="28"/>
                <w:szCs w:val="28"/>
              </w:rPr>
              <w:t>ietvarstruktūras</w:t>
            </w:r>
            <w:proofErr w:type="spellEnd"/>
            <w:r w:rsidR="001E2062">
              <w:rPr>
                <w:sz w:val="28"/>
                <w:szCs w:val="28"/>
              </w:rPr>
              <w:t xml:space="preserve"> (turpmāk – </w:t>
            </w:r>
            <w:r w:rsidR="002B16AB" w:rsidRPr="002B16AB">
              <w:rPr>
                <w:sz w:val="28"/>
                <w:szCs w:val="28"/>
              </w:rPr>
              <w:t>LKI</w:t>
            </w:r>
            <w:r w:rsidR="001E2062">
              <w:rPr>
                <w:sz w:val="28"/>
                <w:szCs w:val="28"/>
              </w:rPr>
              <w:t>)</w:t>
            </w:r>
            <w:r w:rsidR="002B16AB" w:rsidRPr="002B16AB">
              <w:rPr>
                <w:sz w:val="28"/>
                <w:szCs w:val="28"/>
              </w:rPr>
              <w:t xml:space="preserve"> līmeņa profesionālo</w:t>
            </w:r>
            <w:r w:rsidR="002B16AB">
              <w:rPr>
                <w:sz w:val="28"/>
                <w:szCs w:val="28"/>
              </w:rPr>
              <w:t xml:space="preserve"> </w:t>
            </w:r>
            <w:r w:rsidR="002B16AB" w:rsidRPr="002B16AB">
              <w:rPr>
                <w:sz w:val="28"/>
                <w:szCs w:val="28"/>
              </w:rPr>
              <w:t>kvalifikāciju</w:t>
            </w:r>
            <w:r w:rsidR="00EE08AF">
              <w:rPr>
                <w:sz w:val="28"/>
                <w:szCs w:val="28"/>
              </w:rPr>
              <w:t xml:space="preserve">. Līdz ar to ir nepieciešams noteikt minimālā sekmīgā vērtējuma robežu </w:t>
            </w:r>
            <w:r w:rsidR="009711EA">
              <w:rPr>
                <w:sz w:val="28"/>
                <w:szCs w:val="28"/>
              </w:rPr>
              <w:t>PKE</w:t>
            </w:r>
            <w:r w:rsidR="001E2062">
              <w:rPr>
                <w:sz w:val="28"/>
                <w:szCs w:val="28"/>
              </w:rPr>
              <w:t xml:space="preserve"> kārtošanai</w:t>
            </w:r>
            <w:r w:rsidR="00EE08AF">
              <w:rPr>
                <w:sz w:val="28"/>
                <w:szCs w:val="28"/>
              </w:rPr>
              <w:t xml:space="preserve"> un profesionālās kvalifikācijas iegūšanai – vērtējums ne zemāks par </w:t>
            </w:r>
            <w:r w:rsidR="00EE08AF" w:rsidRPr="006E785B">
              <w:rPr>
                <w:sz w:val="28"/>
                <w:szCs w:val="28"/>
              </w:rPr>
              <w:t>“vidējo</w:t>
            </w:r>
            <w:r w:rsidR="006E785B">
              <w:rPr>
                <w:sz w:val="28"/>
                <w:szCs w:val="28"/>
              </w:rPr>
              <w:t xml:space="preserve"> </w:t>
            </w:r>
            <w:r w:rsidR="00EE08AF" w:rsidRPr="006E785B">
              <w:rPr>
                <w:sz w:val="28"/>
                <w:szCs w:val="28"/>
              </w:rPr>
              <w:t>līmeni”</w:t>
            </w:r>
            <w:r w:rsidR="00EE08AF">
              <w:rPr>
                <w:sz w:val="28"/>
                <w:szCs w:val="28"/>
              </w:rPr>
              <w:t xml:space="preserve"> jeb 60% no profesionālā </w:t>
            </w:r>
            <w:r w:rsidR="00EE08AF">
              <w:rPr>
                <w:sz w:val="28"/>
                <w:szCs w:val="28"/>
              </w:rPr>
              <w:lastRenderedPageBreak/>
              <w:t xml:space="preserve">satura pārbaudījumā vai </w:t>
            </w:r>
            <w:r w:rsidR="009711EA">
              <w:rPr>
                <w:sz w:val="28"/>
                <w:szCs w:val="28"/>
              </w:rPr>
              <w:t>PKE</w:t>
            </w:r>
            <w:r w:rsidR="00EE08AF">
              <w:rPr>
                <w:sz w:val="28"/>
                <w:szCs w:val="28"/>
              </w:rPr>
              <w:t xml:space="preserve"> iegūtā punktu skaita.</w:t>
            </w:r>
          </w:p>
          <w:p w14:paraId="4E63DC75" w14:textId="43F8ED2B" w:rsidR="009918C7" w:rsidRDefault="001108A4" w:rsidP="00752B47">
            <w:pPr>
              <w:jc w:val="both"/>
              <w:rPr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Jaunā satura ieviešana</w:t>
            </w:r>
            <w:r w:rsidR="007F6222" w:rsidRPr="00C76CCD">
              <w:rPr>
                <w:sz w:val="28"/>
                <w:szCs w:val="28"/>
              </w:rPr>
              <w:t xml:space="preserve"> </w:t>
            </w:r>
            <w:r w:rsidR="00F8485C" w:rsidRPr="00C76CCD">
              <w:rPr>
                <w:sz w:val="28"/>
                <w:szCs w:val="28"/>
              </w:rPr>
              <w:t xml:space="preserve">profesionālās </w:t>
            </w:r>
            <w:r w:rsidR="00286901" w:rsidRPr="00C76CCD">
              <w:rPr>
                <w:sz w:val="28"/>
                <w:szCs w:val="28"/>
              </w:rPr>
              <w:t>vidējās izglītības pakāpē notiks pakāpen</w:t>
            </w:r>
            <w:r w:rsidR="007F6222" w:rsidRPr="00C76CCD">
              <w:rPr>
                <w:sz w:val="28"/>
                <w:szCs w:val="28"/>
              </w:rPr>
              <w:t xml:space="preserve">iski. 2020./21. mācību gadā </w:t>
            </w:r>
            <w:r w:rsidRPr="00C76CCD">
              <w:rPr>
                <w:sz w:val="28"/>
                <w:szCs w:val="28"/>
              </w:rPr>
              <w:t>–</w:t>
            </w:r>
            <w:r w:rsidR="007F6222" w:rsidRPr="00C76CCD">
              <w:rPr>
                <w:sz w:val="28"/>
                <w:szCs w:val="28"/>
              </w:rPr>
              <w:t xml:space="preserve"> </w:t>
            </w:r>
            <w:r w:rsidRPr="00C76CCD">
              <w:rPr>
                <w:sz w:val="28"/>
                <w:szCs w:val="28"/>
              </w:rPr>
              <w:t>I kursā</w:t>
            </w:r>
            <w:r w:rsidR="00286901" w:rsidRPr="00C76CCD">
              <w:rPr>
                <w:sz w:val="28"/>
                <w:szCs w:val="28"/>
              </w:rPr>
              <w:t>, 2021./22.</w:t>
            </w:r>
            <w:r w:rsidR="007F6222" w:rsidRPr="00C76CCD">
              <w:rPr>
                <w:sz w:val="28"/>
                <w:szCs w:val="28"/>
              </w:rPr>
              <w:t xml:space="preserve"> mācību gadā</w:t>
            </w:r>
            <w:r w:rsidR="00286901" w:rsidRPr="00C76CCD">
              <w:rPr>
                <w:sz w:val="28"/>
                <w:szCs w:val="28"/>
              </w:rPr>
              <w:t xml:space="preserve"> – </w:t>
            </w:r>
            <w:r w:rsidRPr="00C76CCD">
              <w:rPr>
                <w:sz w:val="28"/>
                <w:szCs w:val="28"/>
              </w:rPr>
              <w:t>II kursā</w:t>
            </w:r>
            <w:r w:rsidR="00286901" w:rsidRPr="00C76CCD">
              <w:rPr>
                <w:sz w:val="28"/>
                <w:szCs w:val="28"/>
              </w:rPr>
              <w:t xml:space="preserve"> un 2022./23. mācību gad</w:t>
            </w:r>
            <w:r w:rsidR="004E385C" w:rsidRPr="00C76CCD">
              <w:rPr>
                <w:sz w:val="28"/>
                <w:szCs w:val="28"/>
              </w:rPr>
              <w:t xml:space="preserve">ā jauno saturu ieviesīs arī </w:t>
            </w:r>
            <w:r w:rsidRPr="00C76CCD">
              <w:rPr>
                <w:sz w:val="28"/>
                <w:szCs w:val="28"/>
              </w:rPr>
              <w:t>III kursā</w:t>
            </w:r>
            <w:r w:rsidR="00286901" w:rsidRPr="00C76CCD">
              <w:rPr>
                <w:sz w:val="28"/>
                <w:szCs w:val="28"/>
              </w:rPr>
              <w:t>, pabeidzot jaunā satura ieviešanu vis</w:t>
            </w:r>
            <w:r w:rsidRPr="00C76CCD">
              <w:rPr>
                <w:sz w:val="28"/>
                <w:szCs w:val="28"/>
              </w:rPr>
              <w:t>os vispārējās izglītības posmos, paredzot, ka pēctecīgi profesion</w:t>
            </w:r>
            <w:r w:rsidR="00883FEA" w:rsidRPr="00C76CCD">
              <w:rPr>
                <w:sz w:val="28"/>
                <w:szCs w:val="28"/>
              </w:rPr>
              <w:t>ālajā izglītībā jaunais saturs tiks īstenots arī IV kursā.</w:t>
            </w:r>
          </w:p>
          <w:p w14:paraId="5370BBB4" w14:textId="3FAF6283" w:rsidR="000B075F" w:rsidRPr="001568ED" w:rsidRDefault="000B075F" w:rsidP="00752B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 </w:t>
            </w:r>
            <w:r w:rsidR="00FF4729">
              <w:rPr>
                <w:sz w:val="28"/>
                <w:szCs w:val="28"/>
              </w:rPr>
              <w:t>noteikumu projekta</w:t>
            </w:r>
            <w:r>
              <w:rPr>
                <w:sz w:val="28"/>
                <w:szCs w:val="28"/>
              </w:rPr>
              <w:t xml:space="preserve"> stāšanos spēkā, zaudē spēku </w:t>
            </w:r>
            <w:r w:rsidRPr="00B25D26">
              <w:rPr>
                <w:sz w:val="28"/>
                <w:szCs w:val="28"/>
              </w:rPr>
              <w:t>Ministru kabineta 2000. gada 27.</w:t>
            </w:r>
            <w:r w:rsidRPr="00B25D26">
              <w:rPr>
                <w:color w:val="000000"/>
                <w:sz w:val="28"/>
                <w:szCs w:val="28"/>
              </w:rPr>
              <w:t> </w:t>
            </w:r>
            <w:r w:rsidRPr="00B25D26">
              <w:rPr>
                <w:sz w:val="28"/>
                <w:szCs w:val="28"/>
              </w:rPr>
              <w:t>jūnija</w:t>
            </w:r>
            <w:r>
              <w:rPr>
                <w:sz w:val="28"/>
                <w:szCs w:val="28"/>
              </w:rPr>
              <w:t xml:space="preserve"> noteikumi</w:t>
            </w:r>
            <w:r w:rsidRPr="00B25D26">
              <w:rPr>
                <w:sz w:val="28"/>
                <w:szCs w:val="28"/>
              </w:rPr>
              <w:t xml:space="preserve"> Nr. 211 “Noteikumi par valsts profesionālās vidējās izglītības standartu un valsts arodizglītības standartu”</w:t>
            </w:r>
            <w:r>
              <w:rPr>
                <w:sz w:val="28"/>
                <w:szCs w:val="28"/>
              </w:rPr>
              <w:t>.</w:t>
            </w:r>
            <w:r w:rsidRPr="001568ED">
              <w:rPr>
                <w:sz w:val="28"/>
                <w:szCs w:val="28"/>
              </w:rPr>
              <w:t xml:space="preserve"> </w:t>
            </w:r>
          </w:p>
        </w:tc>
      </w:tr>
      <w:tr w:rsidR="009918C7" w:rsidRPr="001568ED" w14:paraId="27FC3CE5" w14:textId="77777777" w:rsidTr="00752B47">
        <w:tc>
          <w:tcPr>
            <w:tcW w:w="567" w:type="dxa"/>
            <w:shd w:val="clear" w:color="auto" w:fill="FFFFFF"/>
          </w:tcPr>
          <w:p w14:paraId="260670DF" w14:textId="77777777" w:rsidR="009918C7" w:rsidRPr="001568ED" w:rsidRDefault="00286901" w:rsidP="00752B47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80" w:type="dxa"/>
            <w:shd w:val="clear" w:color="auto" w:fill="FFFFFF"/>
          </w:tcPr>
          <w:p w14:paraId="6024EEC8" w14:textId="77777777" w:rsidR="009918C7" w:rsidRPr="001568ED" w:rsidRDefault="00286901" w:rsidP="00752B47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Projekta izstrādē iesaistītās institūcijas un publiskas personas kapitālsabiedrības</w:t>
            </w:r>
          </w:p>
        </w:tc>
        <w:tc>
          <w:tcPr>
            <w:tcW w:w="6325" w:type="dxa"/>
            <w:shd w:val="clear" w:color="auto" w:fill="FFFFFF"/>
          </w:tcPr>
          <w:p w14:paraId="03E94B59" w14:textId="2E4965A8" w:rsidR="009918C7" w:rsidRPr="001568ED" w:rsidRDefault="00286901" w:rsidP="00752B47">
            <w:pPr>
              <w:jc w:val="both"/>
              <w:rPr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Izglītības un zinātnes ministrija</w:t>
            </w:r>
            <w:r w:rsidR="00E17988">
              <w:rPr>
                <w:sz w:val="28"/>
                <w:szCs w:val="28"/>
              </w:rPr>
              <w:t>.</w:t>
            </w:r>
          </w:p>
        </w:tc>
      </w:tr>
      <w:tr w:rsidR="009918C7" w:rsidRPr="001568ED" w14:paraId="12114507" w14:textId="77777777" w:rsidTr="00752B47">
        <w:tc>
          <w:tcPr>
            <w:tcW w:w="567" w:type="dxa"/>
            <w:shd w:val="clear" w:color="auto" w:fill="FFFFFF"/>
          </w:tcPr>
          <w:p w14:paraId="12B8F370" w14:textId="77777777" w:rsidR="009918C7" w:rsidRPr="001568ED" w:rsidRDefault="00286901" w:rsidP="00752B47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4.</w:t>
            </w:r>
          </w:p>
        </w:tc>
        <w:tc>
          <w:tcPr>
            <w:tcW w:w="2180" w:type="dxa"/>
            <w:shd w:val="clear" w:color="auto" w:fill="FFFFFF"/>
          </w:tcPr>
          <w:p w14:paraId="5C5FC5C9" w14:textId="77777777" w:rsidR="009918C7" w:rsidRPr="001568ED" w:rsidRDefault="00286901" w:rsidP="00752B47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Cita informācija</w:t>
            </w:r>
          </w:p>
        </w:tc>
        <w:tc>
          <w:tcPr>
            <w:tcW w:w="6325" w:type="dxa"/>
            <w:shd w:val="clear" w:color="auto" w:fill="FFFFFF"/>
          </w:tcPr>
          <w:p w14:paraId="61338F67" w14:textId="77777777" w:rsidR="009918C7" w:rsidRPr="001568ED" w:rsidRDefault="007F523B" w:rsidP="00752B4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="00C76CCD" w:rsidRPr="00C76CCD">
              <w:rPr>
                <w:sz w:val="28"/>
                <w:szCs w:val="28"/>
              </w:rPr>
              <w:t>Nav.</w:t>
            </w:r>
          </w:p>
        </w:tc>
      </w:tr>
    </w:tbl>
    <w:p w14:paraId="3B91D285" w14:textId="217CB5F4" w:rsidR="009918C7" w:rsidRPr="001568ED" w:rsidRDefault="00752B4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1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2182"/>
        <w:gridCol w:w="6309"/>
      </w:tblGrid>
      <w:tr w:rsidR="009918C7" w:rsidRPr="001568ED" w14:paraId="6BDDA09C" w14:textId="77777777" w:rsidTr="00C80D0B">
        <w:tc>
          <w:tcPr>
            <w:tcW w:w="9072" w:type="dxa"/>
            <w:gridSpan w:val="3"/>
            <w:shd w:val="clear" w:color="auto" w:fill="FFFFFF"/>
          </w:tcPr>
          <w:p w14:paraId="6445FBE6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1568ED">
              <w:rPr>
                <w:b/>
                <w:sz w:val="28"/>
                <w:szCs w:val="28"/>
              </w:rPr>
              <w:t>II. Tiesību akta projekta ietekme uz sabiedrību, tautsaimniecības attīstību un administratīvo slogu</w:t>
            </w:r>
          </w:p>
        </w:tc>
      </w:tr>
      <w:tr w:rsidR="009918C7" w:rsidRPr="001568ED" w14:paraId="281C84D3" w14:textId="77777777" w:rsidTr="00C80D0B">
        <w:tc>
          <w:tcPr>
            <w:tcW w:w="581" w:type="dxa"/>
            <w:shd w:val="clear" w:color="auto" w:fill="FFFFFF"/>
          </w:tcPr>
          <w:p w14:paraId="30677CC1" w14:textId="77777777" w:rsidR="009918C7" w:rsidRPr="001568ED" w:rsidRDefault="00286901">
            <w:pPr>
              <w:ind w:left="181" w:hanging="181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1.</w:t>
            </w:r>
          </w:p>
        </w:tc>
        <w:tc>
          <w:tcPr>
            <w:tcW w:w="2182" w:type="dxa"/>
            <w:shd w:val="clear" w:color="auto" w:fill="FFFFFF"/>
          </w:tcPr>
          <w:p w14:paraId="0D29CA2A" w14:textId="77777777" w:rsidR="009918C7" w:rsidRPr="001568ED" w:rsidRDefault="00286901">
            <w:pPr>
              <w:ind w:left="17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Sabiedrības mērķgrupas, kuras tiesiskais regulējums ietekmē vai varētu ietekmēt</w:t>
            </w:r>
          </w:p>
        </w:tc>
        <w:tc>
          <w:tcPr>
            <w:tcW w:w="6309" w:type="dxa"/>
            <w:shd w:val="clear" w:color="auto" w:fill="FFFFFF"/>
          </w:tcPr>
          <w:p w14:paraId="173D5CC4" w14:textId="7B6A0809" w:rsidR="009918C7" w:rsidRPr="001568ED" w:rsidRDefault="00883FEA" w:rsidP="00677669">
            <w:pPr>
              <w:jc w:val="both"/>
              <w:rPr>
                <w:color w:val="FF0000"/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Izglītības iestādes, kas īsteno</w:t>
            </w:r>
            <w:r w:rsidR="00286901" w:rsidRPr="00C76CCD">
              <w:rPr>
                <w:sz w:val="28"/>
                <w:szCs w:val="28"/>
              </w:rPr>
              <w:t xml:space="preserve"> </w:t>
            </w:r>
            <w:r w:rsidR="00BC3184" w:rsidRPr="00C76CCD">
              <w:rPr>
                <w:sz w:val="28"/>
                <w:szCs w:val="28"/>
              </w:rPr>
              <w:t xml:space="preserve">profesionālās </w:t>
            </w:r>
            <w:r w:rsidR="00286901" w:rsidRPr="00C76CCD">
              <w:rPr>
                <w:sz w:val="28"/>
                <w:szCs w:val="28"/>
              </w:rPr>
              <w:t xml:space="preserve">vidējās izglītības </w:t>
            </w:r>
            <w:r w:rsidR="00A6220B">
              <w:rPr>
                <w:sz w:val="28"/>
                <w:szCs w:val="28"/>
              </w:rPr>
              <w:t xml:space="preserve">un arodizglītības </w:t>
            </w:r>
            <w:r w:rsidR="00286901" w:rsidRPr="00C76CCD">
              <w:rPr>
                <w:sz w:val="28"/>
                <w:szCs w:val="28"/>
              </w:rPr>
              <w:t xml:space="preserve">programmas, šo iestāžu dibinātāji, pedagogi, </w:t>
            </w:r>
            <w:r w:rsidR="00D4652D">
              <w:rPr>
                <w:sz w:val="28"/>
                <w:szCs w:val="28"/>
              </w:rPr>
              <w:t>izglītojamie</w:t>
            </w:r>
            <w:r w:rsidR="00286901" w:rsidRPr="00C76CCD">
              <w:rPr>
                <w:sz w:val="28"/>
                <w:szCs w:val="28"/>
              </w:rPr>
              <w:t xml:space="preserve">, </w:t>
            </w:r>
            <w:r w:rsidR="00911D9D" w:rsidRPr="00C76CCD">
              <w:rPr>
                <w:sz w:val="28"/>
                <w:szCs w:val="28"/>
              </w:rPr>
              <w:t>viņu</w:t>
            </w:r>
            <w:r w:rsidR="00286901" w:rsidRPr="00C76CCD">
              <w:rPr>
                <w:sz w:val="28"/>
                <w:szCs w:val="28"/>
              </w:rPr>
              <w:t xml:space="preserve"> </w:t>
            </w:r>
            <w:r w:rsidR="00911D9D" w:rsidRPr="00C76CCD">
              <w:rPr>
                <w:sz w:val="28"/>
                <w:szCs w:val="28"/>
              </w:rPr>
              <w:t>vecāki un</w:t>
            </w:r>
            <w:r w:rsidR="00286901" w:rsidRPr="00C76CCD">
              <w:rPr>
                <w:sz w:val="28"/>
                <w:szCs w:val="28"/>
              </w:rPr>
              <w:t xml:space="preserve"> likumiskie pārstāvji.</w:t>
            </w:r>
          </w:p>
        </w:tc>
      </w:tr>
      <w:tr w:rsidR="009918C7" w:rsidRPr="001568ED" w14:paraId="72D4B902" w14:textId="77777777" w:rsidTr="00C80D0B">
        <w:tc>
          <w:tcPr>
            <w:tcW w:w="581" w:type="dxa"/>
            <w:shd w:val="clear" w:color="auto" w:fill="FFFFFF"/>
          </w:tcPr>
          <w:p w14:paraId="69206047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2.</w:t>
            </w:r>
          </w:p>
        </w:tc>
        <w:tc>
          <w:tcPr>
            <w:tcW w:w="2182" w:type="dxa"/>
            <w:shd w:val="clear" w:color="auto" w:fill="FFFFFF"/>
          </w:tcPr>
          <w:p w14:paraId="1A1A6487" w14:textId="77777777" w:rsidR="009918C7" w:rsidRPr="001568ED" w:rsidRDefault="00286901">
            <w:pPr>
              <w:ind w:left="17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Tiesiskā regulējuma ietekme uz tautsaimniecību un administratīvo slogu</w:t>
            </w:r>
          </w:p>
        </w:tc>
        <w:tc>
          <w:tcPr>
            <w:tcW w:w="6309" w:type="dxa"/>
            <w:shd w:val="clear" w:color="auto" w:fill="FFFFFF"/>
          </w:tcPr>
          <w:p w14:paraId="018F55A1" w14:textId="6035D25C" w:rsidR="009918C7" w:rsidRPr="001568ED" w:rsidRDefault="00286901">
            <w:pPr>
              <w:jc w:val="both"/>
              <w:rPr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Sabiedrības grupām un institūcijām noteikumu projekta tiesiskais regulējums nemaina tiesības un pienākumus. Paredzētais tiesiskais regulējums nemaina pašreiz spēkā eso</w:t>
            </w:r>
            <w:r w:rsidR="004E385C" w:rsidRPr="00C76CCD">
              <w:rPr>
                <w:sz w:val="28"/>
                <w:szCs w:val="28"/>
              </w:rPr>
              <w:t>šo administratīvo procedūru, un</w:t>
            </w:r>
            <w:r w:rsidRPr="00C76CCD">
              <w:rPr>
                <w:sz w:val="28"/>
                <w:szCs w:val="28"/>
              </w:rPr>
              <w:t>,</w:t>
            </w:r>
            <w:r w:rsidR="004E385C" w:rsidRPr="00C76CCD">
              <w:rPr>
                <w:sz w:val="28"/>
                <w:szCs w:val="28"/>
              </w:rPr>
              <w:t xml:space="preserve"> </w:t>
            </w:r>
            <w:r w:rsidRPr="00C76CCD">
              <w:rPr>
                <w:sz w:val="28"/>
                <w:szCs w:val="28"/>
              </w:rPr>
              <w:t>tā kā noteikumu projekta regulējums</w:t>
            </w:r>
            <w:r w:rsidR="00C76CCD">
              <w:rPr>
                <w:sz w:val="28"/>
                <w:szCs w:val="28"/>
              </w:rPr>
              <w:t xml:space="preserve"> tiks ieviests pakāpeniski četru</w:t>
            </w:r>
            <w:r w:rsidRPr="00C76CCD">
              <w:rPr>
                <w:sz w:val="28"/>
                <w:szCs w:val="28"/>
              </w:rPr>
              <w:t xml:space="preserve"> gadu la</w:t>
            </w:r>
            <w:r w:rsidR="009F3F73" w:rsidRPr="00C76CCD">
              <w:rPr>
                <w:sz w:val="28"/>
                <w:szCs w:val="28"/>
              </w:rPr>
              <w:t xml:space="preserve">ikā, izglītības iestādei papildu </w:t>
            </w:r>
            <w:r w:rsidRPr="00C76CCD">
              <w:rPr>
                <w:sz w:val="28"/>
                <w:szCs w:val="28"/>
              </w:rPr>
              <w:t>darbības, kas saistītas ar informācijas sniegšanu par tās īstenoto izglītības programmu, nebūs jāveic.</w:t>
            </w:r>
          </w:p>
        </w:tc>
      </w:tr>
      <w:tr w:rsidR="00C80D0B" w:rsidRPr="001568ED" w14:paraId="73748E6F" w14:textId="77777777" w:rsidTr="00C80D0B">
        <w:tc>
          <w:tcPr>
            <w:tcW w:w="581" w:type="dxa"/>
            <w:shd w:val="clear" w:color="auto" w:fill="FFFFFF"/>
          </w:tcPr>
          <w:p w14:paraId="65CA726B" w14:textId="77777777" w:rsidR="00C80D0B" w:rsidRPr="001568ED" w:rsidRDefault="00C80D0B" w:rsidP="00C80D0B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3.</w:t>
            </w:r>
          </w:p>
        </w:tc>
        <w:tc>
          <w:tcPr>
            <w:tcW w:w="2182" w:type="dxa"/>
            <w:shd w:val="clear" w:color="auto" w:fill="FFFFFF"/>
          </w:tcPr>
          <w:p w14:paraId="22945F72" w14:textId="77777777" w:rsidR="00C80D0B" w:rsidRPr="001568ED" w:rsidRDefault="00C80D0B" w:rsidP="00C80D0B">
            <w:pPr>
              <w:ind w:left="17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 xml:space="preserve">Administratīvo izmaksu monetārs novērtējums </w:t>
            </w:r>
          </w:p>
        </w:tc>
        <w:tc>
          <w:tcPr>
            <w:tcW w:w="6309" w:type="dxa"/>
            <w:shd w:val="clear" w:color="auto" w:fill="FFFFFF"/>
          </w:tcPr>
          <w:p w14:paraId="311E5375" w14:textId="7B2F49F9" w:rsidR="00C80D0B" w:rsidRPr="00BE720A" w:rsidRDefault="00C80D0B" w:rsidP="00C80D0B">
            <w:pPr>
              <w:jc w:val="both"/>
              <w:rPr>
                <w:i/>
                <w:sz w:val="28"/>
                <w:szCs w:val="28"/>
                <w:highlight w:val="green"/>
              </w:rPr>
            </w:pPr>
            <w:r w:rsidRPr="00C76CCD">
              <w:rPr>
                <w:sz w:val="28"/>
                <w:szCs w:val="28"/>
              </w:rPr>
              <w:t>Projekts šo jomu neskar.</w:t>
            </w:r>
          </w:p>
        </w:tc>
      </w:tr>
      <w:tr w:rsidR="00C80D0B" w:rsidRPr="001568ED" w14:paraId="7C00E06A" w14:textId="77777777" w:rsidTr="00C80D0B">
        <w:tc>
          <w:tcPr>
            <w:tcW w:w="581" w:type="dxa"/>
            <w:shd w:val="clear" w:color="auto" w:fill="FFFFFF"/>
          </w:tcPr>
          <w:p w14:paraId="59893DD8" w14:textId="77777777" w:rsidR="00C80D0B" w:rsidRPr="001568ED" w:rsidRDefault="00C80D0B" w:rsidP="00C80D0B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4.</w:t>
            </w:r>
          </w:p>
        </w:tc>
        <w:tc>
          <w:tcPr>
            <w:tcW w:w="2182" w:type="dxa"/>
            <w:shd w:val="clear" w:color="auto" w:fill="FFFFFF"/>
          </w:tcPr>
          <w:p w14:paraId="01167BB0" w14:textId="77777777" w:rsidR="00C80D0B" w:rsidRPr="001568ED" w:rsidRDefault="00C80D0B" w:rsidP="00C80D0B">
            <w:pPr>
              <w:ind w:left="17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Atbilstības izmaksu monetārs novērtējums</w:t>
            </w:r>
          </w:p>
        </w:tc>
        <w:tc>
          <w:tcPr>
            <w:tcW w:w="6309" w:type="dxa"/>
            <w:shd w:val="clear" w:color="auto" w:fill="FFFFFF"/>
          </w:tcPr>
          <w:p w14:paraId="5693B7D9" w14:textId="77777777" w:rsidR="00C80D0B" w:rsidRPr="00BE720A" w:rsidRDefault="00C80D0B" w:rsidP="00C80D0B">
            <w:pPr>
              <w:rPr>
                <w:sz w:val="28"/>
                <w:szCs w:val="28"/>
                <w:highlight w:val="green"/>
              </w:rPr>
            </w:pPr>
            <w:r w:rsidRPr="00C76CCD">
              <w:rPr>
                <w:sz w:val="28"/>
                <w:szCs w:val="28"/>
              </w:rPr>
              <w:t>Projekts šo jomu neskar.</w:t>
            </w:r>
          </w:p>
        </w:tc>
      </w:tr>
      <w:tr w:rsidR="00C80D0B" w:rsidRPr="001568ED" w14:paraId="1B88483F" w14:textId="77777777" w:rsidTr="00C80D0B">
        <w:tc>
          <w:tcPr>
            <w:tcW w:w="581" w:type="dxa"/>
            <w:shd w:val="clear" w:color="auto" w:fill="FFFFFF"/>
          </w:tcPr>
          <w:p w14:paraId="48AE2CFB" w14:textId="77777777" w:rsidR="00C80D0B" w:rsidRPr="001568ED" w:rsidRDefault="00C80D0B" w:rsidP="00C80D0B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82" w:type="dxa"/>
            <w:shd w:val="clear" w:color="auto" w:fill="FFFFFF"/>
          </w:tcPr>
          <w:p w14:paraId="5D00775E" w14:textId="77777777" w:rsidR="00C80D0B" w:rsidRPr="001568ED" w:rsidRDefault="00C80D0B" w:rsidP="00C80D0B">
            <w:pPr>
              <w:ind w:left="17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Cita informācija</w:t>
            </w:r>
          </w:p>
        </w:tc>
        <w:tc>
          <w:tcPr>
            <w:tcW w:w="6309" w:type="dxa"/>
            <w:shd w:val="clear" w:color="auto" w:fill="FFFFFF"/>
          </w:tcPr>
          <w:p w14:paraId="75F03759" w14:textId="77777777" w:rsidR="00C80D0B" w:rsidRPr="001C300D" w:rsidRDefault="00C80D0B" w:rsidP="00C80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Nav.</w:t>
            </w:r>
          </w:p>
        </w:tc>
      </w:tr>
    </w:tbl>
    <w:p w14:paraId="5648568D" w14:textId="77777777" w:rsidR="009918C7" w:rsidRPr="001568ED" w:rsidRDefault="009918C7">
      <w:pPr>
        <w:rPr>
          <w:sz w:val="28"/>
          <w:szCs w:val="28"/>
        </w:rPr>
      </w:pPr>
    </w:p>
    <w:tbl>
      <w:tblPr>
        <w:tblStyle w:val="a2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9918C7" w:rsidRPr="001568ED" w14:paraId="54C46C06" w14:textId="77777777" w:rsidTr="00D64F8C">
        <w:tc>
          <w:tcPr>
            <w:tcW w:w="9072" w:type="dxa"/>
            <w:shd w:val="clear" w:color="auto" w:fill="FFFFFF"/>
          </w:tcPr>
          <w:p w14:paraId="302D4BDF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1568ED">
              <w:rPr>
                <w:b/>
                <w:sz w:val="28"/>
                <w:szCs w:val="28"/>
              </w:rPr>
              <w:t>III. Tiesību akta projekta ietekme uz valsts budžetu un pašvaldību budžetiem</w:t>
            </w:r>
          </w:p>
        </w:tc>
      </w:tr>
      <w:tr w:rsidR="009918C7" w:rsidRPr="001568ED" w14:paraId="50E87E61" w14:textId="77777777" w:rsidTr="00D64F8C">
        <w:tc>
          <w:tcPr>
            <w:tcW w:w="9072" w:type="dxa"/>
            <w:shd w:val="clear" w:color="auto" w:fill="FFFFFF"/>
          </w:tcPr>
          <w:p w14:paraId="1FA67BCF" w14:textId="0E9E17A8" w:rsidR="009918C7" w:rsidRPr="001568ED" w:rsidRDefault="000B075F" w:rsidP="00C80D0B">
            <w:pPr>
              <w:suppressAutoHyphens/>
              <w:autoSpaceDN w:val="0"/>
              <w:spacing w:before="100" w:after="200" w:line="276" w:lineRule="auto"/>
              <w:jc w:val="center"/>
              <w:rPr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Projekts šo jomu neskar.</w:t>
            </w:r>
          </w:p>
        </w:tc>
      </w:tr>
    </w:tbl>
    <w:p w14:paraId="02452256" w14:textId="77777777" w:rsidR="009918C7" w:rsidRPr="001568ED" w:rsidRDefault="009918C7">
      <w:pPr>
        <w:jc w:val="both"/>
        <w:rPr>
          <w:sz w:val="28"/>
          <w:szCs w:val="28"/>
        </w:rPr>
      </w:pPr>
    </w:p>
    <w:tbl>
      <w:tblPr>
        <w:tblStyle w:val="a3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9918C7" w:rsidRPr="001568ED" w14:paraId="72A0576B" w14:textId="77777777" w:rsidTr="00567CF1">
        <w:tc>
          <w:tcPr>
            <w:tcW w:w="9072" w:type="dxa"/>
            <w:shd w:val="clear" w:color="auto" w:fill="FFFFFF"/>
          </w:tcPr>
          <w:p w14:paraId="31430194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B25D26">
              <w:rPr>
                <w:b/>
                <w:sz w:val="28"/>
                <w:szCs w:val="28"/>
              </w:rPr>
              <w:t xml:space="preserve">IV. </w:t>
            </w:r>
            <w:r w:rsidRPr="00C76CCD">
              <w:rPr>
                <w:b/>
                <w:sz w:val="28"/>
                <w:szCs w:val="28"/>
              </w:rPr>
              <w:t>Tiesību akta projekta ietekme uz spēkā esošo tiesību normu sistēmu</w:t>
            </w:r>
          </w:p>
        </w:tc>
      </w:tr>
      <w:tr w:rsidR="00C80D0B" w:rsidRPr="001568ED" w14:paraId="1BDCC114" w14:textId="77777777" w:rsidTr="00567CF1">
        <w:tc>
          <w:tcPr>
            <w:tcW w:w="9072" w:type="dxa"/>
            <w:shd w:val="clear" w:color="auto" w:fill="FFFFFF"/>
          </w:tcPr>
          <w:p w14:paraId="3605E987" w14:textId="1F640ED3" w:rsidR="00C80D0B" w:rsidRPr="00B25D26" w:rsidRDefault="00C80D0B">
            <w:pPr>
              <w:jc w:val="center"/>
              <w:rPr>
                <w:b/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Projekts šo jomu neskar.</w:t>
            </w:r>
          </w:p>
        </w:tc>
      </w:tr>
    </w:tbl>
    <w:p w14:paraId="4102B4B7" w14:textId="77777777" w:rsidR="009918C7" w:rsidRPr="001568ED" w:rsidRDefault="009918C7">
      <w:pPr>
        <w:rPr>
          <w:sz w:val="28"/>
          <w:szCs w:val="28"/>
        </w:rPr>
      </w:pPr>
    </w:p>
    <w:tbl>
      <w:tblPr>
        <w:tblStyle w:val="a4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9918C7" w:rsidRPr="001568ED" w14:paraId="47E88B8F" w14:textId="77777777" w:rsidTr="00D64F8C">
        <w:tc>
          <w:tcPr>
            <w:tcW w:w="9072" w:type="dxa"/>
            <w:shd w:val="clear" w:color="auto" w:fill="FFFFFF"/>
            <w:vAlign w:val="center"/>
          </w:tcPr>
          <w:p w14:paraId="1FDBA228" w14:textId="77777777" w:rsidR="009918C7" w:rsidRPr="001568ED" w:rsidRDefault="00286901">
            <w:pPr>
              <w:jc w:val="center"/>
              <w:rPr>
                <w:b/>
                <w:sz w:val="28"/>
                <w:szCs w:val="28"/>
              </w:rPr>
            </w:pPr>
            <w:r w:rsidRPr="001568ED">
              <w:rPr>
                <w:b/>
                <w:sz w:val="28"/>
                <w:szCs w:val="28"/>
              </w:rPr>
              <w:t>V. Tiesību akta projekta atbilstība Latvijas Republikas starptautiskajām saistībām</w:t>
            </w:r>
          </w:p>
        </w:tc>
      </w:tr>
      <w:tr w:rsidR="009918C7" w:rsidRPr="001568ED" w14:paraId="649F7919" w14:textId="77777777" w:rsidTr="00D64F8C">
        <w:tc>
          <w:tcPr>
            <w:tcW w:w="9072" w:type="dxa"/>
            <w:shd w:val="clear" w:color="auto" w:fill="FFFFFF"/>
            <w:vAlign w:val="center"/>
          </w:tcPr>
          <w:p w14:paraId="3F3EBB2D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C76CCD">
              <w:rPr>
                <w:sz w:val="28"/>
                <w:szCs w:val="28"/>
              </w:rPr>
              <w:t>Projekts šo jomu neskar.</w:t>
            </w:r>
          </w:p>
        </w:tc>
      </w:tr>
    </w:tbl>
    <w:p w14:paraId="54F5A66C" w14:textId="77777777" w:rsidR="009918C7" w:rsidRPr="001568ED" w:rsidRDefault="009918C7">
      <w:pPr>
        <w:rPr>
          <w:sz w:val="28"/>
          <w:szCs w:val="28"/>
        </w:rPr>
      </w:pPr>
    </w:p>
    <w:tbl>
      <w:tblPr>
        <w:tblStyle w:val="a5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378"/>
      </w:tblGrid>
      <w:tr w:rsidR="009918C7" w:rsidRPr="001568ED" w14:paraId="2F6D796B" w14:textId="77777777" w:rsidTr="00752B47">
        <w:tc>
          <w:tcPr>
            <w:tcW w:w="9072" w:type="dxa"/>
            <w:gridSpan w:val="3"/>
            <w:shd w:val="clear" w:color="auto" w:fill="FFFFFF"/>
          </w:tcPr>
          <w:p w14:paraId="6EFE5E1D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B25D26">
              <w:rPr>
                <w:b/>
                <w:sz w:val="28"/>
                <w:szCs w:val="28"/>
              </w:rPr>
              <w:t>VI. Sabiedrības līdzdalība un komunikācijas aktivitātes</w:t>
            </w:r>
          </w:p>
        </w:tc>
      </w:tr>
      <w:tr w:rsidR="009918C7" w:rsidRPr="001568ED" w14:paraId="7E3B16CC" w14:textId="77777777" w:rsidTr="00752B47">
        <w:tc>
          <w:tcPr>
            <w:tcW w:w="567" w:type="dxa"/>
            <w:shd w:val="clear" w:color="auto" w:fill="FFFFFF"/>
          </w:tcPr>
          <w:p w14:paraId="15D7D384" w14:textId="77777777" w:rsidR="009918C7" w:rsidRPr="001568ED" w:rsidRDefault="00286901">
            <w:pPr>
              <w:ind w:left="180" w:hanging="180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14:paraId="13DA3A09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Plānotās sabiedrības līdzdalības un komunikācijas aktivitātes saistībā ar projektu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35F11EE5" w14:textId="28954E1A" w:rsidR="009918C7" w:rsidRPr="00C80D0B" w:rsidRDefault="000B075F" w:rsidP="00E17988">
            <w:pPr>
              <w:jc w:val="both"/>
              <w:rPr>
                <w:sz w:val="28"/>
                <w:szCs w:val="28"/>
              </w:rPr>
            </w:pPr>
            <w:r w:rsidRPr="00787179">
              <w:rPr>
                <w:sz w:val="28"/>
                <w:szCs w:val="28"/>
              </w:rPr>
              <w:t>Sabiedrības pārstāvji varēs līdzdarboties</w:t>
            </w:r>
            <w:r w:rsidR="0077038F">
              <w:rPr>
                <w:sz w:val="28"/>
                <w:szCs w:val="28"/>
              </w:rPr>
              <w:t xml:space="preserve"> noteikumu</w:t>
            </w:r>
            <w:r w:rsidRPr="00787179">
              <w:rPr>
                <w:sz w:val="28"/>
                <w:szCs w:val="28"/>
              </w:rPr>
              <w:t xml:space="preserve"> </w:t>
            </w:r>
            <w:r w:rsidR="0077038F">
              <w:rPr>
                <w:sz w:val="28"/>
                <w:szCs w:val="28"/>
              </w:rPr>
              <w:t>p</w:t>
            </w:r>
            <w:r w:rsidRPr="00787179">
              <w:rPr>
                <w:sz w:val="28"/>
                <w:szCs w:val="28"/>
              </w:rPr>
              <w:t xml:space="preserve">rojekta izstrādē pēc tā publiskošanas Izglītības un zinātnes ministrijas tīmekļvietnē </w:t>
            </w:r>
            <w:proofErr w:type="spellStart"/>
            <w:r w:rsidRPr="00787179">
              <w:rPr>
                <w:sz w:val="28"/>
                <w:szCs w:val="28"/>
                <w:u w:val="single"/>
              </w:rPr>
              <w:t>www.izm.gov.lv</w:t>
            </w:r>
            <w:proofErr w:type="spellEnd"/>
            <w:r w:rsidRPr="00787179">
              <w:rPr>
                <w:sz w:val="28"/>
                <w:szCs w:val="28"/>
              </w:rPr>
              <w:t xml:space="preserve"> un Ministru kabineta tīmekļvietnē </w:t>
            </w:r>
            <w:hyperlink r:id="rId9" w:history="1">
              <w:r w:rsidRPr="00787179">
                <w:rPr>
                  <w:rStyle w:val="Hyperlink"/>
                  <w:sz w:val="28"/>
                  <w:szCs w:val="28"/>
                </w:rPr>
                <w:t>www.mk.gov.lv</w:t>
              </w:r>
            </w:hyperlink>
            <w:r w:rsidRPr="008F6A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eastAsia="en-GB"/>
              </w:rPr>
              <w:t xml:space="preserve"> Minētajās</w:t>
            </w:r>
            <w:r w:rsidRPr="009B3DC8">
              <w:rPr>
                <w:iCs/>
                <w:sz w:val="28"/>
                <w:szCs w:val="28"/>
                <w:shd w:val="clear" w:color="auto" w:fill="FFFFFF"/>
              </w:rPr>
              <w:t xml:space="preserve"> tīmekļvietnē</w:t>
            </w:r>
            <w:r>
              <w:rPr>
                <w:iCs/>
                <w:sz w:val="28"/>
                <w:szCs w:val="28"/>
                <w:shd w:val="clear" w:color="auto" w:fill="FFFFFF"/>
              </w:rPr>
              <w:t>s</w:t>
            </w:r>
            <w:r w:rsidRPr="009B3DC8">
              <w:rPr>
                <w:iCs/>
                <w:sz w:val="28"/>
                <w:szCs w:val="28"/>
                <w:shd w:val="clear" w:color="auto" w:fill="FFFFFF"/>
              </w:rPr>
              <w:t xml:space="preserve"> tiks publicēts paziņojums par </w:t>
            </w:r>
            <w:r w:rsidRPr="008F6AB3">
              <w:rPr>
                <w:iCs/>
                <w:sz w:val="28"/>
                <w:szCs w:val="28"/>
                <w:shd w:val="clear" w:color="auto" w:fill="FFFFFF"/>
              </w:rPr>
              <w:t xml:space="preserve">līdzdalības iespējām </w:t>
            </w:r>
            <w:r w:rsidR="0077038F">
              <w:rPr>
                <w:iCs/>
                <w:sz w:val="28"/>
                <w:szCs w:val="28"/>
                <w:shd w:val="clear" w:color="auto" w:fill="FFFFFF"/>
              </w:rPr>
              <w:t>noteikumu p</w:t>
            </w:r>
            <w:r w:rsidRPr="009B3DC8">
              <w:rPr>
                <w:iCs/>
                <w:sz w:val="28"/>
                <w:szCs w:val="28"/>
                <w:shd w:val="clear" w:color="auto" w:fill="FFFFFF"/>
              </w:rPr>
              <w:t>rojekta</w:t>
            </w:r>
            <w:r w:rsidRPr="009B3DC8">
              <w:rPr>
                <w:sz w:val="28"/>
                <w:szCs w:val="28"/>
              </w:rPr>
              <w:t xml:space="preserve"> izstrādes procesā saskaņā ar Ministru kabineta 2009. gada 25. augusta noteikumiem Nr. 970 “Sabiedrības līdzdalības kārtība attīstības plānošanas procesā”.</w:t>
            </w:r>
            <w:r w:rsidRPr="008F6AB3">
              <w:rPr>
                <w:sz w:val="28"/>
                <w:szCs w:val="28"/>
                <w:lang w:eastAsia="en-GB"/>
              </w:rPr>
              <w:t xml:space="preserve"> </w:t>
            </w:r>
            <w:r>
              <w:rPr>
                <w:sz w:val="28"/>
                <w:szCs w:val="28"/>
                <w:lang w:eastAsia="en-GB"/>
              </w:rPr>
              <w:t>S</w:t>
            </w:r>
            <w:r w:rsidRPr="003E024D">
              <w:rPr>
                <w:sz w:val="28"/>
                <w:szCs w:val="28"/>
                <w:lang w:eastAsia="en-GB"/>
              </w:rPr>
              <w:t xml:space="preserve">abiedrības pārstāvji par </w:t>
            </w:r>
            <w:r w:rsidR="0077038F">
              <w:rPr>
                <w:sz w:val="28"/>
                <w:szCs w:val="28"/>
                <w:lang w:eastAsia="en-GB"/>
              </w:rPr>
              <w:t>noteikumu p</w:t>
            </w:r>
            <w:r w:rsidRPr="003E024D">
              <w:rPr>
                <w:sz w:val="28"/>
                <w:szCs w:val="28"/>
                <w:lang w:eastAsia="en-GB"/>
              </w:rPr>
              <w:t xml:space="preserve">rojektu varēs izteikt savu viedokli </w:t>
            </w:r>
            <w:r>
              <w:rPr>
                <w:sz w:val="28"/>
                <w:szCs w:val="28"/>
                <w:lang w:eastAsia="en-GB"/>
              </w:rPr>
              <w:t>p</w:t>
            </w:r>
            <w:r w:rsidRPr="003E024D">
              <w:rPr>
                <w:sz w:val="28"/>
                <w:szCs w:val="28"/>
                <w:lang w:eastAsia="en-GB"/>
              </w:rPr>
              <w:t xml:space="preserve">ēc </w:t>
            </w:r>
            <w:r w:rsidR="0077038F">
              <w:rPr>
                <w:sz w:val="28"/>
                <w:szCs w:val="28"/>
                <w:lang w:eastAsia="en-GB"/>
              </w:rPr>
              <w:t>noteikumu p</w:t>
            </w:r>
            <w:r>
              <w:rPr>
                <w:sz w:val="28"/>
                <w:szCs w:val="28"/>
                <w:lang w:eastAsia="en-GB"/>
              </w:rPr>
              <w:t xml:space="preserve">rojekta ievietošanas minētajās </w:t>
            </w:r>
            <w:r w:rsidRPr="003E024D">
              <w:rPr>
                <w:sz w:val="28"/>
                <w:szCs w:val="28"/>
              </w:rPr>
              <w:t>tīmekļvietnē</w:t>
            </w:r>
            <w:r>
              <w:rPr>
                <w:sz w:val="28"/>
                <w:szCs w:val="28"/>
              </w:rPr>
              <w:t>s</w:t>
            </w:r>
            <w:r w:rsidRPr="003E024D">
              <w:rPr>
                <w:sz w:val="28"/>
                <w:szCs w:val="28"/>
                <w:lang w:eastAsia="en-GB"/>
              </w:rPr>
              <w:t>.</w:t>
            </w:r>
          </w:p>
        </w:tc>
      </w:tr>
      <w:tr w:rsidR="009918C7" w:rsidRPr="001568ED" w14:paraId="4274D54A" w14:textId="77777777" w:rsidTr="00752B47">
        <w:tc>
          <w:tcPr>
            <w:tcW w:w="567" w:type="dxa"/>
            <w:shd w:val="clear" w:color="auto" w:fill="FFFFFF"/>
          </w:tcPr>
          <w:p w14:paraId="3BE6879F" w14:textId="77777777" w:rsidR="009918C7" w:rsidRPr="001568ED" w:rsidRDefault="00286901">
            <w:pPr>
              <w:ind w:left="180" w:hanging="180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14:paraId="15EDADD0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Sabiedrības līdzdalība projekta izstrādē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5A31D03D" w14:textId="5F3D7B6B" w:rsidR="009918C7" w:rsidRPr="00E17988" w:rsidRDefault="00411477" w:rsidP="00E17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Noteikumu projekta tālākā virzība kopumā atbalstīta m</w:t>
            </w:r>
            <w:r w:rsidR="000B075F" w:rsidRPr="00E17988">
              <w:rPr>
                <w:sz w:val="28"/>
                <w:szCs w:val="28"/>
              </w:rPr>
              <w:t>etodisk</w:t>
            </w:r>
            <w:r>
              <w:rPr>
                <w:sz w:val="28"/>
                <w:szCs w:val="28"/>
              </w:rPr>
              <w:t>ajos</w:t>
            </w:r>
            <w:r w:rsidR="000B075F" w:rsidRPr="00E17988">
              <w:rPr>
                <w:sz w:val="28"/>
                <w:szCs w:val="28"/>
              </w:rPr>
              <w:t xml:space="preserve"> seminār</w:t>
            </w:r>
            <w:r>
              <w:rPr>
                <w:sz w:val="28"/>
                <w:szCs w:val="28"/>
              </w:rPr>
              <w:t>os, kas rīkoti</w:t>
            </w:r>
            <w:r w:rsidR="000B075F" w:rsidRPr="00E17988">
              <w:rPr>
                <w:sz w:val="28"/>
                <w:szCs w:val="28"/>
              </w:rPr>
              <w:t xml:space="preserve"> sadarbībā ar Izglītības kvalitātes valsts dienestu, profesionālās izglītības iestādēm, koledž</w:t>
            </w:r>
            <w:r w:rsidR="000B075F">
              <w:rPr>
                <w:sz w:val="28"/>
                <w:szCs w:val="28"/>
              </w:rPr>
              <w:t>ām</w:t>
            </w:r>
            <w:r w:rsidR="00E04539">
              <w:rPr>
                <w:sz w:val="28"/>
                <w:szCs w:val="28"/>
              </w:rPr>
              <w:t>,</w:t>
            </w:r>
            <w:r w:rsidR="000B075F">
              <w:rPr>
                <w:sz w:val="28"/>
                <w:szCs w:val="28"/>
              </w:rPr>
              <w:t xml:space="preserve"> </w:t>
            </w:r>
            <w:r w:rsidR="00E04539" w:rsidRPr="00E04539">
              <w:rPr>
                <w:sz w:val="28"/>
                <w:szCs w:val="28"/>
              </w:rPr>
              <w:t>Valsts izglītības satura centru un</w:t>
            </w:r>
            <w:r w:rsidR="000B075F" w:rsidRPr="00E04539">
              <w:rPr>
                <w:sz w:val="28"/>
                <w:szCs w:val="28"/>
              </w:rPr>
              <w:t xml:space="preserve"> Latvijas Nacionālo kultūras centru.</w:t>
            </w:r>
            <w:r w:rsidR="000B075F" w:rsidRPr="00E04539" w:rsidDel="000B075F">
              <w:rPr>
                <w:sz w:val="28"/>
                <w:szCs w:val="28"/>
              </w:rPr>
              <w:t xml:space="preserve"> </w:t>
            </w:r>
          </w:p>
          <w:p w14:paraId="4E79E1CC" w14:textId="63897964" w:rsidR="0077038F" w:rsidRPr="003E024D" w:rsidRDefault="0077038F" w:rsidP="0077038F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E024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Paziņojums par sabiedrības līdzdalības iespējām </w:t>
            </w:r>
            <w:r>
              <w:rPr>
                <w:sz w:val="28"/>
                <w:szCs w:val="28"/>
                <w:lang w:eastAsia="en-GB"/>
              </w:rPr>
              <w:t>noteikumu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rojekta izstrādes procesā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2020.gada</w:t>
            </w:r>
            <w:proofErr w:type="gramEnd"/>
            <w:r w:rsidR="0002180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E0453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GB"/>
              </w:rPr>
              <w:t>__.februārī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3E024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ievietots Izglītības un zinātnes ministrijas tīmekļvietnē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hyperlink r:id="rId10" w:history="1">
              <w:r w:rsidRPr="00D85AD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www.izm.gov.lv</w:t>
              </w:r>
            </w:hyperlink>
            <w:r w:rsidRPr="00D779C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3E024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sadaļā “Sabiedrības līdzdalība”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.</w:t>
            </w:r>
          </w:p>
          <w:p w14:paraId="000B096A" w14:textId="661A2785" w:rsidR="009918C7" w:rsidRPr="001568ED" w:rsidRDefault="0077038F" w:rsidP="00B25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GB"/>
              </w:rPr>
              <w:t>Noteikumu projekta izstrādes stadijā pirms tā izsludināšanas Valsts sekretāru sanāksmē s</w:t>
            </w:r>
            <w:r w:rsidRPr="003E024D">
              <w:rPr>
                <w:sz w:val="28"/>
                <w:szCs w:val="28"/>
                <w:lang w:eastAsia="en-GB"/>
              </w:rPr>
              <w:t xml:space="preserve">abiedrības pārstāvji var izteikt savu viedokli par </w:t>
            </w:r>
            <w:r>
              <w:rPr>
                <w:sz w:val="28"/>
                <w:szCs w:val="28"/>
                <w:lang w:eastAsia="en-GB"/>
              </w:rPr>
              <w:t>noteikumu p</w:t>
            </w:r>
            <w:r w:rsidRPr="003E024D">
              <w:rPr>
                <w:sz w:val="28"/>
                <w:szCs w:val="28"/>
                <w:lang w:eastAsia="en-GB"/>
              </w:rPr>
              <w:t>rojektu rakstveidā.</w:t>
            </w:r>
          </w:p>
        </w:tc>
      </w:tr>
      <w:tr w:rsidR="009918C7" w:rsidRPr="001568ED" w14:paraId="51A5D27D" w14:textId="77777777" w:rsidTr="00752B47">
        <w:trPr>
          <w:trHeight w:val="980"/>
        </w:trPr>
        <w:tc>
          <w:tcPr>
            <w:tcW w:w="567" w:type="dxa"/>
            <w:shd w:val="clear" w:color="auto" w:fill="FFFFFF"/>
          </w:tcPr>
          <w:p w14:paraId="1727510D" w14:textId="77777777" w:rsidR="009918C7" w:rsidRPr="001568ED" w:rsidRDefault="00286901">
            <w:pPr>
              <w:ind w:left="180" w:hanging="180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shd w:val="clear" w:color="auto" w:fill="FFFFFF"/>
          </w:tcPr>
          <w:p w14:paraId="5A5D26AE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Sabiedrības līdzdalības rezultāti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4D2C9E41" w14:textId="13E2B652" w:rsidR="00C547B2" w:rsidRDefault="00D762E2" w:rsidP="00B25D26">
            <w:pPr>
              <w:jc w:val="both"/>
              <w:rPr>
                <w:sz w:val="28"/>
                <w:szCs w:val="28"/>
              </w:rPr>
            </w:pPr>
            <w:r w:rsidRPr="00E17988">
              <w:rPr>
                <w:sz w:val="28"/>
                <w:szCs w:val="28"/>
              </w:rPr>
              <w:t xml:space="preserve">Metodiskā darba ietvaros ir aktualizēta </w:t>
            </w:r>
            <w:r w:rsidR="00E17988" w:rsidRPr="00E17988">
              <w:rPr>
                <w:sz w:val="28"/>
                <w:szCs w:val="28"/>
              </w:rPr>
              <w:t xml:space="preserve">satura īstenošana un </w:t>
            </w:r>
            <w:r w:rsidRPr="00E17988">
              <w:rPr>
                <w:sz w:val="28"/>
                <w:szCs w:val="28"/>
              </w:rPr>
              <w:t xml:space="preserve">mācību </w:t>
            </w:r>
            <w:r w:rsidR="00E17988" w:rsidRPr="00E17988">
              <w:rPr>
                <w:sz w:val="28"/>
                <w:szCs w:val="28"/>
              </w:rPr>
              <w:t>darba organizācijas process</w:t>
            </w:r>
            <w:r w:rsidRPr="00E17988">
              <w:rPr>
                <w:sz w:val="28"/>
                <w:szCs w:val="28"/>
              </w:rPr>
              <w:t xml:space="preserve">, ko paredz </w:t>
            </w:r>
            <w:r w:rsidR="0077038F">
              <w:rPr>
                <w:sz w:val="28"/>
                <w:szCs w:val="28"/>
                <w:lang w:eastAsia="en-GB"/>
              </w:rPr>
              <w:t>noteikumu p</w:t>
            </w:r>
            <w:r w:rsidRPr="00E17988">
              <w:rPr>
                <w:sz w:val="28"/>
                <w:szCs w:val="28"/>
              </w:rPr>
              <w:t>rojekts.</w:t>
            </w:r>
          </w:p>
          <w:p w14:paraId="42A1BB93" w14:textId="23506036" w:rsidR="0077038F" w:rsidRPr="0077038F" w:rsidRDefault="0077038F" w:rsidP="0077038F">
            <w:pPr>
              <w:shd w:val="clear" w:color="auto" w:fill="FFFFFF"/>
              <w:tabs>
                <w:tab w:val="left" w:pos="878"/>
              </w:tabs>
              <w:ind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 sabiedrības pārstāvjiem s</w:t>
            </w:r>
            <w:r w:rsidRPr="009B3DC8">
              <w:rPr>
                <w:iCs/>
                <w:sz w:val="28"/>
                <w:szCs w:val="28"/>
              </w:rPr>
              <w:t xml:space="preserve">aņemtie iebildumi un priekšlikumi </w:t>
            </w:r>
            <w:r>
              <w:rPr>
                <w:iCs/>
                <w:sz w:val="28"/>
                <w:szCs w:val="28"/>
              </w:rPr>
              <w:t xml:space="preserve">par noteikumu projektu </w:t>
            </w:r>
            <w:r w:rsidRPr="00D56B9C">
              <w:rPr>
                <w:iCs/>
                <w:sz w:val="28"/>
                <w:szCs w:val="28"/>
              </w:rPr>
              <w:t xml:space="preserve">tiks </w:t>
            </w:r>
            <w:r>
              <w:rPr>
                <w:iCs/>
                <w:sz w:val="28"/>
                <w:szCs w:val="28"/>
              </w:rPr>
              <w:t>vērtēti</w:t>
            </w:r>
            <w:r w:rsidRPr="00D56B9C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GB"/>
              </w:rPr>
              <w:t xml:space="preserve">pēc noteikumu projekta ievietošanas </w:t>
            </w:r>
            <w:r w:rsidRPr="003E024D">
              <w:rPr>
                <w:sz w:val="28"/>
                <w:szCs w:val="28"/>
                <w:lang w:eastAsia="en-GB"/>
              </w:rPr>
              <w:t>Izglītības un zinātnes ministrijas tīmekļvietnē</w:t>
            </w:r>
            <w:r>
              <w:rPr>
                <w:sz w:val="28"/>
                <w:szCs w:val="28"/>
                <w:lang w:eastAsia="en-GB"/>
              </w:rPr>
              <w:t>.</w:t>
            </w:r>
          </w:p>
        </w:tc>
      </w:tr>
      <w:tr w:rsidR="009918C7" w:rsidRPr="001568ED" w14:paraId="3D158063" w14:textId="77777777" w:rsidTr="00752B47">
        <w:tc>
          <w:tcPr>
            <w:tcW w:w="567" w:type="dxa"/>
            <w:shd w:val="clear" w:color="auto" w:fill="FFFFFF"/>
          </w:tcPr>
          <w:p w14:paraId="6188E850" w14:textId="77777777" w:rsidR="009918C7" w:rsidRPr="001568ED" w:rsidRDefault="00286901">
            <w:pPr>
              <w:ind w:left="180" w:hanging="180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14:paraId="5C453C46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Cita informācija</w:t>
            </w:r>
          </w:p>
        </w:tc>
        <w:tc>
          <w:tcPr>
            <w:tcW w:w="6378" w:type="dxa"/>
            <w:shd w:val="clear" w:color="auto" w:fill="FFFFFF"/>
          </w:tcPr>
          <w:p w14:paraId="672622E4" w14:textId="77777777" w:rsidR="009918C7" w:rsidRPr="001568ED" w:rsidRDefault="00286901" w:rsidP="00C547B2">
            <w:pPr>
              <w:jc w:val="both"/>
              <w:rPr>
                <w:sz w:val="28"/>
                <w:szCs w:val="28"/>
              </w:rPr>
            </w:pPr>
            <w:r w:rsidRPr="00B25D26">
              <w:rPr>
                <w:sz w:val="28"/>
                <w:szCs w:val="28"/>
              </w:rPr>
              <w:t>Nav.</w:t>
            </w:r>
            <w:r w:rsidR="00C547B2" w:rsidRPr="001568ED">
              <w:rPr>
                <w:sz w:val="28"/>
                <w:szCs w:val="28"/>
              </w:rPr>
              <w:t xml:space="preserve"> </w:t>
            </w:r>
          </w:p>
        </w:tc>
      </w:tr>
    </w:tbl>
    <w:p w14:paraId="7CEB1D98" w14:textId="602EFD76" w:rsidR="009918C7" w:rsidRDefault="009918C7">
      <w:pPr>
        <w:rPr>
          <w:sz w:val="28"/>
          <w:szCs w:val="28"/>
        </w:rPr>
      </w:pPr>
    </w:p>
    <w:tbl>
      <w:tblPr>
        <w:tblStyle w:val="a6"/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2064"/>
        <w:gridCol w:w="6378"/>
      </w:tblGrid>
      <w:tr w:rsidR="009918C7" w:rsidRPr="001568ED" w14:paraId="10A3A843" w14:textId="77777777" w:rsidTr="00752B47">
        <w:tc>
          <w:tcPr>
            <w:tcW w:w="9072" w:type="dxa"/>
            <w:gridSpan w:val="3"/>
            <w:shd w:val="clear" w:color="auto" w:fill="FFFFFF"/>
          </w:tcPr>
          <w:p w14:paraId="62DB42EF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1568ED">
              <w:rPr>
                <w:b/>
                <w:sz w:val="28"/>
                <w:szCs w:val="28"/>
              </w:rPr>
              <w:t>VII. Tiesību akta projekta izpildes nodrošināšana un tās ietekme uz institūcijām</w:t>
            </w:r>
          </w:p>
        </w:tc>
      </w:tr>
      <w:tr w:rsidR="009918C7" w:rsidRPr="001568ED" w14:paraId="25996512" w14:textId="77777777" w:rsidTr="00752B47">
        <w:tc>
          <w:tcPr>
            <w:tcW w:w="630" w:type="dxa"/>
            <w:shd w:val="clear" w:color="auto" w:fill="FFFFFF"/>
          </w:tcPr>
          <w:p w14:paraId="717AD938" w14:textId="77777777" w:rsidR="009918C7" w:rsidRPr="001568ED" w:rsidRDefault="00286901">
            <w:pPr>
              <w:ind w:left="181" w:hanging="181"/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1.</w:t>
            </w:r>
          </w:p>
        </w:tc>
        <w:tc>
          <w:tcPr>
            <w:tcW w:w="2064" w:type="dxa"/>
            <w:shd w:val="clear" w:color="auto" w:fill="FFFFFF"/>
          </w:tcPr>
          <w:p w14:paraId="10EC331B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 xml:space="preserve">Projekta izpildē iesaistītās institūcijas </w:t>
            </w:r>
          </w:p>
        </w:tc>
        <w:tc>
          <w:tcPr>
            <w:tcW w:w="6378" w:type="dxa"/>
            <w:shd w:val="clear" w:color="auto" w:fill="FFFFFF"/>
          </w:tcPr>
          <w:p w14:paraId="50714CBA" w14:textId="6D671B40" w:rsidR="009918C7" w:rsidRPr="001568ED" w:rsidRDefault="00286901" w:rsidP="00F02A09">
            <w:pPr>
              <w:jc w:val="both"/>
              <w:rPr>
                <w:sz w:val="28"/>
                <w:szCs w:val="28"/>
              </w:rPr>
            </w:pPr>
            <w:r w:rsidRPr="00B25D26">
              <w:rPr>
                <w:sz w:val="28"/>
                <w:szCs w:val="28"/>
              </w:rPr>
              <w:t xml:space="preserve">Izglītības un zinātnes ministrija, </w:t>
            </w:r>
            <w:r w:rsidR="00B962CC">
              <w:rPr>
                <w:sz w:val="28"/>
                <w:szCs w:val="28"/>
              </w:rPr>
              <w:t xml:space="preserve">Valsts izglītības satura centrs, </w:t>
            </w:r>
            <w:r w:rsidRPr="00B25D26">
              <w:rPr>
                <w:sz w:val="28"/>
                <w:szCs w:val="28"/>
              </w:rPr>
              <w:t xml:space="preserve">Izglītības kvalitātes valsts dienests, profesionālās </w:t>
            </w:r>
            <w:r w:rsidR="007F5E40" w:rsidRPr="00B25D26">
              <w:rPr>
                <w:sz w:val="28"/>
                <w:szCs w:val="28"/>
              </w:rPr>
              <w:t xml:space="preserve">vidējās </w:t>
            </w:r>
            <w:r w:rsidRPr="00B25D26">
              <w:rPr>
                <w:sz w:val="28"/>
                <w:szCs w:val="28"/>
              </w:rPr>
              <w:t xml:space="preserve">izglītības </w:t>
            </w:r>
            <w:r w:rsidR="00F02A09">
              <w:rPr>
                <w:sz w:val="28"/>
                <w:szCs w:val="28"/>
              </w:rPr>
              <w:t xml:space="preserve">un arodizglītības </w:t>
            </w:r>
            <w:r w:rsidRPr="00B25D26">
              <w:rPr>
                <w:sz w:val="28"/>
                <w:szCs w:val="28"/>
              </w:rPr>
              <w:t>iestādes, to dibinātāji.</w:t>
            </w:r>
          </w:p>
        </w:tc>
      </w:tr>
      <w:tr w:rsidR="009918C7" w:rsidRPr="001568ED" w14:paraId="0E2BC2F3" w14:textId="77777777" w:rsidTr="00752B47">
        <w:tc>
          <w:tcPr>
            <w:tcW w:w="630" w:type="dxa"/>
            <w:shd w:val="clear" w:color="auto" w:fill="FFFFFF"/>
          </w:tcPr>
          <w:p w14:paraId="08C733CA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2.</w:t>
            </w:r>
          </w:p>
        </w:tc>
        <w:tc>
          <w:tcPr>
            <w:tcW w:w="2064" w:type="dxa"/>
            <w:shd w:val="clear" w:color="auto" w:fill="FFFFFF"/>
          </w:tcPr>
          <w:p w14:paraId="5D1A9476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Projekta izpildes ietekme uz pārvaldes funkcijām un institucionālo struktūru.</w:t>
            </w:r>
          </w:p>
          <w:p w14:paraId="5FBE6907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6378" w:type="dxa"/>
            <w:shd w:val="clear" w:color="auto" w:fill="FFFFFF"/>
          </w:tcPr>
          <w:p w14:paraId="26D01C8B" w14:textId="77777777" w:rsidR="009918C7" w:rsidRPr="00B25D26" w:rsidRDefault="00286901">
            <w:pPr>
              <w:jc w:val="both"/>
              <w:rPr>
                <w:sz w:val="28"/>
                <w:szCs w:val="28"/>
              </w:rPr>
            </w:pPr>
            <w:r w:rsidRPr="00B25D26">
              <w:rPr>
                <w:sz w:val="28"/>
                <w:szCs w:val="28"/>
              </w:rPr>
              <w:t>Noteikumu projekta izpilde nepaplašina un nesašaurina iesaistīto institūciju funkcijas.</w:t>
            </w:r>
          </w:p>
          <w:p w14:paraId="18E3C2A9" w14:textId="77777777" w:rsidR="004322E2" w:rsidRDefault="00286901" w:rsidP="00B25D26">
            <w:pPr>
              <w:jc w:val="both"/>
              <w:rPr>
                <w:sz w:val="28"/>
                <w:szCs w:val="28"/>
              </w:rPr>
            </w:pPr>
            <w:r w:rsidRPr="00B25D26">
              <w:rPr>
                <w:sz w:val="28"/>
                <w:szCs w:val="28"/>
              </w:rPr>
              <w:t>Projekta izpilde tiks nodrošināta esošo institūciju ietvaros.</w:t>
            </w:r>
          </w:p>
          <w:p w14:paraId="74AF8FC7" w14:textId="77777777" w:rsidR="009918C7" w:rsidRPr="004322E2" w:rsidRDefault="009918C7" w:rsidP="00623714">
            <w:pPr>
              <w:suppressAutoHyphens/>
              <w:autoSpaceDN w:val="0"/>
              <w:spacing w:before="100"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8C7" w:rsidRPr="001568ED" w14:paraId="47D65A1D" w14:textId="77777777" w:rsidTr="00752B47">
        <w:tc>
          <w:tcPr>
            <w:tcW w:w="630" w:type="dxa"/>
            <w:tcBorders>
              <w:bottom w:val="single" w:sz="4" w:space="0" w:color="000000"/>
            </w:tcBorders>
            <w:shd w:val="clear" w:color="auto" w:fill="FFFFFF"/>
          </w:tcPr>
          <w:p w14:paraId="3FE2AF48" w14:textId="77777777" w:rsidR="009918C7" w:rsidRPr="001568ED" w:rsidRDefault="00286901">
            <w:pPr>
              <w:jc w:val="center"/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3.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shd w:val="clear" w:color="auto" w:fill="FFFFFF"/>
          </w:tcPr>
          <w:p w14:paraId="766B302C" w14:textId="77777777" w:rsidR="009918C7" w:rsidRPr="001568ED" w:rsidRDefault="00286901">
            <w:pPr>
              <w:rPr>
                <w:sz w:val="28"/>
                <w:szCs w:val="28"/>
              </w:rPr>
            </w:pPr>
            <w:r w:rsidRPr="001568ED">
              <w:rPr>
                <w:sz w:val="28"/>
                <w:szCs w:val="28"/>
              </w:rPr>
              <w:t>Cita informācija.</w:t>
            </w:r>
          </w:p>
        </w:tc>
        <w:tc>
          <w:tcPr>
            <w:tcW w:w="6378" w:type="dxa"/>
            <w:shd w:val="clear" w:color="auto" w:fill="FFFFFF"/>
          </w:tcPr>
          <w:p w14:paraId="09241215" w14:textId="77777777" w:rsidR="009918C7" w:rsidRPr="001568ED" w:rsidRDefault="00286901">
            <w:pPr>
              <w:jc w:val="both"/>
              <w:rPr>
                <w:sz w:val="28"/>
                <w:szCs w:val="28"/>
              </w:rPr>
            </w:pPr>
            <w:r w:rsidRPr="00B25D26">
              <w:rPr>
                <w:sz w:val="28"/>
                <w:szCs w:val="28"/>
              </w:rPr>
              <w:t>Nav.</w:t>
            </w:r>
          </w:p>
        </w:tc>
      </w:tr>
    </w:tbl>
    <w:p w14:paraId="054BE401" w14:textId="77777777" w:rsidR="009918C7" w:rsidRPr="001568ED" w:rsidRDefault="009918C7">
      <w:pPr>
        <w:keepNext/>
        <w:tabs>
          <w:tab w:val="right" w:pos="8789"/>
        </w:tabs>
        <w:rPr>
          <w:sz w:val="28"/>
          <w:szCs w:val="28"/>
        </w:rPr>
      </w:pPr>
    </w:p>
    <w:p w14:paraId="4B76A931" w14:textId="77777777" w:rsidR="009918C7" w:rsidRPr="001568ED" w:rsidRDefault="009918C7">
      <w:pPr>
        <w:rPr>
          <w:sz w:val="28"/>
          <w:szCs w:val="28"/>
        </w:rPr>
      </w:pPr>
    </w:p>
    <w:p w14:paraId="2245AACC" w14:textId="77777777" w:rsidR="00E26B5E" w:rsidRPr="001568ED" w:rsidRDefault="009F3F73" w:rsidP="00E26B5E">
      <w:pPr>
        <w:keepNext/>
        <w:tabs>
          <w:tab w:val="right" w:pos="8364"/>
        </w:tabs>
        <w:ind w:firstLine="426"/>
        <w:rPr>
          <w:sz w:val="28"/>
          <w:szCs w:val="28"/>
        </w:rPr>
      </w:pPr>
      <w:r w:rsidRPr="001568ED">
        <w:rPr>
          <w:sz w:val="28"/>
          <w:szCs w:val="28"/>
        </w:rPr>
        <w:t>Izglītības un zinātnes ministre</w:t>
      </w:r>
      <w:r w:rsidR="00E26B5E" w:rsidRPr="001568ED">
        <w:rPr>
          <w:sz w:val="28"/>
          <w:szCs w:val="28"/>
        </w:rPr>
        <w:tab/>
        <w:t>I.</w:t>
      </w:r>
      <w:r w:rsidR="009335E5" w:rsidRPr="001568ED">
        <w:rPr>
          <w:sz w:val="28"/>
          <w:szCs w:val="28"/>
        </w:rPr>
        <w:t xml:space="preserve"> </w:t>
      </w:r>
      <w:proofErr w:type="spellStart"/>
      <w:r w:rsidR="00E26B5E" w:rsidRPr="001568ED">
        <w:rPr>
          <w:sz w:val="28"/>
          <w:szCs w:val="28"/>
        </w:rPr>
        <w:t>Šuplinska</w:t>
      </w:r>
      <w:proofErr w:type="spellEnd"/>
    </w:p>
    <w:p w14:paraId="65B62076" w14:textId="77777777" w:rsidR="00E26B5E" w:rsidRPr="001568ED" w:rsidRDefault="00E26B5E" w:rsidP="00E26B5E">
      <w:pPr>
        <w:keepNext/>
        <w:tabs>
          <w:tab w:val="right" w:pos="8364"/>
        </w:tabs>
        <w:ind w:firstLine="426"/>
        <w:rPr>
          <w:sz w:val="28"/>
          <w:szCs w:val="28"/>
        </w:rPr>
      </w:pPr>
    </w:p>
    <w:p w14:paraId="17082C3B" w14:textId="77777777" w:rsidR="00E26B5E" w:rsidRPr="001568ED" w:rsidRDefault="00E26B5E" w:rsidP="00E26B5E">
      <w:pPr>
        <w:keepNext/>
        <w:tabs>
          <w:tab w:val="right" w:pos="8364"/>
        </w:tabs>
        <w:ind w:firstLine="426"/>
        <w:rPr>
          <w:sz w:val="28"/>
          <w:szCs w:val="28"/>
        </w:rPr>
      </w:pPr>
    </w:p>
    <w:p w14:paraId="2F959359" w14:textId="77777777" w:rsidR="00EE2569" w:rsidRDefault="00E26B5E" w:rsidP="00E26B5E">
      <w:pPr>
        <w:tabs>
          <w:tab w:val="right" w:pos="8364"/>
        </w:tabs>
        <w:ind w:firstLine="426"/>
        <w:rPr>
          <w:sz w:val="28"/>
          <w:szCs w:val="28"/>
        </w:rPr>
      </w:pPr>
      <w:r w:rsidRPr="001568ED">
        <w:rPr>
          <w:sz w:val="28"/>
          <w:szCs w:val="28"/>
        </w:rPr>
        <w:t xml:space="preserve">Vizē: </w:t>
      </w:r>
    </w:p>
    <w:p w14:paraId="184294DA" w14:textId="77777777" w:rsidR="00E26B5E" w:rsidRPr="001568ED" w:rsidRDefault="00E26B5E" w:rsidP="00E26B5E">
      <w:pPr>
        <w:tabs>
          <w:tab w:val="right" w:pos="8364"/>
        </w:tabs>
        <w:ind w:firstLine="426"/>
        <w:rPr>
          <w:sz w:val="28"/>
          <w:szCs w:val="28"/>
        </w:rPr>
      </w:pPr>
      <w:r w:rsidRPr="001568ED">
        <w:rPr>
          <w:sz w:val="28"/>
          <w:szCs w:val="28"/>
        </w:rPr>
        <w:t>Valsts sekretāre</w:t>
      </w:r>
      <w:r w:rsidRPr="001568ED">
        <w:rPr>
          <w:sz w:val="28"/>
          <w:szCs w:val="28"/>
        </w:rPr>
        <w:tab/>
        <w:t>L.</w:t>
      </w:r>
      <w:r w:rsidR="009335E5" w:rsidRPr="001568ED">
        <w:rPr>
          <w:sz w:val="28"/>
          <w:szCs w:val="28"/>
        </w:rPr>
        <w:t xml:space="preserve"> </w:t>
      </w:r>
      <w:r w:rsidRPr="001568ED">
        <w:rPr>
          <w:sz w:val="28"/>
          <w:szCs w:val="28"/>
        </w:rPr>
        <w:t>Lejiņa</w:t>
      </w:r>
    </w:p>
    <w:p w14:paraId="4D5528AA" w14:textId="77777777" w:rsidR="009918C7" w:rsidRPr="001568ED" w:rsidRDefault="009918C7">
      <w:pPr>
        <w:tabs>
          <w:tab w:val="left" w:pos="6237"/>
        </w:tabs>
      </w:pPr>
    </w:p>
    <w:p w14:paraId="5705E7CF" w14:textId="77777777" w:rsidR="009918C7" w:rsidRPr="001568ED" w:rsidRDefault="009918C7">
      <w:pPr>
        <w:tabs>
          <w:tab w:val="left" w:pos="6237"/>
        </w:tabs>
      </w:pPr>
    </w:p>
    <w:p w14:paraId="0A4738C7" w14:textId="77777777" w:rsidR="002C0A05" w:rsidRDefault="002C0A05"/>
    <w:p w14:paraId="6959EBDA" w14:textId="77777777" w:rsidR="002C0A05" w:rsidRDefault="002C0A05"/>
    <w:p w14:paraId="5287036C" w14:textId="102FD444" w:rsidR="003C4EFA" w:rsidRPr="003C4EFA" w:rsidRDefault="002C0A05">
      <w:pPr>
        <w:rPr>
          <w:sz w:val="20"/>
          <w:szCs w:val="20"/>
        </w:rPr>
      </w:pPr>
      <w:proofErr w:type="spellStart"/>
      <w:r w:rsidRPr="003C4EFA">
        <w:rPr>
          <w:sz w:val="20"/>
          <w:szCs w:val="20"/>
        </w:rPr>
        <w:t>Saksons</w:t>
      </w:r>
      <w:proofErr w:type="spellEnd"/>
      <w:r w:rsidR="003C4EFA">
        <w:rPr>
          <w:sz w:val="20"/>
          <w:szCs w:val="20"/>
        </w:rPr>
        <w:t>, 67503753</w:t>
      </w:r>
    </w:p>
    <w:p w14:paraId="39BA07ED" w14:textId="7938D56F" w:rsidR="002C0A05" w:rsidRPr="003C4EFA" w:rsidRDefault="002C0A05">
      <w:pPr>
        <w:rPr>
          <w:sz w:val="20"/>
          <w:szCs w:val="20"/>
        </w:rPr>
      </w:pPr>
      <w:r w:rsidRPr="003C4EFA">
        <w:rPr>
          <w:sz w:val="20"/>
          <w:szCs w:val="20"/>
        </w:rPr>
        <w:t>ronalds.saksons@visc.gov.lv</w:t>
      </w:r>
    </w:p>
    <w:sectPr w:rsidR="002C0A05" w:rsidRPr="003C4EFA" w:rsidSect="00E26B5E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7113F" w14:textId="77777777" w:rsidR="00992102" w:rsidRDefault="00992102">
      <w:r>
        <w:separator/>
      </w:r>
    </w:p>
  </w:endnote>
  <w:endnote w:type="continuationSeparator" w:id="0">
    <w:p w14:paraId="1685FDE4" w14:textId="77777777" w:rsidR="00992102" w:rsidRDefault="0099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59C54" w14:textId="7625AD1C" w:rsidR="00D537F6" w:rsidRPr="004C7BF5" w:rsidRDefault="002952F6" w:rsidP="00C547B2">
    <w:pPr>
      <w:pStyle w:val="Footer"/>
    </w:pPr>
    <w:r>
      <w:rPr>
        <w:color w:val="000000"/>
      </w:rPr>
      <w:t>IZMAnot_</w:t>
    </w:r>
    <w:r w:rsidR="00752B47">
      <w:rPr>
        <w:color w:val="000000"/>
      </w:rPr>
      <w:t>1</w:t>
    </w:r>
    <w:r w:rsidR="000E54CF">
      <w:rPr>
        <w:color w:val="000000"/>
      </w:rPr>
      <w:t>8</w:t>
    </w:r>
    <w:r w:rsidR="00F02A09">
      <w:rPr>
        <w:color w:val="000000"/>
      </w:rPr>
      <w:t>0220_PS</w:t>
    </w:r>
  </w:p>
  <w:p w14:paraId="268B214D" w14:textId="77777777" w:rsidR="00D537F6" w:rsidRDefault="00D537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94C1C" w14:textId="4EDC5FFA" w:rsidR="00D537F6" w:rsidRPr="000E54CF" w:rsidRDefault="002952F6" w:rsidP="004C7BF5">
    <w:pPr>
      <w:pStyle w:val="Footer"/>
      <w:rPr>
        <w:color w:val="000000"/>
      </w:rPr>
    </w:pPr>
    <w:r>
      <w:rPr>
        <w:color w:val="000000"/>
      </w:rPr>
      <w:t>IZMAnot_</w:t>
    </w:r>
    <w:r w:rsidR="000E54CF">
      <w:rPr>
        <w:color w:val="000000"/>
      </w:rPr>
      <w:t>18</w:t>
    </w:r>
    <w:r w:rsidR="00F02A09">
      <w:rPr>
        <w:color w:val="000000"/>
      </w:rPr>
      <w:t>0220_PS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F73BD" w14:textId="77777777" w:rsidR="00992102" w:rsidRDefault="00992102">
      <w:r>
        <w:separator/>
      </w:r>
    </w:p>
  </w:footnote>
  <w:footnote w:type="continuationSeparator" w:id="0">
    <w:p w14:paraId="7AEF21C1" w14:textId="77777777" w:rsidR="00992102" w:rsidRDefault="0099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85CE6" w14:textId="77777777" w:rsidR="00D537F6" w:rsidRDefault="00D537F6" w:rsidP="004C7B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4CF">
      <w:rPr>
        <w:noProof/>
        <w:color w:val="000000"/>
      </w:rPr>
      <w:t>7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E89"/>
    <w:multiLevelType w:val="hybridMultilevel"/>
    <w:tmpl w:val="7C16E4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4472"/>
    <w:multiLevelType w:val="hybridMultilevel"/>
    <w:tmpl w:val="A9B642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5A9A"/>
    <w:multiLevelType w:val="hybridMultilevel"/>
    <w:tmpl w:val="12744E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0017"/>
    <w:multiLevelType w:val="hybridMultilevel"/>
    <w:tmpl w:val="6268B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71AD1"/>
    <w:multiLevelType w:val="multilevel"/>
    <w:tmpl w:val="13FAE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FCF08E6"/>
    <w:multiLevelType w:val="hybridMultilevel"/>
    <w:tmpl w:val="0C9E74B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82D0A"/>
    <w:multiLevelType w:val="multilevel"/>
    <w:tmpl w:val="19B23FD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25334D"/>
    <w:multiLevelType w:val="hybridMultilevel"/>
    <w:tmpl w:val="F1C23752"/>
    <w:lvl w:ilvl="0" w:tplc="C23E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5964"/>
    <w:multiLevelType w:val="hybridMultilevel"/>
    <w:tmpl w:val="20281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716E1"/>
    <w:multiLevelType w:val="hybridMultilevel"/>
    <w:tmpl w:val="4A703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A5EF2"/>
    <w:multiLevelType w:val="hybridMultilevel"/>
    <w:tmpl w:val="7AC0A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96001"/>
    <w:multiLevelType w:val="hybridMultilevel"/>
    <w:tmpl w:val="C4523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D35CF"/>
    <w:multiLevelType w:val="hybridMultilevel"/>
    <w:tmpl w:val="98D82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440A4"/>
    <w:multiLevelType w:val="hybridMultilevel"/>
    <w:tmpl w:val="3A1EDFE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0320E8"/>
    <w:multiLevelType w:val="hybridMultilevel"/>
    <w:tmpl w:val="34A029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04107"/>
    <w:multiLevelType w:val="multilevel"/>
    <w:tmpl w:val="B69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848D3"/>
    <w:multiLevelType w:val="multilevel"/>
    <w:tmpl w:val="F0E650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5965690"/>
    <w:multiLevelType w:val="hybridMultilevel"/>
    <w:tmpl w:val="546E63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E26DD"/>
    <w:multiLevelType w:val="hybridMultilevel"/>
    <w:tmpl w:val="B3AAF3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63946"/>
    <w:multiLevelType w:val="hybridMultilevel"/>
    <w:tmpl w:val="E326D2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C16CF"/>
    <w:multiLevelType w:val="hybridMultilevel"/>
    <w:tmpl w:val="60A411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83DFD"/>
    <w:multiLevelType w:val="multilevel"/>
    <w:tmpl w:val="5010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47CC9"/>
    <w:multiLevelType w:val="multilevel"/>
    <w:tmpl w:val="0C266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1E46C52"/>
    <w:multiLevelType w:val="hybridMultilevel"/>
    <w:tmpl w:val="AC3E4F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93A5A"/>
    <w:multiLevelType w:val="multilevel"/>
    <w:tmpl w:val="797CF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456410D"/>
    <w:multiLevelType w:val="hybridMultilevel"/>
    <w:tmpl w:val="A9ACC1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63007"/>
    <w:multiLevelType w:val="multilevel"/>
    <w:tmpl w:val="5F50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707FF"/>
    <w:multiLevelType w:val="multilevel"/>
    <w:tmpl w:val="CA14D4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597774E7"/>
    <w:multiLevelType w:val="multilevel"/>
    <w:tmpl w:val="6A883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A1640EF"/>
    <w:multiLevelType w:val="hybridMultilevel"/>
    <w:tmpl w:val="96C6CF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81D8B"/>
    <w:multiLevelType w:val="hybridMultilevel"/>
    <w:tmpl w:val="6E7AA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31AAE"/>
    <w:multiLevelType w:val="hybridMultilevel"/>
    <w:tmpl w:val="6720A3D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A012F1"/>
    <w:multiLevelType w:val="hybridMultilevel"/>
    <w:tmpl w:val="BAC822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1D78"/>
    <w:multiLevelType w:val="multilevel"/>
    <w:tmpl w:val="5A3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AF25F3"/>
    <w:multiLevelType w:val="hybridMultilevel"/>
    <w:tmpl w:val="84AC5E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E6816"/>
    <w:multiLevelType w:val="hybridMultilevel"/>
    <w:tmpl w:val="614AEC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91A4A"/>
    <w:multiLevelType w:val="hybridMultilevel"/>
    <w:tmpl w:val="DD8E4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F664B"/>
    <w:multiLevelType w:val="hybridMultilevel"/>
    <w:tmpl w:val="49AE1B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091F5F"/>
    <w:multiLevelType w:val="hybridMultilevel"/>
    <w:tmpl w:val="7F8A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94996"/>
    <w:multiLevelType w:val="hybridMultilevel"/>
    <w:tmpl w:val="63AAEF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33225"/>
    <w:multiLevelType w:val="hybridMultilevel"/>
    <w:tmpl w:val="342870D0"/>
    <w:lvl w:ilvl="0" w:tplc="042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1">
    <w:nsid w:val="7F3B55B3"/>
    <w:multiLevelType w:val="hybridMultilevel"/>
    <w:tmpl w:val="1422AB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4"/>
  </w:num>
  <w:num w:numId="4">
    <w:abstractNumId w:val="22"/>
  </w:num>
  <w:num w:numId="5">
    <w:abstractNumId w:val="4"/>
  </w:num>
  <w:num w:numId="6">
    <w:abstractNumId w:val="21"/>
  </w:num>
  <w:num w:numId="7">
    <w:abstractNumId w:val="15"/>
  </w:num>
  <w:num w:numId="8">
    <w:abstractNumId w:val="33"/>
  </w:num>
  <w:num w:numId="9">
    <w:abstractNumId w:val="26"/>
  </w:num>
  <w:num w:numId="10">
    <w:abstractNumId w:val="20"/>
  </w:num>
  <w:num w:numId="11">
    <w:abstractNumId w:val="19"/>
  </w:num>
  <w:num w:numId="12">
    <w:abstractNumId w:val="17"/>
  </w:num>
  <w:num w:numId="13">
    <w:abstractNumId w:val="30"/>
  </w:num>
  <w:num w:numId="14">
    <w:abstractNumId w:val="36"/>
  </w:num>
  <w:num w:numId="15">
    <w:abstractNumId w:val="25"/>
  </w:num>
  <w:num w:numId="16">
    <w:abstractNumId w:val="8"/>
  </w:num>
  <w:num w:numId="17">
    <w:abstractNumId w:val="41"/>
  </w:num>
  <w:num w:numId="18">
    <w:abstractNumId w:val="34"/>
  </w:num>
  <w:num w:numId="19">
    <w:abstractNumId w:val="31"/>
  </w:num>
  <w:num w:numId="20">
    <w:abstractNumId w:val="32"/>
  </w:num>
  <w:num w:numId="21">
    <w:abstractNumId w:val="37"/>
  </w:num>
  <w:num w:numId="22">
    <w:abstractNumId w:val="0"/>
  </w:num>
  <w:num w:numId="23">
    <w:abstractNumId w:val="40"/>
  </w:num>
  <w:num w:numId="24">
    <w:abstractNumId w:val="10"/>
  </w:num>
  <w:num w:numId="25">
    <w:abstractNumId w:val="18"/>
  </w:num>
  <w:num w:numId="26">
    <w:abstractNumId w:val="35"/>
  </w:num>
  <w:num w:numId="27">
    <w:abstractNumId w:val="11"/>
  </w:num>
  <w:num w:numId="28">
    <w:abstractNumId w:val="9"/>
  </w:num>
  <w:num w:numId="29">
    <w:abstractNumId w:val="1"/>
  </w:num>
  <w:num w:numId="30">
    <w:abstractNumId w:val="39"/>
  </w:num>
  <w:num w:numId="31">
    <w:abstractNumId w:val="29"/>
  </w:num>
  <w:num w:numId="32">
    <w:abstractNumId w:val="12"/>
  </w:num>
  <w:num w:numId="33">
    <w:abstractNumId w:val="13"/>
  </w:num>
  <w:num w:numId="34">
    <w:abstractNumId w:val="5"/>
  </w:num>
  <w:num w:numId="35">
    <w:abstractNumId w:val="14"/>
  </w:num>
  <w:num w:numId="36">
    <w:abstractNumId w:val="23"/>
  </w:num>
  <w:num w:numId="37">
    <w:abstractNumId w:val="27"/>
  </w:num>
  <w:num w:numId="38">
    <w:abstractNumId w:val="3"/>
  </w:num>
  <w:num w:numId="39">
    <w:abstractNumId w:val="38"/>
  </w:num>
  <w:num w:numId="40">
    <w:abstractNumId w:val="2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C7"/>
    <w:rsid w:val="00000B73"/>
    <w:rsid w:val="00011A34"/>
    <w:rsid w:val="00013BA9"/>
    <w:rsid w:val="00021803"/>
    <w:rsid w:val="00032340"/>
    <w:rsid w:val="0003315A"/>
    <w:rsid w:val="0006637A"/>
    <w:rsid w:val="00067419"/>
    <w:rsid w:val="000704F0"/>
    <w:rsid w:val="0007062E"/>
    <w:rsid w:val="00071244"/>
    <w:rsid w:val="00072333"/>
    <w:rsid w:val="00072B5C"/>
    <w:rsid w:val="0007436D"/>
    <w:rsid w:val="000862B8"/>
    <w:rsid w:val="000916D5"/>
    <w:rsid w:val="000A35F6"/>
    <w:rsid w:val="000B01FD"/>
    <w:rsid w:val="000B075F"/>
    <w:rsid w:val="000B62DB"/>
    <w:rsid w:val="000C2011"/>
    <w:rsid w:val="000D08AC"/>
    <w:rsid w:val="000D1B51"/>
    <w:rsid w:val="000E54CF"/>
    <w:rsid w:val="000F1743"/>
    <w:rsid w:val="000F62C8"/>
    <w:rsid w:val="00101D17"/>
    <w:rsid w:val="0010365A"/>
    <w:rsid w:val="00103E6A"/>
    <w:rsid w:val="001108A4"/>
    <w:rsid w:val="00112534"/>
    <w:rsid w:val="00121804"/>
    <w:rsid w:val="00132602"/>
    <w:rsid w:val="00132AC3"/>
    <w:rsid w:val="00133E66"/>
    <w:rsid w:val="0013629A"/>
    <w:rsid w:val="001415B9"/>
    <w:rsid w:val="00141F32"/>
    <w:rsid w:val="001420C0"/>
    <w:rsid w:val="0015365E"/>
    <w:rsid w:val="00153B4F"/>
    <w:rsid w:val="001568ED"/>
    <w:rsid w:val="00162955"/>
    <w:rsid w:val="00172169"/>
    <w:rsid w:val="00174D8B"/>
    <w:rsid w:val="00175A86"/>
    <w:rsid w:val="001805B0"/>
    <w:rsid w:val="001959B7"/>
    <w:rsid w:val="001C300D"/>
    <w:rsid w:val="001D1D06"/>
    <w:rsid w:val="001D6AFF"/>
    <w:rsid w:val="001E11F7"/>
    <w:rsid w:val="001E1C0E"/>
    <w:rsid w:val="001E2062"/>
    <w:rsid w:val="001E69C1"/>
    <w:rsid w:val="001E7DCF"/>
    <w:rsid w:val="001F4400"/>
    <w:rsid w:val="00202747"/>
    <w:rsid w:val="002130A7"/>
    <w:rsid w:val="00220779"/>
    <w:rsid w:val="00224CAD"/>
    <w:rsid w:val="00233320"/>
    <w:rsid w:val="00240BBD"/>
    <w:rsid w:val="00241C4D"/>
    <w:rsid w:val="002461EA"/>
    <w:rsid w:val="00261352"/>
    <w:rsid w:val="00264927"/>
    <w:rsid w:val="002677E1"/>
    <w:rsid w:val="002727A1"/>
    <w:rsid w:val="00273C67"/>
    <w:rsid w:val="00282F0E"/>
    <w:rsid w:val="0028552A"/>
    <w:rsid w:val="00286901"/>
    <w:rsid w:val="00290AFE"/>
    <w:rsid w:val="00290BEE"/>
    <w:rsid w:val="002927C4"/>
    <w:rsid w:val="002952F6"/>
    <w:rsid w:val="00296A40"/>
    <w:rsid w:val="0029713F"/>
    <w:rsid w:val="002A078C"/>
    <w:rsid w:val="002A5E8D"/>
    <w:rsid w:val="002B16AB"/>
    <w:rsid w:val="002C0A05"/>
    <w:rsid w:val="002C279B"/>
    <w:rsid w:val="002C4160"/>
    <w:rsid w:val="002C6ADC"/>
    <w:rsid w:val="002E2718"/>
    <w:rsid w:val="002F3886"/>
    <w:rsid w:val="00302211"/>
    <w:rsid w:val="003043F2"/>
    <w:rsid w:val="00311683"/>
    <w:rsid w:val="003123CF"/>
    <w:rsid w:val="00312A9D"/>
    <w:rsid w:val="0031363C"/>
    <w:rsid w:val="003246D6"/>
    <w:rsid w:val="00324EDF"/>
    <w:rsid w:val="00332964"/>
    <w:rsid w:val="0033623C"/>
    <w:rsid w:val="003455A8"/>
    <w:rsid w:val="003473DB"/>
    <w:rsid w:val="003631AE"/>
    <w:rsid w:val="00366437"/>
    <w:rsid w:val="0037162E"/>
    <w:rsid w:val="003733A5"/>
    <w:rsid w:val="00395B03"/>
    <w:rsid w:val="003A0D5E"/>
    <w:rsid w:val="003A55D2"/>
    <w:rsid w:val="003B0A83"/>
    <w:rsid w:val="003B382D"/>
    <w:rsid w:val="003B6C20"/>
    <w:rsid w:val="003B713E"/>
    <w:rsid w:val="003C4EFA"/>
    <w:rsid w:val="003C50E5"/>
    <w:rsid w:val="003D06C2"/>
    <w:rsid w:val="003D5284"/>
    <w:rsid w:val="003D5EEC"/>
    <w:rsid w:val="003E3D52"/>
    <w:rsid w:val="003F1C5D"/>
    <w:rsid w:val="003F2A44"/>
    <w:rsid w:val="00404F54"/>
    <w:rsid w:val="004052C0"/>
    <w:rsid w:val="00411477"/>
    <w:rsid w:val="0042140C"/>
    <w:rsid w:val="00425767"/>
    <w:rsid w:val="0042579B"/>
    <w:rsid w:val="00426B9F"/>
    <w:rsid w:val="00431527"/>
    <w:rsid w:val="004322E2"/>
    <w:rsid w:val="00432C48"/>
    <w:rsid w:val="00442197"/>
    <w:rsid w:val="004506B7"/>
    <w:rsid w:val="00450E81"/>
    <w:rsid w:val="00452C17"/>
    <w:rsid w:val="00456A69"/>
    <w:rsid w:val="00457AAB"/>
    <w:rsid w:val="00464221"/>
    <w:rsid w:val="00470F6F"/>
    <w:rsid w:val="00471AB3"/>
    <w:rsid w:val="004730A8"/>
    <w:rsid w:val="004771DC"/>
    <w:rsid w:val="00477F8F"/>
    <w:rsid w:val="00490F0F"/>
    <w:rsid w:val="00492E21"/>
    <w:rsid w:val="004A0ADA"/>
    <w:rsid w:val="004A2E74"/>
    <w:rsid w:val="004B6E29"/>
    <w:rsid w:val="004C330F"/>
    <w:rsid w:val="004C6BB8"/>
    <w:rsid w:val="004C7BF5"/>
    <w:rsid w:val="004C7DC0"/>
    <w:rsid w:val="004D5885"/>
    <w:rsid w:val="004E385C"/>
    <w:rsid w:val="004F0F29"/>
    <w:rsid w:val="004F3FA8"/>
    <w:rsid w:val="004F6DB9"/>
    <w:rsid w:val="00505592"/>
    <w:rsid w:val="005077BF"/>
    <w:rsid w:val="00511F36"/>
    <w:rsid w:val="005210EC"/>
    <w:rsid w:val="00521861"/>
    <w:rsid w:val="00525EDC"/>
    <w:rsid w:val="00535E91"/>
    <w:rsid w:val="00536E0F"/>
    <w:rsid w:val="00541BD0"/>
    <w:rsid w:val="00542B80"/>
    <w:rsid w:val="0055139D"/>
    <w:rsid w:val="005537EE"/>
    <w:rsid w:val="0055665C"/>
    <w:rsid w:val="005569C6"/>
    <w:rsid w:val="005615B2"/>
    <w:rsid w:val="00567CF1"/>
    <w:rsid w:val="0057661E"/>
    <w:rsid w:val="00580395"/>
    <w:rsid w:val="005906D2"/>
    <w:rsid w:val="005961E3"/>
    <w:rsid w:val="005A1396"/>
    <w:rsid w:val="005A6B48"/>
    <w:rsid w:val="005B3C22"/>
    <w:rsid w:val="005C0742"/>
    <w:rsid w:val="005C4000"/>
    <w:rsid w:val="005D100F"/>
    <w:rsid w:val="005F0588"/>
    <w:rsid w:val="005F3406"/>
    <w:rsid w:val="005F3687"/>
    <w:rsid w:val="005F42CF"/>
    <w:rsid w:val="00600A7E"/>
    <w:rsid w:val="006110D1"/>
    <w:rsid w:val="00614435"/>
    <w:rsid w:val="00623714"/>
    <w:rsid w:val="0062730F"/>
    <w:rsid w:val="0063324F"/>
    <w:rsid w:val="006425D3"/>
    <w:rsid w:val="006440D9"/>
    <w:rsid w:val="006464CC"/>
    <w:rsid w:val="00653FF7"/>
    <w:rsid w:val="00661746"/>
    <w:rsid w:val="006619E4"/>
    <w:rsid w:val="00661E0E"/>
    <w:rsid w:val="00662124"/>
    <w:rsid w:val="006668BF"/>
    <w:rsid w:val="00677669"/>
    <w:rsid w:val="00680F12"/>
    <w:rsid w:val="006A640A"/>
    <w:rsid w:val="006B2728"/>
    <w:rsid w:val="006C5533"/>
    <w:rsid w:val="006C57A6"/>
    <w:rsid w:val="006D06E8"/>
    <w:rsid w:val="006D17F3"/>
    <w:rsid w:val="006D390F"/>
    <w:rsid w:val="006D40A5"/>
    <w:rsid w:val="006D4D19"/>
    <w:rsid w:val="006E07C9"/>
    <w:rsid w:val="006E1C96"/>
    <w:rsid w:val="006E4696"/>
    <w:rsid w:val="006E52D2"/>
    <w:rsid w:val="006E785B"/>
    <w:rsid w:val="006F2A0A"/>
    <w:rsid w:val="006F2B86"/>
    <w:rsid w:val="006F5890"/>
    <w:rsid w:val="006F657C"/>
    <w:rsid w:val="00704BE7"/>
    <w:rsid w:val="00705CAC"/>
    <w:rsid w:val="00705D0C"/>
    <w:rsid w:val="007066BF"/>
    <w:rsid w:val="007133B0"/>
    <w:rsid w:val="007227B9"/>
    <w:rsid w:val="007233D8"/>
    <w:rsid w:val="00732551"/>
    <w:rsid w:val="00745B2A"/>
    <w:rsid w:val="00750F47"/>
    <w:rsid w:val="00752B47"/>
    <w:rsid w:val="00754D1A"/>
    <w:rsid w:val="007601FA"/>
    <w:rsid w:val="00762DBF"/>
    <w:rsid w:val="00763A0E"/>
    <w:rsid w:val="00763C1B"/>
    <w:rsid w:val="007676CE"/>
    <w:rsid w:val="0077038F"/>
    <w:rsid w:val="00780CD9"/>
    <w:rsid w:val="007855BF"/>
    <w:rsid w:val="00785F61"/>
    <w:rsid w:val="007868C1"/>
    <w:rsid w:val="00790E1B"/>
    <w:rsid w:val="007943A0"/>
    <w:rsid w:val="00794E73"/>
    <w:rsid w:val="00796D03"/>
    <w:rsid w:val="00797327"/>
    <w:rsid w:val="007B1C74"/>
    <w:rsid w:val="007B5AFA"/>
    <w:rsid w:val="007C01A9"/>
    <w:rsid w:val="007C10BF"/>
    <w:rsid w:val="007C26D1"/>
    <w:rsid w:val="007C7662"/>
    <w:rsid w:val="007D2E93"/>
    <w:rsid w:val="007D713A"/>
    <w:rsid w:val="007E03C4"/>
    <w:rsid w:val="007E2F30"/>
    <w:rsid w:val="007E47F3"/>
    <w:rsid w:val="007E5B2D"/>
    <w:rsid w:val="007F0329"/>
    <w:rsid w:val="007F523B"/>
    <w:rsid w:val="007F5E40"/>
    <w:rsid w:val="007F6222"/>
    <w:rsid w:val="008015E3"/>
    <w:rsid w:val="00803BDD"/>
    <w:rsid w:val="0081546A"/>
    <w:rsid w:val="00816227"/>
    <w:rsid w:val="00816897"/>
    <w:rsid w:val="008205E5"/>
    <w:rsid w:val="00823DD8"/>
    <w:rsid w:val="008325BE"/>
    <w:rsid w:val="0083441D"/>
    <w:rsid w:val="0083701F"/>
    <w:rsid w:val="00841BE7"/>
    <w:rsid w:val="00851993"/>
    <w:rsid w:val="00856743"/>
    <w:rsid w:val="00862781"/>
    <w:rsid w:val="00883FEA"/>
    <w:rsid w:val="0089298A"/>
    <w:rsid w:val="008A1F8E"/>
    <w:rsid w:val="008B4363"/>
    <w:rsid w:val="008B5D6B"/>
    <w:rsid w:val="008C7686"/>
    <w:rsid w:val="008D132C"/>
    <w:rsid w:val="008D1D51"/>
    <w:rsid w:val="008E3119"/>
    <w:rsid w:val="008E5E2E"/>
    <w:rsid w:val="008F1C93"/>
    <w:rsid w:val="008F2977"/>
    <w:rsid w:val="00900FAE"/>
    <w:rsid w:val="0090455A"/>
    <w:rsid w:val="00911D9D"/>
    <w:rsid w:val="0091212F"/>
    <w:rsid w:val="009203F8"/>
    <w:rsid w:val="009335E5"/>
    <w:rsid w:val="00947E2F"/>
    <w:rsid w:val="00950F50"/>
    <w:rsid w:val="00956991"/>
    <w:rsid w:val="00961569"/>
    <w:rsid w:val="00967A35"/>
    <w:rsid w:val="009711EA"/>
    <w:rsid w:val="00973619"/>
    <w:rsid w:val="009827E3"/>
    <w:rsid w:val="00990BED"/>
    <w:rsid w:val="009918C7"/>
    <w:rsid w:val="00992102"/>
    <w:rsid w:val="009924CF"/>
    <w:rsid w:val="009A245F"/>
    <w:rsid w:val="009B235E"/>
    <w:rsid w:val="009C376E"/>
    <w:rsid w:val="009C73C1"/>
    <w:rsid w:val="009D4F37"/>
    <w:rsid w:val="009E445A"/>
    <w:rsid w:val="009E6594"/>
    <w:rsid w:val="009F3F73"/>
    <w:rsid w:val="009F5AFE"/>
    <w:rsid w:val="00A12DCC"/>
    <w:rsid w:val="00A1515F"/>
    <w:rsid w:val="00A1586F"/>
    <w:rsid w:val="00A1636F"/>
    <w:rsid w:val="00A20760"/>
    <w:rsid w:val="00A23C1A"/>
    <w:rsid w:val="00A34EFC"/>
    <w:rsid w:val="00A37C09"/>
    <w:rsid w:val="00A40A70"/>
    <w:rsid w:val="00A411A1"/>
    <w:rsid w:val="00A47EAC"/>
    <w:rsid w:val="00A523A1"/>
    <w:rsid w:val="00A6220B"/>
    <w:rsid w:val="00A851F5"/>
    <w:rsid w:val="00AA64D0"/>
    <w:rsid w:val="00AB175F"/>
    <w:rsid w:val="00AB416D"/>
    <w:rsid w:val="00AB5915"/>
    <w:rsid w:val="00AB5ADB"/>
    <w:rsid w:val="00AC4F0C"/>
    <w:rsid w:val="00AD467E"/>
    <w:rsid w:val="00AD7879"/>
    <w:rsid w:val="00AE0979"/>
    <w:rsid w:val="00AF62B3"/>
    <w:rsid w:val="00B03629"/>
    <w:rsid w:val="00B06A5B"/>
    <w:rsid w:val="00B10042"/>
    <w:rsid w:val="00B1245E"/>
    <w:rsid w:val="00B25D26"/>
    <w:rsid w:val="00B36C86"/>
    <w:rsid w:val="00B413B7"/>
    <w:rsid w:val="00B42F09"/>
    <w:rsid w:val="00B57BEE"/>
    <w:rsid w:val="00B64B80"/>
    <w:rsid w:val="00B72C42"/>
    <w:rsid w:val="00B75576"/>
    <w:rsid w:val="00B77DAB"/>
    <w:rsid w:val="00B8228C"/>
    <w:rsid w:val="00B8401B"/>
    <w:rsid w:val="00B85D52"/>
    <w:rsid w:val="00B85E6E"/>
    <w:rsid w:val="00B940AD"/>
    <w:rsid w:val="00B962CC"/>
    <w:rsid w:val="00B96B5B"/>
    <w:rsid w:val="00BA20E9"/>
    <w:rsid w:val="00BC3184"/>
    <w:rsid w:val="00BC5E75"/>
    <w:rsid w:val="00BD6DF1"/>
    <w:rsid w:val="00BE35B0"/>
    <w:rsid w:val="00BE720A"/>
    <w:rsid w:val="00BE72CA"/>
    <w:rsid w:val="00BF21A1"/>
    <w:rsid w:val="00BF50EB"/>
    <w:rsid w:val="00C02C62"/>
    <w:rsid w:val="00C1022C"/>
    <w:rsid w:val="00C25244"/>
    <w:rsid w:val="00C30EEC"/>
    <w:rsid w:val="00C40201"/>
    <w:rsid w:val="00C411C7"/>
    <w:rsid w:val="00C5185D"/>
    <w:rsid w:val="00C547B2"/>
    <w:rsid w:val="00C5555E"/>
    <w:rsid w:val="00C6069B"/>
    <w:rsid w:val="00C62347"/>
    <w:rsid w:val="00C646DB"/>
    <w:rsid w:val="00C652DF"/>
    <w:rsid w:val="00C7151D"/>
    <w:rsid w:val="00C76CCD"/>
    <w:rsid w:val="00C80D0B"/>
    <w:rsid w:val="00C816E7"/>
    <w:rsid w:val="00C81867"/>
    <w:rsid w:val="00C867F8"/>
    <w:rsid w:val="00C91CAE"/>
    <w:rsid w:val="00C94E8E"/>
    <w:rsid w:val="00C95CF8"/>
    <w:rsid w:val="00C969F3"/>
    <w:rsid w:val="00CA54BE"/>
    <w:rsid w:val="00CB446B"/>
    <w:rsid w:val="00CC0539"/>
    <w:rsid w:val="00CD173F"/>
    <w:rsid w:val="00CE2A31"/>
    <w:rsid w:val="00CE7D57"/>
    <w:rsid w:val="00CF3A26"/>
    <w:rsid w:val="00CF3FCF"/>
    <w:rsid w:val="00D04024"/>
    <w:rsid w:val="00D066D4"/>
    <w:rsid w:val="00D15157"/>
    <w:rsid w:val="00D23CB0"/>
    <w:rsid w:val="00D3220E"/>
    <w:rsid w:val="00D3485D"/>
    <w:rsid w:val="00D356AB"/>
    <w:rsid w:val="00D44746"/>
    <w:rsid w:val="00D4652D"/>
    <w:rsid w:val="00D50877"/>
    <w:rsid w:val="00D537F6"/>
    <w:rsid w:val="00D57C62"/>
    <w:rsid w:val="00D64F8C"/>
    <w:rsid w:val="00D65DD1"/>
    <w:rsid w:val="00D668B5"/>
    <w:rsid w:val="00D7471F"/>
    <w:rsid w:val="00D762E2"/>
    <w:rsid w:val="00D81CAF"/>
    <w:rsid w:val="00D85F79"/>
    <w:rsid w:val="00D90160"/>
    <w:rsid w:val="00D9340A"/>
    <w:rsid w:val="00D9450E"/>
    <w:rsid w:val="00D947F8"/>
    <w:rsid w:val="00D96188"/>
    <w:rsid w:val="00DB11E5"/>
    <w:rsid w:val="00DB49E7"/>
    <w:rsid w:val="00DD450D"/>
    <w:rsid w:val="00DE01F9"/>
    <w:rsid w:val="00DE6D07"/>
    <w:rsid w:val="00DF29E1"/>
    <w:rsid w:val="00DF3A31"/>
    <w:rsid w:val="00E04069"/>
    <w:rsid w:val="00E04539"/>
    <w:rsid w:val="00E058B8"/>
    <w:rsid w:val="00E07E98"/>
    <w:rsid w:val="00E17988"/>
    <w:rsid w:val="00E246D8"/>
    <w:rsid w:val="00E24D38"/>
    <w:rsid w:val="00E250AC"/>
    <w:rsid w:val="00E25375"/>
    <w:rsid w:val="00E26B5E"/>
    <w:rsid w:val="00E274A7"/>
    <w:rsid w:val="00E3101A"/>
    <w:rsid w:val="00E31131"/>
    <w:rsid w:val="00E338E8"/>
    <w:rsid w:val="00E35DC4"/>
    <w:rsid w:val="00E37857"/>
    <w:rsid w:val="00E419AE"/>
    <w:rsid w:val="00E422EC"/>
    <w:rsid w:val="00E44C35"/>
    <w:rsid w:val="00E6412E"/>
    <w:rsid w:val="00E73EFB"/>
    <w:rsid w:val="00E77837"/>
    <w:rsid w:val="00E844C0"/>
    <w:rsid w:val="00E8638F"/>
    <w:rsid w:val="00E87AFC"/>
    <w:rsid w:val="00E94945"/>
    <w:rsid w:val="00EA1945"/>
    <w:rsid w:val="00EA4A97"/>
    <w:rsid w:val="00EA6050"/>
    <w:rsid w:val="00EB1A85"/>
    <w:rsid w:val="00EB588C"/>
    <w:rsid w:val="00EC21C3"/>
    <w:rsid w:val="00EC576B"/>
    <w:rsid w:val="00EC7EB4"/>
    <w:rsid w:val="00ED094D"/>
    <w:rsid w:val="00ED1578"/>
    <w:rsid w:val="00EE08AF"/>
    <w:rsid w:val="00EE2569"/>
    <w:rsid w:val="00EE2E20"/>
    <w:rsid w:val="00EE3356"/>
    <w:rsid w:val="00EE4FDE"/>
    <w:rsid w:val="00EF111C"/>
    <w:rsid w:val="00EF3927"/>
    <w:rsid w:val="00F02A09"/>
    <w:rsid w:val="00F14C7E"/>
    <w:rsid w:val="00F26114"/>
    <w:rsid w:val="00F270B7"/>
    <w:rsid w:val="00F3206C"/>
    <w:rsid w:val="00F411EC"/>
    <w:rsid w:val="00F44E87"/>
    <w:rsid w:val="00F52108"/>
    <w:rsid w:val="00F61A7B"/>
    <w:rsid w:val="00F6617D"/>
    <w:rsid w:val="00F73427"/>
    <w:rsid w:val="00F74ED5"/>
    <w:rsid w:val="00F8485C"/>
    <w:rsid w:val="00F8674D"/>
    <w:rsid w:val="00F924CD"/>
    <w:rsid w:val="00F9395A"/>
    <w:rsid w:val="00F97397"/>
    <w:rsid w:val="00FA00E2"/>
    <w:rsid w:val="00FA560A"/>
    <w:rsid w:val="00FA5F99"/>
    <w:rsid w:val="00FB04BD"/>
    <w:rsid w:val="00FC64BB"/>
    <w:rsid w:val="00FC6CB3"/>
    <w:rsid w:val="00FC7ABE"/>
    <w:rsid w:val="00FD2C46"/>
    <w:rsid w:val="00FD7651"/>
    <w:rsid w:val="00FD7C75"/>
    <w:rsid w:val="00FE06DC"/>
    <w:rsid w:val="00FE0843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7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33"/>
  </w:style>
  <w:style w:type="paragraph" w:styleId="Footer">
    <w:name w:val="footer"/>
    <w:basedOn w:val="Normal"/>
    <w:link w:val="FooterChar"/>
    <w:uiPriority w:val="99"/>
    <w:unhideWhenUsed/>
    <w:rsid w:val="000723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33"/>
  </w:style>
  <w:style w:type="character" w:styleId="Hyperlink">
    <w:name w:val="Hyperlink"/>
    <w:basedOn w:val="DefaultParagraphFont"/>
    <w:uiPriority w:val="99"/>
    <w:unhideWhenUsed/>
    <w:rsid w:val="005C074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506B7"/>
  </w:style>
  <w:style w:type="character" w:styleId="Emphasis">
    <w:name w:val="Emphasis"/>
    <w:basedOn w:val="DefaultParagraphFont"/>
    <w:uiPriority w:val="20"/>
    <w:qFormat/>
    <w:rsid w:val="007F52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523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662124"/>
    <w:pPr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124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62124"/>
    <w:rPr>
      <w:rFonts w:ascii="Times New Roman" w:hAnsi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3B7"/>
  </w:style>
  <w:style w:type="paragraph" w:styleId="NoSpacing">
    <w:name w:val="No Spacing"/>
    <w:uiPriority w:val="1"/>
    <w:qFormat/>
    <w:rsid w:val="0077038F"/>
    <w:rPr>
      <w:rFonts w:asciiTheme="minorHAnsi" w:eastAsiaTheme="minorEastAsia" w:hAnsiTheme="minorHAnsi" w:cstheme="minorBidi"/>
      <w:sz w:val="22"/>
      <w:szCs w:val="22"/>
    </w:rPr>
  </w:style>
  <w:style w:type="paragraph" w:customStyle="1" w:styleId="ti-doc-eph">
    <w:name w:val="ti-doc-eph"/>
    <w:basedOn w:val="Normal"/>
    <w:rsid w:val="00132A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7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33"/>
  </w:style>
  <w:style w:type="paragraph" w:styleId="Footer">
    <w:name w:val="footer"/>
    <w:basedOn w:val="Normal"/>
    <w:link w:val="FooterChar"/>
    <w:uiPriority w:val="99"/>
    <w:unhideWhenUsed/>
    <w:rsid w:val="000723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33"/>
  </w:style>
  <w:style w:type="character" w:styleId="Hyperlink">
    <w:name w:val="Hyperlink"/>
    <w:basedOn w:val="DefaultParagraphFont"/>
    <w:uiPriority w:val="99"/>
    <w:unhideWhenUsed/>
    <w:rsid w:val="005C074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506B7"/>
  </w:style>
  <w:style w:type="character" w:styleId="Emphasis">
    <w:name w:val="Emphasis"/>
    <w:basedOn w:val="DefaultParagraphFont"/>
    <w:uiPriority w:val="20"/>
    <w:qFormat/>
    <w:rsid w:val="007F52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523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662124"/>
    <w:pPr>
      <w:jc w:val="both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124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62124"/>
    <w:rPr>
      <w:rFonts w:ascii="Times New Roman" w:hAnsi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13B7"/>
  </w:style>
  <w:style w:type="paragraph" w:styleId="NoSpacing">
    <w:name w:val="No Spacing"/>
    <w:uiPriority w:val="1"/>
    <w:qFormat/>
    <w:rsid w:val="0077038F"/>
    <w:rPr>
      <w:rFonts w:asciiTheme="minorHAnsi" w:eastAsiaTheme="minorEastAsia" w:hAnsiTheme="minorHAnsi" w:cstheme="minorBidi"/>
      <w:sz w:val="22"/>
      <w:szCs w:val="22"/>
    </w:rPr>
  </w:style>
  <w:style w:type="paragraph" w:customStyle="1" w:styleId="ti-doc-eph">
    <w:name w:val="ti-doc-eph"/>
    <w:basedOn w:val="Normal"/>
    <w:rsid w:val="00132A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02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9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zm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77E-B93A-4492-8413-1DBF444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8576</Words>
  <Characters>4889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„Noteikumi par valsts vispārējās vidējās izglītības standartu un vispārējās vidējās izglītības programmu paraugiem” projekta sākotnējās ietekmes novērtējums (anotācija)</vt:lpstr>
      <vt:lpstr>Ministru kabineta noteikumu „Noteikumi par valsts vispārējās vidējās izglītības standartu un vispārējās vidējās izglītības programmu paraugiem” projekta sākotnējās ietekmes novērtējums (anotācija)</vt:lpstr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„Noteikumi par valsts vispārējās vidējās izglītības standartu un vispārējās vidējās izglītības programmu paraugiem” projekta sākotnējās ietekmes novērtējums (anotācija)</dc:title>
  <dc:creator>Ronalds Saksons</dc:creator>
  <dc:description/>
  <cp:lastModifiedBy>Ivars Zemļanskis</cp:lastModifiedBy>
  <cp:revision>10</cp:revision>
  <cp:lastPrinted>2019-07-15T08:33:00Z</cp:lastPrinted>
  <dcterms:created xsi:type="dcterms:W3CDTF">2020-02-13T11:08:00Z</dcterms:created>
  <dcterms:modified xsi:type="dcterms:W3CDTF">2020-02-18T11:05:00Z</dcterms:modified>
</cp:coreProperties>
</file>