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7993" w14:textId="3262C6D1" w:rsidR="00E960B9" w:rsidRPr="00336B05" w:rsidRDefault="00EB69BB" w:rsidP="00DA42E0">
      <w:pPr>
        <w:shd w:val="clear" w:color="auto" w:fill="FFFFFF"/>
        <w:spacing w:after="0" w:line="240" w:lineRule="auto"/>
        <w:jc w:val="center"/>
        <w:rPr>
          <w:rFonts w:ascii="Times New Roman" w:eastAsia="Times New Roman" w:hAnsi="Times New Roman" w:cs="Times New Roman"/>
          <w:b/>
          <w:sz w:val="28"/>
          <w:szCs w:val="28"/>
        </w:rPr>
      </w:pPr>
      <w:r w:rsidRPr="00336B05">
        <w:rPr>
          <w:rFonts w:ascii="Times New Roman" w:eastAsia="Times New Roman" w:hAnsi="Times New Roman" w:cs="Times New Roman"/>
          <w:b/>
          <w:sz w:val="28"/>
          <w:szCs w:val="28"/>
        </w:rPr>
        <w:t>Ministru kabineta noteikumu projekt</w:t>
      </w:r>
      <w:r w:rsidR="00CE7D7D" w:rsidRPr="00336B05">
        <w:rPr>
          <w:rFonts w:ascii="Times New Roman" w:eastAsia="Times New Roman" w:hAnsi="Times New Roman" w:cs="Times New Roman"/>
          <w:b/>
          <w:sz w:val="28"/>
          <w:szCs w:val="28"/>
        </w:rPr>
        <w:t>u</w:t>
      </w:r>
      <w:r w:rsidRPr="00336B05">
        <w:rPr>
          <w:rFonts w:ascii="Times New Roman" w:eastAsia="Times New Roman" w:hAnsi="Times New Roman" w:cs="Times New Roman"/>
          <w:b/>
          <w:sz w:val="28"/>
          <w:szCs w:val="28"/>
        </w:rPr>
        <w:t xml:space="preserve"> </w:t>
      </w:r>
      <w:r w:rsidRPr="00336B05">
        <w:rPr>
          <w:rFonts w:ascii="Times New Roman" w:eastAsia="Times New Roman" w:hAnsi="Times New Roman" w:cs="Times New Roman"/>
          <w:b/>
          <w:sz w:val="28"/>
          <w:szCs w:val="28"/>
        </w:rPr>
        <w:br/>
      </w:r>
      <w:r w:rsidR="002827F4">
        <w:rPr>
          <w:rFonts w:ascii="Times New Roman" w:eastAsia="Times New Roman" w:hAnsi="Times New Roman" w:cs="Times New Roman"/>
          <w:b/>
          <w:sz w:val="28"/>
          <w:szCs w:val="28"/>
        </w:rPr>
        <w:t>“</w:t>
      </w:r>
      <w:r w:rsidR="00CF4F75" w:rsidRPr="00336B05">
        <w:rPr>
          <w:rFonts w:ascii="Times New Roman" w:eastAsia="Times New Roman" w:hAnsi="Times New Roman" w:cs="Times New Roman"/>
          <w:b/>
          <w:sz w:val="28"/>
          <w:szCs w:val="28"/>
        </w:rPr>
        <w:t xml:space="preserve">Grozījumi Ministru kabineta 2019. gada 25. jūnija noteikumos </w:t>
      </w:r>
      <w:r w:rsidR="00CF4F75" w:rsidRPr="00336B05">
        <w:rPr>
          <w:rFonts w:ascii="Times New Roman" w:eastAsia="Times New Roman" w:hAnsi="Times New Roman" w:cs="Times New Roman"/>
          <w:b/>
          <w:sz w:val="28"/>
          <w:szCs w:val="28"/>
        </w:rPr>
        <w:br/>
      </w:r>
      <w:r w:rsidRPr="00336B05">
        <w:rPr>
          <w:rFonts w:ascii="Times New Roman" w:eastAsia="Times New Roman" w:hAnsi="Times New Roman" w:cs="Times New Roman"/>
          <w:b/>
          <w:sz w:val="28"/>
          <w:szCs w:val="28"/>
        </w:rPr>
        <w:t>“Valsts izglītības informācijas sistēmas noteikumi”</w:t>
      </w:r>
      <w:r w:rsidR="002827F4">
        <w:rPr>
          <w:rFonts w:ascii="Times New Roman" w:eastAsia="Times New Roman" w:hAnsi="Times New Roman" w:cs="Times New Roman"/>
          <w:b/>
          <w:sz w:val="28"/>
          <w:szCs w:val="28"/>
        </w:rPr>
        <w:t>”</w:t>
      </w:r>
      <w:r w:rsidRPr="00336B05">
        <w:rPr>
          <w:rFonts w:ascii="Times New Roman" w:eastAsia="Times New Roman" w:hAnsi="Times New Roman" w:cs="Times New Roman"/>
          <w:b/>
          <w:sz w:val="28"/>
          <w:szCs w:val="28"/>
        </w:rPr>
        <w:t xml:space="preserve"> </w:t>
      </w:r>
      <w:r w:rsidR="00CE7D7D" w:rsidRPr="00336B05">
        <w:rPr>
          <w:rFonts w:ascii="Times New Roman" w:eastAsia="Times New Roman" w:hAnsi="Times New Roman" w:cs="Times New Roman"/>
          <w:b/>
          <w:sz w:val="28"/>
          <w:szCs w:val="28"/>
        </w:rPr>
        <w:t xml:space="preserve">un </w:t>
      </w:r>
      <w:r w:rsidR="002827F4">
        <w:rPr>
          <w:rFonts w:ascii="Times New Roman" w:eastAsia="Times New Roman" w:hAnsi="Times New Roman" w:cs="Times New Roman"/>
          <w:b/>
          <w:sz w:val="28"/>
          <w:szCs w:val="28"/>
        </w:rPr>
        <w:t>“</w:t>
      </w:r>
      <w:r w:rsidR="00CE7D7D" w:rsidRPr="00336B05">
        <w:rPr>
          <w:rFonts w:ascii="Times New Roman" w:eastAsia="Times New Roman" w:hAnsi="Times New Roman" w:cs="Times New Roman"/>
          <w:b/>
          <w:sz w:val="28"/>
          <w:szCs w:val="28"/>
        </w:rPr>
        <w:t>Grozījumi Ministru kabineta 2006. gada 10. oktobra noteikumos Nr. 846 "Noteikumi par prasībām, kritērijiem un kārtību uzņemšanai studiju programmās"</w:t>
      </w:r>
      <w:r w:rsidR="002827F4">
        <w:rPr>
          <w:rFonts w:ascii="Times New Roman" w:eastAsia="Times New Roman" w:hAnsi="Times New Roman" w:cs="Times New Roman"/>
          <w:b/>
          <w:sz w:val="28"/>
          <w:szCs w:val="28"/>
        </w:rPr>
        <w:t>”</w:t>
      </w:r>
    </w:p>
    <w:p w14:paraId="1A907994" w14:textId="3184DC1E" w:rsidR="00E960B9" w:rsidRPr="00336B05" w:rsidRDefault="00EB69BB">
      <w:pPr>
        <w:shd w:val="clear" w:color="auto" w:fill="FFFFFF"/>
        <w:spacing w:after="0" w:line="240" w:lineRule="auto"/>
        <w:jc w:val="center"/>
        <w:rPr>
          <w:rFonts w:ascii="Times New Roman" w:eastAsia="Times New Roman" w:hAnsi="Times New Roman" w:cs="Times New Roman"/>
          <w:b/>
          <w:sz w:val="28"/>
          <w:szCs w:val="28"/>
        </w:rPr>
      </w:pPr>
      <w:r w:rsidRPr="00336B05">
        <w:rPr>
          <w:rFonts w:ascii="Times New Roman" w:eastAsia="Times New Roman" w:hAnsi="Times New Roman" w:cs="Times New Roman"/>
          <w:b/>
          <w:sz w:val="28"/>
          <w:szCs w:val="28"/>
        </w:rPr>
        <w:t>sākotnējās ietekmes novērtējuma ziņojums (anotācija)</w:t>
      </w:r>
    </w:p>
    <w:p w14:paraId="1A907995" w14:textId="77777777" w:rsidR="00E960B9" w:rsidRPr="00336B05" w:rsidRDefault="00E960B9">
      <w:pPr>
        <w:spacing w:after="0" w:line="240" w:lineRule="auto"/>
        <w:rPr>
          <w:rFonts w:ascii="Times New Roman" w:eastAsia="Times New Roman" w:hAnsi="Times New Roman" w:cs="Times New Roman"/>
          <w:sz w:val="24"/>
          <w:szCs w:val="24"/>
        </w:rPr>
      </w:pP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42"/>
        <w:gridCol w:w="5983"/>
      </w:tblGrid>
      <w:tr w:rsidR="00E960B9" w:rsidRPr="00336B05" w14:paraId="1A907997" w14:textId="77777777">
        <w:tc>
          <w:tcPr>
            <w:tcW w:w="9125" w:type="dxa"/>
            <w:gridSpan w:val="2"/>
            <w:tcBorders>
              <w:bottom w:val="single" w:sz="4" w:space="0" w:color="000000"/>
            </w:tcBorders>
            <w:vAlign w:val="center"/>
          </w:tcPr>
          <w:p w14:paraId="1A907996"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Tiesību akta projekta anotācijas kopsavilkums</w:t>
            </w:r>
          </w:p>
        </w:tc>
      </w:tr>
      <w:tr w:rsidR="00E960B9" w:rsidRPr="00336B05" w14:paraId="1A90799A" w14:textId="77777777">
        <w:trPr>
          <w:trHeight w:val="700"/>
        </w:trPr>
        <w:tc>
          <w:tcPr>
            <w:tcW w:w="3142" w:type="dxa"/>
            <w:tcBorders>
              <w:bottom w:val="single" w:sz="4" w:space="0" w:color="000000"/>
            </w:tcBorders>
          </w:tcPr>
          <w:p w14:paraId="1A907998"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Mērķis, risinājums un projekta spēkā stāšanās laiks</w:t>
            </w:r>
          </w:p>
        </w:tc>
        <w:tc>
          <w:tcPr>
            <w:tcW w:w="5983" w:type="dxa"/>
            <w:tcBorders>
              <w:bottom w:val="single" w:sz="4" w:space="0" w:color="000000"/>
            </w:tcBorders>
          </w:tcPr>
          <w:p w14:paraId="7E109846" w14:textId="7D6B92F1" w:rsidR="00CF4F75" w:rsidRPr="00336B05" w:rsidRDefault="00A46E7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Noteikumu projekta </w:t>
            </w:r>
            <w:r w:rsidR="002827F4">
              <w:rPr>
                <w:rFonts w:ascii="Times New Roman" w:eastAsia="Times New Roman" w:hAnsi="Times New Roman" w:cs="Times New Roman"/>
                <w:sz w:val="24"/>
                <w:szCs w:val="24"/>
              </w:rPr>
              <w:t>“</w:t>
            </w:r>
            <w:r w:rsidRPr="00336B05">
              <w:rPr>
                <w:rFonts w:ascii="Times New Roman" w:eastAsia="Times New Roman" w:hAnsi="Times New Roman"/>
                <w:sz w:val="24"/>
                <w:szCs w:val="24"/>
              </w:rPr>
              <w:t xml:space="preserve">Grozījumi Ministru kabineta </w:t>
            </w:r>
            <w:r w:rsidR="00336B05" w:rsidRPr="00336B05">
              <w:rPr>
                <w:rFonts w:ascii="Times New Roman" w:eastAsia="Times New Roman" w:hAnsi="Times New Roman"/>
                <w:sz w:val="24"/>
                <w:szCs w:val="24"/>
              </w:rPr>
              <w:t>2019</w:t>
            </w:r>
            <w:r w:rsidRPr="00336B05">
              <w:rPr>
                <w:rFonts w:ascii="Times New Roman" w:eastAsia="Times New Roman" w:hAnsi="Times New Roman"/>
                <w:sz w:val="24"/>
                <w:szCs w:val="24"/>
              </w:rPr>
              <w:t xml:space="preserve">. gada 25. jūnija noteikumos Nr. 276 “Valsts izglītības informācijas sistēmas noteikumi”” (turpmāk – </w:t>
            </w:r>
            <w:r w:rsidR="002827F4">
              <w:rPr>
                <w:rFonts w:ascii="Times New Roman" w:eastAsia="Times New Roman" w:hAnsi="Times New Roman"/>
                <w:sz w:val="24"/>
                <w:szCs w:val="24"/>
              </w:rPr>
              <w:t>1.</w:t>
            </w:r>
            <w:r w:rsidR="001909DC">
              <w:t> </w:t>
            </w:r>
            <w:r w:rsidRPr="00336B05">
              <w:rPr>
                <w:rFonts w:ascii="Times New Roman" w:eastAsia="Times New Roman" w:hAnsi="Times New Roman"/>
                <w:sz w:val="24"/>
                <w:szCs w:val="24"/>
              </w:rPr>
              <w:t xml:space="preserve">noteikumu projekts) mērķis ir </w:t>
            </w:r>
            <w:r w:rsidR="00E54ABE" w:rsidRPr="00336B05">
              <w:rPr>
                <w:rFonts w:ascii="Times New Roman" w:eastAsia="Times New Roman" w:hAnsi="Times New Roman"/>
                <w:sz w:val="24"/>
                <w:szCs w:val="24"/>
              </w:rPr>
              <w:t>noteikt Valsts izglītības informācijas sistēmas (turpmāk –</w:t>
            </w:r>
            <w:r w:rsidR="001909DC">
              <w:rPr>
                <w:rFonts w:ascii="Times New Roman" w:eastAsia="Times New Roman" w:hAnsi="Times New Roman"/>
                <w:sz w:val="24"/>
                <w:szCs w:val="24"/>
              </w:rPr>
              <w:t xml:space="preserve"> </w:t>
            </w:r>
            <w:r w:rsidR="00E54ABE" w:rsidRPr="00336B05">
              <w:rPr>
                <w:rFonts w:ascii="Times New Roman" w:eastAsia="Times New Roman" w:hAnsi="Times New Roman"/>
                <w:sz w:val="24"/>
                <w:szCs w:val="24"/>
              </w:rPr>
              <w:t xml:space="preserve">VIIS) saturu attiecībā uz Ārvalstīs izsniegto izglītības dokumentu reģistru, izmaiņām studējošo kreditēšanas noteikumos un precizētu statistikas vajadzībām nepieciešamo </w:t>
            </w:r>
            <w:r w:rsidR="002827F4">
              <w:rPr>
                <w:rFonts w:ascii="Times New Roman" w:eastAsia="Times New Roman" w:hAnsi="Times New Roman"/>
                <w:sz w:val="24"/>
                <w:szCs w:val="24"/>
              </w:rPr>
              <w:t xml:space="preserve">VIIS iekļaujamo </w:t>
            </w:r>
            <w:r w:rsidR="00E54ABE" w:rsidRPr="00336B05">
              <w:rPr>
                <w:rFonts w:ascii="Times New Roman" w:eastAsia="Times New Roman" w:hAnsi="Times New Roman"/>
                <w:sz w:val="24"/>
                <w:szCs w:val="24"/>
              </w:rPr>
              <w:t xml:space="preserve">datu apjomu. </w:t>
            </w:r>
            <w:r w:rsidR="00CE7D7D" w:rsidRPr="00336B05">
              <w:rPr>
                <w:rFonts w:ascii="Times New Roman" w:eastAsia="Times New Roman" w:hAnsi="Times New Roman"/>
                <w:sz w:val="24"/>
                <w:szCs w:val="24"/>
              </w:rPr>
              <w:t>Noteikumu projekta Grozījumi Ministru kabineta 2006. gada 10. oktobra noteikumos Nr. 846 "Noteikumi par prasībām, kritērijiem un kārtību uzņemšanai studiju programmās"</w:t>
            </w:r>
            <w:r w:rsidR="002827F4">
              <w:rPr>
                <w:rFonts w:ascii="Times New Roman" w:eastAsia="Times New Roman" w:hAnsi="Times New Roman"/>
                <w:sz w:val="24"/>
                <w:szCs w:val="24"/>
              </w:rPr>
              <w:t xml:space="preserve"> (turpmāk – 2.</w:t>
            </w:r>
            <w:r w:rsidR="002007C2">
              <w:t> </w:t>
            </w:r>
            <w:r w:rsidR="002827F4">
              <w:rPr>
                <w:rFonts w:ascii="Times New Roman" w:eastAsia="Times New Roman" w:hAnsi="Times New Roman"/>
                <w:sz w:val="24"/>
                <w:szCs w:val="24"/>
              </w:rPr>
              <w:t>noteikumu projekts)</w:t>
            </w:r>
            <w:r w:rsidR="00CE7D7D" w:rsidRPr="00336B05">
              <w:rPr>
                <w:rFonts w:ascii="Times New Roman" w:eastAsia="Times New Roman" w:hAnsi="Times New Roman"/>
                <w:sz w:val="24"/>
                <w:szCs w:val="24"/>
              </w:rPr>
              <w:t xml:space="preserve"> mērķis ir precizēt</w:t>
            </w:r>
            <w:r w:rsidR="00820D31">
              <w:rPr>
                <w:rFonts w:ascii="Times New Roman" w:eastAsia="Times New Roman" w:hAnsi="Times New Roman"/>
                <w:sz w:val="24"/>
                <w:szCs w:val="24"/>
              </w:rPr>
              <w:t>,</w:t>
            </w:r>
            <w:r w:rsidR="00CE7D7D" w:rsidRPr="00336B05">
              <w:rPr>
                <w:rFonts w:ascii="Times New Roman" w:eastAsia="Times New Roman" w:hAnsi="Times New Roman"/>
                <w:sz w:val="24"/>
                <w:szCs w:val="24"/>
              </w:rPr>
              <w:t xml:space="preserve"> kādos gadījumos no </w:t>
            </w:r>
            <w:r w:rsidR="002827F4">
              <w:rPr>
                <w:rFonts w:ascii="Times New Roman" w:eastAsia="Times New Roman" w:hAnsi="Times New Roman"/>
                <w:sz w:val="24"/>
                <w:szCs w:val="24"/>
              </w:rPr>
              <w:t>VIIS</w:t>
            </w:r>
            <w:r w:rsidR="00CE7D7D" w:rsidRPr="00336B05">
              <w:rPr>
                <w:rFonts w:ascii="Times New Roman" w:eastAsia="Times New Roman" w:hAnsi="Times New Roman"/>
                <w:sz w:val="24"/>
                <w:szCs w:val="24"/>
              </w:rPr>
              <w:t xml:space="preserve"> tiek nodoti dati augstskolu informācijas sistēmām, lai nodrošinātu reflektantu uzņemšanu. Tiek precizēts arī nododamo datu apjoms. </w:t>
            </w:r>
          </w:p>
          <w:p w14:paraId="1A907999" w14:textId="5C3ED148" w:rsidR="00E960B9" w:rsidRPr="00336B05" w:rsidRDefault="00CE7D7D" w:rsidP="00CE7D7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Abi minētie n</w:t>
            </w:r>
            <w:r w:rsidR="00EB69BB" w:rsidRPr="00336B05">
              <w:rPr>
                <w:rFonts w:ascii="Times New Roman" w:eastAsia="Times New Roman" w:hAnsi="Times New Roman" w:cs="Times New Roman"/>
                <w:sz w:val="24"/>
                <w:szCs w:val="24"/>
              </w:rPr>
              <w:t>oteikumu projekt</w:t>
            </w:r>
            <w:r w:rsidRPr="00336B05">
              <w:rPr>
                <w:rFonts w:ascii="Times New Roman" w:eastAsia="Times New Roman" w:hAnsi="Times New Roman" w:cs="Times New Roman"/>
                <w:sz w:val="24"/>
                <w:szCs w:val="24"/>
              </w:rPr>
              <w:t>i</w:t>
            </w:r>
            <w:r w:rsidR="00EB69BB" w:rsidRPr="00336B05">
              <w:rPr>
                <w:rFonts w:ascii="Times New Roman" w:eastAsia="Times New Roman" w:hAnsi="Times New Roman" w:cs="Times New Roman"/>
                <w:sz w:val="24"/>
                <w:szCs w:val="24"/>
              </w:rPr>
              <w:t xml:space="preserve"> stājas spēkā pē</w:t>
            </w:r>
            <w:r w:rsidR="00A46E7D" w:rsidRPr="00336B05">
              <w:rPr>
                <w:rFonts w:ascii="Times New Roman" w:eastAsia="Times New Roman" w:hAnsi="Times New Roman" w:cs="Times New Roman"/>
                <w:sz w:val="24"/>
                <w:szCs w:val="24"/>
              </w:rPr>
              <w:t>c pieņemšanas Ministru kabinetā, atsevišķi noteikumu projekta punkti stāj</w:t>
            </w:r>
            <w:r w:rsidR="00BE01D3">
              <w:rPr>
                <w:rFonts w:ascii="Times New Roman" w:eastAsia="Times New Roman" w:hAnsi="Times New Roman" w:cs="Times New Roman"/>
                <w:sz w:val="24"/>
                <w:szCs w:val="24"/>
              </w:rPr>
              <w:t xml:space="preserve">as spēkā 2020. gada 1. aprīlī, 2020. gada 1. jūnijā un 2021. gadā. </w:t>
            </w:r>
          </w:p>
        </w:tc>
      </w:tr>
    </w:tbl>
    <w:p w14:paraId="1A90799B"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tbl>
      <w:tblPr>
        <w:tblW w:w="922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91"/>
        <w:gridCol w:w="2602"/>
        <w:gridCol w:w="6028"/>
      </w:tblGrid>
      <w:tr w:rsidR="00E960B9" w:rsidRPr="00336B05" w14:paraId="1A90799D"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A90799C"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I. Tiesību akta projekta izstrādes nepieciešamība</w:t>
            </w:r>
          </w:p>
        </w:tc>
      </w:tr>
      <w:tr w:rsidR="00E960B9" w:rsidRPr="00336B05" w14:paraId="1A9079A2" w14:textId="77777777">
        <w:tc>
          <w:tcPr>
            <w:tcW w:w="591" w:type="dxa"/>
            <w:tcBorders>
              <w:top w:val="single" w:sz="6" w:space="0" w:color="000000"/>
              <w:left w:val="single" w:sz="6" w:space="0" w:color="000000"/>
              <w:bottom w:val="single" w:sz="6" w:space="0" w:color="000000"/>
              <w:right w:val="single" w:sz="6" w:space="0" w:color="000000"/>
            </w:tcBorders>
          </w:tcPr>
          <w:p w14:paraId="1A90799E"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2602" w:type="dxa"/>
            <w:tcBorders>
              <w:top w:val="single" w:sz="6" w:space="0" w:color="000000"/>
              <w:left w:val="single" w:sz="6" w:space="0" w:color="000000"/>
              <w:bottom w:val="single" w:sz="6" w:space="0" w:color="000000"/>
              <w:right w:val="single" w:sz="6" w:space="0" w:color="000000"/>
            </w:tcBorders>
          </w:tcPr>
          <w:p w14:paraId="1A90799F"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Pamatojums</w:t>
            </w:r>
          </w:p>
        </w:tc>
        <w:tc>
          <w:tcPr>
            <w:tcW w:w="6028" w:type="dxa"/>
            <w:tcBorders>
              <w:top w:val="single" w:sz="6" w:space="0" w:color="000000"/>
              <w:left w:val="single" w:sz="6" w:space="0" w:color="000000"/>
              <w:bottom w:val="single" w:sz="6" w:space="0" w:color="000000"/>
              <w:right w:val="single" w:sz="6" w:space="0" w:color="000000"/>
            </w:tcBorders>
          </w:tcPr>
          <w:p w14:paraId="5C4DE41C" w14:textId="19B9D3FE" w:rsidR="00485BC0" w:rsidRPr="00336B05" w:rsidRDefault="002827F4" w:rsidP="00485BC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n</w:t>
            </w:r>
            <w:r w:rsidR="00485BC0" w:rsidRPr="00336B05">
              <w:rPr>
                <w:rFonts w:ascii="Times New Roman" w:eastAsia="Times New Roman" w:hAnsi="Times New Roman"/>
                <w:sz w:val="24"/>
                <w:szCs w:val="24"/>
              </w:rPr>
              <w:t xml:space="preserve">oteikumu projekts </w:t>
            </w:r>
            <w:r w:rsidR="00BB12D0">
              <w:rPr>
                <w:rFonts w:ascii="Times New Roman" w:eastAsia="Times New Roman" w:hAnsi="Times New Roman"/>
                <w:sz w:val="24"/>
                <w:szCs w:val="24"/>
              </w:rPr>
              <w:t xml:space="preserve"> ir izstrādāts</w:t>
            </w:r>
            <w:r w:rsidR="00485BC0" w:rsidRPr="00336B05">
              <w:rPr>
                <w:rFonts w:ascii="Times New Roman" w:eastAsia="Times New Roman" w:hAnsi="Times New Roman"/>
                <w:sz w:val="24"/>
                <w:szCs w:val="24"/>
              </w:rPr>
              <w:t>:</w:t>
            </w:r>
          </w:p>
          <w:p w14:paraId="0D86A885" w14:textId="0D88CCC6" w:rsidR="00485BC0" w:rsidRPr="00336B05" w:rsidRDefault="00485BC0" w:rsidP="00485BC0">
            <w:pPr>
              <w:spacing w:after="0" w:line="240" w:lineRule="auto"/>
              <w:jc w:val="both"/>
              <w:rPr>
                <w:rFonts w:ascii="Times New Roman" w:eastAsia="Times New Roman" w:hAnsi="Times New Roman"/>
                <w:sz w:val="24"/>
                <w:szCs w:val="24"/>
              </w:rPr>
            </w:pPr>
            <w:r w:rsidRPr="00336B05">
              <w:rPr>
                <w:rFonts w:ascii="Times New Roman" w:eastAsia="Times New Roman" w:hAnsi="Times New Roman"/>
                <w:sz w:val="24"/>
                <w:szCs w:val="24"/>
              </w:rPr>
              <w:t>1.</w:t>
            </w:r>
            <w:r w:rsidR="00E54ABE" w:rsidRPr="00336B05">
              <w:rPr>
                <w:rFonts w:ascii="Times New Roman" w:eastAsia="Times New Roman" w:hAnsi="Times New Roman"/>
                <w:sz w:val="24"/>
                <w:szCs w:val="24"/>
              </w:rPr>
              <w:t xml:space="preserve"> pamatojoties uz Izglītības likuma 11.</w:t>
            </w:r>
            <w:r w:rsidR="00E54ABE" w:rsidRPr="00336B05">
              <w:rPr>
                <w:rFonts w:ascii="Times New Roman" w:eastAsia="Times New Roman" w:hAnsi="Times New Roman"/>
                <w:sz w:val="24"/>
                <w:szCs w:val="24"/>
                <w:vertAlign w:val="superscript"/>
              </w:rPr>
              <w:t>2</w:t>
            </w:r>
            <w:r w:rsidR="00E54ABE" w:rsidRPr="00336B05">
              <w:rPr>
                <w:rFonts w:ascii="Times New Roman" w:eastAsia="Times New Roman" w:hAnsi="Times New Roman"/>
                <w:sz w:val="24"/>
                <w:szCs w:val="24"/>
              </w:rPr>
              <w:t xml:space="preserve"> panta sesto daļu, kas nosaka, ka kārtību, kādā ziņas iekļaujamas Ārvalstīs izsniegto izglītības dokumentu reģistrā, kā arī kārtību, kādā nodrošināma tajā iekļauto datu pieejamība, nosaka Ministru kabinets.</w:t>
            </w:r>
          </w:p>
          <w:p w14:paraId="4A9FAE27" w14:textId="19FF1114" w:rsidR="00E960B9" w:rsidRPr="002158C1" w:rsidRDefault="00485BC0" w:rsidP="00485BC0">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sz w:val="24"/>
                <w:szCs w:val="24"/>
              </w:rPr>
              <w:t xml:space="preserve">2.  pamatojoties uz Ministru kabineta 2019. gada 17. jūlija </w:t>
            </w:r>
            <w:r w:rsidRPr="00336B05">
              <w:rPr>
                <w:rFonts w:ascii="Times New Roman" w:eastAsia="Times New Roman" w:hAnsi="Times New Roman"/>
                <w:bCs/>
                <w:sz w:val="24"/>
                <w:szCs w:val="24"/>
              </w:rPr>
              <w:t>rīkojuma Nr. 382</w:t>
            </w:r>
            <w:r w:rsidRPr="00336B05">
              <w:rPr>
                <w:rFonts w:ascii="Times New Roman" w:eastAsia="Times New Roman" w:hAnsi="Times New Roman"/>
                <w:b/>
                <w:bCs/>
                <w:sz w:val="24"/>
                <w:szCs w:val="24"/>
              </w:rPr>
              <w:t xml:space="preserve"> “</w:t>
            </w:r>
            <w:r w:rsidRPr="00336B05">
              <w:rPr>
                <w:rFonts w:ascii="Times New Roman" w:eastAsia="Times New Roman" w:hAnsi="Times New Roman"/>
                <w:sz w:val="24"/>
                <w:szCs w:val="24"/>
              </w:rPr>
              <w:t>Par konceptuālo ziņojumu "Par studiju un studējošo kreditēšanas no kredītiestāžu līdzekļiem ar valsts vārdā sniegto galvojumu modeļa maiņu” 3. punkt</w:t>
            </w:r>
            <w:r w:rsidR="002827F4">
              <w:rPr>
                <w:rFonts w:ascii="Times New Roman" w:eastAsia="Times New Roman" w:hAnsi="Times New Roman"/>
                <w:sz w:val="24"/>
                <w:szCs w:val="24"/>
              </w:rPr>
              <w:t>ā</w:t>
            </w:r>
            <w:r w:rsidRPr="00336B05">
              <w:rPr>
                <w:rFonts w:ascii="Times New Roman" w:eastAsia="Times New Roman" w:hAnsi="Times New Roman"/>
                <w:sz w:val="24"/>
                <w:szCs w:val="24"/>
              </w:rPr>
              <w:t xml:space="preserve"> (turpmāk - rīkojums) (prot. Nr. 33 76. </w:t>
            </w:r>
            <w:r w:rsidRPr="00AD262D">
              <w:rPr>
                <w:rFonts w:ascii="Times New Roman" w:eastAsia="Times New Roman" w:hAnsi="Times New Roman" w:cs="Times New Roman"/>
                <w:sz w:val="24"/>
                <w:szCs w:val="24"/>
              </w:rPr>
              <w:t>§)</w:t>
            </w:r>
            <w:r w:rsidR="002827F4" w:rsidRPr="00AD262D">
              <w:rPr>
                <w:rFonts w:ascii="Times New Roman" w:eastAsia="Times New Roman" w:hAnsi="Times New Roman" w:cs="Times New Roman"/>
                <w:sz w:val="24"/>
                <w:szCs w:val="24"/>
              </w:rPr>
              <w:t xml:space="preserve"> noteikto, kas paredz</w:t>
            </w:r>
            <w:r w:rsidR="00AD262D" w:rsidRPr="00B07D67">
              <w:rPr>
                <w:rFonts w:ascii="Times New Roman" w:hAnsi="Times New Roman" w:cs="Times New Roman"/>
                <w:sz w:val="24"/>
                <w:szCs w:val="24"/>
              </w:rPr>
              <w:t xml:space="preserve"> veikt grozījumus normatīvajos aktos par Valsts izglītības informācijas sistēmu sa</w:t>
            </w:r>
            <w:r w:rsidR="002158C1">
              <w:rPr>
                <w:rFonts w:ascii="Times New Roman" w:hAnsi="Times New Roman" w:cs="Times New Roman"/>
                <w:sz w:val="24"/>
                <w:szCs w:val="24"/>
              </w:rPr>
              <w:t>ist</w:t>
            </w:r>
            <w:r w:rsidR="00AD262D" w:rsidRPr="00B07D67">
              <w:rPr>
                <w:rFonts w:ascii="Times New Roman" w:hAnsi="Times New Roman" w:cs="Times New Roman"/>
                <w:sz w:val="24"/>
                <w:szCs w:val="24"/>
              </w:rPr>
              <w:t xml:space="preserve">ībā ar </w:t>
            </w:r>
            <w:r w:rsidR="00AD262D" w:rsidRPr="00AD262D">
              <w:rPr>
                <w:rFonts w:ascii="Times New Roman" w:eastAsia="Times New Roman" w:hAnsi="Times New Roman" w:cs="Times New Roman"/>
                <w:sz w:val="24"/>
                <w:szCs w:val="24"/>
              </w:rPr>
              <w:t>jauno studiju un studējošo kreditēšanas sist</w:t>
            </w:r>
            <w:r w:rsidR="00AD262D" w:rsidRPr="002158C1">
              <w:rPr>
                <w:rFonts w:ascii="Times New Roman" w:eastAsia="Times New Roman" w:hAnsi="Times New Roman" w:cs="Times New Roman"/>
                <w:sz w:val="24"/>
                <w:szCs w:val="24"/>
              </w:rPr>
              <w:t>ēmu.</w:t>
            </w:r>
            <w:r w:rsidR="002827F4" w:rsidRPr="002158C1">
              <w:rPr>
                <w:rFonts w:ascii="Times New Roman" w:eastAsia="Times New Roman" w:hAnsi="Times New Roman" w:cs="Times New Roman"/>
                <w:sz w:val="24"/>
                <w:szCs w:val="24"/>
              </w:rPr>
              <w:t>.</w:t>
            </w:r>
          </w:p>
          <w:p w14:paraId="1A9079A1" w14:textId="54612C5C" w:rsidR="00CE7D7D" w:rsidRPr="00336B05" w:rsidRDefault="002827F4" w:rsidP="002827F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n</w:t>
            </w:r>
            <w:r w:rsidR="00CE7D7D" w:rsidRPr="00336B05">
              <w:rPr>
                <w:rFonts w:ascii="Times New Roman" w:eastAsia="Times New Roman" w:hAnsi="Times New Roman"/>
                <w:sz w:val="24"/>
                <w:szCs w:val="24"/>
              </w:rPr>
              <w:t xml:space="preserve">oteikumu projekts  ir izstrādāts pamatojoties uz Augstskolu likuma 46. panta otro daļu. </w:t>
            </w:r>
          </w:p>
        </w:tc>
      </w:tr>
      <w:tr w:rsidR="00E960B9" w:rsidRPr="00336B05" w14:paraId="1A9079E5" w14:textId="77777777">
        <w:tc>
          <w:tcPr>
            <w:tcW w:w="591" w:type="dxa"/>
            <w:tcBorders>
              <w:top w:val="single" w:sz="6" w:space="0" w:color="000000"/>
              <w:left w:val="single" w:sz="6" w:space="0" w:color="000000"/>
              <w:bottom w:val="single" w:sz="6" w:space="0" w:color="000000"/>
              <w:right w:val="single" w:sz="6" w:space="0" w:color="000000"/>
            </w:tcBorders>
          </w:tcPr>
          <w:p w14:paraId="1A9079A3" w14:textId="3334EC26"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2602" w:type="dxa"/>
            <w:tcBorders>
              <w:top w:val="single" w:sz="6" w:space="0" w:color="000000"/>
              <w:left w:val="single" w:sz="6" w:space="0" w:color="000000"/>
              <w:bottom w:val="single" w:sz="6" w:space="0" w:color="000000"/>
              <w:right w:val="single" w:sz="6" w:space="0" w:color="000000"/>
            </w:tcBorders>
          </w:tcPr>
          <w:p w14:paraId="1A9079A4"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6028" w:type="dxa"/>
            <w:tcBorders>
              <w:top w:val="single" w:sz="6" w:space="0" w:color="000000"/>
              <w:left w:val="single" w:sz="6" w:space="0" w:color="000000"/>
              <w:bottom w:val="single" w:sz="4" w:space="0" w:color="000000"/>
              <w:right w:val="single" w:sz="6" w:space="0" w:color="000000"/>
            </w:tcBorders>
          </w:tcPr>
          <w:p w14:paraId="637AE530" w14:textId="2EEFB6F1" w:rsidR="00485BC0" w:rsidRPr="00336B05" w:rsidRDefault="002827F4" w:rsidP="00FE794D">
            <w:pPr>
              <w:spacing w:after="0" w:line="240" w:lineRule="auto"/>
              <w:jc w:val="both"/>
              <w:rPr>
                <w:rFonts w:ascii="Times New Roman" w:hAnsi="Times New Roman"/>
                <w:sz w:val="24"/>
                <w:szCs w:val="24"/>
              </w:rPr>
            </w:pPr>
            <w:r>
              <w:rPr>
                <w:rFonts w:ascii="Times New Roman" w:hAnsi="Times New Roman"/>
                <w:sz w:val="24"/>
                <w:szCs w:val="24"/>
              </w:rPr>
              <w:t>1. n</w:t>
            </w:r>
            <w:r w:rsidR="00E54ABE" w:rsidRPr="00336B05">
              <w:rPr>
                <w:rFonts w:ascii="Times New Roman" w:hAnsi="Times New Roman"/>
                <w:sz w:val="24"/>
                <w:szCs w:val="24"/>
              </w:rPr>
              <w:t>oteikumu projekts paredz šādas izmaiņas VIIS saturā un funkcionalitātē:</w:t>
            </w:r>
          </w:p>
          <w:p w14:paraId="07D8D439" w14:textId="22A0C7E1" w:rsidR="00E54ABE" w:rsidRDefault="00BB12D0" w:rsidP="00FE794D">
            <w:pPr>
              <w:spacing w:after="0" w:line="240" w:lineRule="auto"/>
              <w:jc w:val="both"/>
              <w:rPr>
                <w:rFonts w:ascii="Times New Roman" w:eastAsia="Times New Roman" w:hAnsi="Times New Roman"/>
                <w:sz w:val="24"/>
                <w:szCs w:val="24"/>
              </w:rPr>
            </w:pPr>
            <w:r>
              <w:rPr>
                <w:rFonts w:ascii="Times New Roman" w:hAnsi="Times New Roman"/>
                <w:sz w:val="24"/>
                <w:szCs w:val="24"/>
              </w:rPr>
              <w:t>1)</w:t>
            </w:r>
            <w:r w:rsidR="00E54ABE" w:rsidRPr="00336B05">
              <w:rPr>
                <w:rFonts w:ascii="Times New Roman" w:hAnsi="Times New Roman"/>
                <w:sz w:val="24"/>
                <w:szCs w:val="24"/>
              </w:rPr>
              <w:t xml:space="preserve"> </w:t>
            </w:r>
            <w:r w:rsidR="002827F4">
              <w:rPr>
                <w:rFonts w:ascii="Times New Roman" w:hAnsi="Times New Roman"/>
                <w:sz w:val="24"/>
                <w:szCs w:val="24"/>
              </w:rPr>
              <w:t xml:space="preserve">tiek noteikta </w:t>
            </w:r>
            <w:r w:rsidR="00E54ABE" w:rsidRPr="00336B05">
              <w:rPr>
                <w:rFonts w:ascii="Times New Roman" w:hAnsi="Times New Roman"/>
                <w:sz w:val="24"/>
                <w:szCs w:val="24"/>
              </w:rPr>
              <w:t>kārtīb</w:t>
            </w:r>
            <w:r w:rsidR="002827F4">
              <w:rPr>
                <w:rFonts w:ascii="Times New Roman" w:hAnsi="Times New Roman"/>
                <w:sz w:val="24"/>
                <w:szCs w:val="24"/>
              </w:rPr>
              <w:t>a</w:t>
            </w:r>
            <w:r w:rsidR="000E0914">
              <w:rPr>
                <w:rFonts w:ascii="Times New Roman" w:hAnsi="Times New Roman"/>
                <w:sz w:val="24"/>
                <w:szCs w:val="24"/>
              </w:rPr>
              <w:t>,</w:t>
            </w:r>
            <w:r w:rsidR="00E54ABE" w:rsidRPr="00336B05">
              <w:rPr>
                <w:rFonts w:ascii="Times New Roman" w:hAnsi="Times New Roman"/>
                <w:sz w:val="24"/>
                <w:szCs w:val="24"/>
              </w:rPr>
              <w:t xml:space="preserve"> kādā </w:t>
            </w:r>
            <w:r w:rsidR="00E54ABE" w:rsidRPr="00336B05">
              <w:rPr>
                <w:rFonts w:ascii="Times New Roman" w:eastAsia="Times New Roman" w:hAnsi="Times New Roman"/>
                <w:sz w:val="24"/>
                <w:szCs w:val="24"/>
              </w:rPr>
              <w:t>ziņas iekļaujamas Ārvalstīs izsniegto izglītības dokumentu reģistrā, kā arī kārtīb</w:t>
            </w:r>
            <w:r w:rsidR="002827F4">
              <w:rPr>
                <w:rFonts w:ascii="Times New Roman" w:eastAsia="Times New Roman" w:hAnsi="Times New Roman"/>
                <w:sz w:val="24"/>
                <w:szCs w:val="24"/>
              </w:rPr>
              <w:t>a</w:t>
            </w:r>
            <w:r w:rsidR="00E54ABE" w:rsidRPr="00336B05">
              <w:rPr>
                <w:rFonts w:ascii="Times New Roman" w:eastAsia="Times New Roman" w:hAnsi="Times New Roman"/>
                <w:sz w:val="24"/>
                <w:szCs w:val="24"/>
              </w:rPr>
              <w:t>, kādā nodrošināma tajā iekļauto datu pieejamība, paredzot, ka Ārvalstīs izsniegto izglītības dokumentu reģistrā ziņas ievada Akadēmiskās informācijas centrs,</w:t>
            </w:r>
            <w:r w:rsidR="009B354D" w:rsidRPr="00336B05">
              <w:rPr>
                <w:rFonts w:ascii="Times New Roman" w:eastAsia="Times New Roman" w:hAnsi="Times New Roman"/>
                <w:sz w:val="24"/>
                <w:szCs w:val="24"/>
              </w:rPr>
              <w:t xml:space="preserve"> pamatojoties uz informāciju </w:t>
            </w:r>
            <w:r w:rsidR="009B354D" w:rsidRPr="00336B05">
              <w:rPr>
                <w:rFonts w:ascii="Times New Roman" w:eastAsia="Times New Roman" w:hAnsi="Times New Roman"/>
                <w:sz w:val="24"/>
                <w:szCs w:val="24"/>
              </w:rPr>
              <w:lastRenderedPageBreak/>
              <w:t>no personu iesniegumiem un uz informāciju, kuru Akadēmiskās informācijas centram sniegušas augstākās izglītības iestādes</w:t>
            </w:r>
            <w:r w:rsidR="00E54ABE" w:rsidRPr="00336B05">
              <w:rPr>
                <w:rFonts w:ascii="Times New Roman" w:eastAsia="Times New Roman" w:hAnsi="Times New Roman"/>
                <w:sz w:val="24"/>
                <w:szCs w:val="24"/>
              </w:rPr>
              <w:t xml:space="preserve">. VIIS nodrošina arī tehnisko atbalstu atzinuma sagatavošanā par Akadēmiskās informācijas centram sniegtajiem izglītības dokumentiem. </w:t>
            </w:r>
            <w:r w:rsidR="00DE4AC8">
              <w:rPr>
                <w:rFonts w:ascii="Times New Roman" w:eastAsia="Times New Roman" w:hAnsi="Times New Roman"/>
                <w:sz w:val="24"/>
                <w:szCs w:val="24"/>
              </w:rPr>
              <w:t>Paredzēts, ka z</w:t>
            </w:r>
            <w:r w:rsidR="00E54ABE" w:rsidRPr="00336B05">
              <w:rPr>
                <w:rFonts w:ascii="Times New Roman" w:eastAsia="Times New Roman" w:hAnsi="Times New Roman"/>
                <w:sz w:val="24"/>
                <w:szCs w:val="24"/>
              </w:rPr>
              <w:t>iņas, kas iekļautas Ārvalstīs izsniegto izglītības dokumentu reģistrā</w:t>
            </w:r>
            <w:r w:rsidR="000E0914">
              <w:rPr>
                <w:rFonts w:ascii="Times New Roman" w:eastAsia="Times New Roman" w:hAnsi="Times New Roman"/>
                <w:sz w:val="24"/>
                <w:szCs w:val="24"/>
              </w:rPr>
              <w:t>,</w:t>
            </w:r>
            <w:r w:rsidR="00E54ABE" w:rsidRPr="00336B05">
              <w:rPr>
                <w:rFonts w:ascii="Times New Roman" w:eastAsia="Times New Roman" w:hAnsi="Times New Roman"/>
                <w:sz w:val="24"/>
                <w:szCs w:val="24"/>
              </w:rPr>
              <w:t xml:space="preserve"> ir pieejamas izglītības iestādēm. </w:t>
            </w:r>
            <w:r w:rsidR="00DE4AC8">
              <w:rPr>
                <w:rFonts w:ascii="Times New Roman" w:eastAsia="Times New Roman" w:hAnsi="Times New Roman"/>
                <w:sz w:val="24"/>
                <w:szCs w:val="24"/>
              </w:rPr>
              <w:t>1. n</w:t>
            </w:r>
            <w:r w:rsidR="00E54ABE" w:rsidRPr="00336B05">
              <w:rPr>
                <w:rFonts w:ascii="Times New Roman" w:eastAsia="Times New Roman" w:hAnsi="Times New Roman"/>
                <w:sz w:val="24"/>
                <w:szCs w:val="24"/>
              </w:rPr>
              <w:t xml:space="preserve">oteikumu projekts nosaka arī Ārvalstīs izsniegto izglītības dokumentu arhivēšanas un dzēšanas kārību. </w:t>
            </w:r>
          </w:p>
          <w:p w14:paraId="0D20C2CE" w14:textId="77777777" w:rsidR="00346BFD" w:rsidRPr="00336B05" w:rsidRDefault="00346BFD" w:rsidP="00FE794D">
            <w:pPr>
              <w:spacing w:after="0" w:line="240" w:lineRule="auto"/>
              <w:jc w:val="both"/>
              <w:rPr>
                <w:rFonts w:ascii="Times New Roman" w:eastAsia="Times New Roman" w:hAnsi="Times New Roman"/>
                <w:sz w:val="24"/>
                <w:szCs w:val="24"/>
              </w:rPr>
            </w:pPr>
          </w:p>
          <w:p w14:paraId="2083ADBB" w14:textId="360A434B" w:rsidR="00E54ABE" w:rsidRDefault="00710FB3" w:rsidP="00FE794D">
            <w:pPr>
              <w:spacing w:after="0" w:line="240" w:lineRule="auto"/>
              <w:jc w:val="both"/>
              <w:rPr>
                <w:rFonts w:ascii="Times New Roman" w:hAnsi="Times New Roman"/>
                <w:sz w:val="24"/>
                <w:szCs w:val="24"/>
              </w:rPr>
            </w:pPr>
            <w:r>
              <w:rPr>
                <w:rFonts w:ascii="Times New Roman" w:hAnsi="Times New Roman"/>
                <w:sz w:val="24"/>
                <w:szCs w:val="24"/>
              </w:rPr>
              <w:t xml:space="preserve">2) </w:t>
            </w:r>
            <w:r w:rsidR="00DE4AC8">
              <w:rPr>
                <w:rFonts w:ascii="Times New Roman" w:hAnsi="Times New Roman"/>
                <w:sz w:val="24"/>
                <w:szCs w:val="24"/>
              </w:rPr>
              <w:t>1.</w:t>
            </w:r>
            <w:r w:rsidR="00F22EF8">
              <w:rPr>
                <w:rFonts w:ascii="Times New Roman" w:hAnsi="Times New Roman"/>
                <w:sz w:val="24"/>
                <w:szCs w:val="24"/>
              </w:rPr>
              <w:t> </w:t>
            </w:r>
            <w:r>
              <w:rPr>
                <w:rFonts w:ascii="Times New Roman" w:hAnsi="Times New Roman"/>
                <w:sz w:val="24"/>
                <w:szCs w:val="24"/>
              </w:rPr>
              <w:t>n</w:t>
            </w:r>
            <w:r w:rsidR="00B06B5C" w:rsidRPr="00336B05">
              <w:rPr>
                <w:rFonts w:ascii="Times New Roman" w:hAnsi="Times New Roman"/>
                <w:sz w:val="24"/>
                <w:szCs w:val="24"/>
              </w:rPr>
              <w:t xml:space="preserve">oteikumu projekts paredz papildināt informāciju, kas VIIS jānorāda par izglītības programmu, </w:t>
            </w:r>
            <w:r w:rsidR="00DE4AC8">
              <w:rPr>
                <w:rFonts w:ascii="Times New Roman" w:hAnsi="Times New Roman"/>
                <w:sz w:val="24"/>
                <w:szCs w:val="24"/>
              </w:rPr>
              <w:t xml:space="preserve">paredzot, ka tiek norādīts </w:t>
            </w:r>
            <w:r w:rsidR="00B06B5C" w:rsidRPr="00336B05">
              <w:rPr>
                <w:rFonts w:ascii="Times New Roman" w:hAnsi="Times New Roman"/>
                <w:sz w:val="24"/>
                <w:szCs w:val="24"/>
              </w:rPr>
              <w:t>izglītības programmai atbilstoš</w:t>
            </w:r>
            <w:r w:rsidR="00DE4AC8">
              <w:rPr>
                <w:rFonts w:ascii="Times New Roman" w:hAnsi="Times New Roman"/>
                <w:sz w:val="24"/>
                <w:szCs w:val="24"/>
              </w:rPr>
              <w:t>ais</w:t>
            </w:r>
            <w:r w:rsidR="00B06B5C" w:rsidRPr="00336B05">
              <w:rPr>
                <w:rFonts w:ascii="Times New Roman" w:hAnsi="Times New Roman"/>
                <w:sz w:val="24"/>
                <w:szCs w:val="24"/>
              </w:rPr>
              <w:t xml:space="preserve"> Latvijas kvalifikāciju ietvarstruktūras līmeni</w:t>
            </w:r>
            <w:r w:rsidR="00DE4AC8">
              <w:rPr>
                <w:rFonts w:ascii="Times New Roman" w:hAnsi="Times New Roman"/>
                <w:sz w:val="24"/>
                <w:szCs w:val="24"/>
              </w:rPr>
              <w:t>s</w:t>
            </w:r>
            <w:r w:rsidR="00B06B5C" w:rsidRPr="00336B05">
              <w:rPr>
                <w:rFonts w:ascii="Times New Roman" w:hAnsi="Times New Roman"/>
                <w:sz w:val="24"/>
                <w:szCs w:val="24"/>
              </w:rPr>
              <w:t xml:space="preserve">, ko VIIS automātiski atspoguļos arī informācijā par izglītojamajam izsniegto izglītības dokumentu. </w:t>
            </w:r>
          </w:p>
          <w:p w14:paraId="42C45B6E" w14:textId="77777777" w:rsidR="00346BFD" w:rsidRPr="00336B05" w:rsidRDefault="00346BFD" w:rsidP="00FE794D">
            <w:pPr>
              <w:spacing w:after="0" w:line="240" w:lineRule="auto"/>
              <w:jc w:val="both"/>
              <w:rPr>
                <w:rFonts w:ascii="Times New Roman" w:hAnsi="Times New Roman"/>
                <w:sz w:val="24"/>
                <w:szCs w:val="24"/>
              </w:rPr>
            </w:pPr>
          </w:p>
          <w:p w14:paraId="5A867084" w14:textId="4BC42DED" w:rsidR="003347E2" w:rsidRDefault="00710FB3" w:rsidP="00FE794D">
            <w:pPr>
              <w:spacing w:after="0" w:line="240" w:lineRule="auto"/>
              <w:jc w:val="both"/>
              <w:rPr>
                <w:rFonts w:ascii="Times New Roman" w:hAnsi="Times New Roman"/>
                <w:sz w:val="24"/>
                <w:szCs w:val="24"/>
              </w:rPr>
            </w:pPr>
            <w:r>
              <w:rPr>
                <w:rFonts w:ascii="Times New Roman" w:hAnsi="Times New Roman"/>
                <w:sz w:val="24"/>
                <w:szCs w:val="24"/>
              </w:rPr>
              <w:t>3)</w:t>
            </w:r>
            <w:r w:rsidR="00CE7D7D" w:rsidRPr="00336B05">
              <w:rPr>
                <w:rFonts w:ascii="Times New Roman" w:hAnsi="Times New Roman"/>
                <w:sz w:val="24"/>
                <w:szCs w:val="24"/>
              </w:rPr>
              <w:t xml:space="preserve"> </w:t>
            </w:r>
            <w:r>
              <w:rPr>
                <w:rFonts w:ascii="Times New Roman" w:hAnsi="Times New Roman"/>
                <w:sz w:val="24"/>
                <w:szCs w:val="24"/>
              </w:rPr>
              <w:t>1. n</w:t>
            </w:r>
            <w:r w:rsidR="00CE7D7D" w:rsidRPr="00336B05">
              <w:rPr>
                <w:rFonts w:ascii="Times New Roman" w:hAnsi="Times New Roman"/>
                <w:sz w:val="24"/>
                <w:szCs w:val="24"/>
              </w:rPr>
              <w:t xml:space="preserve">oteikumu projekts paredz VIIS apstrādāt </w:t>
            </w:r>
            <w:r w:rsidR="00A46E7D" w:rsidRPr="00336B05">
              <w:rPr>
                <w:rFonts w:ascii="Times New Roman" w:hAnsi="Times New Roman"/>
                <w:sz w:val="24"/>
                <w:szCs w:val="24"/>
              </w:rPr>
              <w:t>ziņas par izglītojamā statusu</w:t>
            </w:r>
            <w:r w:rsidR="00FD0DDD">
              <w:rPr>
                <w:rFonts w:ascii="Times New Roman" w:hAnsi="Times New Roman"/>
                <w:sz w:val="24"/>
                <w:szCs w:val="24"/>
              </w:rPr>
              <w:t xml:space="preserve"> (</w:t>
            </w:r>
            <w:r w:rsidR="00FD0DDD" w:rsidRPr="00FD0DDD">
              <w:rPr>
                <w:rFonts w:ascii="Times New Roman" w:hAnsi="Times New Roman"/>
                <w:sz w:val="24"/>
                <w:szCs w:val="24"/>
              </w:rPr>
              <w:t xml:space="preserve">ārzemnieks, </w:t>
            </w:r>
            <w:proofErr w:type="spellStart"/>
            <w:r w:rsidR="00FD0DDD" w:rsidRPr="00FD0DDD">
              <w:rPr>
                <w:rFonts w:ascii="Times New Roman" w:hAnsi="Times New Roman"/>
                <w:sz w:val="24"/>
                <w:szCs w:val="24"/>
              </w:rPr>
              <w:t>remigrants</w:t>
            </w:r>
            <w:proofErr w:type="spellEnd"/>
            <w:r w:rsidR="00FD0DDD" w:rsidRPr="00FD0DDD">
              <w:rPr>
                <w:rFonts w:ascii="Times New Roman" w:hAnsi="Times New Roman"/>
                <w:sz w:val="24"/>
                <w:szCs w:val="24"/>
              </w:rPr>
              <w:t>, nepilngadīgais patvēruma meklētājs, bēglis, persona, kur</w:t>
            </w:r>
            <w:r w:rsidR="00FD0DDD">
              <w:rPr>
                <w:rFonts w:ascii="Times New Roman" w:hAnsi="Times New Roman"/>
                <w:sz w:val="24"/>
                <w:szCs w:val="24"/>
              </w:rPr>
              <w:t>a</w:t>
            </w:r>
            <w:r w:rsidR="00FD0DDD" w:rsidRPr="00FD0DDD">
              <w:rPr>
                <w:rFonts w:ascii="Times New Roman" w:hAnsi="Times New Roman"/>
                <w:sz w:val="24"/>
                <w:szCs w:val="24"/>
              </w:rPr>
              <w:t>i piešķirts alternatīvais statuss, perso</w:t>
            </w:r>
            <w:r w:rsidR="00FD0DDD">
              <w:rPr>
                <w:rFonts w:ascii="Times New Roman" w:hAnsi="Times New Roman"/>
                <w:sz w:val="24"/>
                <w:szCs w:val="24"/>
              </w:rPr>
              <w:t>n</w:t>
            </w:r>
            <w:r w:rsidR="00FD0DDD" w:rsidRPr="00FD0DDD">
              <w:rPr>
                <w:rFonts w:ascii="Times New Roman" w:hAnsi="Times New Roman"/>
                <w:sz w:val="24"/>
                <w:szCs w:val="24"/>
              </w:rPr>
              <w:t>a, kurai piešķirta pagaidu aizsardzība, ārvalstu diplomāta bērns</w:t>
            </w:r>
            <w:r w:rsidR="00FD0DDD">
              <w:rPr>
                <w:rFonts w:ascii="Times New Roman" w:hAnsi="Times New Roman"/>
                <w:sz w:val="24"/>
                <w:szCs w:val="24"/>
              </w:rPr>
              <w:t>)</w:t>
            </w:r>
            <w:r w:rsidR="00083847" w:rsidRPr="00083847">
              <w:rPr>
                <w:rFonts w:ascii="Times New Roman" w:hAnsi="Times New Roman"/>
                <w:sz w:val="24"/>
                <w:szCs w:val="24"/>
              </w:rPr>
              <w:t xml:space="preserve">, kas dod tiesības pretendēt uz atbalsta pasākumiem </w:t>
            </w:r>
            <w:r w:rsidR="00FD0DDD" w:rsidRPr="00FD0DDD">
              <w:rPr>
                <w:rFonts w:ascii="Times New Roman" w:hAnsi="Times New Roman"/>
                <w:sz w:val="24"/>
                <w:szCs w:val="24"/>
              </w:rPr>
              <w:t xml:space="preserve">imigrējošo un remigrējošo izglītojamo atbalstam </w:t>
            </w:r>
            <w:r w:rsidR="00083847" w:rsidRPr="00083847">
              <w:rPr>
                <w:rFonts w:ascii="Times New Roman" w:hAnsi="Times New Roman"/>
                <w:sz w:val="24"/>
                <w:szCs w:val="24"/>
              </w:rPr>
              <w:t>atbilstoši normatīvajiem aktiem par valsts budžeta mērķdotāciju pedagogu darba samaksai vispārējās izglītības iestādēs, norādot laikposmu, uz kuru izglītojamam ir piešķirts attiecīgais statuss</w:t>
            </w:r>
            <w:r w:rsidR="00FD0DDD">
              <w:rPr>
                <w:rFonts w:ascii="Times New Roman" w:hAnsi="Times New Roman"/>
                <w:sz w:val="24"/>
                <w:szCs w:val="24"/>
              </w:rPr>
              <w:t>.</w:t>
            </w:r>
          </w:p>
          <w:p w14:paraId="5D63C0D6" w14:textId="0D2BDC18" w:rsidR="00FE2BBA" w:rsidRDefault="00CE7D7D" w:rsidP="00FE794D">
            <w:pPr>
              <w:spacing w:after="0" w:line="240" w:lineRule="auto"/>
              <w:jc w:val="both"/>
              <w:rPr>
                <w:rFonts w:ascii="Times New Roman" w:hAnsi="Times New Roman"/>
                <w:sz w:val="24"/>
                <w:szCs w:val="24"/>
              </w:rPr>
            </w:pPr>
            <w:r w:rsidRPr="00336B05">
              <w:rPr>
                <w:rFonts w:ascii="Times New Roman" w:hAnsi="Times New Roman"/>
                <w:sz w:val="24"/>
                <w:szCs w:val="24"/>
              </w:rPr>
              <w:t>Šādu ziņu apstrāde VIIS ir nepieciešama, jo</w:t>
            </w:r>
            <w:r w:rsidR="003347E2">
              <w:rPr>
                <w:rFonts w:ascii="Times New Roman" w:hAnsi="Times New Roman"/>
                <w:sz w:val="24"/>
                <w:szCs w:val="24"/>
              </w:rPr>
              <w:t xml:space="preserve"> </w:t>
            </w:r>
            <w:r w:rsidR="00B92714" w:rsidRPr="00336B05">
              <w:rPr>
                <w:rFonts w:ascii="Times New Roman" w:hAnsi="Times New Roman" w:cs="Times New Roman"/>
                <w:sz w:val="24"/>
                <w:szCs w:val="24"/>
              </w:rPr>
              <w:t>Diasporas likuma 15.</w:t>
            </w:r>
            <w:r w:rsidRPr="00336B05">
              <w:rPr>
                <w:rFonts w:ascii="Times New Roman" w:hAnsi="Times New Roman" w:cs="Times New Roman"/>
                <w:sz w:val="24"/>
                <w:szCs w:val="24"/>
              </w:rPr>
              <w:t> </w:t>
            </w:r>
            <w:r w:rsidR="00B92714" w:rsidRPr="00336B05">
              <w:rPr>
                <w:rFonts w:ascii="Times New Roman" w:hAnsi="Times New Roman" w:cs="Times New Roman"/>
                <w:sz w:val="24"/>
                <w:szCs w:val="24"/>
              </w:rPr>
              <w:t xml:space="preserve">panta </w:t>
            </w:r>
            <w:r w:rsidR="00820D31">
              <w:rPr>
                <w:rFonts w:ascii="Times New Roman" w:hAnsi="Times New Roman" w:cs="Times New Roman"/>
                <w:sz w:val="24"/>
                <w:szCs w:val="24"/>
              </w:rPr>
              <w:t>otrās daļas 2.</w:t>
            </w:r>
            <w:r w:rsidR="00FE2BBA">
              <w:rPr>
                <w:rFonts w:ascii="Times New Roman" w:hAnsi="Times New Roman" w:cs="Times New Roman"/>
                <w:sz w:val="24"/>
                <w:szCs w:val="24"/>
              </w:rPr>
              <w:t> </w:t>
            </w:r>
            <w:r w:rsidR="00820D31">
              <w:rPr>
                <w:rFonts w:ascii="Times New Roman" w:hAnsi="Times New Roman" w:cs="Times New Roman"/>
                <w:sz w:val="24"/>
                <w:szCs w:val="24"/>
              </w:rPr>
              <w:t xml:space="preserve">punkts </w:t>
            </w:r>
            <w:r w:rsidR="00651745" w:rsidRPr="00336B05">
              <w:rPr>
                <w:rFonts w:ascii="Times New Roman" w:hAnsi="Times New Roman" w:cs="Times New Roman"/>
                <w:sz w:val="24"/>
                <w:szCs w:val="24"/>
              </w:rPr>
              <w:t xml:space="preserve">paredz </w:t>
            </w:r>
            <w:r w:rsidR="00B92714" w:rsidRPr="00336B05">
              <w:rPr>
                <w:rFonts w:ascii="Times New Roman" w:hAnsi="Times New Roman" w:cs="Times New Roman"/>
                <w:sz w:val="24"/>
                <w:szCs w:val="24"/>
              </w:rPr>
              <w:t>atbalsta pasākum</w:t>
            </w:r>
            <w:r w:rsidR="00651745" w:rsidRPr="00336B05">
              <w:rPr>
                <w:rFonts w:ascii="Times New Roman" w:hAnsi="Times New Roman" w:cs="Times New Roman"/>
                <w:sz w:val="24"/>
                <w:szCs w:val="24"/>
              </w:rPr>
              <w:t>us</w:t>
            </w:r>
            <w:r w:rsidR="00B92714" w:rsidRPr="00336B05">
              <w:rPr>
                <w:rFonts w:ascii="Times New Roman" w:hAnsi="Times New Roman" w:cs="Times New Roman"/>
                <w:sz w:val="24"/>
                <w:szCs w:val="24"/>
              </w:rPr>
              <w:t xml:space="preserve">, lai nodrošinātu remigrējošo bērnu un jauniešu sekmīgu integrāciju Latvijas izglītības sistēmā, kā arī nodrošinātu latviešu valodas apguvei nepieciešamo atbalstu.  </w:t>
            </w:r>
            <w:r w:rsidR="007F42B0">
              <w:rPr>
                <w:rFonts w:ascii="Times New Roman" w:hAnsi="Times New Roman" w:cs="Times New Roman"/>
                <w:sz w:val="24"/>
                <w:szCs w:val="24"/>
              </w:rPr>
              <w:t xml:space="preserve">Šādu ziņu norādīšana </w:t>
            </w:r>
            <w:r w:rsidR="0098193D">
              <w:rPr>
                <w:rFonts w:ascii="Times New Roman" w:hAnsi="Times New Roman" w:cs="Times New Roman"/>
                <w:sz w:val="24"/>
                <w:szCs w:val="24"/>
              </w:rPr>
              <w:t xml:space="preserve">sekmēs to, ka tiek uzsākta </w:t>
            </w:r>
            <w:r w:rsidR="007F42B0">
              <w:rPr>
                <w:rFonts w:ascii="Times New Roman" w:hAnsi="Times New Roman" w:cs="Times New Roman"/>
                <w:sz w:val="24"/>
                <w:szCs w:val="24"/>
              </w:rPr>
              <w:t xml:space="preserve"> </w:t>
            </w:r>
            <w:r w:rsidR="00656AF4">
              <w:rPr>
                <w:rFonts w:ascii="Times New Roman" w:hAnsi="Times New Roman" w:cs="Times New Roman"/>
                <w:sz w:val="24"/>
                <w:szCs w:val="24"/>
              </w:rPr>
              <w:t xml:space="preserve">atbalsta pasākumu </w:t>
            </w:r>
            <w:r w:rsidR="00B254F7">
              <w:rPr>
                <w:rFonts w:ascii="Times New Roman" w:hAnsi="Times New Roman"/>
                <w:sz w:val="24"/>
                <w:szCs w:val="24"/>
              </w:rPr>
              <w:t>imigrējošo un remigrējošo</w:t>
            </w:r>
            <w:r w:rsidR="00656AF4">
              <w:rPr>
                <w:rFonts w:ascii="Times New Roman" w:hAnsi="Times New Roman"/>
                <w:sz w:val="24"/>
                <w:szCs w:val="24"/>
              </w:rPr>
              <w:t xml:space="preserve"> personu, kurām</w:t>
            </w:r>
            <w:r w:rsidR="00656AF4" w:rsidRPr="00336B05">
              <w:rPr>
                <w:rFonts w:ascii="Times New Roman" w:hAnsi="Times New Roman"/>
                <w:sz w:val="24"/>
                <w:szCs w:val="24"/>
              </w:rPr>
              <w:t xml:space="preserve"> </w:t>
            </w:r>
            <w:r w:rsidR="00656AF4">
              <w:rPr>
                <w:rFonts w:ascii="Times New Roman" w:hAnsi="Times New Roman"/>
                <w:sz w:val="24"/>
                <w:szCs w:val="24"/>
              </w:rPr>
              <w:t>piešķirts alternatīvais statuss</w:t>
            </w:r>
            <w:r w:rsidR="00DA42E0">
              <w:rPr>
                <w:rFonts w:ascii="Times New Roman" w:hAnsi="Times New Roman"/>
                <w:sz w:val="24"/>
                <w:szCs w:val="24"/>
              </w:rPr>
              <w:t>,</w:t>
            </w:r>
            <w:r w:rsidR="00656AF4">
              <w:rPr>
                <w:rFonts w:ascii="Times New Roman" w:hAnsi="Times New Roman"/>
                <w:sz w:val="24"/>
                <w:szCs w:val="24"/>
              </w:rPr>
              <w:t xml:space="preserve"> </w:t>
            </w:r>
            <w:r w:rsidR="00F87015">
              <w:rPr>
                <w:rFonts w:ascii="Times New Roman" w:hAnsi="Times New Roman"/>
                <w:sz w:val="24"/>
                <w:szCs w:val="24"/>
              </w:rPr>
              <w:t xml:space="preserve">savlaicīga </w:t>
            </w:r>
            <w:r w:rsidR="00656AF4">
              <w:rPr>
                <w:rFonts w:ascii="Times New Roman" w:hAnsi="Times New Roman"/>
                <w:sz w:val="24"/>
                <w:szCs w:val="24"/>
              </w:rPr>
              <w:t>latviešu valodas apguves nodrošināšana</w:t>
            </w:r>
            <w:r w:rsidR="00FE2BBA">
              <w:rPr>
                <w:rFonts w:ascii="Times New Roman" w:hAnsi="Times New Roman"/>
                <w:sz w:val="24"/>
                <w:szCs w:val="24"/>
              </w:rPr>
              <w:t xml:space="preserve">. </w:t>
            </w:r>
            <w:r w:rsidR="00DF180E">
              <w:rPr>
                <w:rFonts w:ascii="Times New Roman" w:hAnsi="Times New Roman"/>
                <w:sz w:val="24"/>
                <w:szCs w:val="24"/>
              </w:rPr>
              <w:t xml:space="preserve"> </w:t>
            </w:r>
          </w:p>
          <w:p w14:paraId="7515F269" w14:textId="77777777" w:rsidR="00FE2BBA" w:rsidRDefault="00DF180E" w:rsidP="00FE794D">
            <w:pPr>
              <w:spacing w:after="0" w:line="240" w:lineRule="auto"/>
              <w:jc w:val="both"/>
              <w:rPr>
                <w:rFonts w:ascii="Times New Roman" w:hAnsi="Times New Roman"/>
                <w:sz w:val="24"/>
                <w:szCs w:val="24"/>
              </w:rPr>
            </w:pPr>
            <w:r>
              <w:rPr>
                <w:rFonts w:ascii="Times New Roman" w:hAnsi="Times New Roman" w:cs="Times New Roman"/>
                <w:sz w:val="24"/>
                <w:szCs w:val="24"/>
              </w:rPr>
              <w:t>Ministru kabineta 2015.gada 13.</w:t>
            </w:r>
            <w:r w:rsidR="00FE2BBA">
              <w:rPr>
                <w:rFonts w:ascii="Times New Roman" w:hAnsi="Times New Roman" w:cs="Times New Roman"/>
                <w:sz w:val="24"/>
                <w:szCs w:val="24"/>
              </w:rPr>
              <w:t> </w:t>
            </w:r>
            <w:r>
              <w:rPr>
                <w:rFonts w:ascii="Times New Roman" w:hAnsi="Times New Roman" w:cs="Times New Roman"/>
                <w:sz w:val="24"/>
                <w:szCs w:val="24"/>
              </w:rPr>
              <w:t>oktobra noteikumu Nr.591 “</w:t>
            </w:r>
            <w:r w:rsidRPr="007F269B">
              <w:rPr>
                <w:rFonts w:ascii="Times New Roman" w:hAnsi="Times New Roman" w:cs="Times New Roman"/>
                <w:sz w:val="24"/>
                <w:szCs w:val="24"/>
              </w:rPr>
              <w:t>Kārtība, kādā izglītojamie tiek uzņemti vispārējās izglītības programmās, speciālajās izglītības iestādēs un speciālajās pirmsskolas izglītības grupās un atskaitīti no tām, kā arī pārcelti uz nākamo klasi</w:t>
            </w:r>
            <w:r>
              <w:rPr>
                <w:rFonts w:ascii="Times New Roman" w:hAnsi="Times New Roman" w:cs="Times New Roman"/>
                <w:sz w:val="24"/>
                <w:szCs w:val="24"/>
              </w:rPr>
              <w:t>” (turpmāk – noteikumi Nr.591) 31.5.</w:t>
            </w:r>
            <w:r w:rsidR="00FE2BBA">
              <w:t> </w:t>
            </w:r>
            <w:r>
              <w:rPr>
                <w:rFonts w:ascii="Times New Roman" w:hAnsi="Times New Roman" w:cs="Times New Roman"/>
                <w:sz w:val="24"/>
                <w:szCs w:val="24"/>
              </w:rPr>
              <w:t xml:space="preserve">apakšpunkts nosaka, ka ja citas valsts </w:t>
            </w:r>
            <w:r w:rsidRPr="00DA42E0">
              <w:rPr>
                <w:rFonts w:ascii="Times New Roman" w:hAnsi="Times New Roman" w:cs="Times New Roman"/>
                <w:sz w:val="24"/>
                <w:szCs w:val="24"/>
              </w:rPr>
              <w:t>izglītojamais, kurš iepriekš nav ieguvis izglītību Latvijā, ir pieteikts uzņemšanai izglītības iestādē, izglītības iestāde</w:t>
            </w:r>
            <w:r>
              <w:rPr>
                <w:rFonts w:ascii="Times New Roman" w:hAnsi="Times New Roman" w:cs="Times New Roman"/>
                <w:sz w:val="24"/>
                <w:szCs w:val="24"/>
              </w:rPr>
              <w:t xml:space="preserve"> </w:t>
            </w:r>
            <w:r w:rsidRPr="00DA42E0">
              <w:rPr>
                <w:rFonts w:ascii="Times New Roman" w:hAnsi="Times New Roman" w:cs="Times New Roman"/>
                <w:sz w:val="24"/>
                <w:szCs w:val="24"/>
              </w:rPr>
              <w:t>ar direktora rīkojumu nosaka viena līdz triju mācību gadu laikā īstenojamos valsts finansētos atbalsta pasākumus obligātās pamatizglītības ieguvei – latviešu valodas prasmes pilnveidei un mācību priekšmetu "Latviešu valoda" vai "Literatūra", vai "Latviešu valoda un literatūra", "Sociālās zinības", "Latvijas vēsture", kā arī to mācību priekšmetu apguvei, kuri atšķiras Latvijas un izglītojamā iepriekš apgūtajā izglītības programmā</w:t>
            </w:r>
            <w:r w:rsidR="00FE2BBA">
              <w:rPr>
                <w:rFonts w:ascii="Times New Roman" w:hAnsi="Times New Roman" w:cs="Times New Roman"/>
                <w:sz w:val="24"/>
                <w:szCs w:val="24"/>
              </w:rPr>
              <w:t xml:space="preserve">. </w:t>
            </w:r>
            <w:r w:rsidR="00656AF4">
              <w:rPr>
                <w:rFonts w:ascii="Times New Roman" w:hAnsi="Times New Roman"/>
                <w:sz w:val="24"/>
                <w:szCs w:val="24"/>
              </w:rPr>
              <w:t xml:space="preserve"> </w:t>
            </w:r>
          </w:p>
          <w:p w14:paraId="5CFFB76E" w14:textId="3E7F88CA" w:rsidR="00B92714" w:rsidRDefault="00820D31" w:rsidP="00FE79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Inform</w:t>
            </w:r>
            <w:r w:rsidR="00F32419">
              <w:rPr>
                <w:rFonts w:ascii="Times New Roman" w:hAnsi="Times New Roman" w:cs="Times New Roman"/>
                <w:sz w:val="24"/>
                <w:szCs w:val="24"/>
              </w:rPr>
              <w:t xml:space="preserve">ācija VIIS </w:t>
            </w:r>
            <w:r>
              <w:rPr>
                <w:rFonts w:ascii="Times New Roman" w:hAnsi="Times New Roman" w:cs="Times New Roman"/>
                <w:sz w:val="24"/>
                <w:szCs w:val="24"/>
              </w:rPr>
              <w:t>par</w:t>
            </w:r>
            <w:r w:rsidR="00B254F7">
              <w:rPr>
                <w:rFonts w:ascii="Times New Roman" w:hAnsi="Times New Roman" w:cs="Times New Roman"/>
                <w:sz w:val="24"/>
                <w:szCs w:val="24"/>
              </w:rPr>
              <w:t xml:space="preserve"> izglītojamiem, kas ir imigrējuši no citām valstīm</w:t>
            </w:r>
            <w:r>
              <w:rPr>
                <w:rFonts w:ascii="Times New Roman" w:hAnsi="Times New Roman" w:cs="Times New Roman"/>
                <w:sz w:val="24"/>
                <w:szCs w:val="24"/>
              </w:rPr>
              <w:t xml:space="preserve"> un </w:t>
            </w:r>
            <w:proofErr w:type="spellStart"/>
            <w:r>
              <w:rPr>
                <w:rFonts w:ascii="Times New Roman" w:hAnsi="Times New Roman" w:cs="Times New Roman"/>
                <w:sz w:val="24"/>
                <w:szCs w:val="24"/>
              </w:rPr>
              <w:t>remigranti</w:t>
            </w:r>
            <w:proofErr w:type="spellEnd"/>
            <w:r w:rsidR="0098193D">
              <w:rPr>
                <w:rFonts w:ascii="Times New Roman" w:hAnsi="Times New Roman" w:cs="Times New Roman"/>
                <w:sz w:val="24"/>
                <w:szCs w:val="24"/>
              </w:rPr>
              <w:t>,</w:t>
            </w:r>
            <w:r>
              <w:rPr>
                <w:rFonts w:ascii="Times New Roman" w:hAnsi="Times New Roman" w:cs="Times New Roman"/>
                <w:sz w:val="24"/>
                <w:szCs w:val="24"/>
              </w:rPr>
              <w:t xml:space="preserve"> </w:t>
            </w:r>
            <w:r w:rsidR="00F32419">
              <w:rPr>
                <w:rFonts w:ascii="Times New Roman" w:hAnsi="Times New Roman" w:cs="Times New Roman"/>
                <w:sz w:val="24"/>
                <w:szCs w:val="24"/>
              </w:rPr>
              <w:t xml:space="preserve">nodrošinās lai </w:t>
            </w:r>
            <w:r w:rsidR="00B92714" w:rsidRPr="00336B05">
              <w:rPr>
                <w:rFonts w:ascii="Times New Roman" w:hAnsi="Times New Roman" w:cs="Times New Roman"/>
                <w:sz w:val="24"/>
                <w:szCs w:val="24"/>
              </w:rPr>
              <w:t>pašvaldīb</w:t>
            </w:r>
            <w:r w:rsidR="0098193D">
              <w:rPr>
                <w:rFonts w:ascii="Times New Roman" w:hAnsi="Times New Roman" w:cs="Times New Roman"/>
                <w:sz w:val="24"/>
                <w:szCs w:val="24"/>
              </w:rPr>
              <w:t>ām</w:t>
            </w:r>
            <w:r w:rsidR="00B92714" w:rsidRPr="00336B05">
              <w:rPr>
                <w:rFonts w:ascii="Times New Roman" w:hAnsi="Times New Roman" w:cs="Times New Roman"/>
                <w:sz w:val="24"/>
                <w:szCs w:val="24"/>
              </w:rPr>
              <w:t xml:space="preserve"> </w:t>
            </w:r>
            <w:r w:rsidR="004F4E32">
              <w:rPr>
                <w:rFonts w:ascii="Times New Roman" w:hAnsi="Times New Roman" w:cs="Times New Roman"/>
                <w:sz w:val="24"/>
                <w:szCs w:val="24"/>
              </w:rPr>
              <w:t xml:space="preserve">būtu </w:t>
            </w:r>
            <w:r w:rsidR="0098193D">
              <w:rPr>
                <w:rFonts w:ascii="Times New Roman" w:hAnsi="Times New Roman" w:cs="Times New Roman"/>
                <w:sz w:val="24"/>
                <w:szCs w:val="24"/>
              </w:rPr>
              <w:t>iespēj</w:t>
            </w:r>
            <w:r w:rsidR="004F4E32">
              <w:rPr>
                <w:rFonts w:ascii="Times New Roman" w:hAnsi="Times New Roman" w:cs="Times New Roman"/>
                <w:sz w:val="24"/>
                <w:szCs w:val="24"/>
              </w:rPr>
              <w:t>a</w:t>
            </w:r>
            <w:r w:rsidR="0098193D">
              <w:rPr>
                <w:rFonts w:ascii="Times New Roman" w:hAnsi="Times New Roman" w:cs="Times New Roman"/>
                <w:sz w:val="24"/>
                <w:szCs w:val="24"/>
              </w:rPr>
              <w:t xml:space="preserve"> </w:t>
            </w:r>
            <w:r w:rsidR="00B92714" w:rsidRPr="00336B05">
              <w:rPr>
                <w:rFonts w:ascii="Times New Roman" w:hAnsi="Times New Roman" w:cs="Times New Roman"/>
                <w:sz w:val="24"/>
                <w:szCs w:val="24"/>
              </w:rPr>
              <w:t xml:space="preserve">plānot un </w:t>
            </w:r>
            <w:r w:rsidR="00DA42E0">
              <w:rPr>
                <w:rFonts w:ascii="Times New Roman" w:hAnsi="Times New Roman" w:cs="Times New Roman"/>
                <w:sz w:val="24"/>
                <w:szCs w:val="24"/>
              </w:rPr>
              <w:t>k</w:t>
            </w:r>
            <w:r w:rsidR="00B92714" w:rsidRPr="00336B05">
              <w:rPr>
                <w:rFonts w:ascii="Times New Roman" w:hAnsi="Times New Roman" w:cs="Times New Roman"/>
                <w:sz w:val="24"/>
                <w:szCs w:val="24"/>
              </w:rPr>
              <w:t>ontrolēt finansējuma piešķiršanu un tā izlietojumu</w:t>
            </w:r>
            <w:r w:rsidR="00F32419">
              <w:t xml:space="preserve"> </w:t>
            </w:r>
            <w:r w:rsidR="00F32419" w:rsidRPr="00F32419">
              <w:rPr>
                <w:rFonts w:ascii="Times New Roman" w:hAnsi="Times New Roman" w:cs="Times New Roman"/>
                <w:sz w:val="24"/>
                <w:szCs w:val="24"/>
              </w:rPr>
              <w:t>imigrēj</w:t>
            </w:r>
            <w:r w:rsidR="0098193D">
              <w:rPr>
                <w:rFonts w:ascii="Times New Roman" w:hAnsi="Times New Roman" w:cs="Times New Roman"/>
                <w:sz w:val="24"/>
                <w:szCs w:val="24"/>
              </w:rPr>
              <w:t>u</w:t>
            </w:r>
            <w:r w:rsidR="00F32419" w:rsidRPr="00F32419">
              <w:rPr>
                <w:rFonts w:ascii="Times New Roman" w:hAnsi="Times New Roman" w:cs="Times New Roman"/>
                <w:sz w:val="24"/>
                <w:szCs w:val="24"/>
              </w:rPr>
              <w:t xml:space="preserve">šo un </w:t>
            </w:r>
            <w:proofErr w:type="spellStart"/>
            <w:r w:rsidR="00F32419" w:rsidRPr="00F32419">
              <w:rPr>
                <w:rFonts w:ascii="Times New Roman" w:hAnsi="Times New Roman" w:cs="Times New Roman"/>
                <w:sz w:val="24"/>
                <w:szCs w:val="24"/>
              </w:rPr>
              <w:t>remigrēj</w:t>
            </w:r>
            <w:r w:rsidR="0098193D">
              <w:rPr>
                <w:rFonts w:ascii="Times New Roman" w:hAnsi="Times New Roman" w:cs="Times New Roman"/>
                <w:sz w:val="24"/>
                <w:szCs w:val="24"/>
              </w:rPr>
              <w:t>u</w:t>
            </w:r>
            <w:r w:rsidR="00F32419" w:rsidRPr="00F32419">
              <w:rPr>
                <w:rFonts w:ascii="Times New Roman" w:hAnsi="Times New Roman" w:cs="Times New Roman"/>
                <w:sz w:val="24"/>
                <w:szCs w:val="24"/>
              </w:rPr>
              <w:t>šo</w:t>
            </w:r>
            <w:proofErr w:type="spellEnd"/>
            <w:r w:rsidR="00F32419" w:rsidRPr="00F32419">
              <w:rPr>
                <w:rFonts w:ascii="Times New Roman" w:hAnsi="Times New Roman" w:cs="Times New Roman"/>
                <w:sz w:val="24"/>
                <w:szCs w:val="24"/>
              </w:rPr>
              <w:t xml:space="preserve"> izglītojamo atbalstam</w:t>
            </w:r>
            <w:r w:rsidR="004F4E32">
              <w:rPr>
                <w:rFonts w:ascii="Times New Roman" w:hAnsi="Times New Roman" w:cs="Times New Roman"/>
                <w:sz w:val="24"/>
                <w:szCs w:val="24"/>
              </w:rPr>
              <w:t>,</w:t>
            </w:r>
            <w:r w:rsidR="0098193D">
              <w:rPr>
                <w:rFonts w:ascii="Times New Roman" w:hAnsi="Times New Roman" w:cs="Times New Roman"/>
                <w:sz w:val="24"/>
                <w:szCs w:val="24"/>
              </w:rPr>
              <w:t xml:space="preserve"> saskaņā ar </w:t>
            </w:r>
            <w:r w:rsidR="00B92714" w:rsidRPr="00336B05">
              <w:rPr>
                <w:rFonts w:ascii="Times New Roman" w:hAnsi="Times New Roman" w:cs="Times New Roman"/>
                <w:sz w:val="24"/>
                <w:szCs w:val="24"/>
              </w:rPr>
              <w:t>M</w:t>
            </w:r>
            <w:r w:rsidR="00F32419">
              <w:rPr>
                <w:rFonts w:ascii="Times New Roman" w:hAnsi="Times New Roman" w:cs="Times New Roman"/>
                <w:sz w:val="24"/>
                <w:szCs w:val="24"/>
              </w:rPr>
              <w:t>inistru kabineta</w:t>
            </w:r>
            <w:r w:rsidR="0098193D">
              <w:rPr>
                <w:rFonts w:ascii="Times New Roman" w:hAnsi="Times New Roman" w:cs="Times New Roman"/>
                <w:sz w:val="24"/>
                <w:szCs w:val="24"/>
              </w:rPr>
              <w:t xml:space="preserve"> 2016. gada 5. jūlija </w:t>
            </w:r>
            <w:r w:rsidR="00B92714" w:rsidRPr="00336B05">
              <w:rPr>
                <w:rFonts w:ascii="Times New Roman" w:hAnsi="Times New Roman" w:cs="Times New Roman"/>
                <w:sz w:val="24"/>
                <w:szCs w:val="24"/>
              </w:rPr>
              <w:t>noteikumu Nr.447 “Par valsts budžeta mērķdotāciju pedagogu darba samaksai pašvaldību vispārējās izglītības iestādēs un valsts augstskolu vispārējās vidējās izglītības iestādēs” 12</w:t>
            </w:r>
            <w:r w:rsidR="00B92714" w:rsidRPr="00336B05">
              <w:rPr>
                <w:rFonts w:ascii="Times New Roman" w:hAnsi="Times New Roman" w:cs="Times New Roman"/>
                <w:sz w:val="24"/>
                <w:szCs w:val="24"/>
                <w:vertAlign w:val="superscript"/>
              </w:rPr>
              <w:t>3</w:t>
            </w:r>
            <w:r w:rsidR="00B92714" w:rsidRPr="00336B05">
              <w:rPr>
                <w:rFonts w:ascii="Times New Roman" w:hAnsi="Times New Roman" w:cs="Times New Roman"/>
                <w:sz w:val="24"/>
                <w:szCs w:val="24"/>
              </w:rPr>
              <w:t>. punkt</w:t>
            </w:r>
            <w:r w:rsidR="00F32419">
              <w:rPr>
                <w:rFonts w:ascii="Times New Roman" w:hAnsi="Times New Roman" w:cs="Times New Roman"/>
                <w:sz w:val="24"/>
                <w:szCs w:val="24"/>
              </w:rPr>
              <w:t>ā noteikt</w:t>
            </w:r>
            <w:r w:rsidR="0098193D">
              <w:rPr>
                <w:rFonts w:ascii="Times New Roman" w:hAnsi="Times New Roman" w:cs="Times New Roman"/>
                <w:sz w:val="24"/>
                <w:szCs w:val="24"/>
              </w:rPr>
              <w:t>o</w:t>
            </w:r>
            <w:r w:rsidR="00083847">
              <w:rPr>
                <w:rFonts w:ascii="Times New Roman" w:hAnsi="Times New Roman" w:cs="Times New Roman"/>
                <w:sz w:val="24"/>
                <w:szCs w:val="24"/>
              </w:rPr>
              <w:t xml:space="preserve">, ka </w:t>
            </w:r>
            <w:r w:rsidR="00083847" w:rsidRPr="00083847">
              <w:rPr>
                <w:rFonts w:ascii="Times New Roman" w:hAnsi="Times New Roman" w:cs="Times New Roman"/>
                <w:sz w:val="24"/>
                <w:szCs w:val="24"/>
              </w:rPr>
              <w:t>sadalot mērķdotāciju izglītības iestādēm pedagogu darba samaksai, ir tiesības pārdalīt starp izglītības iestādēm finansējumu atbalsta personālam, kā arī finansējumu ilgstoši slimojošo skolēnu un bērnu izglītošanai ārpus izglītības iestādēs (slimnīcās un sociālās aprūpes iestādēs) un imigrējošo un remigrējošo izglītojamo atbalstam</w:t>
            </w:r>
            <w:r w:rsidR="00083847">
              <w:rPr>
                <w:rFonts w:ascii="Times New Roman" w:hAnsi="Times New Roman" w:cs="Times New Roman"/>
                <w:sz w:val="24"/>
                <w:szCs w:val="24"/>
              </w:rPr>
              <w:t xml:space="preserve">. </w:t>
            </w:r>
          </w:p>
          <w:p w14:paraId="3A421A1D" w14:textId="40C1B62D" w:rsidR="00F32419" w:rsidRDefault="00F20925" w:rsidP="00FE794D">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Attiecībā uz informāciju par nepilngadīgiem patvēruma meklētājiem, norādāms, ka šādu ziņu</w:t>
            </w:r>
            <w:r w:rsidR="007C1FA7">
              <w:rPr>
                <w:rFonts w:ascii="Times New Roman" w:hAnsi="Times New Roman" w:cs="Times New Roman"/>
                <w:sz w:val="24"/>
                <w:szCs w:val="24"/>
              </w:rPr>
              <w:t xml:space="preserve"> </w:t>
            </w:r>
            <w:r w:rsidR="00656AF4">
              <w:rPr>
                <w:rFonts w:ascii="Times New Roman" w:hAnsi="Times New Roman" w:cs="Times New Roman"/>
                <w:sz w:val="24"/>
                <w:szCs w:val="24"/>
              </w:rPr>
              <w:t>norādīšana</w:t>
            </w:r>
            <w:r w:rsidR="0098193D">
              <w:rPr>
                <w:rFonts w:ascii="Times New Roman" w:hAnsi="Times New Roman" w:cs="Times New Roman"/>
                <w:sz w:val="24"/>
                <w:szCs w:val="24"/>
              </w:rPr>
              <w:t xml:space="preserve"> sekmēs to, ka tiek nodrošināta </w:t>
            </w:r>
            <w:r w:rsidR="00656AF4">
              <w:rPr>
                <w:rFonts w:ascii="Times New Roman" w:hAnsi="Times New Roman" w:cs="Times New Roman"/>
                <w:sz w:val="24"/>
                <w:szCs w:val="24"/>
              </w:rPr>
              <w:t>valsts budžeta līdzekļu piešķiršan</w:t>
            </w:r>
            <w:r w:rsidR="0098193D">
              <w:rPr>
                <w:rFonts w:ascii="Times New Roman" w:hAnsi="Times New Roman" w:cs="Times New Roman"/>
                <w:sz w:val="24"/>
                <w:szCs w:val="24"/>
              </w:rPr>
              <w:t>a</w:t>
            </w:r>
            <w:r w:rsidR="00656AF4">
              <w:rPr>
                <w:rFonts w:ascii="Times New Roman" w:hAnsi="Times New Roman" w:cs="Times New Roman"/>
                <w:sz w:val="24"/>
                <w:szCs w:val="24"/>
              </w:rPr>
              <w:t xml:space="preserve"> nepilngadīgu patvēruma meklētāju izglītības nodrošināšanai trīs mēnešu laikā no ierašanās Latvijā, slēdzot līgumu ar </w:t>
            </w:r>
            <w:r w:rsidR="00FE2BBA">
              <w:rPr>
                <w:rFonts w:ascii="Times New Roman" w:hAnsi="Times New Roman" w:cs="Times New Roman"/>
                <w:sz w:val="24"/>
                <w:szCs w:val="24"/>
              </w:rPr>
              <w:t xml:space="preserve">Izglītības un zinātnes </w:t>
            </w:r>
            <w:r w:rsidR="00656AF4">
              <w:rPr>
                <w:rFonts w:ascii="Times New Roman" w:hAnsi="Times New Roman" w:cs="Times New Roman"/>
                <w:sz w:val="24"/>
                <w:szCs w:val="24"/>
              </w:rPr>
              <w:t>ministriju un izglītības iestādi</w:t>
            </w:r>
            <w:r w:rsidR="007C1FA7">
              <w:rPr>
                <w:rFonts w:ascii="Times New Roman" w:hAnsi="Times New Roman" w:cs="Times New Roman"/>
                <w:sz w:val="24"/>
                <w:szCs w:val="24"/>
              </w:rPr>
              <w:t>, kā arī sekmēs atbalsta nodrošināšanu latviešu valodas apguvē atbilstoši noteikumu Nr.</w:t>
            </w:r>
            <w:r w:rsidR="00230D1E">
              <w:rPr>
                <w:rFonts w:ascii="Times New Roman" w:hAnsi="Times New Roman" w:cs="Times New Roman"/>
                <w:sz w:val="24"/>
                <w:szCs w:val="24"/>
              </w:rPr>
              <w:t> </w:t>
            </w:r>
            <w:r w:rsidR="007C1FA7">
              <w:rPr>
                <w:rFonts w:ascii="Times New Roman" w:hAnsi="Times New Roman" w:cs="Times New Roman"/>
                <w:sz w:val="24"/>
                <w:szCs w:val="24"/>
              </w:rPr>
              <w:t>591 31</w:t>
            </w:r>
            <w:r w:rsidR="00A043C2">
              <w:rPr>
                <w:rFonts w:ascii="Times New Roman" w:hAnsi="Times New Roman" w:cs="Times New Roman"/>
                <w:sz w:val="24"/>
                <w:szCs w:val="24"/>
              </w:rPr>
              <w:t>.</w:t>
            </w:r>
            <w:r w:rsidR="007C1FA7" w:rsidRPr="00A043C2">
              <w:rPr>
                <w:rFonts w:ascii="Times New Roman" w:hAnsi="Times New Roman" w:cs="Times New Roman"/>
                <w:sz w:val="24"/>
                <w:szCs w:val="24"/>
              </w:rPr>
              <w:t>5</w:t>
            </w:r>
            <w:r w:rsidR="007C1FA7">
              <w:rPr>
                <w:rFonts w:ascii="Times New Roman" w:hAnsi="Times New Roman" w:cs="Times New Roman"/>
                <w:sz w:val="24"/>
                <w:szCs w:val="24"/>
              </w:rPr>
              <w:t>.</w:t>
            </w:r>
            <w:r w:rsidR="00B540E3">
              <w:rPr>
                <w:rFonts w:ascii="Times New Roman" w:hAnsi="Times New Roman" w:cs="Times New Roman"/>
                <w:sz w:val="24"/>
                <w:szCs w:val="24"/>
              </w:rPr>
              <w:t xml:space="preserve"> </w:t>
            </w:r>
            <w:r w:rsidR="007C1FA7">
              <w:rPr>
                <w:rFonts w:ascii="Times New Roman" w:hAnsi="Times New Roman" w:cs="Times New Roman"/>
                <w:sz w:val="24"/>
                <w:szCs w:val="24"/>
              </w:rPr>
              <w:t>apakšpunktam</w:t>
            </w:r>
            <w:r w:rsidR="00F32419">
              <w:rPr>
                <w:rFonts w:ascii="Times New Roman" w:hAnsi="Times New Roman" w:cs="Times New Roman"/>
                <w:sz w:val="24"/>
                <w:szCs w:val="24"/>
              </w:rPr>
              <w:t xml:space="preserve">. </w:t>
            </w:r>
          </w:p>
          <w:p w14:paraId="02507B3A" w14:textId="45C2D36E" w:rsidR="00F20925" w:rsidRDefault="00DF180E" w:rsidP="00FE794D">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Z</w:t>
            </w:r>
            <w:r w:rsidR="00DA42E0">
              <w:rPr>
                <w:rFonts w:ascii="Times New Roman" w:hAnsi="Times New Roman" w:cs="Times New Roman"/>
                <w:sz w:val="24"/>
                <w:szCs w:val="24"/>
              </w:rPr>
              <w:t>iņu norādīšana</w:t>
            </w:r>
            <w:r w:rsidR="00F20925">
              <w:rPr>
                <w:rFonts w:ascii="Times New Roman" w:hAnsi="Times New Roman" w:cs="Times New Roman"/>
                <w:sz w:val="24"/>
                <w:szCs w:val="24"/>
              </w:rPr>
              <w:t xml:space="preserve"> par </w:t>
            </w:r>
            <w:r w:rsidR="007F269B">
              <w:rPr>
                <w:rFonts w:ascii="Times New Roman" w:hAnsi="Times New Roman" w:cs="Times New Roman"/>
                <w:sz w:val="24"/>
                <w:szCs w:val="24"/>
              </w:rPr>
              <w:t xml:space="preserve">diplomātiskā korpusa pārstāvju bērniem Latvijā sekmēs to, ka tiks </w:t>
            </w:r>
            <w:r w:rsidR="00DA42E0">
              <w:rPr>
                <w:rFonts w:ascii="Times New Roman" w:hAnsi="Times New Roman" w:cs="Times New Roman"/>
                <w:sz w:val="24"/>
                <w:szCs w:val="24"/>
              </w:rPr>
              <w:t xml:space="preserve">savlaicīgi </w:t>
            </w:r>
            <w:r w:rsidR="007F269B">
              <w:rPr>
                <w:rFonts w:ascii="Times New Roman" w:hAnsi="Times New Roman" w:cs="Times New Roman"/>
                <w:sz w:val="24"/>
                <w:szCs w:val="24"/>
              </w:rPr>
              <w:t xml:space="preserve">uzsākta  </w:t>
            </w:r>
            <w:r w:rsidR="00DA42E0">
              <w:rPr>
                <w:rFonts w:ascii="Times New Roman" w:hAnsi="Times New Roman" w:cs="Times New Roman"/>
                <w:sz w:val="24"/>
                <w:szCs w:val="24"/>
              </w:rPr>
              <w:t xml:space="preserve">atbalsta sniegšana </w:t>
            </w:r>
            <w:r w:rsidR="007F269B">
              <w:rPr>
                <w:rFonts w:ascii="Times New Roman" w:hAnsi="Times New Roman" w:cs="Times New Roman"/>
                <w:sz w:val="24"/>
                <w:szCs w:val="24"/>
              </w:rPr>
              <w:t>latviešu valodas apguv</w:t>
            </w:r>
            <w:r w:rsidR="00DA42E0">
              <w:rPr>
                <w:rFonts w:ascii="Times New Roman" w:hAnsi="Times New Roman" w:cs="Times New Roman"/>
                <w:sz w:val="24"/>
                <w:szCs w:val="24"/>
              </w:rPr>
              <w:t xml:space="preserve">ē </w:t>
            </w:r>
            <w:r>
              <w:rPr>
                <w:rFonts w:ascii="Times New Roman" w:hAnsi="Times New Roman" w:cs="Times New Roman"/>
                <w:sz w:val="24"/>
                <w:szCs w:val="24"/>
              </w:rPr>
              <w:t>saskaņā ar noteikumu Nr.591 31.5.</w:t>
            </w:r>
            <w:r w:rsidR="00DD159D">
              <w:t> </w:t>
            </w:r>
            <w:r>
              <w:rPr>
                <w:rFonts w:ascii="Times New Roman" w:hAnsi="Times New Roman" w:cs="Times New Roman"/>
                <w:sz w:val="24"/>
                <w:szCs w:val="24"/>
              </w:rPr>
              <w:t xml:space="preserve">apakšpunktu. Savukārt </w:t>
            </w:r>
            <w:r w:rsidR="00DA42E0">
              <w:rPr>
                <w:rFonts w:ascii="Times New Roman" w:hAnsi="Times New Roman" w:cs="Times New Roman"/>
                <w:sz w:val="24"/>
                <w:szCs w:val="24"/>
              </w:rPr>
              <w:t xml:space="preserve">attiecībā uz diplomātiskā korpusa pārstāvju bērniem ārvalstīs norādāms, </w:t>
            </w:r>
            <w:r w:rsidR="004F4E32">
              <w:rPr>
                <w:rFonts w:ascii="Times New Roman" w:hAnsi="Times New Roman" w:cs="Times New Roman"/>
                <w:sz w:val="24"/>
                <w:szCs w:val="24"/>
              </w:rPr>
              <w:t>jo</w:t>
            </w:r>
            <w:r w:rsidR="00DA42E0">
              <w:rPr>
                <w:rFonts w:ascii="Times New Roman" w:hAnsi="Times New Roman" w:cs="Times New Roman"/>
                <w:sz w:val="24"/>
                <w:szCs w:val="24"/>
              </w:rPr>
              <w:t xml:space="preserve"> minēto noteikumu Nr.591 55.2.</w:t>
            </w:r>
            <w:r w:rsidR="00DD159D">
              <w:rPr>
                <w:rFonts w:ascii="Times New Roman" w:hAnsi="Times New Roman" w:cs="Times New Roman"/>
                <w:sz w:val="24"/>
                <w:szCs w:val="24"/>
              </w:rPr>
              <w:t> </w:t>
            </w:r>
            <w:r w:rsidR="00DA42E0">
              <w:rPr>
                <w:rFonts w:ascii="Times New Roman" w:hAnsi="Times New Roman" w:cs="Times New Roman"/>
                <w:sz w:val="24"/>
                <w:szCs w:val="24"/>
              </w:rPr>
              <w:t xml:space="preserve">apakšpunkts paredz, ka izglītojamo </w:t>
            </w:r>
            <w:r w:rsidR="00DA42E0" w:rsidRPr="00DA42E0">
              <w:rPr>
                <w:rFonts w:ascii="Times New Roman" w:hAnsi="Times New Roman" w:cs="Times New Roman"/>
                <w:sz w:val="24"/>
                <w:szCs w:val="24"/>
              </w:rPr>
              <w:t>neatskaita no izglītības iestādes, pamatojoties uz vecāku vai pilngadību sasniegušā izglītojamā iesniegumu, ja</w:t>
            </w:r>
            <w:r w:rsidR="00DA42E0">
              <w:t xml:space="preserve"> </w:t>
            </w:r>
            <w:r w:rsidR="00DA42E0" w:rsidRPr="00DA42E0">
              <w:rPr>
                <w:rFonts w:ascii="Times New Roman" w:hAnsi="Times New Roman" w:cs="Times New Roman"/>
                <w:sz w:val="24"/>
                <w:szCs w:val="24"/>
              </w:rPr>
              <w:t>viņš devies līdzi kādam no vecākiem, kas nosūtīts diplomātiskajā dienestā uz laiku līdz četriem gadiem</w:t>
            </w:r>
            <w:r w:rsidR="00DA42E0">
              <w:rPr>
                <w:rFonts w:ascii="Times New Roman" w:hAnsi="Times New Roman" w:cs="Times New Roman"/>
                <w:sz w:val="24"/>
                <w:szCs w:val="24"/>
              </w:rPr>
              <w:t>. Līdz ar to, VIIS nepieciešams norādīts informāciju par šādiem izglītojamiem, lai gūtu pārliecību par viņu statusu izglītības iestādē Latvij</w:t>
            </w:r>
            <w:r w:rsidR="001234A9">
              <w:rPr>
                <w:rFonts w:ascii="Times New Roman" w:hAnsi="Times New Roman" w:cs="Times New Roman"/>
                <w:sz w:val="24"/>
                <w:szCs w:val="24"/>
              </w:rPr>
              <w:t>ā.</w:t>
            </w:r>
          </w:p>
          <w:p w14:paraId="5E35F60E" w14:textId="77777777" w:rsidR="00346BFD" w:rsidRPr="00336B05" w:rsidRDefault="00346BFD" w:rsidP="00FE794D">
            <w:pPr>
              <w:pStyle w:val="CommentText"/>
              <w:spacing w:after="0"/>
              <w:jc w:val="both"/>
              <w:rPr>
                <w:rFonts w:ascii="Times New Roman" w:hAnsi="Times New Roman" w:cs="Times New Roman"/>
                <w:sz w:val="24"/>
                <w:szCs w:val="24"/>
              </w:rPr>
            </w:pPr>
          </w:p>
          <w:p w14:paraId="4CAD26F9" w14:textId="51307343" w:rsidR="00EA1F59" w:rsidRDefault="00EA1F59" w:rsidP="00FE794D">
            <w:pPr>
              <w:pStyle w:val="CommentText"/>
              <w:spacing w:after="0"/>
              <w:jc w:val="both"/>
              <w:rPr>
                <w:rFonts w:ascii="Times New Roman" w:eastAsia="Times New Roman" w:hAnsi="Times New Roman"/>
                <w:sz w:val="24"/>
                <w:szCs w:val="24"/>
              </w:rPr>
            </w:pPr>
            <w:r w:rsidRPr="00336B05">
              <w:rPr>
                <w:rFonts w:ascii="Times New Roman" w:hAnsi="Times New Roman" w:cs="Times New Roman"/>
                <w:sz w:val="24"/>
                <w:szCs w:val="24"/>
              </w:rPr>
              <w:t>4</w:t>
            </w:r>
            <w:r w:rsidR="00825811">
              <w:rPr>
                <w:rFonts w:ascii="Times New Roman" w:hAnsi="Times New Roman" w:cs="Times New Roman"/>
                <w:sz w:val="24"/>
                <w:szCs w:val="24"/>
              </w:rPr>
              <w:t>)</w:t>
            </w:r>
            <w:r w:rsidRPr="00336B05">
              <w:rPr>
                <w:rFonts w:ascii="Times New Roman" w:hAnsi="Times New Roman" w:cs="Times New Roman"/>
                <w:sz w:val="24"/>
                <w:szCs w:val="24"/>
              </w:rPr>
              <w:t xml:space="preserve"> </w:t>
            </w:r>
            <w:r w:rsidR="00DE4AC8">
              <w:rPr>
                <w:rFonts w:ascii="Times New Roman" w:hAnsi="Times New Roman" w:cs="Times New Roman"/>
                <w:sz w:val="24"/>
                <w:szCs w:val="24"/>
              </w:rPr>
              <w:t>1.</w:t>
            </w:r>
            <w:r w:rsidR="003A05D5">
              <w:t> </w:t>
            </w:r>
            <w:r w:rsidR="00DE4AC8">
              <w:rPr>
                <w:rFonts w:ascii="Times New Roman" w:hAnsi="Times New Roman" w:cs="Times New Roman"/>
                <w:sz w:val="24"/>
                <w:szCs w:val="24"/>
              </w:rPr>
              <w:t>n</w:t>
            </w:r>
            <w:r w:rsidRPr="00336B05">
              <w:rPr>
                <w:rFonts w:ascii="Times New Roman" w:hAnsi="Times New Roman" w:cs="Times New Roman"/>
                <w:sz w:val="24"/>
                <w:szCs w:val="24"/>
              </w:rPr>
              <w:t>oteikumu projekts paredz statistikas</w:t>
            </w:r>
            <w:r w:rsidR="00FC095D">
              <w:rPr>
                <w:rFonts w:ascii="Times New Roman" w:hAnsi="Times New Roman" w:cs="Times New Roman"/>
                <w:sz w:val="24"/>
                <w:szCs w:val="24"/>
              </w:rPr>
              <w:t xml:space="preserve"> vajadzībām</w:t>
            </w:r>
            <w:r w:rsidRPr="00336B05">
              <w:rPr>
                <w:rFonts w:ascii="Times New Roman" w:hAnsi="Times New Roman" w:cs="Times New Roman"/>
                <w:sz w:val="24"/>
                <w:szCs w:val="24"/>
              </w:rPr>
              <w:t xml:space="preserve"> un izglītības kvalitātes monitoringa nolūkiem </w:t>
            </w:r>
            <w:r w:rsidR="00427767">
              <w:rPr>
                <w:rFonts w:ascii="Times New Roman" w:hAnsi="Times New Roman" w:cs="Times New Roman"/>
                <w:sz w:val="24"/>
                <w:szCs w:val="24"/>
              </w:rPr>
              <w:t>(</w:t>
            </w:r>
            <w:r w:rsidRPr="00336B05">
              <w:rPr>
                <w:rFonts w:ascii="Times New Roman" w:hAnsi="Times New Roman" w:cs="Times New Roman"/>
                <w:sz w:val="24"/>
                <w:szCs w:val="24"/>
              </w:rPr>
              <w:t>iekļaut informāciju par izglītojamo gala vērtējumiem profesionālās izglītības prie</w:t>
            </w:r>
            <w:r w:rsidR="009B354D" w:rsidRPr="00336B05">
              <w:rPr>
                <w:rFonts w:ascii="Times New Roman" w:hAnsi="Times New Roman" w:cs="Times New Roman"/>
                <w:sz w:val="24"/>
                <w:szCs w:val="24"/>
              </w:rPr>
              <w:t>k</w:t>
            </w:r>
            <w:r w:rsidRPr="00336B05">
              <w:rPr>
                <w:rFonts w:ascii="Times New Roman" w:hAnsi="Times New Roman" w:cs="Times New Roman"/>
                <w:sz w:val="24"/>
                <w:szCs w:val="24"/>
              </w:rPr>
              <w:t xml:space="preserve">šmetos, izglītojamo vērtējumiem semestros un semestra laikā kavētajām mācību stundām. </w:t>
            </w:r>
            <w:r w:rsidR="00FC095D">
              <w:rPr>
                <w:rFonts w:ascii="Times New Roman" w:hAnsi="Times New Roman" w:cs="Times New Roman"/>
                <w:sz w:val="24"/>
                <w:szCs w:val="24"/>
              </w:rPr>
              <w:t>Šādi dati ir nepieciešami izstrādājot izglītības kvalitāti raksturojošus indikatorus Eiropas Savienības fondu projekta “</w:t>
            </w:r>
            <w:r w:rsidR="00FC095D" w:rsidRPr="00FC095D">
              <w:rPr>
                <w:rFonts w:ascii="Times New Roman" w:hAnsi="Times New Roman" w:cs="Times New Roman"/>
                <w:sz w:val="24"/>
                <w:szCs w:val="24"/>
              </w:rPr>
              <w:t>Izglītības kvalitātes monitoringa sistēmas izveide un īstenošana</w:t>
            </w:r>
            <w:r w:rsidR="00FC095D">
              <w:rPr>
                <w:rFonts w:ascii="Times New Roman" w:hAnsi="Times New Roman" w:cs="Times New Roman"/>
                <w:sz w:val="24"/>
                <w:szCs w:val="24"/>
              </w:rPr>
              <w:t>” ietvaros.</w:t>
            </w:r>
            <w:r w:rsidR="0081481B">
              <w:rPr>
                <w:rFonts w:ascii="Times New Roman" w:hAnsi="Times New Roman" w:cs="Times New Roman"/>
                <w:sz w:val="24"/>
                <w:szCs w:val="24"/>
              </w:rPr>
              <w:t xml:space="preserve"> Mācību  stundu kavējumi kā izglītības kvalitāti raksturojošs rādītājs norādīti arī dažādos politikas plānošanas dokumentos, piemēram, </w:t>
            </w:r>
            <w:r w:rsidR="0081481B" w:rsidRPr="0081481B">
              <w:rPr>
                <w:rFonts w:ascii="Times New Roman" w:hAnsi="Times New Roman" w:cs="Times New Roman"/>
                <w:sz w:val="24"/>
                <w:szCs w:val="24"/>
              </w:rPr>
              <w:t>Izglītības attīstības pamatnostādnes 2014.-2020.gadam</w:t>
            </w:r>
            <w:r w:rsidR="0081481B">
              <w:rPr>
                <w:rFonts w:ascii="Times New Roman" w:hAnsi="Times New Roman" w:cs="Times New Roman"/>
                <w:sz w:val="24"/>
                <w:szCs w:val="24"/>
              </w:rPr>
              <w:t xml:space="preserve">, dokuments (skat. 105. lpp.) pieejams </w:t>
            </w:r>
            <w:r w:rsidR="0081481B" w:rsidRPr="0081481B">
              <w:rPr>
                <w:rFonts w:ascii="Times New Roman" w:hAnsi="Times New Roman" w:cs="Times New Roman"/>
                <w:sz w:val="24"/>
                <w:szCs w:val="24"/>
              </w:rPr>
              <w:t>http://polsis.mk.gov.lv/documents/4781</w:t>
            </w:r>
            <w:r w:rsidR="0081481B">
              <w:rPr>
                <w:rFonts w:ascii="Times New Roman" w:hAnsi="Times New Roman" w:cs="Times New Roman"/>
                <w:sz w:val="24"/>
                <w:szCs w:val="24"/>
              </w:rPr>
              <w:t xml:space="preserve">. </w:t>
            </w:r>
            <w:r w:rsidR="00FC095D">
              <w:rPr>
                <w:rFonts w:ascii="Times New Roman" w:hAnsi="Times New Roman" w:cs="Times New Roman"/>
                <w:sz w:val="24"/>
                <w:szCs w:val="24"/>
              </w:rPr>
              <w:t xml:space="preserve"> </w:t>
            </w:r>
            <w:r w:rsidRPr="00336B05">
              <w:rPr>
                <w:rFonts w:ascii="Times New Roman" w:hAnsi="Times New Roman" w:cs="Times New Roman"/>
                <w:sz w:val="24"/>
                <w:szCs w:val="24"/>
              </w:rPr>
              <w:t>Noteikumu projektā iekļautās normas, kas paredz semestru un gada vērtējumu un kavējumu apstrādi VIIS</w:t>
            </w:r>
            <w:r w:rsidR="000E0914">
              <w:rPr>
                <w:rFonts w:ascii="Times New Roman" w:hAnsi="Times New Roman" w:cs="Times New Roman"/>
                <w:sz w:val="24"/>
                <w:szCs w:val="24"/>
              </w:rPr>
              <w:t>,</w:t>
            </w:r>
            <w:r w:rsidRPr="00336B05">
              <w:rPr>
                <w:rFonts w:ascii="Times New Roman" w:hAnsi="Times New Roman" w:cs="Times New Roman"/>
                <w:sz w:val="24"/>
                <w:szCs w:val="24"/>
              </w:rPr>
              <w:t xml:space="preserve"> stāsies spēkā līdz ar nākamā mācību gada s</w:t>
            </w:r>
            <w:r w:rsidR="00FC095D">
              <w:rPr>
                <w:rFonts w:ascii="Times New Roman" w:hAnsi="Times New Roman" w:cs="Times New Roman"/>
                <w:sz w:val="24"/>
                <w:szCs w:val="24"/>
              </w:rPr>
              <w:t xml:space="preserve">ākumu – 2020. gada 1. septembrī, tehniski paredzot datu automātisku apmaiņu ar izglītības iestāžu izmantotajiem </w:t>
            </w:r>
            <w:r w:rsidR="00FC095D">
              <w:rPr>
                <w:rFonts w:ascii="Times New Roman" w:hAnsi="Times New Roman" w:cs="Times New Roman"/>
                <w:sz w:val="24"/>
                <w:szCs w:val="24"/>
              </w:rPr>
              <w:lastRenderedPageBreak/>
              <w:t>elektroniskajiem žurnāliem.</w:t>
            </w:r>
            <w:r w:rsidR="0081481B">
              <w:rPr>
                <w:rFonts w:ascii="Times New Roman" w:hAnsi="Times New Roman" w:cs="Times New Roman"/>
                <w:sz w:val="24"/>
                <w:szCs w:val="24"/>
              </w:rPr>
              <w:t xml:space="preserve"> </w:t>
            </w:r>
            <w:r w:rsidRPr="00336B05">
              <w:rPr>
                <w:rFonts w:ascii="Times New Roman" w:hAnsi="Times New Roman" w:cs="Times New Roman"/>
                <w:sz w:val="24"/>
                <w:szCs w:val="24"/>
              </w:rPr>
              <w:t xml:space="preserve"> Izglītojamo gala vērtējumus profesionālās izglītības priekšmetos varēs izmantot augstākās izglītības iestādes</w:t>
            </w:r>
            <w:r w:rsidR="000E0914">
              <w:rPr>
                <w:rFonts w:ascii="Times New Roman" w:hAnsi="Times New Roman" w:cs="Times New Roman"/>
                <w:sz w:val="24"/>
                <w:szCs w:val="24"/>
              </w:rPr>
              <w:t>,</w:t>
            </w:r>
            <w:r w:rsidRPr="00336B05">
              <w:rPr>
                <w:rFonts w:ascii="Times New Roman" w:hAnsi="Times New Roman" w:cs="Times New Roman"/>
                <w:sz w:val="24"/>
                <w:szCs w:val="24"/>
              </w:rPr>
              <w:t xml:space="preserve"> org</w:t>
            </w:r>
            <w:r w:rsidR="00FC095D">
              <w:rPr>
                <w:rFonts w:ascii="Times New Roman" w:hAnsi="Times New Roman" w:cs="Times New Roman"/>
                <w:sz w:val="24"/>
                <w:szCs w:val="24"/>
              </w:rPr>
              <w:t xml:space="preserve">anizējot reflektantu uzņemšanu, jo izglītojamo gala vērtējumu datu apmaiņa starp VIIS un augstskolu informācijas sistēmā paredzēta </w:t>
            </w:r>
            <w:r w:rsidR="00FC095D" w:rsidRPr="00336B05">
              <w:rPr>
                <w:rFonts w:ascii="Times New Roman" w:eastAsia="Times New Roman" w:hAnsi="Times New Roman"/>
                <w:sz w:val="24"/>
                <w:szCs w:val="24"/>
              </w:rPr>
              <w:t>Ministru kabineta 2006. gada 10. oktobra noteikumos Nr. 846 "Noteikumi par prasībām, kritērijiem un kārtību uzņemšanai studiju programmās"</w:t>
            </w:r>
            <w:r w:rsidR="00FC095D">
              <w:rPr>
                <w:rFonts w:ascii="Times New Roman" w:eastAsia="Times New Roman" w:hAnsi="Times New Roman"/>
                <w:sz w:val="24"/>
                <w:szCs w:val="24"/>
              </w:rPr>
              <w:t>, kā arī tiek precizēta saskaņā ar Izglītības un zinātnes ministrijas izstrād</w:t>
            </w:r>
            <w:r w:rsidR="00346BFD">
              <w:rPr>
                <w:rFonts w:ascii="Times New Roman" w:eastAsia="Times New Roman" w:hAnsi="Times New Roman"/>
                <w:sz w:val="24"/>
                <w:szCs w:val="24"/>
              </w:rPr>
              <w:t>āto 2.noteikumu projektu.</w:t>
            </w:r>
          </w:p>
          <w:p w14:paraId="1C7B8632" w14:textId="77777777" w:rsidR="00346BFD" w:rsidRPr="00336B05" w:rsidRDefault="00346BFD" w:rsidP="00FE794D">
            <w:pPr>
              <w:pStyle w:val="CommentText"/>
              <w:spacing w:after="0"/>
              <w:jc w:val="both"/>
              <w:rPr>
                <w:rFonts w:ascii="Times New Roman" w:hAnsi="Times New Roman" w:cs="Times New Roman"/>
                <w:sz w:val="24"/>
                <w:szCs w:val="24"/>
              </w:rPr>
            </w:pPr>
          </w:p>
          <w:p w14:paraId="51EAAEBE" w14:textId="5A7B3777" w:rsidR="00B40796" w:rsidRPr="00336B05" w:rsidRDefault="00194706" w:rsidP="00FE794D">
            <w:pPr>
              <w:pStyle w:val="CommentText"/>
              <w:spacing w:after="0"/>
              <w:jc w:val="both"/>
              <w:rPr>
                <w:rFonts w:ascii="Times New Roman" w:eastAsia="Times New Roman" w:hAnsi="Times New Roman"/>
                <w:sz w:val="24"/>
                <w:szCs w:val="24"/>
              </w:rPr>
            </w:pPr>
            <w:r>
              <w:rPr>
                <w:rFonts w:ascii="Times New Roman" w:hAnsi="Times New Roman" w:cs="Times New Roman"/>
                <w:sz w:val="24"/>
                <w:szCs w:val="24"/>
              </w:rPr>
              <w:t>5)</w:t>
            </w:r>
            <w:r w:rsidR="00EA1F59" w:rsidRPr="00336B05">
              <w:rPr>
                <w:rFonts w:ascii="Times New Roman" w:hAnsi="Times New Roman" w:cs="Times New Roman"/>
                <w:sz w:val="24"/>
                <w:szCs w:val="24"/>
              </w:rPr>
              <w:t xml:space="preserve"> </w:t>
            </w:r>
            <w:r w:rsidR="0092465C">
              <w:rPr>
                <w:rFonts w:ascii="Times New Roman" w:hAnsi="Times New Roman" w:cs="Times New Roman"/>
                <w:sz w:val="24"/>
                <w:szCs w:val="24"/>
              </w:rPr>
              <w:t>1.</w:t>
            </w:r>
            <w:r w:rsidR="00EA1F59" w:rsidRPr="00336B05">
              <w:rPr>
                <w:rFonts w:ascii="Times New Roman" w:hAnsi="Times New Roman" w:cs="Times New Roman"/>
                <w:sz w:val="24"/>
                <w:szCs w:val="24"/>
              </w:rPr>
              <w:t>Noteikumu projektā papildināti par studējošo iekļaujamie dati, nosakot</w:t>
            </w:r>
            <w:r w:rsidR="000E0914">
              <w:rPr>
                <w:rFonts w:ascii="Times New Roman" w:hAnsi="Times New Roman" w:cs="Times New Roman"/>
                <w:sz w:val="24"/>
                <w:szCs w:val="24"/>
              </w:rPr>
              <w:t>,</w:t>
            </w:r>
            <w:r w:rsidR="00EA1F59" w:rsidRPr="00336B05">
              <w:rPr>
                <w:rFonts w:ascii="Times New Roman" w:hAnsi="Times New Roman" w:cs="Times New Roman"/>
                <w:sz w:val="24"/>
                <w:szCs w:val="24"/>
              </w:rPr>
              <w:t xml:space="preserve"> ka VIIS tiek iekļauta informācija par studiju maksu semestrī vai attiecīgajā studiju gadā (studiju kursā), kura ir aprēķināta</w:t>
            </w:r>
            <w:r w:rsidR="000E0914">
              <w:rPr>
                <w:rFonts w:ascii="Times New Roman" w:hAnsi="Times New Roman" w:cs="Times New Roman"/>
                <w:sz w:val="24"/>
                <w:szCs w:val="24"/>
              </w:rPr>
              <w:t>,</w:t>
            </w:r>
            <w:r w:rsidR="00EA1F59" w:rsidRPr="00336B05">
              <w:rPr>
                <w:rFonts w:ascii="Times New Roman" w:hAnsi="Times New Roman" w:cs="Times New Roman"/>
                <w:sz w:val="24"/>
                <w:szCs w:val="24"/>
              </w:rPr>
              <w:t xml:space="preserve"> ņemot vērā piešķirtās studiju maksas atlaides. Šāda informācija VIIS </w:t>
            </w:r>
            <w:r w:rsidR="004C19FE">
              <w:rPr>
                <w:rFonts w:ascii="Times New Roman" w:hAnsi="Times New Roman" w:cs="Times New Roman"/>
                <w:sz w:val="24"/>
                <w:szCs w:val="24"/>
              </w:rPr>
              <w:t xml:space="preserve"> paredzēts iekļaut atbilstoši </w:t>
            </w:r>
            <w:r w:rsidR="00EA1F59" w:rsidRPr="00336B05">
              <w:rPr>
                <w:rFonts w:ascii="Times New Roman" w:hAnsi="Times New Roman" w:cs="Times New Roman"/>
                <w:sz w:val="24"/>
                <w:szCs w:val="24"/>
              </w:rPr>
              <w:t xml:space="preserve">ar </w:t>
            </w:r>
            <w:r w:rsidR="00485BC0" w:rsidRPr="00336B05">
              <w:rPr>
                <w:rFonts w:ascii="Times New Roman" w:hAnsi="Times New Roman"/>
                <w:sz w:val="24"/>
                <w:szCs w:val="24"/>
              </w:rPr>
              <w:t>rīkojum</w:t>
            </w:r>
            <w:r w:rsidR="004C19FE">
              <w:rPr>
                <w:rFonts w:ascii="Times New Roman" w:hAnsi="Times New Roman"/>
                <w:sz w:val="24"/>
                <w:szCs w:val="24"/>
              </w:rPr>
              <w:t xml:space="preserve">u </w:t>
            </w:r>
            <w:r w:rsidR="00485BC0" w:rsidRPr="00336B05">
              <w:rPr>
                <w:rFonts w:ascii="Times New Roman" w:hAnsi="Times New Roman"/>
                <w:sz w:val="24"/>
                <w:szCs w:val="24"/>
              </w:rPr>
              <w:t xml:space="preserve"> atbalstīt</w:t>
            </w:r>
            <w:r w:rsidR="004C19FE">
              <w:rPr>
                <w:rFonts w:ascii="Times New Roman" w:hAnsi="Times New Roman"/>
                <w:sz w:val="24"/>
                <w:szCs w:val="24"/>
              </w:rPr>
              <w:t xml:space="preserve">ā </w:t>
            </w:r>
            <w:r w:rsidR="00485BC0" w:rsidRPr="00336B05">
              <w:rPr>
                <w:rFonts w:ascii="Times New Roman" w:hAnsi="Times New Roman"/>
                <w:sz w:val="24"/>
                <w:szCs w:val="24"/>
              </w:rPr>
              <w:t>konceptuālaj</w:t>
            </w:r>
            <w:r w:rsidR="004C19FE">
              <w:rPr>
                <w:rFonts w:ascii="Times New Roman" w:hAnsi="Times New Roman"/>
                <w:sz w:val="24"/>
                <w:szCs w:val="24"/>
              </w:rPr>
              <w:t>ā</w:t>
            </w:r>
            <w:r w:rsidR="00485BC0" w:rsidRPr="00336B05">
              <w:rPr>
                <w:rFonts w:ascii="Times New Roman" w:hAnsi="Times New Roman"/>
                <w:sz w:val="24"/>
                <w:szCs w:val="24"/>
              </w:rPr>
              <w:t xml:space="preserve"> ziņojum</w:t>
            </w:r>
            <w:r w:rsidR="004C19FE">
              <w:rPr>
                <w:rFonts w:ascii="Times New Roman" w:hAnsi="Times New Roman"/>
                <w:sz w:val="24"/>
                <w:szCs w:val="24"/>
              </w:rPr>
              <w:t>a</w:t>
            </w:r>
            <w:r w:rsidR="00485BC0" w:rsidRPr="00336B05">
              <w:rPr>
                <w:rFonts w:ascii="Times New Roman" w:hAnsi="Times New Roman"/>
                <w:sz w:val="24"/>
                <w:szCs w:val="24"/>
              </w:rPr>
              <w:t xml:space="preserve"> "Par studiju un studējošo kreditēšanas no kredītiestāžu līdzekļiem ar valsts vārdā sniegto galvojumu modeļa maiņu" (turpmāk – konceptuālais ziņojums) 4. rīcīb</w:t>
            </w:r>
            <w:r w:rsidR="004C19FE">
              <w:rPr>
                <w:rFonts w:ascii="Times New Roman" w:hAnsi="Times New Roman"/>
                <w:sz w:val="24"/>
                <w:szCs w:val="24"/>
              </w:rPr>
              <w:t>as</w:t>
            </w:r>
            <w:r w:rsidR="00485BC0" w:rsidRPr="00336B05">
              <w:rPr>
                <w:rFonts w:ascii="Times New Roman" w:hAnsi="Times New Roman"/>
                <w:sz w:val="24"/>
                <w:szCs w:val="24"/>
              </w:rPr>
              <w:t xml:space="preserve"> variant</w:t>
            </w:r>
            <w:r w:rsidR="004C19FE">
              <w:rPr>
                <w:rFonts w:ascii="Times New Roman" w:hAnsi="Times New Roman"/>
                <w:sz w:val="24"/>
                <w:szCs w:val="24"/>
              </w:rPr>
              <w:t xml:space="preserve">am </w:t>
            </w:r>
            <w:r w:rsidR="00485BC0" w:rsidRPr="00336B05">
              <w:rPr>
                <w:rFonts w:ascii="Times New Roman" w:hAnsi="Times New Roman"/>
                <w:sz w:val="24"/>
                <w:szCs w:val="24"/>
              </w:rPr>
              <w:t xml:space="preserve"> un rīkojuma </w:t>
            </w:r>
            <w:r w:rsidR="00485BC0" w:rsidRPr="00336B05">
              <w:rPr>
                <w:rFonts w:ascii="Times New Roman" w:eastAsia="Times New Roman" w:hAnsi="Times New Roman"/>
                <w:sz w:val="24"/>
                <w:szCs w:val="24"/>
              </w:rPr>
              <w:t>3. punktā dot</w:t>
            </w:r>
            <w:r w:rsidR="004C19FE">
              <w:rPr>
                <w:rFonts w:ascii="Times New Roman" w:eastAsia="Times New Roman" w:hAnsi="Times New Roman"/>
                <w:sz w:val="24"/>
                <w:szCs w:val="24"/>
              </w:rPr>
              <w:t>ajam</w:t>
            </w:r>
            <w:r w:rsidR="00485BC0" w:rsidRPr="00336B05">
              <w:rPr>
                <w:rFonts w:ascii="Times New Roman" w:eastAsia="Times New Roman" w:hAnsi="Times New Roman"/>
                <w:sz w:val="24"/>
                <w:szCs w:val="24"/>
              </w:rPr>
              <w:t xml:space="preserve"> uzdevum</w:t>
            </w:r>
            <w:r w:rsidR="004C19FE">
              <w:rPr>
                <w:rFonts w:ascii="Times New Roman" w:eastAsia="Times New Roman" w:hAnsi="Times New Roman"/>
                <w:sz w:val="24"/>
                <w:szCs w:val="24"/>
              </w:rPr>
              <w:t>am</w:t>
            </w:r>
            <w:r w:rsidR="00485BC0" w:rsidRPr="00336B05">
              <w:rPr>
                <w:rFonts w:ascii="Times New Roman" w:eastAsia="Times New Roman" w:hAnsi="Times New Roman"/>
                <w:sz w:val="24"/>
                <w:szCs w:val="24"/>
              </w:rPr>
              <w:t xml:space="preserve">  Izglītības un zinātnes ministrijai </w:t>
            </w:r>
            <w:r w:rsidR="0092522B" w:rsidRPr="00336B05">
              <w:rPr>
                <w:rFonts w:ascii="Times New Roman" w:eastAsia="Times New Roman" w:hAnsi="Times New Roman"/>
                <w:sz w:val="24"/>
                <w:szCs w:val="24"/>
              </w:rPr>
              <w:t xml:space="preserve">sagatavot un līdz 2019. gada 31. oktobrim iesniegt Ministru kabinetā noteikumu projektu par jauno studiju un studējošo kreditēšanas modeli ar valsts galvojumu no kredītiestāžu līdzekļiem un vienlaikus </w:t>
            </w:r>
            <w:r w:rsidR="00485BC0" w:rsidRPr="00336B05">
              <w:rPr>
                <w:rFonts w:ascii="Times New Roman" w:eastAsia="Times New Roman" w:hAnsi="Times New Roman"/>
                <w:sz w:val="24"/>
                <w:szCs w:val="24"/>
              </w:rPr>
              <w:t>veikt grozījumus normatīvajos aktos par Valsts izglītības informācijas sistēmu.</w:t>
            </w:r>
            <w:r w:rsidR="00440673" w:rsidRPr="00336B05">
              <w:rPr>
                <w:rFonts w:ascii="Times New Roman" w:eastAsia="Times New Roman" w:hAnsi="Times New Roman"/>
                <w:sz w:val="24"/>
                <w:szCs w:val="24"/>
              </w:rPr>
              <w:t xml:space="preserve"> </w:t>
            </w:r>
            <w:r w:rsidR="004C19FE">
              <w:rPr>
                <w:rFonts w:ascii="Times New Roman" w:eastAsia="Times New Roman" w:hAnsi="Times New Roman"/>
                <w:sz w:val="24"/>
                <w:szCs w:val="24"/>
              </w:rPr>
              <w:t>Pašreiz s</w:t>
            </w:r>
            <w:r w:rsidR="00440673" w:rsidRPr="00336B05">
              <w:rPr>
                <w:rFonts w:ascii="Times New Roman" w:eastAsia="Times New Roman" w:hAnsi="Times New Roman"/>
                <w:sz w:val="24"/>
                <w:szCs w:val="24"/>
              </w:rPr>
              <w:t xml:space="preserve">tudiju un studējošo kredītus izsniedz </w:t>
            </w:r>
            <w:r w:rsidR="00A2283B" w:rsidRPr="00336B05">
              <w:rPr>
                <w:rFonts w:ascii="Times New Roman" w:eastAsia="Times New Roman" w:hAnsi="Times New Roman"/>
                <w:sz w:val="24"/>
                <w:szCs w:val="24"/>
              </w:rPr>
              <w:t xml:space="preserve">un administrē </w:t>
            </w:r>
            <w:r w:rsidR="00440673" w:rsidRPr="00336B05">
              <w:rPr>
                <w:rFonts w:ascii="Times New Roman" w:eastAsia="Times New Roman" w:hAnsi="Times New Roman"/>
                <w:sz w:val="24"/>
                <w:szCs w:val="24"/>
              </w:rPr>
              <w:t>saskaņā ar  Ministru kabineta 2001. gada 29. maija noteikumiem Nr. 220 "Kārtība, kādā tiek piešķirts, atmaksāts un dzēsts studiju kredīts un studējošā kredīts no kredītiestādes līdzekļiem ar valsts vārdā sniegtu ga</w:t>
            </w:r>
            <w:r w:rsidR="00A2283B" w:rsidRPr="00336B05">
              <w:rPr>
                <w:rFonts w:ascii="Times New Roman" w:eastAsia="Times New Roman" w:hAnsi="Times New Roman"/>
                <w:sz w:val="24"/>
                <w:szCs w:val="24"/>
              </w:rPr>
              <w:t>lvojumu" (MK noteikumi Nr. 220), kā arī turpinās jau izsniegto kredītu administrēšana saskaņā ar</w:t>
            </w:r>
            <w:r w:rsidR="00440673" w:rsidRPr="00336B05">
              <w:rPr>
                <w:rFonts w:ascii="Times New Roman" w:eastAsia="Times New Roman" w:hAnsi="Times New Roman"/>
                <w:sz w:val="24"/>
                <w:szCs w:val="24"/>
              </w:rPr>
              <w:t xml:space="preserve"> Ministru kabineta 2001. gada 29. maija noteikumiem Nr. 219 "Kārtība, kādā tiek piešķirts, atmaksāts un dzēsts studiju kredīts no valsts budžeta līdzekļiem" (MK noteikumi Nr. 219) un </w:t>
            </w:r>
            <w:r w:rsidR="00440673" w:rsidRPr="00336B05">
              <w:rPr>
                <w:rFonts w:ascii="Times New Roman" w:hAnsi="Times New Roman"/>
                <w:sz w:val="24"/>
                <w:szCs w:val="24"/>
              </w:rPr>
              <w:t>Ministru kabineta 2001. gada 23. oktobra noteikumiem Nr. 445 “Kārtība, kādā no valsts budžeta līdzekļiem tiek piešķirts un atmaksāts studējošo kredīts” (MK noteikumi Nr. 445). Rīkojuma 3. punktā ir arī noteikts, ka Izglītības un zinātnes ministrijai ir uzdots iesniegt Ministru kabinetā grozījumus M</w:t>
            </w:r>
            <w:r w:rsidR="004C19FE">
              <w:rPr>
                <w:rFonts w:ascii="Times New Roman" w:hAnsi="Times New Roman"/>
                <w:sz w:val="24"/>
                <w:szCs w:val="24"/>
              </w:rPr>
              <w:t xml:space="preserve">K </w:t>
            </w:r>
            <w:r w:rsidR="00440673" w:rsidRPr="00336B05">
              <w:rPr>
                <w:rFonts w:ascii="Times New Roman" w:hAnsi="Times New Roman"/>
                <w:sz w:val="24"/>
                <w:szCs w:val="24"/>
              </w:rPr>
              <w:t xml:space="preserve">noteikumos Nr. 220, paredzot, ka tajos regulētā studiju un studējošo kredītu no kredītiestāžu līdzekļiem ar valsts vārdā sniegtu galvojumu izsniegšanas kārtība attiecas tikai uz kredītiem, kas tiks izsniegti </w:t>
            </w:r>
            <w:r w:rsidR="00440673" w:rsidRPr="00336B05">
              <w:rPr>
                <w:rFonts w:ascii="Times New Roman" w:hAnsi="Times New Roman"/>
                <w:bCs/>
                <w:sz w:val="24"/>
                <w:szCs w:val="24"/>
              </w:rPr>
              <w:t>līdz 2020. gada 1. aprīlim</w:t>
            </w:r>
            <w:r w:rsidR="00440673" w:rsidRPr="00336B05">
              <w:rPr>
                <w:rFonts w:ascii="Times New Roman" w:hAnsi="Times New Roman"/>
                <w:sz w:val="24"/>
                <w:szCs w:val="24"/>
              </w:rPr>
              <w:t>.</w:t>
            </w:r>
            <w:r w:rsidR="0077170F" w:rsidRPr="00336B05">
              <w:rPr>
                <w:rFonts w:ascii="Times New Roman" w:hAnsi="Times New Roman"/>
                <w:sz w:val="24"/>
                <w:szCs w:val="24"/>
              </w:rPr>
              <w:t xml:space="preserve"> </w:t>
            </w:r>
            <w:r w:rsidR="00B40796" w:rsidRPr="00336B05">
              <w:rPr>
                <w:rFonts w:ascii="Times New Roman" w:eastAsia="Times New Roman" w:hAnsi="Times New Roman"/>
                <w:sz w:val="24"/>
                <w:szCs w:val="24"/>
              </w:rPr>
              <w:t>Izglītības un zinātnes ministrija sagatavoja Ministru kabinet</w:t>
            </w:r>
            <w:r w:rsidR="00336B05" w:rsidRPr="00336B05">
              <w:rPr>
                <w:rFonts w:ascii="Times New Roman" w:eastAsia="Times New Roman" w:hAnsi="Times New Roman"/>
                <w:sz w:val="24"/>
                <w:szCs w:val="24"/>
              </w:rPr>
              <w:t>a</w:t>
            </w:r>
            <w:r w:rsidR="00B40796" w:rsidRPr="00336B05">
              <w:rPr>
                <w:rFonts w:ascii="Times New Roman" w:eastAsia="Times New Roman" w:hAnsi="Times New Roman"/>
                <w:sz w:val="24"/>
                <w:szCs w:val="24"/>
              </w:rPr>
              <w:t xml:space="preserve"> noteikumu projektu par jauno studiju un studējošo kreditēšanas modeli ar valsts galvojumu no kredītiestāžu līdzekļiem, paredzot tajos</w:t>
            </w:r>
            <w:r w:rsidR="004C19FE">
              <w:rPr>
                <w:rFonts w:ascii="Times New Roman" w:eastAsia="Times New Roman" w:hAnsi="Times New Roman"/>
                <w:sz w:val="24"/>
                <w:szCs w:val="24"/>
              </w:rPr>
              <w:t xml:space="preserve"> turpmāk minēto</w:t>
            </w:r>
            <w:r w:rsidR="00B40796" w:rsidRPr="00336B05">
              <w:rPr>
                <w:rFonts w:ascii="Times New Roman" w:eastAsia="Times New Roman" w:hAnsi="Times New Roman"/>
                <w:sz w:val="24"/>
                <w:szCs w:val="24"/>
              </w:rPr>
              <w:t>:</w:t>
            </w:r>
          </w:p>
          <w:p w14:paraId="7B7EF464" w14:textId="70E093B0" w:rsidR="00CD2130" w:rsidRPr="00336B05" w:rsidRDefault="00346BFD" w:rsidP="00FE794D">
            <w:pPr>
              <w:spacing w:after="0" w:line="240" w:lineRule="auto"/>
              <w:jc w:val="both"/>
              <w:rPr>
                <w:rFonts w:ascii="Times New Roman" w:hAnsi="Times New Roman" w:cs="Helv"/>
                <w:color w:val="000000"/>
                <w:sz w:val="24"/>
                <w:szCs w:val="20"/>
                <w:lang w:eastAsia="en-US"/>
              </w:rPr>
            </w:pPr>
            <w:r>
              <w:rPr>
                <w:rFonts w:ascii="Times New Roman" w:eastAsia="Times New Roman" w:hAnsi="Times New Roman"/>
                <w:sz w:val="24"/>
                <w:szCs w:val="24"/>
              </w:rPr>
              <w:t>a</w:t>
            </w:r>
            <w:r w:rsidR="00D62A46" w:rsidRPr="00336B05">
              <w:rPr>
                <w:rFonts w:ascii="Times New Roman" w:eastAsia="Times New Roman" w:hAnsi="Times New Roman"/>
                <w:sz w:val="24"/>
                <w:szCs w:val="24"/>
              </w:rPr>
              <w:t xml:space="preserve">) </w:t>
            </w:r>
            <w:r w:rsidR="00B40796" w:rsidRPr="00336B05">
              <w:rPr>
                <w:rFonts w:ascii="Times New Roman" w:eastAsia="Times New Roman" w:hAnsi="Times New Roman"/>
                <w:sz w:val="24"/>
                <w:szCs w:val="24"/>
              </w:rPr>
              <w:t>sākot ar  2020. gada 1.</w:t>
            </w:r>
            <w:r w:rsidR="00AB4B08" w:rsidRPr="00336B05">
              <w:rPr>
                <w:rFonts w:ascii="Times New Roman" w:eastAsia="Times New Roman" w:hAnsi="Times New Roman"/>
                <w:sz w:val="24"/>
                <w:szCs w:val="24"/>
              </w:rPr>
              <w:t xml:space="preserve"> </w:t>
            </w:r>
            <w:r w:rsidR="00B40796" w:rsidRPr="00336B05">
              <w:rPr>
                <w:rFonts w:ascii="Times New Roman" w:eastAsia="Times New Roman" w:hAnsi="Times New Roman"/>
                <w:sz w:val="24"/>
                <w:szCs w:val="24"/>
              </w:rPr>
              <w:t xml:space="preserve">aprīli studiju un studējošo kreditēšanas procesā piedalīsies kredītiestādes un </w:t>
            </w:r>
            <w:r w:rsidR="00B40796" w:rsidRPr="00336B05">
              <w:rPr>
                <w:rFonts w:ascii="Times New Roman" w:hAnsi="Times New Roman" w:cs="Helv"/>
                <w:color w:val="000000"/>
                <w:sz w:val="24"/>
                <w:szCs w:val="20"/>
                <w:lang w:eastAsia="en-US"/>
              </w:rPr>
              <w:t xml:space="preserve">akciju sabiedrība "Attīstības finanšu institūcija </w:t>
            </w:r>
            <w:proofErr w:type="spellStart"/>
            <w:r w:rsidR="00B40796" w:rsidRPr="00336B05">
              <w:rPr>
                <w:rFonts w:ascii="Times New Roman" w:hAnsi="Times New Roman" w:cs="Helv"/>
                <w:color w:val="000000"/>
                <w:sz w:val="24"/>
                <w:szCs w:val="20"/>
                <w:lang w:eastAsia="en-US"/>
              </w:rPr>
              <w:t>Altum</w:t>
            </w:r>
            <w:proofErr w:type="spellEnd"/>
            <w:r w:rsidR="00B40796" w:rsidRPr="00336B05">
              <w:rPr>
                <w:rFonts w:ascii="Times New Roman" w:hAnsi="Times New Roman" w:cs="Helv"/>
                <w:color w:val="000000"/>
                <w:sz w:val="24"/>
                <w:szCs w:val="20"/>
                <w:lang w:eastAsia="en-US"/>
              </w:rPr>
              <w:t>" (turpmāk – sabiedrība “</w:t>
            </w:r>
            <w:proofErr w:type="spellStart"/>
            <w:r w:rsidR="00B40796" w:rsidRPr="00336B05">
              <w:rPr>
                <w:rFonts w:ascii="Times New Roman" w:hAnsi="Times New Roman" w:cs="Helv"/>
                <w:color w:val="000000"/>
                <w:sz w:val="24"/>
                <w:szCs w:val="20"/>
                <w:lang w:eastAsia="en-US"/>
              </w:rPr>
              <w:t>Altum</w:t>
            </w:r>
            <w:proofErr w:type="spellEnd"/>
            <w:r w:rsidR="00B40796" w:rsidRPr="00336B05">
              <w:rPr>
                <w:rFonts w:ascii="Times New Roman" w:hAnsi="Times New Roman" w:cs="Helv"/>
                <w:color w:val="000000"/>
                <w:sz w:val="24"/>
                <w:szCs w:val="20"/>
                <w:lang w:eastAsia="en-US"/>
              </w:rPr>
              <w:t>”);</w:t>
            </w:r>
          </w:p>
          <w:p w14:paraId="583D28FF" w14:textId="69648611" w:rsidR="00B40796" w:rsidRPr="00336B05" w:rsidRDefault="00346BFD" w:rsidP="00FE794D">
            <w:pPr>
              <w:spacing w:after="0" w:line="240" w:lineRule="auto"/>
              <w:jc w:val="both"/>
              <w:rPr>
                <w:rFonts w:ascii="Times New Roman" w:hAnsi="Times New Roman" w:cs="Helv"/>
                <w:color w:val="000000"/>
                <w:sz w:val="24"/>
                <w:szCs w:val="20"/>
                <w:lang w:eastAsia="en-US"/>
              </w:rPr>
            </w:pPr>
            <w:r>
              <w:rPr>
                <w:rFonts w:ascii="Times New Roman" w:hAnsi="Times New Roman" w:cs="Helv"/>
                <w:color w:val="000000"/>
                <w:sz w:val="24"/>
                <w:szCs w:val="20"/>
                <w:lang w:eastAsia="en-US"/>
              </w:rPr>
              <w:lastRenderedPageBreak/>
              <w:t>b</w:t>
            </w:r>
            <w:r w:rsidR="00D62A46" w:rsidRPr="00336B05">
              <w:rPr>
                <w:rFonts w:ascii="Times New Roman" w:hAnsi="Times New Roman" w:cs="Helv"/>
                <w:color w:val="000000"/>
                <w:sz w:val="24"/>
                <w:szCs w:val="20"/>
                <w:lang w:eastAsia="en-US"/>
              </w:rPr>
              <w:t xml:space="preserve">) </w:t>
            </w:r>
            <w:r w:rsidR="00B40796" w:rsidRPr="00336B05">
              <w:rPr>
                <w:rFonts w:ascii="Times New Roman" w:hAnsi="Times New Roman" w:cs="Helv"/>
                <w:color w:val="000000"/>
                <w:sz w:val="24"/>
                <w:szCs w:val="20"/>
                <w:lang w:eastAsia="en-US"/>
              </w:rPr>
              <w:t xml:space="preserve">lai šīs institūcijas varētu izsniegt un administrēt studiju un studējošo kredītus, </w:t>
            </w:r>
            <w:r w:rsidR="00F44017" w:rsidRPr="00336B05">
              <w:rPr>
                <w:rFonts w:ascii="Times New Roman" w:hAnsi="Times New Roman" w:cs="Helv"/>
                <w:color w:val="000000"/>
                <w:sz w:val="24"/>
                <w:szCs w:val="20"/>
                <w:lang w:eastAsia="en-US"/>
              </w:rPr>
              <w:t>tām</w:t>
            </w:r>
            <w:r w:rsidR="00F44017">
              <w:rPr>
                <w:rFonts w:ascii="Times New Roman" w:hAnsi="Times New Roman" w:cs="Helv"/>
                <w:color w:val="000000"/>
                <w:sz w:val="24"/>
                <w:szCs w:val="20"/>
                <w:lang w:eastAsia="en-US"/>
              </w:rPr>
              <w:t xml:space="preserve"> nodrošināma </w:t>
            </w:r>
            <w:r w:rsidR="00B40796" w:rsidRPr="00336B05">
              <w:rPr>
                <w:rFonts w:ascii="Times New Roman" w:hAnsi="Times New Roman" w:cs="Helv"/>
                <w:color w:val="000000"/>
                <w:sz w:val="24"/>
                <w:szCs w:val="20"/>
                <w:lang w:eastAsia="en-US"/>
              </w:rPr>
              <w:t xml:space="preserve"> piekļuv</w:t>
            </w:r>
            <w:r w:rsidR="00F44017">
              <w:rPr>
                <w:rFonts w:ascii="Times New Roman" w:hAnsi="Times New Roman" w:cs="Helv"/>
                <w:color w:val="000000"/>
                <w:sz w:val="24"/>
                <w:szCs w:val="20"/>
                <w:lang w:eastAsia="en-US"/>
              </w:rPr>
              <w:t>e</w:t>
            </w:r>
            <w:r w:rsidR="00B40796" w:rsidRPr="00336B05">
              <w:rPr>
                <w:rFonts w:ascii="Times New Roman" w:hAnsi="Times New Roman" w:cs="Helv"/>
                <w:color w:val="000000"/>
                <w:sz w:val="24"/>
                <w:szCs w:val="20"/>
                <w:lang w:eastAsia="en-US"/>
              </w:rPr>
              <w:t xml:space="preserve"> VIIS esošajiem </w:t>
            </w:r>
            <w:r w:rsidR="001E6247" w:rsidRPr="00336B05">
              <w:rPr>
                <w:rFonts w:ascii="Times New Roman" w:hAnsi="Times New Roman" w:cs="Helv"/>
                <w:color w:val="000000"/>
                <w:sz w:val="24"/>
                <w:szCs w:val="20"/>
                <w:lang w:eastAsia="en-US"/>
              </w:rPr>
              <w:t xml:space="preserve">studējošo </w:t>
            </w:r>
            <w:r w:rsidR="00B40796" w:rsidRPr="00336B05">
              <w:rPr>
                <w:rFonts w:ascii="Times New Roman" w:hAnsi="Times New Roman" w:cs="Helv"/>
                <w:color w:val="000000"/>
                <w:sz w:val="24"/>
                <w:szCs w:val="20"/>
                <w:lang w:eastAsia="en-US"/>
              </w:rPr>
              <w:t>datiem, kas mazinās kredītiestāžu, studējošo un augstākās izglītības iestāžu adm</w:t>
            </w:r>
            <w:r w:rsidR="00D62A46" w:rsidRPr="00336B05">
              <w:rPr>
                <w:rFonts w:ascii="Times New Roman" w:hAnsi="Times New Roman" w:cs="Helv"/>
                <w:color w:val="000000"/>
                <w:sz w:val="24"/>
                <w:szCs w:val="20"/>
                <w:lang w:eastAsia="en-US"/>
              </w:rPr>
              <w:t xml:space="preserve">inistratīvo un finansiālo slogu. </w:t>
            </w:r>
            <w:r w:rsidR="00AB4B08" w:rsidRPr="00336B05">
              <w:rPr>
                <w:rFonts w:ascii="Times New Roman" w:hAnsi="Times New Roman" w:cs="Helv"/>
                <w:color w:val="000000"/>
                <w:sz w:val="24"/>
                <w:szCs w:val="20"/>
                <w:lang w:eastAsia="en-US"/>
              </w:rPr>
              <w:t>Tiesības  šo datu apstrādei tiks paredzētas normatīvajā aktā par studējošo kreditēšanu;</w:t>
            </w:r>
          </w:p>
          <w:p w14:paraId="32FC9B9F" w14:textId="725519E9" w:rsidR="00B40796" w:rsidRPr="00336B05" w:rsidRDefault="00346BFD" w:rsidP="00FE794D">
            <w:pPr>
              <w:spacing w:after="0" w:line="240" w:lineRule="auto"/>
              <w:jc w:val="both"/>
              <w:rPr>
                <w:rFonts w:ascii="Times New Roman" w:hAnsi="Times New Roman" w:cs="Helv"/>
                <w:color w:val="000000"/>
                <w:sz w:val="24"/>
                <w:szCs w:val="20"/>
                <w:lang w:eastAsia="en-US"/>
              </w:rPr>
            </w:pPr>
            <w:r>
              <w:rPr>
                <w:rFonts w:ascii="Times New Roman" w:hAnsi="Times New Roman" w:cs="Helv"/>
                <w:color w:val="000000"/>
                <w:sz w:val="24"/>
                <w:szCs w:val="20"/>
                <w:lang w:eastAsia="en-US"/>
              </w:rPr>
              <w:t>c</w:t>
            </w:r>
            <w:r w:rsidR="00D62A46" w:rsidRPr="00336B05">
              <w:rPr>
                <w:rFonts w:ascii="Times New Roman" w:hAnsi="Times New Roman" w:cs="Helv"/>
                <w:color w:val="000000"/>
                <w:sz w:val="24"/>
                <w:szCs w:val="20"/>
                <w:lang w:eastAsia="en-US"/>
              </w:rPr>
              <w:t>)</w:t>
            </w:r>
            <w:r w:rsidR="00B40796" w:rsidRPr="00336B05">
              <w:rPr>
                <w:rFonts w:ascii="Times New Roman" w:hAnsi="Times New Roman" w:cs="Helv"/>
                <w:color w:val="000000"/>
                <w:sz w:val="24"/>
                <w:szCs w:val="20"/>
                <w:lang w:eastAsia="en-US"/>
              </w:rPr>
              <w:t xml:space="preserve"> </w:t>
            </w:r>
            <w:r w:rsidR="00336B05" w:rsidRPr="00336B05">
              <w:rPr>
                <w:rFonts w:ascii="Times New Roman" w:hAnsi="Times New Roman" w:cs="Helv"/>
                <w:color w:val="000000"/>
                <w:sz w:val="24"/>
                <w:szCs w:val="20"/>
                <w:lang w:eastAsia="en-US"/>
              </w:rPr>
              <w:t>S</w:t>
            </w:r>
            <w:r w:rsidR="00B40796" w:rsidRPr="00336B05">
              <w:rPr>
                <w:rFonts w:ascii="Times New Roman" w:hAnsi="Times New Roman" w:cs="Helv"/>
                <w:color w:val="000000"/>
                <w:sz w:val="24"/>
                <w:szCs w:val="20"/>
                <w:lang w:eastAsia="en-US"/>
              </w:rPr>
              <w:t>abiedrībai “</w:t>
            </w:r>
            <w:proofErr w:type="spellStart"/>
            <w:r w:rsidR="00B40796" w:rsidRPr="00336B05">
              <w:rPr>
                <w:rFonts w:ascii="Times New Roman" w:hAnsi="Times New Roman" w:cs="Helv"/>
                <w:color w:val="000000"/>
                <w:sz w:val="24"/>
                <w:szCs w:val="20"/>
                <w:lang w:eastAsia="en-US"/>
              </w:rPr>
              <w:t>Altum</w:t>
            </w:r>
            <w:proofErr w:type="spellEnd"/>
            <w:r w:rsidR="00B40796" w:rsidRPr="00336B05">
              <w:rPr>
                <w:rFonts w:ascii="Times New Roman" w:hAnsi="Times New Roman" w:cs="Helv"/>
                <w:color w:val="000000"/>
                <w:sz w:val="24"/>
                <w:szCs w:val="20"/>
                <w:lang w:eastAsia="en-US"/>
              </w:rPr>
              <w:t xml:space="preserve">” </w:t>
            </w:r>
            <w:r w:rsidR="00F44017">
              <w:rPr>
                <w:rFonts w:ascii="Times New Roman" w:hAnsi="Times New Roman" w:cs="Helv"/>
                <w:color w:val="000000"/>
                <w:sz w:val="24"/>
                <w:szCs w:val="20"/>
                <w:lang w:eastAsia="en-US"/>
              </w:rPr>
              <w:t xml:space="preserve">nodrošināma </w:t>
            </w:r>
            <w:r w:rsidR="001B6C19" w:rsidRPr="00336B05">
              <w:rPr>
                <w:rFonts w:ascii="Times New Roman" w:hAnsi="Times New Roman" w:cs="Helv"/>
                <w:color w:val="000000"/>
                <w:sz w:val="24"/>
                <w:szCs w:val="20"/>
                <w:lang w:eastAsia="en-US"/>
              </w:rPr>
              <w:t>piekļuve VIIS datiem</w:t>
            </w:r>
            <w:r w:rsidR="00B40796" w:rsidRPr="00336B05">
              <w:rPr>
                <w:rFonts w:ascii="Times New Roman" w:hAnsi="Times New Roman" w:cs="Helv"/>
                <w:color w:val="000000"/>
                <w:sz w:val="24"/>
                <w:szCs w:val="20"/>
                <w:lang w:eastAsia="en-US"/>
              </w:rPr>
              <w:t xml:space="preserve">, veicot </w:t>
            </w:r>
            <w:r w:rsidR="00336B05" w:rsidRPr="00336B05">
              <w:rPr>
                <w:rFonts w:ascii="Times New Roman" w:hAnsi="Times New Roman" w:cs="Helv"/>
                <w:color w:val="000000"/>
                <w:sz w:val="24"/>
                <w:szCs w:val="20"/>
                <w:lang w:eastAsia="en-US"/>
              </w:rPr>
              <w:t xml:space="preserve">kredītiestāžu </w:t>
            </w:r>
            <w:r w:rsidR="00B40796" w:rsidRPr="00336B05">
              <w:rPr>
                <w:rFonts w:ascii="Times New Roman" w:hAnsi="Times New Roman" w:cs="Helv"/>
                <w:color w:val="000000"/>
                <w:sz w:val="24"/>
                <w:szCs w:val="20"/>
                <w:lang w:eastAsia="en-US"/>
              </w:rPr>
              <w:t xml:space="preserve">kontroles un atskaitīšanās </w:t>
            </w:r>
            <w:r w:rsidR="00336B05" w:rsidRPr="00336B05">
              <w:rPr>
                <w:rFonts w:ascii="Times New Roman" w:hAnsi="Times New Roman" w:cs="Helv"/>
                <w:color w:val="000000"/>
                <w:sz w:val="24"/>
                <w:szCs w:val="20"/>
                <w:lang w:eastAsia="en-US"/>
              </w:rPr>
              <w:t xml:space="preserve">par valsts budžeta līdzekļu izlietojumu </w:t>
            </w:r>
            <w:r w:rsidR="00B40796" w:rsidRPr="00336B05">
              <w:rPr>
                <w:rFonts w:ascii="Times New Roman" w:hAnsi="Times New Roman" w:cs="Helv"/>
                <w:color w:val="000000"/>
                <w:sz w:val="24"/>
                <w:szCs w:val="20"/>
                <w:lang w:eastAsia="en-US"/>
              </w:rPr>
              <w:t>f</w:t>
            </w:r>
            <w:r w:rsidR="00AB4B08" w:rsidRPr="00336B05">
              <w:rPr>
                <w:rFonts w:ascii="Times New Roman" w:hAnsi="Times New Roman" w:cs="Helv"/>
                <w:color w:val="000000"/>
                <w:sz w:val="24"/>
                <w:szCs w:val="20"/>
                <w:lang w:eastAsia="en-US"/>
              </w:rPr>
              <w:t>unkcij</w:t>
            </w:r>
            <w:r w:rsidR="00336B05" w:rsidRPr="00336B05">
              <w:rPr>
                <w:rFonts w:ascii="Times New Roman" w:hAnsi="Times New Roman" w:cs="Helv"/>
                <w:color w:val="000000"/>
                <w:sz w:val="24"/>
                <w:szCs w:val="20"/>
                <w:lang w:eastAsia="en-US"/>
              </w:rPr>
              <w:t>as</w:t>
            </w:r>
            <w:r w:rsidR="001B6C19" w:rsidRPr="00336B05">
              <w:rPr>
                <w:rFonts w:ascii="Times New Roman" w:hAnsi="Times New Roman" w:cs="Helv"/>
                <w:color w:val="000000"/>
                <w:sz w:val="24"/>
                <w:szCs w:val="20"/>
                <w:lang w:eastAsia="en-US"/>
              </w:rPr>
              <w:t>;</w:t>
            </w:r>
          </w:p>
          <w:p w14:paraId="4F03C9FE" w14:textId="1ECF51D6" w:rsidR="00554AAB" w:rsidRDefault="00346BFD"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62A46" w:rsidRPr="00336B05">
              <w:rPr>
                <w:rFonts w:ascii="Times New Roman" w:eastAsia="Times New Roman" w:hAnsi="Times New Roman" w:cs="Times New Roman"/>
                <w:sz w:val="24"/>
                <w:szCs w:val="24"/>
              </w:rPr>
              <w:t>)</w:t>
            </w:r>
            <w:r w:rsidR="00CC4067" w:rsidRPr="00336B05">
              <w:rPr>
                <w:rFonts w:ascii="Times New Roman" w:eastAsia="Times New Roman" w:hAnsi="Times New Roman" w:cs="Times New Roman"/>
                <w:sz w:val="24"/>
                <w:szCs w:val="24"/>
              </w:rPr>
              <w:t xml:space="preserve"> Lai kredītiestādes varētu pieņemt </w:t>
            </w:r>
            <w:r w:rsidR="00F44017">
              <w:rPr>
                <w:rFonts w:ascii="Times New Roman" w:eastAsia="Times New Roman" w:hAnsi="Times New Roman" w:cs="Times New Roman"/>
                <w:sz w:val="24"/>
                <w:szCs w:val="24"/>
              </w:rPr>
              <w:t xml:space="preserve">tiesiskus un pamatotus </w:t>
            </w:r>
            <w:r w:rsidR="00F44017" w:rsidRPr="00336B05">
              <w:rPr>
                <w:rFonts w:ascii="Times New Roman" w:eastAsia="Times New Roman" w:hAnsi="Times New Roman" w:cs="Times New Roman"/>
                <w:sz w:val="24"/>
                <w:szCs w:val="24"/>
              </w:rPr>
              <w:t xml:space="preserve"> </w:t>
            </w:r>
            <w:r w:rsidR="00CC4067" w:rsidRPr="00336B05">
              <w:rPr>
                <w:rFonts w:ascii="Times New Roman" w:eastAsia="Times New Roman" w:hAnsi="Times New Roman" w:cs="Times New Roman"/>
                <w:sz w:val="24"/>
                <w:szCs w:val="24"/>
              </w:rPr>
              <w:t>lēmums par kredītu piešķiršanu, tām ir nepieciešami aktuālie dati VIIS Studējošo un absolventu reģistrā, tāpēc paredzēts samazināt termiņu, kurā augstākās izglītības iestādēm jāievada/jāak</w:t>
            </w:r>
            <w:r w:rsidR="000E0914">
              <w:rPr>
                <w:rFonts w:ascii="Times New Roman" w:eastAsia="Times New Roman" w:hAnsi="Times New Roman" w:cs="Times New Roman"/>
                <w:sz w:val="24"/>
                <w:szCs w:val="24"/>
              </w:rPr>
              <w:t>tualizē studējošo dati</w:t>
            </w:r>
            <w:r w:rsidR="00CC4067" w:rsidRPr="00336B05">
              <w:rPr>
                <w:rFonts w:ascii="Times New Roman" w:eastAsia="Times New Roman" w:hAnsi="Times New Roman" w:cs="Times New Roman"/>
                <w:sz w:val="24"/>
                <w:szCs w:val="24"/>
              </w:rPr>
              <w:t xml:space="preserve"> VIIS, nosakot termiņu datu ievadei/aktualizēšanai 10 darba dienu laikā.</w:t>
            </w:r>
          </w:p>
          <w:p w14:paraId="12834BEC" w14:textId="1206E79D" w:rsidR="00346BFD" w:rsidRDefault="00AD2E91"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Datu ievades termiņa samazināšana izriet arī no Valsts sociālās apdrošināšanas aģentūras </w:t>
            </w:r>
            <w:r w:rsidR="00EF71E9">
              <w:rPr>
                <w:rFonts w:ascii="Times New Roman" w:eastAsia="Times New Roman" w:hAnsi="Times New Roman" w:cs="Times New Roman"/>
                <w:sz w:val="24"/>
                <w:szCs w:val="24"/>
              </w:rPr>
              <w:t xml:space="preserve">(turpmāk – VSAA) </w:t>
            </w:r>
            <w:r>
              <w:rPr>
                <w:rFonts w:ascii="Times New Roman" w:eastAsia="Times New Roman" w:hAnsi="Times New Roman" w:cs="Times New Roman"/>
                <w:sz w:val="24"/>
                <w:szCs w:val="24"/>
              </w:rPr>
              <w:t xml:space="preserve">nepieciešamības </w:t>
            </w:r>
            <w:r w:rsidR="00EF71E9">
              <w:rPr>
                <w:rFonts w:ascii="Times New Roman" w:eastAsia="Times New Roman" w:hAnsi="Times New Roman" w:cs="Times New Roman"/>
                <w:sz w:val="24"/>
                <w:szCs w:val="24"/>
              </w:rPr>
              <w:t xml:space="preserve">pēc iespējas operatīvāk piešķirt sociālo palīdzību. Pašreiz augstākās izglītības iestādes informāciju studējošo un absolventu reģistrā ievada mēneša laikā kopš izmaiņu brīža. Tomēr tas rada </w:t>
            </w:r>
            <w:r w:rsidR="005874EA">
              <w:rPr>
                <w:rFonts w:ascii="Times New Roman" w:eastAsia="Times New Roman" w:hAnsi="Times New Roman" w:cs="Times New Roman"/>
                <w:sz w:val="24"/>
                <w:szCs w:val="24"/>
              </w:rPr>
              <w:t>papildus veicamās darbības</w:t>
            </w:r>
            <w:r w:rsidR="0057121A">
              <w:rPr>
                <w:rFonts w:ascii="Times New Roman" w:eastAsia="Times New Roman" w:hAnsi="Times New Roman" w:cs="Times New Roman"/>
                <w:sz w:val="24"/>
                <w:szCs w:val="24"/>
              </w:rPr>
              <w:t xml:space="preserve"> </w:t>
            </w:r>
            <w:r w:rsidR="00EF71E9">
              <w:rPr>
                <w:rFonts w:ascii="Times New Roman" w:eastAsia="Times New Roman" w:hAnsi="Times New Roman" w:cs="Times New Roman"/>
                <w:sz w:val="24"/>
                <w:szCs w:val="24"/>
              </w:rPr>
              <w:t>VSAA, piemēram šādos gadījumos:</w:t>
            </w:r>
          </w:p>
          <w:p w14:paraId="23CA0678" w14:textId="4CD2694D" w:rsidR="00EF71E9" w:rsidRDefault="00EF71E9"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ja VSAA klientam ir nepieciešams pabalstu saņemt pēc iespējas ātrāk, piemēram, apgādnieka zaudējuma gadījumā, tad  VSAA piedāvā klientiem kā studiju faktu apliecinošu dokumentu iesniegt izziņu par studijām (papīrā), kuras iesniegšana un sagatavošana savukārt rada papildu slogu, gan VSAA klientam, gan augstākās izglītības iestādei, kā arī neatbrīvo no pienākuma ievadīt datus VIIS;</w:t>
            </w:r>
          </w:p>
          <w:p w14:paraId="7ADD5DF0" w14:textId="09A64E01" w:rsidR="00EF71E9" w:rsidRDefault="00EF71E9"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ja dati par aktuālo studiju semestri netiek atjaunoti pēc iespējas ātrāk, semestru maiņas gadījumā VSAA nevar pārliecināties vai persona nākamajā mēnesī studijas turpina vai neturpina. </w:t>
            </w:r>
            <w:r w:rsidRPr="00EF71E9">
              <w:rPr>
                <w:rFonts w:ascii="Times New Roman" w:eastAsia="Times New Roman" w:hAnsi="Times New Roman" w:cs="Times New Roman"/>
                <w:sz w:val="24"/>
                <w:szCs w:val="24"/>
              </w:rPr>
              <w:t xml:space="preserve">Piemēram, ja VSAA pēdējo </w:t>
            </w:r>
            <w:r>
              <w:rPr>
                <w:rFonts w:ascii="Times New Roman" w:eastAsia="Times New Roman" w:hAnsi="Times New Roman" w:cs="Times New Roman"/>
                <w:sz w:val="24"/>
                <w:szCs w:val="24"/>
              </w:rPr>
              <w:t>sociālās palīdzības maksājumu</w:t>
            </w:r>
            <w:r w:rsidRPr="00EF7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w:t>
            </w:r>
            <w:r w:rsidRPr="00EF71E9">
              <w:rPr>
                <w:rFonts w:ascii="Times New Roman" w:eastAsia="Times New Roman" w:hAnsi="Times New Roman" w:cs="Times New Roman"/>
                <w:sz w:val="24"/>
                <w:szCs w:val="24"/>
              </w:rPr>
              <w:t xml:space="preserve">maksā par janvāri un VIIS </w:t>
            </w:r>
            <w:r>
              <w:rPr>
                <w:rFonts w:ascii="Times New Roman" w:eastAsia="Times New Roman" w:hAnsi="Times New Roman" w:cs="Times New Roman"/>
                <w:sz w:val="24"/>
                <w:szCs w:val="24"/>
              </w:rPr>
              <w:t xml:space="preserve">norādītais </w:t>
            </w:r>
            <w:r w:rsidRPr="00EF71E9">
              <w:rPr>
                <w:rFonts w:ascii="Times New Roman" w:eastAsia="Times New Roman" w:hAnsi="Times New Roman" w:cs="Times New Roman"/>
                <w:sz w:val="24"/>
                <w:szCs w:val="24"/>
              </w:rPr>
              <w:t>semestra beigu datums ir 03.02.2020.</w:t>
            </w:r>
            <w:r>
              <w:rPr>
                <w:rFonts w:ascii="Times New Roman" w:eastAsia="Times New Roman" w:hAnsi="Times New Roman" w:cs="Times New Roman"/>
                <w:sz w:val="24"/>
                <w:szCs w:val="24"/>
              </w:rPr>
              <w:t>, tad pašlaik augstākās izglītības iestādei</w:t>
            </w:r>
            <w:r w:rsidRPr="00EF71E9">
              <w:rPr>
                <w:rFonts w:ascii="Times New Roman" w:eastAsia="Times New Roman" w:hAnsi="Times New Roman" w:cs="Times New Roman"/>
                <w:sz w:val="24"/>
                <w:szCs w:val="24"/>
              </w:rPr>
              <w:t xml:space="preserve"> ir mēnesis laik</w:t>
            </w:r>
            <w:r>
              <w:rPr>
                <w:rFonts w:ascii="Times New Roman" w:eastAsia="Times New Roman" w:hAnsi="Times New Roman" w:cs="Times New Roman"/>
                <w:sz w:val="24"/>
                <w:szCs w:val="24"/>
              </w:rPr>
              <w:t>a</w:t>
            </w:r>
            <w:r w:rsidRPr="00EF71E9">
              <w:rPr>
                <w:rFonts w:ascii="Times New Roman" w:eastAsia="Times New Roman" w:hAnsi="Times New Roman" w:cs="Times New Roman"/>
                <w:sz w:val="24"/>
                <w:szCs w:val="24"/>
              </w:rPr>
              <w:t>, lai ievadītu informāciju</w:t>
            </w:r>
            <w:r>
              <w:rPr>
                <w:rFonts w:ascii="Times New Roman" w:eastAsia="Times New Roman" w:hAnsi="Times New Roman" w:cs="Times New Roman"/>
                <w:sz w:val="24"/>
                <w:szCs w:val="24"/>
              </w:rPr>
              <w:t xml:space="preserve"> par jauno studiju semestri</w:t>
            </w:r>
            <w:r w:rsidRPr="00EF71E9">
              <w:rPr>
                <w:rFonts w:ascii="Times New Roman" w:eastAsia="Times New Roman" w:hAnsi="Times New Roman" w:cs="Times New Roman"/>
                <w:sz w:val="24"/>
                <w:szCs w:val="24"/>
              </w:rPr>
              <w:t xml:space="preserve">, tas ir līdz 03.03.2019. Tas nozīmē, ka  gan par februāri, gan par martu </w:t>
            </w:r>
            <w:r>
              <w:rPr>
                <w:rFonts w:ascii="Times New Roman" w:eastAsia="Times New Roman" w:hAnsi="Times New Roman" w:cs="Times New Roman"/>
                <w:sz w:val="24"/>
                <w:szCs w:val="24"/>
              </w:rPr>
              <w:t>sociālās palīdzības izmaksa būs apturēta, tā tiks atsākta tikai tad, kad sistēmā būs norādīta aktuālā informācija par personas studijām</w:t>
            </w:r>
            <w:r w:rsidRPr="00EF7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Nākamajā reizē veicot sociālās palīdzības maksājumu tiek samaksāts par iepriekšējo laiku, bet VSAA klients šo maksājumu saņem vēlāk</w:t>
            </w:r>
            <w:r w:rsidRPr="00EF7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Arī šādas situācijas rosina</w:t>
            </w:r>
            <w:r w:rsidRPr="00EF7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VSAA </w:t>
            </w:r>
            <w:r w:rsidRPr="00EF71E9">
              <w:rPr>
                <w:rFonts w:ascii="Times New Roman" w:eastAsia="Times New Roman" w:hAnsi="Times New Roman" w:cs="Times New Roman"/>
                <w:sz w:val="24"/>
                <w:szCs w:val="24"/>
              </w:rPr>
              <w:t>klientu</w:t>
            </w:r>
            <w:r>
              <w:rPr>
                <w:rFonts w:ascii="Times New Roman" w:eastAsia="Times New Roman" w:hAnsi="Times New Roman" w:cs="Times New Roman"/>
                <w:sz w:val="24"/>
                <w:szCs w:val="24"/>
              </w:rPr>
              <w:t>s</w:t>
            </w:r>
            <w:r w:rsidRPr="00EF71E9">
              <w:rPr>
                <w:rFonts w:ascii="Times New Roman" w:eastAsia="Times New Roman" w:hAnsi="Times New Roman" w:cs="Times New Roman"/>
                <w:sz w:val="24"/>
                <w:szCs w:val="24"/>
              </w:rPr>
              <w:t xml:space="preserve"> pieprasīt augs</w:t>
            </w:r>
            <w:r>
              <w:rPr>
                <w:rFonts w:ascii="Times New Roman" w:eastAsia="Times New Roman" w:hAnsi="Times New Roman" w:cs="Times New Roman"/>
                <w:sz w:val="24"/>
                <w:szCs w:val="24"/>
              </w:rPr>
              <w:t>tākās izglītības iestādēm</w:t>
            </w:r>
            <w:r w:rsidR="006F2420">
              <w:rPr>
                <w:rFonts w:ascii="Times New Roman" w:eastAsia="Times New Roman" w:hAnsi="Times New Roman" w:cs="Times New Roman"/>
                <w:sz w:val="24"/>
                <w:szCs w:val="24"/>
              </w:rPr>
              <w:t xml:space="preserve"> papīra izziņas;</w:t>
            </w:r>
          </w:p>
          <w:p w14:paraId="4C0B2A25" w14:textId="366D569C" w:rsidR="006F2420" w:rsidRDefault="006F2420"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A342E">
              <w:rPr>
                <w:rFonts w:ascii="Times New Roman" w:eastAsia="Times New Roman" w:hAnsi="Times New Roman" w:cs="Times New Roman"/>
                <w:sz w:val="24"/>
                <w:szCs w:val="24"/>
              </w:rPr>
              <w:t>VSAA atbilstoši normatīvajiem aktiem sociālā atbalsta jomā sociālo palīdzību piešķir personām, kuras mācās, bet nepiešķir personām, kuras ir s</w:t>
            </w:r>
            <w:r w:rsidR="005F1A0D">
              <w:rPr>
                <w:rFonts w:ascii="Times New Roman" w:eastAsia="Times New Roman" w:hAnsi="Times New Roman" w:cs="Times New Roman"/>
                <w:sz w:val="24"/>
                <w:szCs w:val="24"/>
              </w:rPr>
              <w:t>tudiju pār</w:t>
            </w:r>
            <w:r w:rsidR="00EA342E">
              <w:rPr>
                <w:rFonts w:ascii="Times New Roman" w:eastAsia="Times New Roman" w:hAnsi="Times New Roman" w:cs="Times New Roman"/>
                <w:sz w:val="24"/>
                <w:szCs w:val="24"/>
              </w:rPr>
              <w:t xml:space="preserve">traukumā. Pašlaik augstākās izglītības iestādes informāciju par studiju pārtraukumu ievada VIIS mēneša laikā, kas nozīmē, ka veidojas situācijas, kurās VSAA piešķir sociālo palīdzību personām, kuras jau atrodas studiju pārtraukumā, bet attiecīga informācija no augstākās izglītības iestādēm nav ievadīta VIIS. Pēc informācijas </w:t>
            </w:r>
            <w:r w:rsidR="00EA342E">
              <w:rPr>
                <w:rFonts w:ascii="Times New Roman" w:eastAsia="Times New Roman" w:hAnsi="Times New Roman" w:cs="Times New Roman"/>
                <w:sz w:val="24"/>
                <w:szCs w:val="24"/>
              </w:rPr>
              <w:lastRenderedPageBreak/>
              <w:t xml:space="preserve">saņemšanas VSAA ir spiests veikt sociālās palīdzības pārrēķinu un pieprasīt klientiem atmaksāt nepamatoti izmaksāto sociālo palīdzību, kas rada apgrūtinājumu un neapmierinātību arī klientu vidū. </w:t>
            </w:r>
          </w:p>
          <w:p w14:paraId="1BA067BB" w14:textId="77777777" w:rsidR="005874EA" w:rsidRPr="00336B05" w:rsidRDefault="005874EA" w:rsidP="00FE794D">
            <w:pPr>
              <w:spacing w:after="0" w:line="240" w:lineRule="auto"/>
              <w:jc w:val="both"/>
              <w:rPr>
                <w:rFonts w:ascii="Times New Roman" w:eastAsia="Times New Roman" w:hAnsi="Times New Roman" w:cs="Times New Roman"/>
                <w:sz w:val="24"/>
                <w:szCs w:val="24"/>
              </w:rPr>
            </w:pPr>
          </w:p>
          <w:p w14:paraId="1C665A51" w14:textId="7B19EC6A" w:rsidR="006C41C0" w:rsidRDefault="00D62A46" w:rsidP="00FE794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6</w:t>
            </w:r>
            <w:r w:rsidR="00F14163">
              <w:rPr>
                <w:rFonts w:ascii="Times New Roman" w:eastAsia="Times New Roman" w:hAnsi="Times New Roman" w:cs="Times New Roman"/>
                <w:sz w:val="24"/>
                <w:szCs w:val="24"/>
              </w:rPr>
              <w:t>)</w:t>
            </w:r>
            <w:r w:rsidRPr="00336B05">
              <w:rPr>
                <w:rFonts w:ascii="Times New Roman" w:eastAsia="Times New Roman" w:hAnsi="Times New Roman" w:cs="Times New Roman"/>
                <w:sz w:val="24"/>
                <w:szCs w:val="24"/>
              </w:rPr>
              <w:t xml:space="preserve"> </w:t>
            </w:r>
            <w:r w:rsidR="002158C1">
              <w:rPr>
                <w:rFonts w:ascii="Times New Roman" w:eastAsia="Times New Roman" w:hAnsi="Times New Roman" w:cs="Times New Roman"/>
                <w:sz w:val="24"/>
                <w:szCs w:val="24"/>
              </w:rPr>
              <w:t>1.</w:t>
            </w:r>
            <w:r w:rsidR="00B2206C">
              <w:rPr>
                <w:rFonts w:ascii="Times New Roman" w:eastAsia="Times New Roman" w:hAnsi="Times New Roman" w:cs="Times New Roman"/>
                <w:sz w:val="24"/>
                <w:szCs w:val="24"/>
              </w:rPr>
              <w:t> </w:t>
            </w:r>
            <w:r w:rsidR="002158C1">
              <w:rPr>
                <w:rFonts w:ascii="Times New Roman" w:eastAsia="Times New Roman" w:hAnsi="Times New Roman" w:cs="Times New Roman"/>
                <w:sz w:val="24"/>
                <w:szCs w:val="24"/>
              </w:rPr>
              <w:t xml:space="preserve">noteikumu projekts paredz </w:t>
            </w:r>
            <w:r w:rsidR="006C41C0" w:rsidRPr="00336B05">
              <w:rPr>
                <w:rFonts w:ascii="Times New Roman" w:eastAsia="Times New Roman" w:hAnsi="Times New Roman" w:cs="Times New Roman"/>
                <w:sz w:val="24"/>
                <w:szCs w:val="24"/>
              </w:rPr>
              <w:t xml:space="preserve">VIIS </w:t>
            </w:r>
            <w:r w:rsidR="002158C1">
              <w:rPr>
                <w:rFonts w:ascii="Times New Roman" w:eastAsia="Times New Roman" w:hAnsi="Times New Roman" w:cs="Times New Roman"/>
                <w:sz w:val="24"/>
                <w:szCs w:val="24"/>
              </w:rPr>
              <w:t xml:space="preserve"> iekļaut </w:t>
            </w:r>
            <w:r w:rsidR="006C41C0" w:rsidRPr="00336B05">
              <w:rPr>
                <w:rFonts w:ascii="Times New Roman" w:eastAsia="Times New Roman" w:hAnsi="Times New Roman" w:cs="Times New Roman"/>
                <w:sz w:val="24"/>
                <w:szCs w:val="24"/>
              </w:rPr>
              <w:t>datus par kopējo pedagoģisk</w:t>
            </w:r>
            <w:r w:rsidR="00C9652A" w:rsidRPr="00336B05">
              <w:rPr>
                <w:rFonts w:ascii="Times New Roman" w:eastAsia="Times New Roman" w:hAnsi="Times New Roman" w:cs="Times New Roman"/>
                <w:sz w:val="24"/>
                <w:szCs w:val="24"/>
              </w:rPr>
              <w:t>ā darba</w:t>
            </w:r>
            <w:r w:rsidR="006C41C0" w:rsidRPr="00336B05">
              <w:rPr>
                <w:rFonts w:ascii="Times New Roman" w:eastAsia="Times New Roman" w:hAnsi="Times New Roman" w:cs="Times New Roman"/>
                <w:sz w:val="24"/>
                <w:szCs w:val="24"/>
              </w:rPr>
              <w:t xml:space="preserve"> stāžu</w:t>
            </w:r>
            <w:r w:rsidR="002158C1">
              <w:rPr>
                <w:rFonts w:ascii="Times New Roman" w:eastAsia="Times New Roman" w:hAnsi="Times New Roman" w:cs="Times New Roman"/>
                <w:sz w:val="24"/>
                <w:szCs w:val="24"/>
              </w:rPr>
              <w:t xml:space="preserve">. Minētā informācija nepieciešama, lai Izglītības un zinātnes ministrija varētu </w:t>
            </w:r>
            <w:r w:rsidR="002158C1" w:rsidRPr="002158C1">
              <w:rPr>
                <w:rFonts w:ascii="Times New Roman" w:eastAsia="Times New Roman" w:hAnsi="Times New Roman" w:cs="Times New Roman"/>
                <w:sz w:val="24"/>
                <w:szCs w:val="24"/>
              </w:rPr>
              <w:t>administrē</w:t>
            </w:r>
            <w:r w:rsidR="002158C1">
              <w:rPr>
                <w:rFonts w:ascii="Times New Roman" w:eastAsia="Times New Roman" w:hAnsi="Times New Roman" w:cs="Times New Roman"/>
                <w:sz w:val="24"/>
                <w:szCs w:val="24"/>
              </w:rPr>
              <w:t>t</w:t>
            </w:r>
            <w:r w:rsidR="002158C1" w:rsidRPr="002158C1">
              <w:rPr>
                <w:rFonts w:ascii="Times New Roman" w:eastAsia="Times New Roman" w:hAnsi="Times New Roman" w:cs="Times New Roman"/>
                <w:sz w:val="24"/>
                <w:szCs w:val="24"/>
              </w:rPr>
              <w:t xml:space="preserve"> finansējuma piešķiršanu sociālā atbalsta izmaksa</w:t>
            </w:r>
            <w:r w:rsidR="002158C1">
              <w:rPr>
                <w:rFonts w:ascii="Times New Roman" w:eastAsia="Times New Roman" w:hAnsi="Times New Roman" w:cs="Times New Roman"/>
                <w:sz w:val="24"/>
                <w:szCs w:val="24"/>
              </w:rPr>
              <w:t xml:space="preserve">i </w:t>
            </w:r>
            <w:r w:rsidR="006C41C0" w:rsidRPr="00336B05">
              <w:rPr>
                <w:rFonts w:ascii="Times New Roman" w:eastAsia="Times New Roman" w:hAnsi="Times New Roman" w:cs="Times New Roman"/>
                <w:sz w:val="24"/>
                <w:szCs w:val="24"/>
              </w:rPr>
              <w:t>jo atbilstoši 2018. gada 17. aprīļa Ministru kabineta noteikumu Nr.216 “Kārtība, kādā piešķir un administrē valsts sociālo atbalstu pedagogiem” 2.</w:t>
            </w:r>
            <w:r w:rsidR="006C41C0" w:rsidRPr="00336B05">
              <w:t> </w:t>
            </w:r>
            <w:r w:rsidR="006C41C0" w:rsidRPr="00336B05">
              <w:rPr>
                <w:rFonts w:ascii="Times New Roman" w:eastAsia="Times New Roman" w:hAnsi="Times New Roman" w:cs="Times New Roman"/>
                <w:sz w:val="24"/>
                <w:szCs w:val="24"/>
              </w:rPr>
              <w:t>punkt</w:t>
            </w:r>
            <w:r w:rsidR="002158C1">
              <w:rPr>
                <w:rFonts w:ascii="Times New Roman" w:eastAsia="Times New Roman" w:hAnsi="Times New Roman" w:cs="Times New Roman"/>
                <w:sz w:val="24"/>
                <w:szCs w:val="24"/>
              </w:rPr>
              <w:t>am.</w:t>
            </w:r>
            <w:r w:rsidR="006C41C0" w:rsidRPr="00336B05">
              <w:rPr>
                <w:rFonts w:ascii="Times New Roman" w:eastAsia="Times New Roman" w:hAnsi="Times New Roman" w:cs="Times New Roman"/>
                <w:sz w:val="24"/>
                <w:szCs w:val="24"/>
              </w:rPr>
              <w:t xml:space="preserve"> Viens no kritērijiem, kas nosaka tiesības saņemt sociālo atbalstu pedagogam</w:t>
            </w:r>
            <w:r w:rsidR="000E0914">
              <w:rPr>
                <w:rFonts w:ascii="Times New Roman" w:eastAsia="Times New Roman" w:hAnsi="Times New Roman" w:cs="Times New Roman"/>
                <w:sz w:val="24"/>
                <w:szCs w:val="24"/>
              </w:rPr>
              <w:t>,</w:t>
            </w:r>
            <w:r w:rsidR="006C41C0" w:rsidRPr="00336B05">
              <w:rPr>
                <w:rFonts w:ascii="Times New Roman" w:eastAsia="Times New Roman" w:hAnsi="Times New Roman" w:cs="Times New Roman"/>
                <w:sz w:val="24"/>
                <w:szCs w:val="24"/>
              </w:rPr>
              <w:t xml:space="preserve"> ir k</w:t>
            </w:r>
            <w:r w:rsidR="00C9652A" w:rsidRPr="00336B05">
              <w:rPr>
                <w:rFonts w:ascii="Times New Roman" w:eastAsia="Times New Roman" w:hAnsi="Times New Roman" w:cs="Times New Roman"/>
                <w:sz w:val="24"/>
                <w:szCs w:val="24"/>
              </w:rPr>
              <w:t xml:space="preserve">opējais pedagoģiskā </w:t>
            </w:r>
            <w:r w:rsidR="006C41C0" w:rsidRPr="00336B05">
              <w:rPr>
                <w:rFonts w:ascii="Times New Roman" w:eastAsia="Times New Roman" w:hAnsi="Times New Roman" w:cs="Times New Roman"/>
                <w:sz w:val="24"/>
                <w:szCs w:val="24"/>
              </w:rPr>
              <w:t>darba stāžs valsts un pašvaldības izglītības iestādēs, kas īsteno vispārējās izglītības programmas</w:t>
            </w:r>
            <w:r w:rsidR="00C9652A" w:rsidRPr="00336B05">
              <w:rPr>
                <w:rFonts w:ascii="Times New Roman" w:eastAsia="Times New Roman" w:hAnsi="Times New Roman" w:cs="Times New Roman"/>
                <w:sz w:val="24"/>
                <w:szCs w:val="24"/>
              </w:rPr>
              <w:t xml:space="preserve"> </w:t>
            </w:r>
            <w:r w:rsidR="006C41C0" w:rsidRPr="00336B05">
              <w:rPr>
                <w:rFonts w:ascii="Times New Roman" w:eastAsia="Times New Roman" w:hAnsi="Times New Roman" w:cs="Times New Roman"/>
                <w:sz w:val="24"/>
                <w:szCs w:val="24"/>
              </w:rPr>
              <w:t xml:space="preserve">(vismaz 25 gadi). </w:t>
            </w:r>
            <w:r w:rsidR="00C9652A" w:rsidRPr="00336B05">
              <w:rPr>
                <w:rFonts w:ascii="Times New Roman" w:eastAsia="Times New Roman" w:hAnsi="Times New Roman" w:cs="Times New Roman"/>
                <w:sz w:val="24"/>
                <w:szCs w:val="24"/>
              </w:rPr>
              <w:t>Tāpat saskaņā ar Ministru kabineta 2016. gada 5. jūlija noteikumiem Nr. 445 “Pedagogu darba samaksas noteikumi” pedagoģiskā darba stāžu var izmantot</w:t>
            </w:r>
            <w:r w:rsidR="000E0914">
              <w:rPr>
                <w:rFonts w:ascii="Times New Roman" w:eastAsia="Times New Roman" w:hAnsi="Times New Roman" w:cs="Times New Roman"/>
                <w:sz w:val="24"/>
                <w:szCs w:val="24"/>
              </w:rPr>
              <w:t>,</w:t>
            </w:r>
            <w:r w:rsidR="00C9652A" w:rsidRPr="00336B05">
              <w:rPr>
                <w:rFonts w:ascii="Times New Roman" w:eastAsia="Times New Roman" w:hAnsi="Times New Roman" w:cs="Times New Roman"/>
                <w:sz w:val="24"/>
                <w:szCs w:val="24"/>
              </w:rPr>
              <w:t xml:space="preserve"> nosakot algas likmi izglītības iestādes vadītajiem un pedagogiem. </w:t>
            </w:r>
          </w:p>
          <w:p w14:paraId="2C8FA7C7" w14:textId="77777777" w:rsidR="005874EA" w:rsidRPr="00336B05" w:rsidRDefault="005874EA" w:rsidP="00FE794D">
            <w:pPr>
              <w:spacing w:after="0" w:line="240" w:lineRule="auto"/>
              <w:jc w:val="both"/>
              <w:rPr>
                <w:rFonts w:ascii="Times New Roman" w:eastAsia="Times New Roman" w:hAnsi="Times New Roman" w:cs="Times New Roman"/>
                <w:sz w:val="24"/>
                <w:szCs w:val="24"/>
              </w:rPr>
            </w:pPr>
          </w:p>
          <w:p w14:paraId="2043900E" w14:textId="77777777" w:rsidR="005874EA" w:rsidRDefault="00687F4F"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62A46" w:rsidRPr="00336B05">
              <w:rPr>
                <w:rFonts w:ascii="Times New Roman" w:eastAsia="Times New Roman" w:hAnsi="Times New Roman" w:cs="Times New Roman"/>
                <w:sz w:val="24"/>
                <w:szCs w:val="24"/>
              </w:rPr>
              <w:t xml:space="preserve"> </w:t>
            </w:r>
            <w:r w:rsidR="002158C1">
              <w:rPr>
                <w:rFonts w:ascii="Times New Roman" w:eastAsia="Times New Roman" w:hAnsi="Times New Roman" w:cs="Times New Roman"/>
                <w:sz w:val="24"/>
                <w:szCs w:val="24"/>
              </w:rPr>
              <w:t>1.</w:t>
            </w:r>
            <w:r>
              <w:rPr>
                <w:rFonts w:ascii="Times New Roman" w:eastAsia="Times New Roman" w:hAnsi="Times New Roman" w:cs="Times New Roman"/>
                <w:sz w:val="24"/>
                <w:szCs w:val="24"/>
              </w:rPr>
              <w:t> </w:t>
            </w:r>
            <w:r w:rsidR="002158C1">
              <w:rPr>
                <w:rFonts w:ascii="Times New Roman" w:eastAsia="Times New Roman" w:hAnsi="Times New Roman" w:cs="Times New Roman"/>
                <w:sz w:val="24"/>
                <w:szCs w:val="24"/>
              </w:rPr>
              <w:t>noteikumu</w:t>
            </w:r>
            <w:r>
              <w:rPr>
                <w:rFonts w:ascii="Times New Roman" w:eastAsia="Times New Roman" w:hAnsi="Times New Roman" w:cs="Times New Roman"/>
                <w:sz w:val="24"/>
                <w:szCs w:val="24"/>
              </w:rPr>
              <w:t xml:space="preserve"> </w:t>
            </w:r>
            <w:r w:rsidR="00D62A46" w:rsidRPr="00336B05">
              <w:rPr>
                <w:rFonts w:ascii="Times New Roman" w:eastAsia="Times New Roman" w:hAnsi="Times New Roman" w:cs="Times New Roman"/>
                <w:sz w:val="24"/>
                <w:szCs w:val="24"/>
              </w:rPr>
              <w:t xml:space="preserve">projektā tiek precizēta informācija par pedagogu tarifikāciju, kas tiek apstrādāta VIIS, paredzot, ka VIIS veic pedagoga darba samaksas apmēru </w:t>
            </w:r>
            <w:r w:rsidR="005647A9" w:rsidRPr="00336B05">
              <w:rPr>
                <w:rFonts w:ascii="Times New Roman" w:eastAsia="Times New Roman" w:hAnsi="Times New Roman" w:cs="Times New Roman"/>
                <w:sz w:val="24"/>
                <w:szCs w:val="24"/>
              </w:rPr>
              <w:t xml:space="preserve">aprēķināšanu </w:t>
            </w:r>
            <w:r w:rsidR="00D62A46" w:rsidRPr="00336B05">
              <w:rPr>
                <w:rFonts w:ascii="Times New Roman" w:eastAsia="Times New Roman" w:hAnsi="Times New Roman" w:cs="Times New Roman"/>
                <w:sz w:val="24"/>
                <w:szCs w:val="24"/>
              </w:rPr>
              <w:t>atbilstoši normatīvajiem aktiem par pedagogu darba samaksas noteikšanas kārtību.</w:t>
            </w:r>
          </w:p>
          <w:p w14:paraId="648BCC97" w14:textId="2E66291A" w:rsidR="00D62A46" w:rsidRPr="00336B05" w:rsidRDefault="00D62A46" w:rsidP="00FE794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p w14:paraId="052D045F" w14:textId="45C130CB" w:rsidR="00D62A46" w:rsidRDefault="00D62A46" w:rsidP="00FE794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8</w:t>
            </w:r>
            <w:r w:rsidR="000E267B">
              <w:rPr>
                <w:rFonts w:ascii="Times New Roman" w:eastAsia="Times New Roman" w:hAnsi="Times New Roman" w:cs="Times New Roman"/>
                <w:sz w:val="24"/>
                <w:szCs w:val="24"/>
              </w:rPr>
              <w:t>)</w:t>
            </w:r>
            <w:r w:rsidRPr="00336B05">
              <w:rPr>
                <w:rFonts w:ascii="Times New Roman" w:eastAsia="Times New Roman" w:hAnsi="Times New Roman" w:cs="Times New Roman"/>
                <w:sz w:val="24"/>
                <w:szCs w:val="24"/>
              </w:rPr>
              <w:t xml:space="preserve"> </w:t>
            </w:r>
            <w:r w:rsidR="002158C1">
              <w:rPr>
                <w:rFonts w:ascii="Times New Roman" w:eastAsia="Times New Roman" w:hAnsi="Times New Roman" w:cs="Times New Roman"/>
                <w:sz w:val="24"/>
                <w:szCs w:val="24"/>
              </w:rPr>
              <w:t>1.</w:t>
            </w:r>
            <w:r w:rsidR="000E267B">
              <w:rPr>
                <w:rFonts w:ascii="Times New Roman" w:eastAsia="Times New Roman" w:hAnsi="Times New Roman" w:cs="Times New Roman"/>
                <w:sz w:val="24"/>
                <w:szCs w:val="24"/>
              </w:rPr>
              <w:t> </w:t>
            </w:r>
            <w:r w:rsidR="002158C1">
              <w:rPr>
                <w:rFonts w:ascii="Times New Roman" w:eastAsia="Times New Roman" w:hAnsi="Times New Roman" w:cs="Times New Roman"/>
                <w:sz w:val="24"/>
                <w:szCs w:val="24"/>
              </w:rPr>
              <w:t>n</w:t>
            </w:r>
            <w:r w:rsidRPr="00336B05">
              <w:rPr>
                <w:rFonts w:ascii="Times New Roman" w:eastAsia="Times New Roman" w:hAnsi="Times New Roman" w:cs="Times New Roman"/>
                <w:sz w:val="24"/>
                <w:szCs w:val="24"/>
              </w:rPr>
              <w:t>oteikumu projekts precizē informāciju, kādu ievada par izglītības dokumentiem, paredzot, ka VIIS tiek ievadīta informācija arī par ārpus formālās izglītības sistēmas profesionālās kompetences novērtēšanas rezultātā izsniegtajiem dokumentiem</w:t>
            </w:r>
            <w:r w:rsidR="002158C1">
              <w:rPr>
                <w:rFonts w:ascii="Times New Roman" w:eastAsia="Times New Roman" w:hAnsi="Times New Roman" w:cs="Times New Roman"/>
                <w:sz w:val="24"/>
                <w:szCs w:val="24"/>
              </w:rPr>
              <w:t>. Tiek</w:t>
            </w:r>
            <w:r w:rsidRPr="00336B05">
              <w:rPr>
                <w:rFonts w:ascii="Times New Roman" w:eastAsia="Times New Roman" w:hAnsi="Times New Roman" w:cs="Times New Roman"/>
                <w:sz w:val="24"/>
                <w:szCs w:val="24"/>
              </w:rPr>
              <w:t xml:space="preserve"> papildin</w:t>
            </w:r>
            <w:r w:rsidR="002158C1">
              <w:rPr>
                <w:rFonts w:ascii="Times New Roman" w:eastAsia="Times New Roman" w:hAnsi="Times New Roman" w:cs="Times New Roman"/>
                <w:sz w:val="24"/>
                <w:szCs w:val="24"/>
              </w:rPr>
              <w:t>ātas arī</w:t>
            </w:r>
            <w:r w:rsidRPr="00336B05">
              <w:rPr>
                <w:rFonts w:ascii="Times New Roman" w:eastAsia="Times New Roman" w:hAnsi="Times New Roman" w:cs="Times New Roman"/>
                <w:sz w:val="24"/>
                <w:szCs w:val="24"/>
              </w:rPr>
              <w:t xml:space="preserve"> par izglītības dokumentu VIIS norādāmās ziņas, paredzot, ka sistēmā tiek uzkrātas ziņas arī par iegūtajiem grādiem un iegūtajai izglītībai atbilstošo Latvijas kvalifikāciju ietvarstruktūras līmeni. Šie dati ir nepieciešami pilnīgākas statistikas iegūšanai, kā arī darba tirgus prognozēšanai. </w:t>
            </w:r>
          </w:p>
          <w:p w14:paraId="1F79C193" w14:textId="77777777" w:rsidR="005874EA" w:rsidRPr="00336B05" w:rsidRDefault="005874EA" w:rsidP="00FE794D">
            <w:pPr>
              <w:spacing w:after="0" w:line="240" w:lineRule="auto"/>
              <w:jc w:val="both"/>
              <w:rPr>
                <w:rFonts w:ascii="Times New Roman" w:eastAsia="Times New Roman" w:hAnsi="Times New Roman" w:cs="Times New Roman"/>
                <w:sz w:val="24"/>
                <w:szCs w:val="24"/>
              </w:rPr>
            </w:pPr>
          </w:p>
          <w:p w14:paraId="63D98EC9" w14:textId="66810E3B" w:rsidR="006B3513" w:rsidRDefault="002258BC"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1082D" w:rsidRPr="00336B05">
              <w:rPr>
                <w:rFonts w:ascii="Times New Roman" w:eastAsia="Times New Roman" w:hAnsi="Times New Roman" w:cs="Times New Roman"/>
                <w:sz w:val="24"/>
                <w:szCs w:val="24"/>
              </w:rPr>
              <w:t> </w:t>
            </w:r>
            <w:r w:rsidR="00925FA2" w:rsidRPr="00336B05">
              <w:rPr>
                <w:rFonts w:ascii="Times New Roman" w:eastAsia="Times New Roman" w:hAnsi="Times New Roman" w:cs="Times New Roman"/>
                <w:sz w:val="24"/>
                <w:szCs w:val="24"/>
              </w:rPr>
              <w:t xml:space="preserve">Lai </w:t>
            </w:r>
            <w:r w:rsidR="000651D1">
              <w:rPr>
                <w:rFonts w:ascii="Times New Roman" w:eastAsia="Times New Roman" w:hAnsi="Times New Roman" w:cs="Times New Roman"/>
                <w:sz w:val="24"/>
                <w:szCs w:val="24"/>
              </w:rPr>
              <w:t>atbilstoši Ministru kabineta 2019. gada 10. decembra noteikumiem Nr.599 “</w:t>
            </w:r>
            <w:r w:rsidR="000651D1" w:rsidRPr="000651D1">
              <w:rPr>
                <w:rFonts w:ascii="Times New Roman" w:eastAsia="Times New Roman" w:hAnsi="Times New Roman" w:cs="Times New Roman"/>
                <w:sz w:val="24"/>
                <w:szCs w:val="24"/>
              </w:rPr>
              <w:t>Noteikumi par oficiālās statistikas veidlapu paraugiem izglītības jomā” veidlapās ir minēti šie rādītāji</w:t>
            </w:r>
            <w:r w:rsidR="000651D1">
              <w:rPr>
                <w:rFonts w:ascii="Times New Roman" w:eastAsia="Times New Roman" w:hAnsi="Times New Roman" w:cs="Times New Roman"/>
                <w:sz w:val="24"/>
                <w:szCs w:val="24"/>
              </w:rPr>
              <w:t xml:space="preserve">” </w:t>
            </w:r>
            <w:r w:rsidR="00925FA2" w:rsidRPr="00336B05">
              <w:rPr>
                <w:rFonts w:ascii="Times New Roman" w:eastAsia="Times New Roman" w:hAnsi="Times New Roman" w:cs="Times New Roman"/>
                <w:sz w:val="24"/>
                <w:szCs w:val="24"/>
              </w:rPr>
              <w:t xml:space="preserve">iegūtu oficiālās statistikas nodrošināšanai nepieciešamos statistikas rādītājus par izglītības iestāžu telpu platību un to nodrošinājumu ar datortehniku, ir papildināts noteikumu projekts, nosakot pienākumu izglītības iestādēm, kas īsteno vispārējās izglītības programmas, profesionālās izglītības programmas (izņemot profesionālās pilnveides un profesionālās tālākizglītības programmas) un interešu izglītības programmas (izņemot augstākās izglītības iestādes) iesniegt attiecīgo informāciju. Piemēram, ja augstākās izglītības iestāde īsteno augstākās izglītības programmas un interešu izglītības programmas, neīstenojot vispārējās izglītības programmas un profesionālās izglītības programmas, </w:t>
            </w:r>
            <w:r w:rsidR="00925FA2" w:rsidRPr="00336B05">
              <w:rPr>
                <w:rFonts w:ascii="Times New Roman" w:eastAsia="Times New Roman" w:hAnsi="Times New Roman" w:cs="Times New Roman"/>
                <w:sz w:val="24"/>
                <w:szCs w:val="24"/>
              </w:rPr>
              <w:lastRenderedPageBreak/>
              <w:t xml:space="preserve">kas nav profesionālās pilnveides un profesionālās tālākizglītības programmas, attiecīgā informācija šīm iestādēm nav </w:t>
            </w:r>
            <w:r w:rsidR="00B14B88" w:rsidRPr="00336B05">
              <w:rPr>
                <w:rFonts w:ascii="Times New Roman" w:eastAsia="Times New Roman" w:hAnsi="Times New Roman" w:cs="Times New Roman"/>
                <w:sz w:val="24"/>
                <w:szCs w:val="24"/>
              </w:rPr>
              <w:t>jānorāda</w:t>
            </w:r>
            <w:r w:rsidR="00925FA2" w:rsidRPr="00336B05">
              <w:rPr>
                <w:rFonts w:ascii="Times New Roman" w:eastAsia="Times New Roman" w:hAnsi="Times New Roman" w:cs="Times New Roman"/>
                <w:sz w:val="24"/>
                <w:szCs w:val="24"/>
              </w:rPr>
              <w:t xml:space="preserve"> Šādas informācijas iekļaušana VIIS ļaus iegūt arī operatīvos datus politikas plānošanas un izglītības monitoringa nolūkiem.</w:t>
            </w:r>
          </w:p>
          <w:p w14:paraId="000BD9A2" w14:textId="77777777" w:rsidR="00FE794D" w:rsidRPr="00336B05" w:rsidRDefault="00FE794D" w:rsidP="00FE794D">
            <w:pPr>
              <w:spacing w:after="0" w:line="240" w:lineRule="auto"/>
              <w:jc w:val="both"/>
              <w:rPr>
                <w:rFonts w:ascii="Times New Roman" w:eastAsia="Times New Roman" w:hAnsi="Times New Roman" w:cs="Times New Roman"/>
                <w:sz w:val="24"/>
                <w:szCs w:val="24"/>
              </w:rPr>
            </w:pPr>
          </w:p>
          <w:p w14:paraId="097E61BD" w14:textId="776824C5" w:rsidR="006B3513" w:rsidRDefault="0081082D" w:rsidP="00FE794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10</w:t>
            </w:r>
            <w:r w:rsidR="000651D1">
              <w:rPr>
                <w:rFonts w:ascii="Times New Roman" w:eastAsia="Times New Roman" w:hAnsi="Times New Roman" w:cs="Times New Roman"/>
                <w:sz w:val="24"/>
                <w:szCs w:val="24"/>
              </w:rPr>
              <w:t>)</w:t>
            </w:r>
            <w:r w:rsidR="006B3513" w:rsidRPr="00336B05">
              <w:rPr>
                <w:rFonts w:ascii="Times New Roman" w:eastAsia="Times New Roman" w:hAnsi="Times New Roman" w:cs="Times New Roman"/>
                <w:sz w:val="24"/>
                <w:szCs w:val="24"/>
              </w:rPr>
              <w:t xml:space="preserve"> </w:t>
            </w:r>
            <w:r w:rsidR="00396215">
              <w:rPr>
                <w:rFonts w:ascii="Times New Roman" w:eastAsia="Times New Roman" w:hAnsi="Times New Roman" w:cs="Times New Roman"/>
                <w:sz w:val="24"/>
                <w:szCs w:val="24"/>
              </w:rPr>
              <w:t>1.</w:t>
            </w:r>
            <w:r w:rsidR="00FE794D">
              <w:rPr>
                <w:rFonts w:ascii="Times New Roman" w:eastAsia="Times New Roman" w:hAnsi="Times New Roman" w:cs="Times New Roman"/>
                <w:sz w:val="24"/>
                <w:szCs w:val="24"/>
              </w:rPr>
              <w:t> </w:t>
            </w:r>
            <w:r w:rsidR="00396215">
              <w:rPr>
                <w:rFonts w:ascii="Times New Roman" w:eastAsia="Times New Roman" w:hAnsi="Times New Roman" w:cs="Times New Roman"/>
                <w:sz w:val="24"/>
                <w:szCs w:val="24"/>
              </w:rPr>
              <w:t>n</w:t>
            </w:r>
            <w:r w:rsidR="006B3513" w:rsidRPr="00336B05">
              <w:rPr>
                <w:rFonts w:ascii="Times New Roman" w:eastAsia="Times New Roman" w:hAnsi="Times New Roman" w:cs="Times New Roman"/>
                <w:sz w:val="24"/>
                <w:szCs w:val="24"/>
              </w:rPr>
              <w:t>oteikumu projektā precizēts subjektu loks, kam ir pienākums VIIS ievadīt un aktualizēt izglītības oficiālās statistikas pārskatus. Vienlaikus noteikumu projekts paredz, ka statistikas pārskatus, kas noteikti ar Izglītības un zinātnes ministrijas rīkojumu, iesniedzami ne tikai Izglītības un zinātnes ministrijas padotības profesionālās izglītības iestādēm, bet arī tām pašvaldību padotībā esošajām izglītības iestādēm, kurām ir noslēgts sadarbības līgums ar Izglītības un zinātnes ministriju par valsts finansējuma piešķiršanu profesionālās izglītības programmu īstenošanai.</w:t>
            </w:r>
          </w:p>
          <w:p w14:paraId="7157A036" w14:textId="5BDE7E64" w:rsidR="0085253C" w:rsidRDefault="0085253C" w:rsidP="00FE794D">
            <w:pPr>
              <w:spacing w:after="0" w:line="240" w:lineRule="auto"/>
              <w:jc w:val="both"/>
              <w:rPr>
                <w:rFonts w:ascii="Times New Roman" w:eastAsia="Times New Roman" w:hAnsi="Times New Roman" w:cs="Times New Roman"/>
                <w:sz w:val="24"/>
                <w:szCs w:val="24"/>
              </w:rPr>
            </w:pPr>
          </w:p>
          <w:p w14:paraId="01A3A623" w14:textId="42494A55" w:rsidR="0085253C" w:rsidRDefault="0085253C" w:rsidP="00FE79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noteikumu projekts arī paredz, ka Ministru kabineta noteikumu Nr.276 “Valsts izglītības informācijas sistēmas noteikumi” nodaļa “</w:t>
            </w:r>
            <w:r w:rsidRPr="0085253C">
              <w:rPr>
                <w:rFonts w:ascii="Times New Roman" w:eastAsia="Times New Roman" w:hAnsi="Times New Roman" w:cs="Times New Roman"/>
                <w:sz w:val="24"/>
                <w:szCs w:val="24"/>
              </w:rPr>
              <w:t xml:space="preserve">IV. Informācijas arhivēšana, </w:t>
            </w:r>
            <w:proofErr w:type="spellStart"/>
            <w:r w:rsidRPr="0085253C">
              <w:rPr>
                <w:rFonts w:ascii="Times New Roman" w:eastAsia="Times New Roman" w:hAnsi="Times New Roman" w:cs="Times New Roman"/>
                <w:sz w:val="24"/>
                <w:szCs w:val="24"/>
              </w:rPr>
              <w:t>anonimizēšana</w:t>
            </w:r>
            <w:proofErr w:type="spellEnd"/>
            <w:r w:rsidRPr="0085253C">
              <w:rPr>
                <w:rFonts w:ascii="Times New Roman" w:eastAsia="Times New Roman" w:hAnsi="Times New Roman" w:cs="Times New Roman"/>
                <w:sz w:val="24"/>
                <w:szCs w:val="24"/>
              </w:rPr>
              <w:t xml:space="preserve"> un dzēšana</w:t>
            </w:r>
            <w:r>
              <w:rPr>
                <w:rFonts w:ascii="Times New Roman" w:eastAsia="Times New Roman" w:hAnsi="Times New Roman" w:cs="Times New Roman"/>
                <w:sz w:val="24"/>
                <w:szCs w:val="24"/>
              </w:rPr>
              <w:t>” stājas spēkā nevis 2020. gada 1. jūnijā, bet 2021. gada 1. jūnijā. Šāda izmaiņa ir nepieciešama, lai plānotu sistēmas izstrādes darbus atbilstoši tehniskajām iespējām un</w:t>
            </w:r>
            <w:r w:rsidR="005874EA">
              <w:rPr>
                <w:rFonts w:ascii="Times New Roman" w:eastAsia="Times New Roman" w:hAnsi="Times New Roman" w:cs="Times New Roman"/>
                <w:sz w:val="24"/>
                <w:szCs w:val="24"/>
              </w:rPr>
              <w:t xml:space="preserve"> </w:t>
            </w:r>
            <w:r w:rsidR="005874EA" w:rsidRPr="005874EA">
              <w:rPr>
                <w:rFonts w:ascii="Times New Roman" w:eastAsia="Times New Roman" w:hAnsi="Times New Roman" w:cs="Times New Roman"/>
                <w:sz w:val="24"/>
                <w:szCs w:val="24"/>
              </w:rPr>
              <w:t>pieejamajiem finanšu resursiem un iesaistīto pušu kapacitātei</w:t>
            </w:r>
            <w:r w:rsidR="005874EA">
              <w:rPr>
                <w:rFonts w:ascii="Times New Roman" w:eastAsia="Times New Roman" w:hAnsi="Times New Roman" w:cs="Times New Roman"/>
                <w:sz w:val="24"/>
                <w:szCs w:val="24"/>
              </w:rPr>
              <w:t>.</w:t>
            </w:r>
          </w:p>
          <w:p w14:paraId="40840687" w14:textId="38C8C7DE" w:rsidR="00A124CC" w:rsidRDefault="00A124CC" w:rsidP="00FE794D">
            <w:pPr>
              <w:spacing w:after="0" w:line="240" w:lineRule="auto"/>
              <w:jc w:val="both"/>
              <w:rPr>
                <w:rFonts w:ascii="Times New Roman" w:eastAsia="Times New Roman" w:hAnsi="Times New Roman"/>
                <w:sz w:val="24"/>
                <w:szCs w:val="24"/>
              </w:rPr>
            </w:pPr>
          </w:p>
          <w:p w14:paraId="4F77707E" w14:textId="29D27277" w:rsidR="00A124CC" w:rsidRDefault="00396215" w:rsidP="00FE79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A124CC">
              <w:rPr>
                <w:rFonts w:ascii="Times New Roman" w:eastAsia="Times New Roman" w:hAnsi="Times New Roman"/>
                <w:sz w:val="24"/>
                <w:szCs w:val="24"/>
              </w:rPr>
              <w:t> </w:t>
            </w:r>
            <w:r>
              <w:rPr>
                <w:rFonts w:ascii="Times New Roman" w:eastAsia="Times New Roman" w:hAnsi="Times New Roman"/>
                <w:sz w:val="24"/>
                <w:szCs w:val="24"/>
              </w:rPr>
              <w:t>n</w:t>
            </w:r>
            <w:r w:rsidR="00D026B0" w:rsidRPr="00336B05">
              <w:rPr>
                <w:rFonts w:ascii="Times New Roman" w:eastAsia="Times New Roman" w:hAnsi="Times New Roman"/>
                <w:sz w:val="24"/>
                <w:szCs w:val="24"/>
              </w:rPr>
              <w:t xml:space="preserve">oteikumu projekts precizē informācijas apmaiņas kārtību starp VIIS un </w:t>
            </w:r>
            <w:r w:rsidR="00A124CC">
              <w:rPr>
                <w:rFonts w:ascii="Times New Roman" w:eastAsia="Times New Roman" w:hAnsi="Times New Roman"/>
                <w:sz w:val="24"/>
                <w:szCs w:val="24"/>
              </w:rPr>
              <w:t xml:space="preserve">augtākās izglītības iestāžu </w:t>
            </w:r>
            <w:r w:rsidR="00D026B0" w:rsidRPr="00336B05">
              <w:rPr>
                <w:rFonts w:ascii="Times New Roman" w:eastAsia="Times New Roman" w:hAnsi="Times New Roman"/>
                <w:sz w:val="24"/>
                <w:szCs w:val="24"/>
              </w:rPr>
              <w:t>uzņemšanas sistēmām</w:t>
            </w:r>
            <w:r w:rsidR="00A124CC">
              <w:rPr>
                <w:rFonts w:ascii="Times New Roman" w:eastAsia="Times New Roman" w:hAnsi="Times New Roman"/>
                <w:sz w:val="24"/>
                <w:szCs w:val="24"/>
              </w:rPr>
              <w:t xml:space="preserve"> paredzot, ka:</w:t>
            </w:r>
          </w:p>
          <w:p w14:paraId="444A94AC" w14:textId="61BD1BBE" w:rsidR="00FE794D" w:rsidRDefault="00A124CC" w:rsidP="00FE79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A55089">
              <w:rPr>
                <w:rFonts w:ascii="Times New Roman" w:eastAsia="Times New Roman" w:hAnsi="Times New Roman"/>
                <w:sz w:val="24"/>
                <w:szCs w:val="24"/>
              </w:rPr>
              <w:t xml:space="preserve"> dati no VIIS par izglītojamo rezultātiem tiek nodoti ne tikai </w:t>
            </w:r>
            <w:r w:rsidR="00A55089" w:rsidRPr="00A55089">
              <w:rPr>
                <w:rFonts w:ascii="Times New Roman" w:eastAsia="Times New Roman" w:hAnsi="Times New Roman"/>
                <w:sz w:val="24"/>
                <w:szCs w:val="24"/>
              </w:rPr>
              <w:t>valsts pārvaldes pakalpojumu port</w:t>
            </w:r>
            <w:r w:rsidR="00A55089">
              <w:rPr>
                <w:rFonts w:ascii="Times New Roman" w:eastAsia="Times New Roman" w:hAnsi="Times New Roman"/>
                <w:sz w:val="24"/>
                <w:szCs w:val="24"/>
              </w:rPr>
              <w:t>āla www.latvija.lv e-pakalpojuma</w:t>
            </w:r>
            <w:r w:rsidR="00A55089" w:rsidRPr="00A55089">
              <w:rPr>
                <w:rFonts w:ascii="Times New Roman" w:eastAsia="Times New Roman" w:hAnsi="Times New Roman"/>
                <w:sz w:val="24"/>
                <w:szCs w:val="24"/>
              </w:rPr>
              <w:t xml:space="preserve"> "Elektroniskā pieteikšanās studijām </w:t>
            </w:r>
            <w:proofErr w:type="spellStart"/>
            <w:r w:rsidR="00A55089" w:rsidRPr="00A55089">
              <w:rPr>
                <w:rFonts w:ascii="Times New Roman" w:eastAsia="Times New Roman" w:hAnsi="Times New Roman"/>
                <w:sz w:val="24"/>
                <w:szCs w:val="24"/>
              </w:rPr>
              <w:t>pamatstudiju</w:t>
            </w:r>
            <w:proofErr w:type="spellEnd"/>
            <w:r w:rsidR="00A55089" w:rsidRPr="00A55089">
              <w:rPr>
                <w:rFonts w:ascii="Times New Roman" w:eastAsia="Times New Roman" w:hAnsi="Times New Roman"/>
                <w:sz w:val="24"/>
                <w:szCs w:val="24"/>
              </w:rPr>
              <w:t xml:space="preserve"> programmās"</w:t>
            </w:r>
            <w:r w:rsidR="00A55089">
              <w:rPr>
                <w:rFonts w:ascii="Times New Roman" w:eastAsia="Times New Roman" w:hAnsi="Times New Roman"/>
                <w:sz w:val="24"/>
                <w:szCs w:val="24"/>
              </w:rPr>
              <w:t xml:space="preserve"> darbības nodrošināšanai, bet arī citu augstākās izglītības iestāžu (augstskolu vai koledžu) izveidotām informācijas sistēmām</w:t>
            </w:r>
            <w:r w:rsidR="00A55089" w:rsidRPr="00A55089">
              <w:rPr>
                <w:rFonts w:ascii="Times New Roman" w:eastAsia="Times New Roman" w:hAnsi="Times New Roman"/>
                <w:sz w:val="24"/>
                <w:szCs w:val="24"/>
              </w:rPr>
              <w:t>, kas nodrošina pieteikšanos studijām elektroniski un drošu lietotāju autentifikāciju</w:t>
            </w:r>
            <w:r w:rsidR="00A55089">
              <w:rPr>
                <w:rFonts w:ascii="Times New Roman" w:eastAsia="Times New Roman" w:hAnsi="Times New Roman"/>
                <w:sz w:val="24"/>
                <w:szCs w:val="24"/>
              </w:rPr>
              <w:t xml:space="preserve">, piemēram, izmantojot </w:t>
            </w:r>
            <w:r w:rsidR="00A55089" w:rsidRPr="00A55089">
              <w:rPr>
                <w:rFonts w:ascii="Times New Roman" w:eastAsia="Times New Roman" w:hAnsi="Times New Roman"/>
                <w:sz w:val="24"/>
                <w:szCs w:val="24"/>
              </w:rPr>
              <w:t>valsts pārvaldes pakalpojumu port</w:t>
            </w:r>
            <w:r w:rsidR="00A55089">
              <w:rPr>
                <w:rFonts w:ascii="Times New Roman" w:eastAsia="Times New Roman" w:hAnsi="Times New Roman"/>
                <w:sz w:val="24"/>
                <w:szCs w:val="24"/>
              </w:rPr>
              <w:t>āla www.latvija.lv autentifikācijas risinājumus</w:t>
            </w:r>
            <w:r>
              <w:rPr>
                <w:rFonts w:ascii="Times New Roman" w:eastAsia="Times New Roman" w:hAnsi="Times New Roman"/>
                <w:sz w:val="24"/>
                <w:szCs w:val="24"/>
              </w:rPr>
              <w:t>;</w:t>
            </w:r>
          </w:p>
          <w:p w14:paraId="4939DA33" w14:textId="77777777" w:rsidR="00A124CC" w:rsidRDefault="00A124CC" w:rsidP="00FE794D">
            <w:pPr>
              <w:spacing w:after="0" w:line="240" w:lineRule="auto"/>
              <w:jc w:val="both"/>
              <w:rPr>
                <w:rFonts w:ascii="Times New Roman" w:eastAsia="Times New Roman" w:hAnsi="Times New Roman"/>
                <w:sz w:val="24"/>
                <w:szCs w:val="24"/>
              </w:rPr>
            </w:pPr>
          </w:p>
          <w:p w14:paraId="4A63E5DB" w14:textId="6D4BF58C" w:rsidR="00A124CC" w:rsidRDefault="00A124CC" w:rsidP="00FE79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ka augstākās izglītības iestādēm no VIIS tiek nodoti dati arī par starptautiskas testēšanas institūcijas pārbaudījumiem svešvalodā, ja ar starptautiskas testēšanas institūcijas pārbaudījumu svešvalodā ir aizstāts centralizētais eksāmens svešvalodā;</w:t>
            </w:r>
          </w:p>
          <w:p w14:paraId="0A0A4F31" w14:textId="4584D8E6" w:rsidR="00A124CC" w:rsidRDefault="00A124CC" w:rsidP="00FE794D">
            <w:pPr>
              <w:spacing w:after="0" w:line="240" w:lineRule="auto"/>
              <w:jc w:val="both"/>
              <w:rPr>
                <w:rFonts w:ascii="Times New Roman" w:eastAsia="Times New Roman" w:hAnsi="Times New Roman"/>
                <w:sz w:val="24"/>
                <w:szCs w:val="24"/>
              </w:rPr>
            </w:pPr>
          </w:p>
          <w:p w14:paraId="1A9079E4" w14:textId="7A4838BD" w:rsidR="00FE794D" w:rsidRPr="00336B05" w:rsidRDefault="001A7EB1" w:rsidP="001A7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3) augstākās izglītības iestādēm no VIIS tiek nodoti dati j</w:t>
            </w:r>
            <w:r w:rsidRPr="001A7EB1">
              <w:rPr>
                <w:rFonts w:ascii="Times New Roman" w:eastAsia="Times New Roman" w:hAnsi="Times New Roman"/>
                <w:sz w:val="24"/>
                <w:szCs w:val="24"/>
              </w:rPr>
              <w:t>a persona izglītības dokumentu vai grādu ir ieguvusi ārvalstīs</w:t>
            </w:r>
            <w:r>
              <w:rPr>
                <w:rFonts w:ascii="Times New Roman" w:eastAsia="Times New Roman" w:hAnsi="Times New Roman"/>
                <w:sz w:val="24"/>
                <w:szCs w:val="24"/>
              </w:rPr>
              <w:t xml:space="preserve">, jo </w:t>
            </w:r>
            <w:r w:rsidRPr="001A7EB1">
              <w:rPr>
                <w:rFonts w:ascii="Times New Roman" w:eastAsia="Times New Roman" w:hAnsi="Times New Roman"/>
                <w:sz w:val="24"/>
                <w:szCs w:val="24"/>
              </w:rPr>
              <w:t>Akadēmiskās informācijas centra izziņ</w:t>
            </w:r>
            <w:r>
              <w:rPr>
                <w:rFonts w:ascii="Times New Roman" w:eastAsia="Times New Roman" w:hAnsi="Times New Roman"/>
                <w:sz w:val="24"/>
                <w:szCs w:val="24"/>
              </w:rPr>
              <w:t>a</w:t>
            </w:r>
            <w:r w:rsidRPr="001A7EB1">
              <w:rPr>
                <w:rFonts w:ascii="Times New Roman" w:eastAsia="Times New Roman" w:hAnsi="Times New Roman"/>
                <w:sz w:val="24"/>
                <w:szCs w:val="24"/>
              </w:rPr>
              <w:t xml:space="preserve"> par to, kādam Latvijā piešķirtam izglītības dokumentam vai grādam atbilst ārvalstīs iegūtais izglītības dokuments vai grāds</w:t>
            </w:r>
            <w:r>
              <w:rPr>
                <w:rFonts w:ascii="Times New Roman" w:eastAsia="Times New Roman" w:hAnsi="Times New Roman"/>
                <w:sz w:val="24"/>
                <w:szCs w:val="24"/>
              </w:rPr>
              <w:t xml:space="preserve"> saskaņā ar Izglītības likuma 11.</w:t>
            </w:r>
            <w:r w:rsidRPr="001A7EB1">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pantā noteikto un 1.noteikumu projektā paredzēto </w:t>
            </w:r>
            <w:r>
              <w:rPr>
                <w:rFonts w:ascii="Times New Roman" w:eastAsia="Times New Roman" w:hAnsi="Times New Roman"/>
                <w:sz w:val="24"/>
                <w:szCs w:val="24"/>
              </w:rPr>
              <w:lastRenderedPageBreak/>
              <w:t xml:space="preserve">ir Ārvalstīs izsniegto izglītības dokumentu reģistra sastāvdaļa un tādējādi pieejama VIIS. </w:t>
            </w:r>
          </w:p>
        </w:tc>
      </w:tr>
      <w:tr w:rsidR="00E960B9" w:rsidRPr="00336B05" w14:paraId="1A9079E9" w14:textId="77777777">
        <w:tc>
          <w:tcPr>
            <w:tcW w:w="591" w:type="dxa"/>
            <w:tcBorders>
              <w:top w:val="single" w:sz="6" w:space="0" w:color="000000"/>
              <w:left w:val="single" w:sz="6" w:space="0" w:color="000000"/>
              <w:bottom w:val="single" w:sz="6" w:space="0" w:color="000000"/>
              <w:right w:val="single" w:sz="6" w:space="0" w:color="000000"/>
            </w:tcBorders>
          </w:tcPr>
          <w:p w14:paraId="1A9079E6" w14:textId="282B388B"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lastRenderedPageBreak/>
              <w:t>3.</w:t>
            </w:r>
          </w:p>
        </w:tc>
        <w:tc>
          <w:tcPr>
            <w:tcW w:w="2602" w:type="dxa"/>
            <w:tcBorders>
              <w:top w:val="single" w:sz="6" w:space="0" w:color="000000"/>
              <w:left w:val="single" w:sz="6" w:space="0" w:color="000000"/>
              <w:bottom w:val="single" w:sz="6" w:space="0" w:color="000000"/>
              <w:right w:val="single" w:sz="6" w:space="0" w:color="000000"/>
            </w:tcBorders>
          </w:tcPr>
          <w:p w14:paraId="1A9079E7"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Projekta izstrādē iesaistītās institūcijas un publiskas personas kapitālsabiedrības</w:t>
            </w:r>
          </w:p>
        </w:tc>
        <w:tc>
          <w:tcPr>
            <w:tcW w:w="6028" w:type="dxa"/>
            <w:tcBorders>
              <w:top w:val="single" w:sz="6" w:space="0" w:color="000000"/>
              <w:left w:val="single" w:sz="6" w:space="0" w:color="000000"/>
              <w:bottom w:val="single" w:sz="6" w:space="0" w:color="000000"/>
              <w:right w:val="single" w:sz="6" w:space="0" w:color="000000"/>
            </w:tcBorders>
          </w:tcPr>
          <w:p w14:paraId="1A9079E8" w14:textId="308DBDA3" w:rsidR="00E960B9" w:rsidRPr="00336B05" w:rsidRDefault="00FE1F7D" w:rsidP="002B5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w:t>
            </w:r>
            <w:r w:rsidR="0022469A" w:rsidRPr="00336B05">
              <w:rPr>
                <w:rFonts w:ascii="Times New Roman" w:eastAsia="Times New Roman" w:hAnsi="Times New Roman" w:cs="Times New Roman"/>
                <w:sz w:val="24"/>
                <w:szCs w:val="24"/>
              </w:rPr>
              <w:t xml:space="preserve">, Valsts izglītības un satura centrs, Akadēmiskās informācijas centrs. </w:t>
            </w:r>
          </w:p>
        </w:tc>
      </w:tr>
      <w:tr w:rsidR="00E960B9" w:rsidRPr="00336B05" w14:paraId="1A9079ED" w14:textId="77777777">
        <w:tc>
          <w:tcPr>
            <w:tcW w:w="591" w:type="dxa"/>
            <w:tcBorders>
              <w:top w:val="single" w:sz="6" w:space="0" w:color="000000"/>
              <w:left w:val="single" w:sz="6" w:space="0" w:color="000000"/>
              <w:bottom w:val="single" w:sz="6" w:space="0" w:color="000000"/>
              <w:right w:val="single" w:sz="6" w:space="0" w:color="000000"/>
            </w:tcBorders>
          </w:tcPr>
          <w:p w14:paraId="1A9079EA"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4.</w:t>
            </w:r>
          </w:p>
        </w:tc>
        <w:tc>
          <w:tcPr>
            <w:tcW w:w="2602" w:type="dxa"/>
            <w:tcBorders>
              <w:top w:val="single" w:sz="6" w:space="0" w:color="000000"/>
              <w:left w:val="single" w:sz="6" w:space="0" w:color="000000"/>
              <w:bottom w:val="single" w:sz="6" w:space="0" w:color="000000"/>
              <w:right w:val="single" w:sz="6" w:space="0" w:color="000000"/>
            </w:tcBorders>
          </w:tcPr>
          <w:p w14:paraId="1A9079EB"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Cita informācija</w:t>
            </w:r>
          </w:p>
        </w:tc>
        <w:tc>
          <w:tcPr>
            <w:tcW w:w="6028" w:type="dxa"/>
            <w:tcBorders>
              <w:top w:val="single" w:sz="6" w:space="0" w:color="000000"/>
              <w:left w:val="single" w:sz="6" w:space="0" w:color="000000"/>
              <w:bottom w:val="single" w:sz="6" w:space="0" w:color="000000"/>
              <w:right w:val="single" w:sz="6" w:space="0" w:color="000000"/>
            </w:tcBorders>
          </w:tcPr>
          <w:p w14:paraId="1A9079EC"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Nav.</w:t>
            </w:r>
          </w:p>
        </w:tc>
      </w:tr>
    </w:tbl>
    <w:p w14:paraId="1A9079EE"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tbl>
      <w:tblPr>
        <w:tblW w:w="922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91"/>
        <w:gridCol w:w="3124"/>
        <w:gridCol w:w="5506"/>
      </w:tblGrid>
      <w:tr w:rsidR="00E960B9" w:rsidRPr="00336B05" w14:paraId="1A9079F0"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A9079EF"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II. Tiesību akta projekta ietekme uz sabiedrību, tautsaimniecības attīstību un administratīvo slogu</w:t>
            </w:r>
          </w:p>
        </w:tc>
      </w:tr>
      <w:tr w:rsidR="00E960B9" w:rsidRPr="00336B05" w14:paraId="1A9079F6" w14:textId="77777777">
        <w:tc>
          <w:tcPr>
            <w:tcW w:w="591" w:type="dxa"/>
            <w:tcBorders>
              <w:top w:val="single" w:sz="6" w:space="0" w:color="000000"/>
              <w:left w:val="single" w:sz="6" w:space="0" w:color="000000"/>
              <w:bottom w:val="single" w:sz="6" w:space="0" w:color="000000"/>
              <w:right w:val="single" w:sz="6" w:space="0" w:color="000000"/>
            </w:tcBorders>
          </w:tcPr>
          <w:p w14:paraId="1A9079F1"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9F2"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Sabiedrības </w:t>
            </w:r>
            <w:proofErr w:type="spellStart"/>
            <w:r w:rsidRPr="00336B05">
              <w:rPr>
                <w:rFonts w:ascii="Times New Roman" w:eastAsia="Times New Roman" w:hAnsi="Times New Roman" w:cs="Times New Roman"/>
                <w:sz w:val="24"/>
                <w:szCs w:val="24"/>
              </w:rPr>
              <w:t>mērķgrupas</w:t>
            </w:r>
            <w:proofErr w:type="spellEnd"/>
            <w:r w:rsidRPr="00336B05">
              <w:rPr>
                <w:rFonts w:ascii="Times New Roman" w:eastAsia="Times New Roman" w:hAnsi="Times New Roman" w:cs="Times New Roman"/>
                <w:sz w:val="24"/>
                <w:szCs w:val="24"/>
              </w:rPr>
              <w:t>, kuras tiesiskais regulējums ietekmē vai varētu ietekmēt</w:t>
            </w:r>
          </w:p>
        </w:tc>
        <w:tc>
          <w:tcPr>
            <w:tcW w:w="5506" w:type="dxa"/>
            <w:tcBorders>
              <w:top w:val="single" w:sz="6" w:space="0" w:color="000000"/>
              <w:left w:val="single" w:sz="6" w:space="0" w:color="000000"/>
              <w:bottom w:val="single" w:sz="6" w:space="0" w:color="000000"/>
              <w:right w:val="single" w:sz="6" w:space="0" w:color="000000"/>
            </w:tcBorders>
          </w:tcPr>
          <w:p w14:paraId="1A9079F5" w14:textId="216E33FF" w:rsidR="00E724E8" w:rsidRPr="00336B05" w:rsidRDefault="001278CE" w:rsidP="00FE1F7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Studējošie, kredītiestādes</w:t>
            </w:r>
            <w:r w:rsidR="002B7868" w:rsidRPr="00336B05">
              <w:rPr>
                <w:rFonts w:ascii="Times New Roman" w:eastAsia="Times New Roman" w:hAnsi="Times New Roman" w:cs="Times New Roman"/>
                <w:sz w:val="24"/>
                <w:szCs w:val="24"/>
              </w:rPr>
              <w:t xml:space="preserve"> un sabiedrība “</w:t>
            </w:r>
            <w:proofErr w:type="spellStart"/>
            <w:r w:rsidR="002B7868" w:rsidRPr="00336B05">
              <w:rPr>
                <w:rFonts w:ascii="Times New Roman" w:eastAsia="Times New Roman" w:hAnsi="Times New Roman" w:cs="Times New Roman"/>
                <w:sz w:val="24"/>
                <w:szCs w:val="24"/>
              </w:rPr>
              <w:t>Altum</w:t>
            </w:r>
            <w:proofErr w:type="spellEnd"/>
            <w:r w:rsidR="002B7868" w:rsidRPr="00336B05">
              <w:rPr>
                <w:rFonts w:ascii="Times New Roman" w:eastAsia="Times New Roman" w:hAnsi="Times New Roman" w:cs="Times New Roman"/>
                <w:sz w:val="24"/>
                <w:szCs w:val="24"/>
              </w:rPr>
              <w:t>”</w:t>
            </w:r>
            <w:r w:rsidRPr="00336B05">
              <w:rPr>
                <w:rFonts w:ascii="Times New Roman" w:eastAsia="Times New Roman" w:hAnsi="Times New Roman" w:cs="Times New Roman"/>
                <w:sz w:val="24"/>
                <w:szCs w:val="24"/>
              </w:rPr>
              <w:t>, S</w:t>
            </w:r>
            <w:r w:rsidR="0092465C">
              <w:rPr>
                <w:rFonts w:ascii="Times New Roman" w:eastAsia="Times New Roman" w:hAnsi="Times New Roman" w:cs="Times New Roman"/>
                <w:sz w:val="24"/>
                <w:szCs w:val="24"/>
              </w:rPr>
              <w:t>tud</w:t>
            </w:r>
            <w:r w:rsidR="00FE1F7D">
              <w:rPr>
                <w:rFonts w:ascii="Times New Roman" w:eastAsia="Times New Roman" w:hAnsi="Times New Roman" w:cs="Times New Roman"/>
                <w:sz w:val="24"/>
                <w:szCs w:val="24"/>
              </w:rPr>
              <w:t>iju un</w:t>
            </w:r>
            <w:r w:rsidR="005F0807">
              <w:rPr>
                <w:rFonts w:ascii="Times New Roman" w:eastAsia="Times New Roman" w:hAnsi="Times New Roman" w:cs="Times New Roman"/>
                <w:sz w:val="24"/>
                <w:szCs w:val="24"/>
              </w:rPr>
              <w:t xml:space="preserve"> zinātnes administrācija</w:t>
            </w:r>
            <w:r w:rsidR="00FE1F7D">
              <w:rPr>
                <w:rFonts w:ascii="Times New Roman" w:eastAsia="Times New Roman" w:hAnsi="Times New Roman" w:cs="Times New Roman"/>
                <w:sz w:val="24"/>
                <w:szCs w:val="24"/>
              </w:rPr>
              <w:t>,</w:t>
            </w:r>
            <w:r w:rsidR="009A09C6" w:rsidRPr="00336B05">
              <w:rPr>
                <w:rFonts w:ascii="Times New Roman" w:eastAsia="Times New Roman" w:hAnsi="Times New Roman" w:cs="Times New Roman"/>
                <w:sz w:val="24"/>
                <w:szCs w:val="24"/>
              </w:rPr>
              <w:t xml:space="preserve"> personas, kuras veic ārvalstīs iegūtās izglītības dokumentu atzīšanu Latvijā. </w:t>
            </w:r>
            <w:r w:rsidRPr="00336B05">
              <w:rPr>
                <w:rFonts w:ascii="Times New Roman" w:eastAsia="Times New Roman" w:hAnsi="Times New Roman" w:cs="Times New Roman"/>
                <w:sz w:val="24"/>
                <w:szCs w:val="24"/>
              </w:rPr>
              <w:t xml:space="preserve"> </w:t>
            </w:r>
          </w:p>
        </w:tc>
      </w:tr>
      <w:tr w:rsidR="00E960B9" w:rsidRPr="00336B05" w14:paraId="1A9079FA" w14:textId="77777777">
        <w:tc>
          <w:tcPr>
            <w:tcW w:w="591" w:type="dxa"/>
            <w:tcBorders>
              <w:top w:val="single" w:sz="6" w:space="0" w:color="000000"/>
              <w:left w:val="single" w:sz="6" w:space="0" w:color="000000"/>
              <w:bottom w:val="single" w:sz="6" w:space="0" w:color="000000"/>
              <w:right w:val="single" w:sz="6" w:space="0" w:color="000000"/>
            </w:tcBorders>
          </w:tcPr>
          <w:p w14:paraId="1A9079F7"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9F8"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Tiesiskā regulējuma ietekme uz tautsaimniecību un administratīvo slogu</w:t>
            </w:r>
          </w:p>
        </w:tc>
        <w:tc>
          <w:tcPr>
            <w:tcW w:w="5506" w:type="dxa"/>
            <w:tcBorders>
              <w:top w:val="single" w:sz="6" w:space="0" w:color="000000"/>
              <w:left w:val="single" w:sz="6" w:space="0" w:color="000000"/>
              <w:bottom w:val="single" w:sz="6" w:space="0" w:color="000000"/>
              <w:right w:val="single" w:sz="6" w:space="0" w:color="000000"/>
            </w:tcBorders>
          </w:tcPr>
          <w:p w14:paraId="74AF4BFF" w14:textId="77777777" w:rsidR="00791110" w:rsidRPr="00336B05" w:rsidRDefault="007911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36B05">
              <w:rPr>
                <w:rFonts w:ascii="Times New Roman" w:eastAsia="Times New Roman" w:hAnsi="Times New Roman" w:cs="Times New Roman"/>
                <w:color w:val="000000"/>
                <w:sz w:val="24"/>
                <w:szCs w:val="24"/>
              </w:rPr>
              <w:t xml:space="preserve">Administratīvais slogs nemainās. </w:t>
            </w:r>
          </w:p>
          <w:p w14:paraId="12D2BA0F" w14:textId="7DC23387" w:rsidR="004B122D" w:rsidRDefault="002B5B37" w:rsidP="007911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n</w:t>
            </w:r>
            <w:r w:rsidR="00791110" w:rsidRPr="00336B05">
              <w:rPr>
                <w:rFonts w:ascii="Times New Roman" w:eastAsia="Times New Roman" w:hAnsi="Times New Roman" w:cs="Times New Roman"/>
                <w:color w:val="000000"/>
                <w:sz w:val="24"/>
                <w:szCs w:val="24"/>
              </w:rPr>
              <w:t>oteikumu projekts maina informācijas iesniegšanas veidu</w:t>
            </w:r>
            <w:r w:rsidR="000F52C2">
              <w:rPr>
                <w:rFonts w:ascii="Times New Roman" w:eastAsia="Times New Roman" w:hAnsi="Times New Roman" w:cs="Times New Roman"/>
                <w:color w:val="000000"/>
                <w:sz w:val="24"/>
                <w:szCs w:val="24"/>
              </w:rPr>
              <w:t xml:space="preserve"> izglītības iestādēm</w:t>
            </w:r>
            <w:r w:rsidR="00791110" w:rsidRPr="00336B05">
              <w:rPr>
                <w:rFonts w:ascii="Times New Roman" w:eastAsia="Times New Roman" w:hAnsi="Times New Roman" w:cs="Times New Roman"/>
                <w:color w:val="000000"/>
                <w:sz w:val="24"/>
                <w:szCs w:val="24"/>
              </w:rPr>
              <w:t>, aizstājot informācijas iesniegšanu</w:t>
            </w:r>
            <w:r w:rsidR="005B7B9E">
              <w:rPr>
                <w:rFonts w:ascii="Times New Roman" w:eastAsia="Times New Roman" w:hAnsi="Times New Roman" w:cs="Times New Roman"/>
                <w:color w:val="000000"/>
                <w:sz w:val="24"/>
                <w:szCs w:val="24"/>
              </w:rPr>
              <w:t>,</w:t>
            </w:r>
            <w:r w:rsidR="00791110" w:rsidRPr="00336B05">
              <w:rPr>
                <w:rFonts w:ascii="Times New Roman" w:eastAsia="Times New Roman" w:hAnsi="Times New Roman" w:cs="Times New Roman"/>
                <w:color w:val="000000"/>
                <w:sz w:val="24"/>
                <w:szCs w:val="24"/>
              </w:rPr>
              <w:t xml:space="preserve"> to nosūtot </w:t>
            </w:r>
            <w:r w:rsidR="00372545">
              <w:rPr>
                <w:rFonts w:ascii="Times New Roman" w:eastAsia="Times New Roman" w:hAnsi="Times New Roman" w:cs="Times New Roman"/>
                <w:color w:val="000000"/>
                <w:sz w:val="24"/>
                <w:szCs w:val="24"/>
              </w:rPr>
              <w:t xml:space="preserve">Akadēmiskās informācijas centram </w:t>
            </w:r>
            <w:r w:rsidR="00791110" w:rsidRPr="00336B05">
              <w:rPr>
                <w:rFonts w:ascii="Times New Roman" w:eastAsia="Times New Roman" w:hAnsi="Times New Roman" w:cs="Times New Roman"/>
                <w:color w:val="000000"/>
                <w:sz w:val="24"/>
                <w:szCs w:val="24"/>
              </w:rPr>
              <w:t>uz elektronisko pastu</w:t>
            </w:r>
            <w:r w:rsidR="00372545">
              <w:rPr>
                <w:rFonts w:ascii="Times New Roman" w:eastAsia="Times New Roman" w:hAnsi="Times New Roman" w:cs="Times New Roman"/>
                <w:color w:val="000000"/>
                <w:sz w:val="24"/>
                <w:szCs w:val="24"/>
              </w:rPr>
              <w:t xml:space="preserve"> vai iesniedzot klātienē</w:t>
            </w:r>
            <w:r w:rsidR="005B7B9E">
              <w:rPr>
                <w:rFonts w:ascii="Times New Roman" w:eastAsia="Times New Roman" w:hAnsi="Times New Roman" w:cs="Times New Roman"/>
                <w:color w:val="000000"/>
                <w:sz w:val="24"/>
                <w:szCs w:val="24"/>
              </w:rPr>
              <w:t>,</w:t>
            </w:r>
            <w:r w:rsidR="00791110" w:rsidRPr="00336B05">
              <w:rPr>
                <w:rFonts w:ascii="Times New Roman" w:eastAsia="Times New Roman" w:hAnsi="Times New Roman" w:cs="Times New Roman"/>
                <w:color w:val="000000"/>
                <w:sz w:val="24"/>
                <w:szCs w:val="24"/>
              </w:rPr>
              <w:t xml:space="preserve"> a</w:t>
            </w:r>
            <w:r w:rsidR="00372545">
              <w:rPr>
                <w:rFonts w:ascii="Times New Roman" w:eastAsia="Times New Roman" w:hAnsi="Times New Roman" w:cs="Times New Roman"/>
                <w:color w:val="000000"/>
                <w:sz w:val="24"/>
                <w:szCs w:val="24"/>
              </w:rPr>
              <w:t>r informācijas iesniegšanu VIIS</w:t>
            </w:r>
            <w:r w:rsidR="00791110" w:rsidRPr="00336B05">
              <w:rPr>
                <w:rFonts w:ascii="Times New Roman" w:eastAsia="Times New Roman" w:hAnsi="Times New Roman" w:cs="Times New Roman"/>
                <w:color w:val="000000"/>
                <w:sz w:val="24"/>
                <w:szCs w:val="24"/>
              </w:rPr>
              <w:t>.</w:t>
            </w:r>
            <w:r w:rsidR="000F52C2">
              <w:rPr>
                <w:rFonts w:ascii="Times New Roman" w:eastAsia="Times New Roman" w:hAnsi="Times New Roman" w:cs="Times New Roman"/>
                <w:color w:val="000000"/>
                <w:sz w:val="24"/>
                <w:szCs w:val="24"/>
              </w:rPr>
              <w:t xml:space="preserve"> </w:t>
            </w:r>
          </w:p>
          <w:p w14:paraId="47A7D7F1" w14:textId="6635E277" w:rsidR="000F52C2" w:rsidRDefault="000F52C2" w:rsidP="0079111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Attiecībā uz datu ievades termiņa samazinājumu administratīvais slogs izglītības iestādēm mainās nebūtiski, jo VIIS ir pieejamas tīmekļa pakalpes automātiskai datu apmaiņai starp augstākās izglītības iestāžu informācijas sistēmām un VIIS. Gadījumā, ja augstākās izglītības iestāde datus studējošo un absolventu reģistrā ievada manuāli, tad administratīvais slogs arī ir praktiski nemainīgs, jo par vienām un tām pašām izmaiņām nav nepiecie</w:t>
            </w:r>
            <w:r w:rsidR="000C4E46">
              <w:rPr>
                <w:rFonts w:ascii="Times New Roman" w:eastAsia="Times New Roman" w:hAnsi="Times New Roman" w:cs="Times New Roman"/>
                <w:color w:val="000000"/>
                <w:sz w:val="24"/>
                <w:szCs w:val="24"/>
              </w:rPr>
              <w:t>šams datus ievadīt</w:t>
            </w:r>
            <w:r>
              <w:rPr>
                <w:rFonts w:ascii="Times New Roman" w:eastAsia="Times New Roman" w:hAnsi="Times New Roman" w:cs="Times New Roman"/>
                <w:color w:val="000000"/>
                <w:sz w:val="24"/>
                <w:szCs w:val="24"/>
              </w:rPr>
              <w:t xml:space="preserve"> atk</w:t>
            </w:r>
            <w:r w:rsidR="000C4E46">
              <w:rPr>
                <w:rFonts w:ascii="Times New Roman" w:eastAsia="Times New Roman" w:hAnsi="Times New Roman" w:cs="Times New Roman"/>
                <w:color w:val="000000"/>
                <w:sz w:val="24"/>
                <w:szCs w:val="24"/>
              </w:rPr>
              <w:t>ārtoti.</w:t>
            </w:r>
          </w:p>
          <w:p w14:paraId="1A9079F9" w14:textId="27CB0452" w:rsidR="002B5B37" w:rsidRPr="00336B05" w:rsidRDefault="002B5B37" w:rsidP="006053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B5B3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2B5B37">
              <w:rPr>
                <w:rFonts w:ascii="Times New Roman" w:eastAsia="Times New Roman" w:hAnsi="Times New Roman" w:cs="Times New Roman"/>
                <w:color w:val="000000"/>
                <w:sz w:val="24"/>
                <w:szCs w:val="24"/>
              </w:rPr>
              <w:t>noteikumu projekt</w:t>
            </w:r>
            <w:r>
              <w:rPr>
                <w:rFonts w:ascii="Times New Roman" w:eastAsia="Times New Roman" w:hAnsi="Times New Roman" w:cs="Times New Roman"/>
                <w:color w:val="000000"/>
                <w:sz w:val="24"/>
                <w:szCs w:val="24"/>
              </w:rPr>
              <w:t>s administratīvo</w:t>
            </w:r>
            <w:r w:rsidRPr="002B5B37">
              <w:rPr>
                <w:rFonts w:ascii="Times New Roman" w:eastAsia="Times New Roman" w:hAnsi="Times New Roman" w:cs="Times New Roman"/>
                <w:color w:val="000000"/>
                <w:sz w:val="24"/>
                <w:szCs w:val="24"/>
              </w:rPr>
              <w:t xml:space="preserve"> slog</w:t>
            </w:r>
            <w:r>
              <w:rPr>
                <w:rFonts w:ascii="Times New Roman" w:eastAsia="Times New Roman" w:hAnsi="Times New Roman" w:cs="Times New Roman"/>
                <w:color w:val="000000"/>
                <w:sz w:val="24"/>
                <w:szCs w:val="24"/>
              </w:rPr>
              <w:t>u ietekmē nebūtiski</w:t>
            </w:r>
            <w:r w:rsidRPr="002B5B37">
              <w:rPr>
                <w:rFonts w:ascii="Times New Roman" w:eastAsia="Times New Roman" w:hAnsi="Times New Roman" w:cs="Times New Roman"/>
                <w:color w:val="000000"/>
                <w:sz w:val="24"/>
                <w:szCs w:val="24"/>
              </w:rPr>
              <w:t xml:space="preserve">, jo </w:t>
            </w:r>
            <w:r>
              <w:rPr>
                <w:rFonts w:ascii="Times New Roman" w:eastAsia="Times New Roman" w:hAnsi="Times New Roman" w:cs="Times New Roman"/>
                <w:color w:val="000000"/>
                <w:sz w:val="24"/>
                <w:szCs w:val="24"/>
              </w:rPr>
              <w:t xml:space="preserve">lai gan </w:t>
            </w:r>
            <w:r w:rsidRPr="002B5B37">
              <w:rPr>
                <w:rFonts w:ascii="Times New Roman" w:eastAsia="Times New Roman" w:hAnsi="Times New Roman" w:cs="Times New Roman"/>
                <w:color w:val="000000"/>
                <w:sz w:val="24"/>
                <w:szCs w:val="24"/>
              </w:rPr>
              <w:t>personai, kas pretendē uz uzņemšanu s</w:t>
            </w:r>
            <w:r>
              <w:rPr>
                <w:rFonts w:ascii="Times New Roman" w:eastAsia="Times New Roman" w:hAnsi="Times New Roman" w:cs="Times New Roman"/>
                <w:color w:val="000000"/>
                <w:sz w:val="24"/>
                <w:szCs w:val="24"/>
              </w:rPr>
              <w:t>tudiju programmā, vai reģistrējas</w:t>
            </w:r>
            <w:r w:rsidRPr="002B5B37">
              <w:rPr>
                <w:rFonts w:ascii="Times New Roman" w:eastAsia="Times New Roman" w:hAnsi="Times New Roman" w:cs="Times New Roman"/>
                <w:color w:val="000000"/>
                <w:sz w:val="24"/>
                <w:szCs w:val="24"/>
              </w:rPr>
              <w:t xml:space="preserve"> studijām </w:t>
            </w:r>
            <w:r>
              <w:rPr>
                <w:rFonts w:ascii="Times New Roman" w:eastAsia="Times New Roman" w:hAnsi="Times New Roman" w:cs="Times New Roman"/>
                <w:color w:val="000000"/>
                <w:sz w:val="24"/>
                <w:szCs w:val="24"/>
              </w:rPr>
              <w:t>elektroniski</w:t>
            </w:r>
            <w:r w:rsidRPr="002B5B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nav jāiesniedz </w:t>
            </w:r>
            <w:r w:rsidRPr="002B5B37">
              <w:rPr>
                <w:rFonts w:ascii="Times New Roman" w:eastAsia="Times New Roman" w:hAnsi="Times New Roman" w:cs="Times New Roman"/>
                <w:color w:val="000000"/>
                <w:sz w:val="24"/>
                <w:szCs w:val="24"/>
              </w:rPr>
              <w:t>ārvalstīs iegūto dokumentu, ja ziņas par to būs pieejam</w:t>
            </w:r>
            <w:r>
              <w:rPr>
                <w:rFonts w:ascii="Times New Roman" w:eastAsia="Times New Roman" w:hAnsi="Times New Roman" w:cs="Times New Roman"/>
                <w:color w:val="000000"/>
                <w:sz w:val="24"/>
                <w:szCs w:val="24"/>
              </w:rPr>
              <w:t xml:space="preserve">as VIIS, tomēr, pirms līguma par studijām  noslēgšanas, tāpat ir nepieciešams dokumenta orģinālus uzrādīt augstākās izglītības iestādei, jo </w:t>
            </w:r>
            <w:r w:rsidR="0060533D">
              <w:rPr>
                <w:rFonts w:ascii="Times New Roman" w:eastAsia="Times New Roman" w:hAnsi="Times New Roman" w:cs="Times New Roman"/>
                <w:color w:val="000000"/>
                <w:sz w:val="24"/>
                <w:szCs w:val="24"/>
              </w:rPr>
              <w:t>saskaņā ar Augstskolu likuma 46. panta septīto daļu a</w:t>
            </w:r>
            <w:r w:rsidR="0060533D" w:rsidRPr="0060533D">
              <w:rPr>
                <w:rFonts w:ascii="Times New Roman" w:eastAsia="Times New Roman" w:hAnsi="Times New Roman" w:cs="Times New Roman"/>
                <w:color w:val="000000"/>
                <w:sz w:val="24"/>
                <w:szCs w:val="24"/>
              </w:rPr>
              <w:t>ugstskola un koledža katram studējošajam noformē personas lietu</w:t>
            </w:r>
            <w:r w:rsidR="0060533D">
              <w:rPr>
                <w:rFonts w:ascii="Times New Roman" w:eastAsia="Times New Roman" w:hAnsi="Times New Roman" w:cs="Times New Roman"/>
                <w:color w:val="000000"/>
                <w:sz w:val="24"/>
                <w:szCs w:val="24"/>
              </w:rPr>
              <w:t xml:space="preserve">, kurā iekļauj iepriekšējo (vidējo) izglītību apliecinošus dokumentus. </w:t>
            </w:r>
          </w:p>
        </w:tc>
      </w:tr>
      <w:tr w:rsidR="00E960B9" w:rsidRPr="00336B05" w14:paraId="1A9079FE" w14:textId="77777777">
        <w:tc>
          <w:tcPr>
            <w:tcW w:w="591" w:type="dxa"/>
            <w:tcBorders>
              <w:top w:val="single" w:sz="6" w:space="0" w:color="000000"/>
              <w:left w:val="single" w:sz="6" w:space="0" w:color="000000"/>
              <w:bottom w:val="single" w:sz="6" w:space="0" w:color="000000"/>
              <w:right w:val="single" w:sz="6" w:space="0" w:color="000000"/>
            </w:tcBorders>
          </w:tcPr>
          <w:p w14:paraId="1A9079FB" w14:textId="3F326955"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9FC"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Administratīvo izmaksu monetārs novērtējums</w:t>
            </w:r>
          </w:p>
        </w:tc>
        <w:tc>
          <w:tcPr>
            <w:tcW w:w="5506" w:type="dxa"/>
            <w:tcBorders>
              <w:top w:val="single" w:sz="6" w:space="0" w:color="000000"/>
              <w:left w:val="single" w:sz="6" w:space="0" w:color="000000"/>
              <w:bottom w:val="single" w:sz="6" w:space="0" w:color="000000"/>
              <w:right w:val="single" w:sz="6" w:space="0" w:color="000000"/>
            </w:tcBorders>
            <w:shd w:val="clear" w:color="auto" w:fill="auto"/>
          </w:tcPr>
          <w:p w14:paraId="1A9079FD" w14:textId="1A3C7A21" w:rsidR="00E960B9" w:rsidRPr="00336B05" w:rsidRDefault="004B122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36B05">
              <w:rPr>
                <w:rFonts w:ascii="Times New Roman" w:eastAsia="Times New Roman" w:hAnsi="Times New Roman" w:cs="Times New Roman"/>
                <w:color w:val="000000"/>
                <w:sz w:val="24"/>
                <w:szCs w:val="24"/>
              </w:rPr>
              <w:t>Nav finansiālas ietekmes.</w:t>
            </w:r>
          </w:p>
        </w:tc>
      </w:tr>
      <w:tr w:rsidR="00E960B9" w:rsidRPr="00336B05" w14:paraId="1A907A02" w14:textId="77777777">
        <w:tc>
          <w:tcPr>
            <w:tcW w:w="591" w:type="dxa"/>
            <w:tcBorders>
              <w:top w:val="single" w:sz="6" w:space="0" w:color="000000"/>
              <w:left w:val="single" w:sz="6" w:space="0" w:color="000000"/>
              <w:bottom w:val="single" w:sz="6" w:space="0" w:color="000000"/>
              <w:right w:val="single" w:sz="6" w:space="0" w:color="000000"/>
            </w:tcBorders>
          </w:tcPr>
          <w:p w14:paraId="1A9079FF"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A907A00"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Atbilstības izmaksu monetārs novērtējums</w:t>
            </w:r>
          </w:p>
        </w:tc>
        <w:tc>
          <w:tcPr>
            <w:tcW w:w="5506" w:type="dxa"/>
            <w:tcBorders>
              <w:top w:val="single" w:sz="6" w:space="0" w:color="000000"/>
              <w:left w:val="single" w:sz="6" w:space="0" w:color="000000"/>
              <w:bottom w:val="single" w:sz="6" w:space="0" w:color="000000"/>
              <w:right w:val="single" w:sz="6" w:space="0" w:color="000000"/>
            </w:tcBorders>
          </w:tcPr>
          <w:p w14:paraId="1A907A01" w14:textId="6DBDC739" w:rsidR="00E960B9" w:rsidRPr="00336B05" w:rsidRDefault="004B122D">
            <w:pPr>
              <w:pBdr>
                <w:top w:val="nil"/>
                <w:left w:val="nil"/>
                <w:bottom w:val="nil"/>
                <w:right w:val="nil"/>
                <w:between w:val="nil"/>
              </w:pBdr>
              <w:spacing w:before="45" w:after="0" w:line="240" w:lineRule="auto"/>
              <w:jc w:val="both"/>
              <w:rPr>
                <w:rFonts w:ascii="Times New Roman" w:eastAsia="Times New Roman" w:hAnsi="Times New Roman" w:cs="Times New Roman"/>
                <w:i/>
                <w:color w:val="000000"/>
                <w:sz w:val="20"/>
                <w:szCs w:val="20"/>
              </w:rPr>
            </w:pPr>
            <w:r w:rsidRPr="00336B05">
              <w:rPr>
                <w:rFonts w:ascii="Times New Roman" w:eastAsia="Times New Roman" w:hAnsi="Times New Roman" w:cs="Times New Roman"/>
                <w:color w:val="000000"/>
                <w:sz w:val="24"/>
                <w:szCs w:val="24"/>
              </w:rPr>
              <w:t>Nav finansiālas ietekmes.</w:t>
            </w:r>
          </w:p>
        </w:tc>
      </w:tr>
      <w:tr w:rsidR="00E960B9" w:rsidRPr="00336B05" w14:paraId="1A907A06" w14:textId="77777777">
        <w:tc>
          <w:tcPr>
            <w:tcW w:w="591" w:type="dxa"/>
            <w:tcBorders>
              <w:top w:val="single" w:sz="6" w:space="0" w:color="000000"/>
              <w:left w:val="single" w:sz="6" w:space="0" w:color="000000"/>
              <w:bottom w:val="single" w:sz="6" w:space="0" w:color="000000"/>
              <w:right w:val="single" w:sz="6" w:space="0" w:color="000000"/>
            </w:tcBorders>
          </w:tcPr>
          <w:p w14:paraId="1A907A03"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w:t>
            </w:r>
          </w:p>
        </w:tc>
        <w:tc>
          <w:tcPr>
            <w:tcW w:w="3124" w:type="dxa"/>
            <w:tcBorders>
              <w:top w:val="single" w:sz="6" w:space="0" w:color="000000"/>
              <w:left w:val="single" w:sz="6" w:space="0" w:color="000000"/>
              <w:bottom w:val="single" w:sz="6" w:space="0" w:color="000000"/>
              <w:right w:val="single" w:sz="6" w:space="0" w:color="000000"/>
            </w:tcBorders>
          </w:tcPr>
          <w:p w14:paraId="1A907A04"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A05" w14:textId="77777777" w:rsidR="00E960B9" w:rsidRPr="00336B05" w:rsidRDefault="00EB69BB">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Nav.</w:t>
            </w:r>
          </w:p>
        </w:tc>
      </w:tr>
    </w:tbl>
    <w:p w14:paraId="1A907A07"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tbl>
      <w:tblPr>
        <w:tblW w:w="9131" w:type="dxa"/>
        <w:tblLayout w:type="fixed"/>
        <w:tblCellMar>
          <w:left w:w="0" w:type="dxa"/>
          <w:right w:w="0" w:type="dxa"/>
        </w:tblCellMar>
        <w:tblLook w:val="0400" w:firstRow="0" w:lastRow="0" w:firstColumn="0" w:lastColumn="0" w:noHBand="0" w:noVBand="1"/>
      </w:tblPr>
      <w:tblGrid>
        <w:gridCol w:w="2101"/>
        <w:gridCol w:w="1005"/>
        <w:gridCol w:w="1006"/>
        <w:gridCol w:w="1004"/>
        <w:gridCol w:w="1004"/>
        <w:gridCol w:w="1004"/>
        <w:gridCol w:w="1004"/>
        <w:gridCol w:w="1003"/>
      </w:tblGrid>
      <w:tr w:rsidR="00E960B9" w:rsidRPr="00336B05" w14:paraId="1A907A09" w14:textId="77777777">
        <w:tc>
          <w:tcPr>
            <w:tcW w:w="9131" w:type="dxa"/>
            <w:gridSpan w:val="8"/>
            <w:tcBorders>
              <w:top w:val="single" w:sz="8" w:space="0" w:color="414142"/>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A907A08" w14:textId="77777777" w:rsidR="00E960B9" w:rsidRPr="00336B05" w:rsidRDefault="00EB69BB">
            <w:pPr>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III. Tiesību akta projekta ietekme uz valsts budžetu un pašvaldību budžetiem</w:t>
            </w:r>
          </w:p>
        </w:tc>
      </w:tr>
      <w:tr w:rsidR="00E960B9" w:rsidRPr="00336B05" w14:paraId="1A907A0D" w14:textId="77777777">
        <w:tc>
          <w:tcPr>
            <w:tcW w:w="2101" w:type="dxa"/>
            <w:vMerge w:val="restart"/>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A907A0A"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Rādītāji</w:t>
            </w:r>
          </w:p>
        </w:tc>
        <w:tc>
          <w:tcPr>
            <w:tcW w:w="2011" w:type="dxa"/>
            <w:gridSpan w:val="2"/>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0B" w14:textId="67EB6CB0" w:rsidR="00E960B9" w:rsidRPr="00336B05" w:rsidRDefault="00EB69BB" w:rsidP="00CC069E">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201</w:t>
            </w:r>
            <w:r w:rsidR="00CC069E" w:rsidRPr="00336B05">
              <w:rPr>
                <w:rFonts w:ascii="Times New Roman" w:eastAsia="Times New Roman" w:hAnsi="Times New Roman" w:cs="Times New Roman"/>
                <w:sz w:val="24"/>
                <w:szCs w:val="24"/>
              </w:rPr>
              <w:t>9</w:t>
            </w:r>
          </w:p>
        </w:tc>
        <w:tc>
          <w:tcPr>
            <w:tcW w:w="5019" w:type="dxa"/>
            <w:gridSpan w:val="5"/>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0C"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Turpmākie trīs gadi (</w:t>
            </w:r>
            <w:proofErr w:type="spellStart"/>
            <w:r w:rsidRPr="00336B05">
              <w:rPr>
                <w:rFonts w:ascii="Times New Roman" w:eastAsia="Times New Roman" w:hAnsi="Times New Roman" w:cs="Times New Roman"/>
                <w:i/>
                <w:sz w:val="24"/>
                <w:szCs w:val="24"/>
              </w:rPr>
              <w:t>euro</w:t>
            </w:r>
            <w:proofErr w:type="spellEnd"/>
            <w:r w:rsidRPr="00336B05">
              <w:rPr>
                <w:rFonts w:ascii="Times New Roman" w:eastAsia="Times New Roman" w:hAnsi="Times New Roman" w:cs="Times New Roman"/>
                <w:sz w:val="24"/>
                <w:szCs w:val="24"/>
              </w:rPr>
              <w:t>)</w:t>
            </w:r>
          </w:p>
        </w:tc>
      </w:tr>
      <w:tr w:rsidR="00E960B9" w:rsidRPr="00336B05" w14:paraId="1A907A13" w14:textId="77777777">
        <w:tc>
          <w:tcPr>
            <w:tcW w:w="2101" w:type="dxa"/>
            <w:vMerge/>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A907A0E"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11" w:type="dxa"/>
            <w:gridSpan w:val="2"/>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0F"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08" w:type="dxa"/>
            <w:gridSpan w:val="2"/>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0" w14:textId="4A706B8B" w:rsidR="00E960B9" w:rsidRPr="00336B05" w:rsidRDefault="00EB69BB" w:rsidP="00CC069E">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20</w:t>
            </w:r>
            <w:r w:rsidR="00CC069E" w:rsidRPr="00336B05">
              <w:rPr>
                <w:rFonts w:ascii="Times New Roman" w:eastAsia="Times New Roman" w:hAnsi="Times New Roman" w:cs="Times New Roman"/>
                <w:sz w:val="24"/>
                <w:szCs w:val="24"/>
              </w:rPr>
              <w:t>20</w:t>
            </w:r>
          </w:p>
        </w:tc>
        <w:tc>
          <w:tcPr>
            <w:tcW w:w="2008" w:type="dxa"/>
            <w:gridSpan w:val="2"/>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1" w14:textId="3E1C1A84" w:rsidR="00E960B9" w:rsidRPr="00336B05" w:rsidRDefault="00EB69BB" w:rsidP="00CC069E">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202</w:t>
            </w:r>
            <w:r w:rsidR="00CC069E" w:rsidRPr="00336B05">
              <w:rPr>
                <w:rFonts w:ascii="Times New Roman" w:eastAsia="Times New Roman" w:hAnsi="Times New Roman" w:cs="Times New Roman"/>
                <w:sz w:val="24"/>
                <w:szCs w:val="24"/>
              </w:rPr>
              <w:t>1</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2" w14:textId="36762CB2" w:rsidR="00E960B9" w:rsidRPr="00336B05" w:rsidRDefault="00EB69BB" w:rsidP="00CC069E">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202</w:t>
            </w:r>
            <w:r w:rsidR="00CC069E" w:rsidRPr="00336B05">
              <w:rPr>
                <w:rFonts w:ascii="Times New Roman" w:eastAsia="Times New Roman" w:hAnsi="Times New Roman" w:cs="Times New Roman"/>
                <w:sz w:val="24"/>
                <w:szCs w:val="24"/>
              </w:rPr>
              <w:t>2</w:t>
            </w:r>
          </w:p>
        </w:tc>
      </w:tr>
      <w:tr w:rsidR="00E960B9" w:rsidRPr="00336B05" w14:paraId="1A907A1C" w14:textId="77777777">
        <w:tc>
          <w:tcPr>
            <w:tcW w:w="2101" w:type="dxa"/>
            <w:vMerge/>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A907A14"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5"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saskaņā ar valsts budžetu kārtējam gadam</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6"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izmaiņas kārtējā gadā, salīdzinot ar valsts budžetu kārtējam gadam</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7"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saskaņā ar vidēja termiņa budžeta ietvaru</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8" w14:textId="2ADB299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izmaiņas, salīdzinot ar vid</w:t>
            </w:r>
            <w:r w:rsidR="00CC069E" w:rsidRPr="00336B05">
              <w:rPr>
                <w:rFonts w:ascii="Times New Roman" w:eastAsia="Times New Roman" w:hAnsi="Times New Roman" w:cs="Times New Roman"/>
                <w:sz w:val="24"/>
                <w:szCs w:val="24"/>
              </w:rPr>
              <w:t>ēja termiņa budžeta ietvaru 2020.</w:t>
            </w:r>
            <w:r w:rsidRPr="00336B05">
              <w:rPr>
                <w:rFonts w:ascii="Times New Roman" w:eastAsia="Times New Roman" w:hAnsi="Times New Roman" w:cs="Times New Roman"/>
                <w:sz w:val="24"/>
                <w:szCs w:val="24"/>
              </w:rPr>
              <w:t xml:space="preserve"> gadam</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9"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saskaņā ar vidēja termiņa budžeta ietvaru</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A" w14:textId="7540337F" w:rsidR="00E960B9" w:rsidRPr="00336B05" w:rsidRDefault="00EB69BB" w:rsidP="005739A8">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izmaiņas, salīdzinot ar vid</w:t>
            </w:r>
            <w:r w:rsidR="00CC069E" w:rsidRPr="00336B05">
              <w:rPr>
                <w:rFonts w:ascii="Times New Roman" w:eastAsia="Times New Roman" w:hAnsi="Times New Roman" w:cs="Times New Roman"/>
                <w:sz w:val="24"/>
                <w:szCs w:val="24"/>
              </w:rPr>
              <w:t>ēja termiņa budžeta ietvaru 202</w:t>
            </w:r>
            <w:r w:rsidR="005739A8" w:rsidRPr="00336B05">
              <w:rPr>
                <w:rFonts w:ascii="Times New Roman" w:eastAsia="Times New Roman" w:hAnsi="Times New Roman" w:cs="Times New Roman"/>
                <w:sz w:val="24"/>
                <w:szCs w:val="24"/>
              </w:rPr>
              <w:t>1</w:t>
            </w:r>
            <w:r w:rsidR="00CC069E" w:rsidRPr="00336B05">
              <w:rPr>
                <w:rFonts w:ascii="Times New Roman" w:eastAsia="Times New Roman" w:hAnsi="Times New Roman" w:cs="Times New Roman"/>
                <w:sz w:val="24"/>
                <w:szCs w:val="24"/>
              </w:rPr>
              <w:t>.</w:t>
            </w:r>
            <w:r w:rsidRPr="00336B05">
              <w:rPr>
                <w:rFonts w:ascii="Times New Roman" w:eastAsia="Times New Roman" w:hAnsi="Times New Roman" w:cs="Times New Roman"/>
                <w:sz w:val="24"/>
                <w:szCs w:val="24"/>
              </w:rPr>
              <w:t xml:space="preserve"> gadam</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B" w14:textId="2712DD30"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izmaiņas, salīdzinot ar vidēja termiņa budžeta ietvaru 2021</w:t>
            </w:r>
            <w:r w:rsidR="00CC069E" w:rsidRPr="00336B05">
              <w:rPr>
                <w:rFonts w:ascii="Times New Roman" w:eastAsia="Times New Roman" w:hAnsi="Times New Roman" w:cs="Times New Roman"/>
                <w:sz w:val="24"/>
                <w:szCs w:val="24"/>
              </w:rPr>
              <w:t>.</w:t>
            </w:r>
            <w:r w:rsidRPr="00336B05">
              <w:rPr>
                <w:rFonts w:ascii="Times New Roman" w:eastAsia="Times New Roman" w:hAnsi="Times New Roman" w:cs="Times New Roman"/>
                <w:sz w:val="24"/>
                <w:szCs w:val="24"/>
              </w:rPr>
              <w:t xml:space="preserve"> gadam</w:t>
            </w:r>
          </w:p>
        </w:tc>
      </w:tr>
      <w:tr w:rsidR="00E960B9" w:rsidRPr="00336B05" w14:paraId="1A907A25"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A907A1D"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E"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1F"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0"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4</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1"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2"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6</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3"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7</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4" w14:textId="77777777" w:rsidR="00E960B9" w:rsidRPr="00336B05" w:rsidRDefault="00EB69BB">
            <w:pPr>
              <w:jc w:val="cente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8</w:t>
            </w:r>
          </w:p>
        </w:tc>
      </w:tr>
      <w:tr w:rsidR="00E960B9" w:rsidRPr="00336B05" w14:paraId="1A907A2E"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2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 Budžeta ieņēmumi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2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37"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2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1.1. valsts pamatbudžets, tai skaitā ieņēmumi no maksas pakalpojumiem un citi pašu ieņēmumi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40"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3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1.2. valsts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3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49"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4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52"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4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 Budžeta izdevumi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4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5B"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5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2.1. valsts pamatbudžets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64"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5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2.2. valsts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5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6D"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6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76"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6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 Finansiālā ietekme</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6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7F"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7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3.1. valsts pamatbudžets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7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88"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8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3.2.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91"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8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8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9A"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9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lastRenderedPageBreak/>
              <w:t>4. Finanšu līdzekļi papildu izdevumu finansēšanai (kompensējošu izdevumu samazinājumu norāda ar "+" zīmi)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7"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9"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r>
      <w:tr w:rsidR="00E960B9" w:rsidRPr="00336B05" w14:paraId="1A907AA3"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9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 Precizēta finansiālā ietekme</w:t>
            </w:r>
          </w:p>
        </w:tc>
        <w:tc>
          <w:tcPr>
            <w:tcW w:w="1005"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E"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9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0"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r>
      <w:tr w:rsidR="00E960B9" w:rsidRPr="00336B05" w14:paraId="1A907AAC"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A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5.1. valsts pamatbudžets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5"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7"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9"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r>
      <w:tr w:rsidR="00E960B9" w:rsidRPr="00336B05" w14:paraId="1A907AB5"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A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5.2. speciālais 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E"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A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0"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1"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2"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3"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4"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r>
      <w:tr w:rsidR="00E960B9" w:rsidRPr="00336B05" w14:paraId="1A907ABE"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B6"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5.3. pašvaldību 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7"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9"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A"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B"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C"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BD"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0 </w:t>
            </w:r>
          </w:p>
        </w:tc>
      </w:tr>
      <w:tr w:rsidR="00E960B9" w:rsidRPr="00336B05" w14:paraId="1A907AC1"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BF"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7030" w:type="dxa"/>
            <w:gridSpan w:val="7"/>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34DBAE61" w14:textId="6ABDA178" w:rsidR="00F94BE3" w:rsidRDefault="00F94BE3" w:rsidP="00210628">
            <w:pPr>
              <w:rPr>
                <w:rFonts w:ascii="Times New Roman" w:eastAsia="Times New Roman" w:hAnsi="Times New Roman" w:cs="Times New Roman"/>
                <w:color w:val="000000"/>
                <w:sz w:val="24"/>
                <w:szCs w:val="24"/>
              </w:rPr>
            </w:pPr>
            <w:r w:rsidRPr="00336B05">
              <w:rPr>
                <w:rFonts w:ascii="Times New Roman" w:eastAsia="Times New Roman" w:hAnsi="Times New Roman" w:cs="Times New Roman"/>
                <w:color w:val="000000"/>
                <w:sz w:val="24"/>
                <w:szCs w:val="24"/>
              </w:rPr>
              <w:t>VIIS pilnveidojumi attiecībā uz Ārvalstīs izsniegto izglītības dokumentu reģistru, izglītojamo vērtējumu un kavējumu ievadi</w:t>
            </w:r>
            <w:r>
              <w:rPr>
                <w:rFonts w:ascii="Times New Roman" w:eastAsia="Times New Roman" w:hAnsi="Times New Roman" w:cs="Times New Roman"/>
                <w:color w:val="000000"/>
                <w:sz w:val="24"/>
                <w:szCs w:val="24"/>
              </w:rPr>
              <w:t xml:space="preserve"> un studējošo kreditēšanu</w:t>
            </w:r>
            <w:r w:rsidRPr="00336B05">
              <w:rPr>
                <w:rFonts w:ascii="Times New Roman" w:eastAsia="Times New Roman" w:hAnsi="Times New Roman" w:cs="Times New Roman"/>
                <w:color w:val="000000"/>
                <w:sz w:val="24"/>
                <w:szCs w:val="24"/>
              </w:rPr>
              <w:t>, tiks veikti ikgadējā budžeta ietvaros un tādējādi attiecībā pret plānoto ner</w:t>
            </w:r>
            <w:r>
              <w:rPr>
                <w:rFonts w:ascii="Times New Roman" w:eastAsia="Times New Roman" w:hAnsi="Times New Roman" w:cs="Times New Roman"/>
                <w:color w:val="000000"/>
                <w:sz w:val="24"/>
                <w:szCs w:val="24"/>
              </w:rPr>
              <w:t>ada papildu ietekmi uz budžetu.</w:t>
            </w:r>
          </w:p>
          <w:p w14:paraId="6FF3A40B" w14:textId="765B1AAE" w:rsidR="006B6159" w:rsidRDefault="006B6159" w:rsidP="002106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Izmaksas, kas saistītas ar VIIS pilnveidojumiem Ārvalstīs izsniegto izglītības dokumentu reģistra izveidei n</w:t>
            </w:r>
            <w:r w:rsidR="00F94BE3">
              <w:rPr>
                <w:rFonts w:ascii="Times New Roman" w:eastAsia="Times New Roman" w:hAnsi="Times New Roman" w:cs="Times New Roman"/>
                <w:color w:val="000000"/>
                <w:sz w:val="24"/>
                <w:szCs w:val="24"/>
              </w:rPr>
              <w:t>ovērtētas līdz</w:t>
            </w:r>
            <w:r>
              <w:rPr>
                <w:rFonts w:ascii="Times New Roman" w:eastAsia="Times New Roman" w:hAnsi="Times New Roman" w:cs="Times New Roman"/>
                <w:color w:val="000000"/>
                <w:sz w:val="24"/>
                <w:szCs w:val="24"/>
              </w:rPr>
              <w:t xml:space="preserve"> 45 000 EUR apjomā</w:t>
            </w:r>
            <w:r w:rsidR="00F94BE3">
              <w:rPr>
                <w:rFonts w:ascii="Times New Roman" w:eastAsia="Times New Roman" w:hAnsi="Times New Roman" w:cs="Times New Roman"/>
                <w:color w:val="000000"/>
                <w:sz w:val="24"/>
                <w:szCs w:val="24"/>
              </w:rPr>
              <w:t xml:space="preserve"> (bez PVN)</w:t>
            </w:r>
            <w:r>
              <w:rPr>
                <w:rFonts w:ascii="Times New Roman" w:eastAsia="Times New Roman" w:hAnsi="Times New Roman" w:cs="Times New Roman"/>
                <w:color w:val="000000"/>
                <w:sz w:val="24"/>
                <w:szCs w:val="24"/>
              </w:rPr>
              <w:t xml:space="preserve">. Šīs izmaksas ietver personu un izglītības dokumentu reģistrācijas formu izveidi, funkcionalitātes izveidi Akadēmiskās informācijas centram iesniegto dokumentu apstrādei un automātiskas lietotāju apziņošanas sistēmas izveidi, Akadēmiskās informācijas centra izziņas sagatavošanu, iekļaujot izziņā sistēmā ievadītos datus, lietotāju tiesību pārvaldību. Minētās </w:t>
            </w:r>
            <w:r w:rsidR="00F94BE3">
              <w:rPr>
                <w:rFonts w:ascii="Times New Roman" w:eastAsia="Times New Roman" w:hAnsi="Times New Roman" w:cs="Times New Roman"/>
                <w:color w:val="000000"/>
                <w:sz w:val="24"/>
                <w:szCs w:val="24"/>
              </w:rPr>
              <w:t>funkcionalitātes</w:t>
            </w:r>
            <w:r>
              <w:rPr>
                <w:rFonts w:ascii="Times New Roman" w:eastAsia="Times New Roman" w:hAnsi="Times New Roman" w:cs="Times New Roman"/>
                <w:color w:val="000000"/>
                <w:sz w:val="24"/>
                <w:szCs w:val="24"/>
              </w:rPr>
              <w:t xml:space="preserve"> izstr</w:t>
            </w:r>
            <w:r w:rsidR="00F94BE3">
              <w:rPr>
                <w:rFonts w:ascii="Times New Roman" w:eastAsia="Times New Roman" w:hAnsi="Times New Roman" w:cs="Times New Roman"/>
                <w:color w:val="000000"/>
                <w:sz w:val="24"/>
                <w:szCs w:val="24"/>
              </w:rPr>
              <w:t>ādes darbiet</w:t>
            </w:r>
            <w:r w:rsidR="008B5DD4">
              <w:rPr>
                <w:rFonts w:ascii="Times New Roman" w:eastAsia="Times New Roman" w:hAnsi="Times New Roman" w:cs="Times New Roman"/>
                <w:color w:val="000000"/>
                <w:sz w:val="24"/>
                <w:szCs w:val="24"/>
              </w:rPr>
              <w:t>ilpība novērtēta kā aptuveni</w:t>
            </w:r>
            <w:r w:rsidR="00FC6A1E">
              <w:rPr>
                <w:rFonts w:ascii="Times New Roman" w:eastAsia="Times New Roman" w:hAnsi="Times New Roman" w:cs="Times New Roman"/>
                <w:color w:val="000000"/>
                <w:sz w:val="24"/>
                <w:szCs w:val="24"/>
              </w:rPr>
              <w:t xml:space="preserve"> 1300 stunda</w:t>
            </w:r>
            <w:r w:rsidR="008B5DD4">
              <w:rPr>
                <w:rFonts w:ascii="Times New Roman" w:eastAsia="Times New Roman" w:hAnsi="Times New Roman" w:cs="Times New Roman"/>
                <w:color w:val="000000"/>
                <w:sz w:val="24"/>
                <w:szCs w:val="24"/>
              </w:rPr>
              <w:t>s</w:t>
            </w:r>
            <w:r w:rsidR="00FC6A1E">
              <w:rPr>
                <w:rFonts w:ascii="Times New Roman" w:eastAsia="Times New Roman" w:hAnsi="Times New Roman" w:cs="Times New Roman"/>
                <w:color w:val="000000"/>
                <w:sz w:val="24"/>
                <w:szCs w:val="24"/>
              </w:rPr>
              <w:t xml:space="preserve">, kur vienas stundas </w:t>
            </w:r>
            <w:r w:rsidR="008B5DD4">
              <w:rPr>
                <w:rFonts w:ascii="Times New Roman" w:eastAsia="Times New Roman" w:hAnsi="Times New Roman" w:cs="Times New Roman"/>
                <w:color w:val="000000"/>
                <w:sz w:val="24"/>
                <w:szCs w:val="24"/>
              </w:rPr>
              <w:t>izmaksas saskaņā ar līgumu, kas noslēgts starp Izglītības un zinātnes ministriju un SIA “</w:t>
            </w:r>
            <w:proofErr w:type="spellStart"/>
            <w:r w:rsidR="008B5DD4">
              <w:rPr>
                <w:rFonts w:ascii="Times New Roman" w:eastAsia="Times New Roman" w:hAnsi="Times New Roman" w:cs="Times New Roman"/>
                <w:color w:val="000000"/>
                <w:sz w:val="24"/>
                <w:szCs w:val="24"/>
              </w:rPr>
              <w:t>iSoft</w:t>
            </w:r>
            <w:proofErr w:type="spellEnd"/>
            <w:r w:rsidR="008B5DD4">
              <w:rPr>
                <w:rFonts w:ascii="Times New Roman" w:eastAsia="Times New Roman" w:hAnsi="Times New Roman" w:cs="Times New Roman"/>
                <w:color w:val="000000"/>
                <w:sz w:val="24"/>
                <w:szCs w:val="24"/>
              </w:rPr>
              <w:t xml:space="preserve"> Solutions”,</w:t>
            </w:r>
            <w:r w:rsidR="0062090D">
              <w:rPr>
                <w:rFonts w:ascii="Times New Roman" w:eastAsia="Times New Roman" w:hAnsi="Times New Roman" w:cs="Times New Roman"/>
                <w:color w:val="000000"/>
                <w:sz w:val="24"/>
                <w:szCs w:val="24"/>
              </w:rPr>
              <w:t xml:space="preserve"> ir 34,45 EUR</w:t>
            </w:r>
            <w:r w:rsidR="00FC6A1E">
              <w:rPr>
                <w:rFonts w:ascii="Times New Roman" w:eastAsia="Times New Roman" w:hAnsi="Times New Roman" w:cs="Times New Roman"/>
                <w:color w:val="000000"/>
                <w:sz w:val="24"/>
                <w:szCs w:val="24"/>
              </w:rPr>
              <w:t xml:space="preserve"> bez PVN.</w:t>
            </w:r>
            <w:r w:rsidR="00F94BE3">
              <w:rPr>
                <w:rFonts w:ascii="Times New Roman" w:eastAsia="Times New Roman" w:hAnsi="Times New Roman" w:cs="Times New Roman"/>
                <w:color w:val="000000"/>
                <w:sz w:val="24"/>
                <w:szCs w:val="24"/>
              </w:rPr>
              <w:t xml:space="preserve"> </w:t>
            </w:r>
          </w:p>
          <w:p w14:paraId="1A907AC0" w14:textId="0B39D31F" w:rsidR="00E960B9" w:rsidRPr="00FC6A1E" w:rsidRDefault="00F94BE3" w:rsidP="006209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6B6159">
              <w:rPr>
                <w:rFonts w:ascii="Times New Roman" w:eastAsia="Times New Roman" w:hAnsi="Times New Roman" w:cs="Times New Roman"/>
                <w:color w:val="000000"/>
                <w:sz w:val="24"/>
                <w:szCs w:val="24"/>
              </w:rPr>
              <w:t>zmaksas VIIS pilnveidojumiem saistībā ar studējošo kreditēšanu novērtētas līdz 50 000 EUR apjom</w:t>
            </w:r>
            <w:r>
              <w:rPr>
                <w:rFonts w:ascii="Times New Roman" w:eastAsia="Times New Roman" w:hAnsi="Times New Roman" w:cs="Times New Roman"/>
                <w:color w:val="000000"/>
                <w:sz w:val="24"/>
                <w:szCs w:val="24"/>
              </w:rPr>
              <w:t>ā</w:t>
            </w:r>
            <w:r w:rsidR="00633203">
              <w:rPr>
                <w:rFonts w:ascii="Times New Roman" w:eastAsia="Times New Roman" w:hAnsi="Times New Roman" w:cs="Times New Roman"/>
                <w:color w:val="000000"/>
                <w:sz w:val="24"/>
                <w:szCs w:val="24"/>
              </w:rPr>
              <w:t xml:space="preserve"> (bez PVN)</w:t>
            </w:r>
            <w:r>
              <w:rPr>
                <w:rFonts w:ascii="Times New Roman" w:eastAsia="Times New Roman" w:hAnsi="Times New Roman" w:cs="Times New Roman"/>
                <w:color w:val="000000"/>
                <w:sz w:val="24"/>
                <w:szCs w:val="24"/>
              </w:rPr>
              <w:t xml:space="preserve">, šīs izmaksas sastāda jauna statusa ieviešana no doktorantūras programmām </w:t>
            </w:r>
            <w:proofErr w:type="spellStart"/>
            <w:r>
              <w:rPr>
                <w:rFonts w:ascii="Times New Roman" w:eastAsia="Times New Roman" w:hAnsi="Times New Roman" w:cs="Times New Roman"/>
                <w:color w:val="000000"/>
                <w:sz w:val="24"/>
                <w:szCs w:val="24"/>
              </w:rPr>
              <w:t>eksmatrikulēto</w:t>
            </w:r>
            <w:proofErr w:type="spellEnd"/>
            <w:r>
              <w:rPr>
                <w:rFonts w:ascii="Times New Roman" w:eastAsia="Times New Roman" w:hAnsi="Times New Roman" w:cs="Times New Roman"/>
                <w:color w:val="000000"/>
                <w:sz w:val="24"/>
                <w:szCs w:val="24"/>
              </w:rPr>
              <w:t xml:space="preserve"> studējošo ievadei sistēmā, jaunu lauku izveide studiju maksas ievadei sistēmā un šo datu lauku integrācija datu apmaiņas risinājumā, tīmekļa </w:t>
            </w:r>
            <w:proofErr w:type="spellStart"/>
            <w:r>
              <w:rPr>
                <w:rFonts w:ascii="Times New Roman" w:eastAsia="Times New Roman" w:hAnsi="Times New Roman" w:cs="Times New Roman"/>
                <w:color w:val="000000"/>
                <w:sz w:val="24"/>
                <w:szCs w:val="24"/>
              </w:rPr>
              <w:t>pakalpņu</w:t>
            </w:r>
            <w:proofErr w:type="spellEnd"/>
            <w:r>
              <w:rPr>
                <w:rFonts w:ascii="Times New Roman" w:eastAsia="Times New Roman" w:hAnsi="Times New Roman" w:cs="Times New Roman"/>
                <w:color w:val="000000"/>
                <w:sz w:val="24"/>
                <w:szCs w:val="24"/>
              </w:rPr>
              <w:t xml:space="preserve"> izstrāde datu apmaiņai ar kredītiestādēm (gan datu saņemšanai, gan datu  nodošanai), statistikas pārskata (atskaites) ģenerēšanas funkcionalitāte. Visu minēto kredītiestāžu funkcionalitāšu izstrādes darbieti</w:t>
            </w:r>
            <w:r w:rsidR="00FC6A1E">
              <w:rPr>
                <w:rFonts w:ascii="Times New Roman" w:eastAsia="Times New Roman" w:hAnsi="Times New Roman" w:cs="Times New Roman"/>
                <w:color w:val="000000"/>
                <w:sz w:val="24"/>
                <w:szCs w:val="24"/>
              </w:rPr>
              <w:t xml:space="preserve">lpība novērtēta kā </w:t>
            </w:r>
            <w:r w:rsidR="0062090D">
              <w:rPr>
                <w:rFonts w:ascii="Times New Roman" w:eastAsia="Times New Roman" w:hAnsi="Times New Roman" w:cs="Times New Roman"/>
                <w:color w:val="000000"/>
                <w:sz w:val="24"/>
                <w:szCs w:val="24"/>
              </w:rPr>
              <w:t xml:space="preserve">aptuveni </w:t>
            </w:r>
            <w:r w:rsidR="00FC6A1E">
              <w:rPr>
                <w:rFonts w:ascii="Times New Roman" w:eastAsia="Times New Roman" w:hAnsi="Times New Roman" w:cs="Times New Roman"/>
                <w:color w:val="000000"/>
                <w:sz w:val="24"/>
                <w:szCs w:val="24"/>
              </w:rPr>
              <w:t>1</w:t>
            </w:r>
            <w:r w:rsidR="0062090D">
              <w:rPr>
                <w:rFonts w:ascii="Times New Roman" w:eastAsia="Times New Roman" w:hAnsi="Times New Roman" w:cs="Times New Roman"/>
                <w:color w:val="000000"/>
                <w:sz w:val="24"/>
                <w:szCs w:val="24"/>
              </w:rPr>
              <w:t>45</w:t>
            </w:r>
            <w:r w:rsidR="00FC6A1E">
              <w:rPr>
                <w:rFonts w:ascii="Times New Roman" w:eastAsia="Times New Roman" w:hAnsi="Times New Roman" w:cs="Times New Roman"/>
                <w:color w:val="000000"/>
                <w:sz w:val="24"/>
                <w:szCs w:val="24"/>
              </w:rPr>
              <w:t xml:space="preserve">0 stundas, </w:t>
            </w:r>
            <w:r w:rsidR="0062090D">
              <w:rPr>
                <w:rFonts w:ascii="Times New Roman" w:eastAsia="Times New Roman" w:hAnsi="Times New Roman" w:cs="Times New Roman"/>
                <w:color w:val="000000"/>
                <w:sz w:val="24"/>
                <w:szCs w:val="24"/>
              </w:rPr>
              <w:t>kur vienas stundas izmaksas saskaņā ar līgumu, kas noslēgts starp Izglītības un zinātnes ministriju un SIA “</w:t>
            </w:r>
            <w:proofErr w:type="spellStart"/>
            <w:r w:rsidR="0062090D">
              <w:rPr>
                <w:rFonts w:ascii="Times New Roman" w:eastAsia="Times New Roman" w:hAnsi="Times New Roman" w:cs="Times New Roman"/>
                <w:color w:val="000000"/>
                <w:sz w:val="24"/>
                <w:szCs w:val="24"/>
              </w:rPr>
              <w:t>iSoft</w:t>
            </w:r>
            <w:proofErr w:type="spellEnd"/>
            <w:r w:rsidR="0062090D">
              <w:rPr>
                <w:rFonts w:ascii="Times New Roman" w:eastAsia="Times New Roman" w:hAnsi="Times New Roman" w:cs="Times New Roman"/>
                <w:color w:val="000000"/>
                <w:sz w:val="24"/>
                <w:szCs w:val="24"/>
              </w:rPr>
              <w:t xml:space="preserve"> Solutions”, ir 34,45 EUR bez PVN.</w:t>
            </w:r>
          </w:p>
        </w:tc>
      </w:tr>
      <w:tr w:rsidR="00E960B9" w:rsidRPr="00336B05" w14:paraId="1A907AC4"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C2"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6.1. detalizēts ieņēmumu aprēķins</w:t>
            </w:r>
          </w:p>
        </w:tc>
        <w:tc>
          <w:tcPr>
            <w:tcW w:w="7030" w:type="dxa"/>
            <w:gridSpan w:val="7"/>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C3"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60B9" w:rsidRPr="00336B05" w14:paraId="1A907AC7"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C5"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6.2. detalizēts izdevumu aprēķins</w:t>
            </w:r>
          </w:p>
        </w:tc>
        <w:tc>
          <w:tcPr>
            <w:tcW w:w="7030" w:type="dxa"/>
            <w:gridSpan w:val="7"/>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A907AC6" w14:textId="77777777" w:rsidR="00E960B9" w:rsidRPr="00336B05"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60B9" w:rsidRPr="00336B05" w14:paraId="1A907ACA"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C8"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lastRenderedPageBreak/>
              <w:t>7. Amata vietu skaita izmaiņas</w:t>
            </w:r>
          </w:p>
        </w:tc>
        <w:tc>
          <w:tcPr>
            <w:tcW w:w="7030" w:type="dxa"/>
            <w:gridSpan w:val="7"/>
            <w:tcBorders>
              <w:top w:val="nil"/>
              <w:left w:val="nil"/>
              <w:bottom w:val="single" w:sz="8" w:space="0" w:color="414142"/>
              <w:right w:val="single" w:sz="8" w:space="0" w:color="414142"/>
            </w:tcBorders>
            <w:shd w:val="clear" w:color="auto" w:fill="FFFFFF"/>
            <w:tcMar>
              <w:top w:w="30" w:type="dxa"/>
              <w:left w:w="30" w:type="dxa"/>
              <w:bottom w:w="30" w:type="dxa"/>
              <w:right w:w="30" w:type="dxa"/>
            </w:tcMar>
          </w:tcPr>
          <w:p w14:paraId="1A907AC9" w14:textId="77777777" w:rsidR="00E960B9" w:rsidRPr="00336B05" w:rsidRDefault="00EB69BB">
            <w:pPr>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Amata vietu skaits nemainās. </w:t>
            </w:r>
          </w:p>
        </w:tc>
      </w:tr>
      <w:tr w:rsidR="00E960B9" w:rsidRPr="00336B05" w14:paraId="1A907ACE"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A907ACB" w14:textId="77777777" w:rsidR="00E960B9" w:rsidRPr="00336B05" w:rsidRDefault="00EB69BB">
            <w:pPr>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8. Cita informācija</w:t>
            </w:r>
          </w:p>
        </w:tc>
        <w:tc>
          <w:tcPr>
            <w:tcW w:w="7030" w:type="dxa"/>
            <w:gridSpan w:val="7"/>
            <w:tcBorders>
              <w:top w:val="nil"/>
              <w:left w:val="nil"/>
              <w:bottom w:val="single" w:sz="8" w:space="0" w:color="414142"/>
              <w:right w:val="single" w:sz="8" w:space="0" w:color="414142"/>
            </w:tcBorders>
            <w:shd w:val="clear" w:color="auto" w:fill="FFFFFF"/>
            <w:tcMar>
              <w:top w:w="30" w:type="dxa"/>
              <w:left w:w="30" w:type="dxa"/>
              <w:bottom w:w="30" w:type="dxa"/>
              <w:right w:w="30" w:type="dxa"/>
            </w:tcMar>
          </w:tcPr>
          <w:p w14:paraId="1A907ACD" w14:textId="07E85775" w:rsidR="00AD42FF" w:rsidRPr="00336B05" w:rsidRDefault="00F94BE3" w:rsidP="00AD42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w:t>
            </w:r>
          </w:p>
        </w:tc>
      </w:tr>
    </w:tbl>
    <w:p w14:paraId="1A907ACF" w14:textId="77777777" w:rsidR="00E960B9" w:rsidRPr="00336B05" w:rsidRDefault="00E960B9">
      <w:pPr>
        <w:spacing w:after="0" w:line="240" w:lineRule="auto"/>
        <w:rPr>
          <w:rFonts w:ascii="Times New Roman" w:eastAsia="Times New Roman" w:hAnsi="Times New Roman" w:cs="Times New Roman"/>
          <w:sz w:val="24"/>
          <w:szCs w:val="24"/>
        </w:rPr>
      </w:pPr>
    </w:p>
    <w:p w14:paraId="1A907AD0" w14:textId="77777777" w:rsidR="00E960B9" w:rsidRPr="00336B05" w:rsidRDefault="00E960B9">
      <w:pPr>
        <w:spacing w:after="0" w:line="240" w:lineRule="auto"/>
        <w:rPr>
          <w:rFonts w:ascii="Times New Roman" w:eastAsia="Times New Roman" w:hAnsi="Times New Roman" w:cs="Times New Roman"/>
          <w:sz w:val="24"/>
          <w:szCs w:val="24"/>
        </w:rPr>
      </w:pPr>
    </w:p>
    <w:tbl>
      <w:tblPr>
        <w:tblW w:w="9415" w:type="dxa"/>
        <w:jc w:val="center"/>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82"/>
        <w:gridCol w:w="3067"/>
        <w:gridCol w:w="5566"/>
      </w:tblGrid>
      <w:tr w:rsidR="00E960B9" w:rsidRPr="00336B05" w14:paraId="1A907AD2" w14:textId="77777777" w:rsidTr="009A09C6">
        <w:trPr>
          <w:jc w:val="center"/>
        </w:trPr>
        <w:tc>
          <w:tcPr>
            <w:tcW w:w="9415" w:type="dxa"/>
            <w:gridSpan w:val="3"/>
            <w:tcBorders>
              <w:top w:val="single" w:sz="6" w:space="0" w:color="000000"/>
              <w:left w:val="single" w:sz="6" w:space="0" w:color="000000"/>
              <w:bottom w:val="single" w:sz="6" w:space="0" w:color="000000"/>
              <w:right w:val="single" w:sz="6" w:space="0" w:color="000000"/>
            </w:tcBorders>
            <w:vAlign w:val="center"/>
          </w:tcPr>
          <w:p w14:paraId="1A907AD1"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IV. Tiesību akta projekta ietekme uz spēkā esošo tiesību normu sistēmu</w:t>
            </w:r>
          </w:p>
        </w:tc>
      </w:tr>
      <w:tr w:rsidR="00E960B9" w:rsidRPr="00336B05" w14:paraId="1A907AE0" w14:textId="77777777" w:rsidTr="009A09C6">
        <w:trPr>
          <w:jc w:val="center"/>
        </w:trPr>
        <w:tc>
          <w:tcPr>
            <w:tcW w:w="782" w:type="dxa"/>
            <w:tcBorders>
              <w:top w:val="single" w:sz="6" w:space="0" w:color="000000"/>
              <w:left w:val="single" w:sz="6" w:space="0" w:color="000000"/>
              <w:bottom w:val="single" w:sz="6" w:space="0" w:color="000000"/>
              <w:right w:val="single" w:sz="6" w:space="0" w:color="000000"/>
            </w:tcBorders>
          </w:tcPr>
          <w:p w14:paraId="1A907AD3"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3067" w:type="dxa"/>
            <w:tcBorders>
              <w:top w:val="single" w:sz="6" w:space="0" w:color="000000"/>
              <w:left w:val="single" w:sz="6" w:space="0" w:color="000000"/>
              <w:bottom w:val="single" w:sz="6" w:space="0" w:color="000000"/>
              <w:right w:val="single" w:sz="6" w:space="0" w:color="000000"/>
            </w:tcBorders>
          </w:tcPr>
          <w:p w14:paraId="1A907AD4"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Saistītie tiesību aktu projekti</w:t>
            </w:r>
          </w:p>
        </w:tc>
        <w:tc>
          <w:tcPr>
            <w:tcW w:w="5566" w:type="dxa"/>
            <w:tcBorders>
              <w:top w:val="single" w:sz="6" w:space="0" w:color="000000"/>
              <w:left w:val="single" w:sz="6" w:space="0" w:color="000000"/>
              <w:bottom w:val="single" w:sz="6" w:space="0" w:color="000000"/>
              <w:right w:val="single" w:sz="6" w:space="0" w:color="000000"/>
            </w:tcBorders>
          </w:tcPr>
          <w:p w14:paraId="532A3A3B" w14:textId="437F5DA0" w:rsidR="00D026B0" w:rsidRDefault="00CF1B38" w:rsidP="00CF1B38">
            <w:pPr>
              <w:pBdr>
                <w:top w:val="nil"/>
                <w:left w:val="nil"/>
                <w:bottom w:val="nil"/>
                <w:right w:val="nil"/>
                <w:between w:val="nil"/>
              </w:pBdr>
              <w:spacing w:before="4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Apvienotā anotācija sagatavota Ministru kabineta noteikumu “Grozījumi  Ministru kabineta </w:t>
            </w:r>
            <w:r w:rsidRPr="00CF1B3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019. gada 25. jūnija noteikumos Nr.846  </w:t>
            </w:r>
            <w:r w:rsidRPr="00CF1B38">
              <w:rPr>
                <w:rFonts w:ascii="Times New Roman" w:eastAsia="Times New Roman" w:hAnsi="Times New Roman" w:cs="Times New Roman"/>
                <w:color w:val="000000"/>
                <w:sz w:val="24"/>
                <w:szCs w:val="24"/>
              </w:rPr>
              <w:t xml:space="preserve">“Valsts izglītības informācijas sistēmas noteikumi” </w:t>
            </w:r>
            <w:r>
              <w:rPr>
                <w:rFonts w:ascii="Times New Roman" w:eastAsia="Times New Roman" w:hAnsi="Times New Roman" w:cs="Times New Roman"/>
                <w:color w:val="000000"/>
                <w:sz w:val="24"/>
                <w:szCs w:val="24"/>
              </w:rPr>
              <w:t>projektam un Ministru kabineta noteikumu “</w:t>
            </w:r>
            <w:r w:rsidRPr="00CF1B38">
              <w:rPr>
                <w:rFonts w:ascii="Times New Roman" w:eastAsia="Times New Roman" w:hAnsi="Times New Roman" w:cs="Times New Roman"/>
                <w:color w:val="000000"/>
                <w:sz w:val="24"/>
                <w:szCs w:val="24"/>
              </w:rPr>
              <w:t>Grozījumi Ministru kabineta 2006. gada 10. oktobra noteikumos Nr. 846 "Noteikumi par prasībām, kritērijiem un kārtību uzņemšanai studiju programmās"</w:t>
            </w:r>
            <w:r w:rsidR="009B1227">
              <w:rPr>
                <w:rFonts w:ascii="Times New Roman" w:eastAsia="Times New Roman" w:hAnsi="Times New Roman" w:cs="Times New Roman"/>
                <w:color w:val="000000"/>
                <w:sz w:val="24"/>
                <w:szCs w:val="24"/>
              </w:rPr>
              <w:t xml:space="preserve"> projektam.</w:t>
            </w:r>
            <w:bookmarkStart w:id="0" w:name="_GoBack"/>
            <w:bookmarkEnd w:id="0"/>
          </w:p>
          <w:p w14:paraId="7D75503B" w14:textId="77777777" w:rsidR="00CF1B38" w:rsidRDefault="00CF1B38" w:rsidP="00D31B69">
            <w:pPr>
              <w:pBdr>
                <w:top w:val="nil"/>
                <w:left w:val="nil"/>
                <w:bottom w:val="nil"/>
                <w:right w:val="nil"/>
                <w:between w:val="nil"/>
              </w:pBdr>
              <w:spacing w:before="4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Noteikumu projekts saistīts ar l</w:t>
            </w:r>
            <w:r w:rsidRPr="00CF1B38">
              <w:rPr>
                <w:rFonts w:ascii="Times New Roman" w:eastAsia="Times New Roman" w:hAnsi="Times New Roman" w:cs="Times New Roman"/>
                <w:color w:val="000000"/>
                <w:sz w:val="24"/>
                <w:szCs w:val="24"/>
              </w:rPr>
              <w:t>ikumprojektu “Grozījumi Augstskolu likumā” (</w:t>
            </w:r>
            <w:r>
              <w:rPr>
                <w:rFonts w:ascii="Times New Roman" w:eastAsia="Times New Roman" w:hAnsi="Times New Roman" w:cs="Times New Roman"/>
                <w:color w:val="000000"/>
                <w:sz w:val="24"/>
                <w:szCs w:val="24"/>
              </w:rPr>
              <w:t>izsludināti Valsts sekretāru sanāksmē  2019.gada 14.februārī , prot. Nr. 6, 6</w:t>
            </w:r>
            <w:r w:rsidR="00D31B69">
              <w:rPr>
                <w:rFonts w:ascii="Times New Roman" w:eastAsia="Times New Roman" w:hAnsi="Times New Roman" w:cs="Times New Roman"/>
                <w:color w:val="000000"/>
                <w:sz w:val="24"/>
                <w:szCs w:val="24"/>
              </w:rPr>
              <w:t>.§ ,</w:t>
            </w:r>
            <w:r w:rsidR="009B1227">
              <w:rPr>
                <w:rFonts w:ascii="Times New Roman" w:eastAsia="Times New Roman" w:hAnsi="Times New Roman" w:cs="Times New Roman"/>
                <w:color w:val="000000"/>
                <w:sz w:val="24"/>
                <w:szCs w:val="24"/>
              </w:rPr>
              <w:t xml:space="preserve">VSS-117). </w:t>
            </w:r>
          </w:p>
          <w:p w14:paraId="1A907ADF" w14:textId="2E83547C" w:rsidR="009B1227" w:rsidRPr="00336B05" w:rsidRDefault="009B1227" w:rsidP="00D31B69">
            <w:pPr>
              <w:pBdr>
                <w:top w:val="nil"/>
                <w:left w:val="nil"/>
                <w:bottom w:val="nil"/>
                <w:right w:val="nil"/>
                <w:between w:val="nil"/>
              </w:pBdr>
              <w:spacing w:before="4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Saistīts ar </w:t>
            </w:r>
            <w:r w:rsidRPr="009B1227">
              <w:rPr>
                <w:rFonts w:ascii="Times New Roman" w:eastAsia="Times New Roman" w:hAnsi="Times New Roman" w:cs="Times New Roman"/>
                <w:color w:val="000000"/>
                <w:sz w:val="24"/>
                <w:szCs w:val="24"/>
              </w:rPr>
              <w:t>Mini</w:t>
            </w:r>
            <w:r>
              <w:rPr>
                <w:rFonts w:ascii="Times New Roman" w:eastAsia="Times New Roman" w:hAnsi="Times New Roman" w:cs="Times New Roman"/>
                <w:color w:val="000000"/>
                <w:sz w:val="24"/>
                <w:szCs w:val="24"/>
              </w:rPr>
              <w:t>stru kabineta noteikumu projektu</w:t>
            </w:r>
            <w:r w:rsidRPr="009B1227">
              <w:rPr>
                <w:rFonts w:ascii="Times New Roman" w:eastAsia="Times New Roman" w:hAnsi="Times New Roman" w:cs="Times New Roman"/>
                <w:color w:val="000000"/>
                <w:sz w:val="24"/>
                <w:szCs w:val="24"/>
              </w:rPr>
              <w:t xml:space="preserve"> “Studiju un studējošo kreditēšanas noteikumi”</w:t>
            </w:r>
            <w:r>
              <w:rPr>
                <w:rFonts w:ascii="Times New Roman" w:eastAsia="Times New Roman" w:hAnsi="Times New Roman" w:cs="Times New Roman"/>
                <w:color w:val="000000"/>
                <w:sz w:val="24"/>
                <w:szCs w:val="24"/>
              </w:rPr>
              <w:t>.</w:t>
            </w:r>
          </w:p>
        </w:tc>
      </w:tr>
      <w:tr w:rsidR="00E960B9" w:rsidRPr="00336B05" w14:paraId="1A907AE4" w14:textId="77777777" w:rsidTr="009A09C6">
        <w:trPr>
          <w:jc w:val="center"/>
        </w:trPr>
        <w:tc>
          <w:tcPr>
            <w:tcW w:w="782" w:type="dxa"/>
            <w:tcBorders>
              <w:top w:val="single" w:sz="6" w:space="0" w:color="000000"/>
              <w:left w:val="single" w:sz="6" w:space="0" w:color="000000"/>
              <w:bottom w:val="single" w:sz="6" w:space="0" w:color="000000"/>
              <w:right w:val="single" w:sz="6" w:space="0" w:color="000000"/>
            </w:tcBorders>
          </w:tcPr>
          <w:p w14:paraId="1A907AE1" w14:textId="1893D030"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3067" w:type="dxa"/>
            <w:tcBorders>
              <w:top w:val="single" w:sz="6" w:space="0" w:color="000000"/>
              <w:left w:val="single" w:sz="6" w:space="0" w:color="000000"/>
              <w:bottom w:val="single" w:sz="6" w:space="0" w:color="000000"/>
              <w:right w:val="single" w:sz="6" w:space="0" w:color="000000"/>
            </w:tcBorders>
          </w:tcPr>
          <w:p w14:paraId="1A907AE2"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Atbildīgā institūcija</w:t>
            </w:r>
          </w:p>
        </w:tc>
        <w:tc>
          <w:tcPr>
            <w:tcW w:w="5566" w:type="dxa"/>
            <w:tcBorders>
              <w:top w:val="single" w:sz="6" w:space="0" w:color="000000"/>
              <w:left w:val="single" w:sz="6" w:space="0" w:color="000000"/>
              <w:bottom w:val="single" w:sz="6" w:space="0" w:color="000000"/>
              <w:right w:val="single" w:sz="6" w:space="0" w:color="000000"/>
            </w:tcBorders>
          </w:tcPr>
          <w:p w14:paraId="1A907AE3" w14:textId="5A5CC382" w:rsidR="00E960B9" w:rsidRPr="00336B05" w:rsidRDefault="00B40E79" w:rsidP="00B40E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un zinātnes m</w:t>
            </w:r>
            <w:r w:rsidR="00EB69BB" w:rsidRPr="00336B05">
              <w:rPr>
                <w:rFonts w:ascii="Times New Roman" w:eastAsia="Times New Roman" w:hAnsi="Times New Roman" w:cs="Times New Roman"/>
                <w:color w:val="000000"/>
                <w:sz w:val="24"/>
                <w:szCs w:val="24"/>
              </w:rPr>
              <w:t>inistrija.</w:t>
            </w:r>
          </w:p>
        </w:tc>
      </w:tr>
      <w:tr w:rsidR="00E960B9" w:rsidRPr="00336B05" w14:paraId="1A907AE8" w14:textId="77777777" w:rsidTr="009A09C6">
        <w:trPr>
          <w:trHeight w:val="180"/>
          <w:jc w:val="center"/>
        </w:trPr>
        <w:tc>
          <w:tcPr>
            <w:tcW w:w="782" w:type="dxa"/>
            <w:tcBorders>
              <w:top w:val="single" w:sz="6" w:space="0" w:color="000000"/>
              <w:left w:val="single" w:sz="6" w:space="0" w:color="000000"/>
              <w:bottom w:val="single" w:sz="6" w:space="0" w:color="000000"/>
              <w:right w:val="single" w:sz="6" w:space="0" w:color="000000"/>
            </w:tcBorders>
          </w:tcPr>
          <w:p w14:paraId="1A907AE5"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w:t>
            </w:r>
          </w:p>
        </w:tc>
        <w:tc>
          <w:tcPr>
            <w:tcW w:w="3067" w:type="dxa"/>
            <w:tcBorders>
              <w:top w:val="single" w:sz="6" w:space="0" w:color="000000"/>
              <w:left w:val="single" w:sz="6" w:space="0" w:color="000000"/>
              <w:bottom w:val="single" w:sz="6" w:space="0" w:color="000000"/>
              <w:right w:val="single" w:sz="6" w:space="0" w:color="000000"/>
            </w:tcBorders>
          </w:tcPr>
          <w:p w14:paraId="1A907AE6"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Cita informācija</w:t>
            </w:r>
          </w:p>
        </w:tc>
        <w:tc>
          <w:tcPr>
            <w:tcW w:w="5566" w:type="dxa"/>
            <w:tcBorders>
              <w:top w:val="single" w:sz="6" w:space="0" w:color="000000"/>
              <w:left w:val="single" w:sz="6" w:space="0" w:color="000000"/>
              <w:bottom w:val="single" w:sz="6" w:space="0" w:color="000000"/>
              <w:right w:val="single" w:sz="6" w:space="0" w:color="000000"/>
            </w:tcBorders>
          </w:tcPr>
          <w:p w14:paraId="1A907AE7" w14:textId="77777777" w:rsidR="00E960B9" w:rsidRPr="00336B05" w:rsidRDefault="00B875F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Nav.</w:t>
            </w:r>
          </w:p>
        </w:tc>
      </w:tr>
    </w:tbl>
    <w:p w14:paraId="1A907AE9"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tbl>
      <w:tblPr>
        <w:tblW w:w="93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98"/>
      </w:tblGrid>
      <w:tr w:rsidR="00E960B9" w:rsidRPr="00336B05" w14:paraId="1A907AEB" w14:textId="77777777" w:rsidTr="00421703">
        <w:trPr>
          <w:trHeight w:val="400"/>
        </w:trPr>
        <w:tc>
          <w:tcPr>
            <w:tcW w:w="9398" w:type="dxa"/>
            <w:tcBorders>
              <w:top w:val="single" w:sz="4" w:space="0" w:color="000000"/>
              <w:bottom w:val="single" w:sz="4" w:space="0" w:color="000000"/>
            </w:tcBorders>
            <w:vAlign w:val="center"/>
          </w:tcPr>
          <w:p w14:paraId="1A907AEA" w14:textId="77777777" w:rsidR="00E960B9" w:rsidRPr="00336B05" w:rsidRDefault="00EB69BB">
            <w:pPr>
              <w:spacing w:after="0" w:line="240" w:lineRule="auto"/>
              <w:ind w:firstLine="431"/>
              <w:jc w:val="center"/>
              <w:rPr>
                <w:rFonts w:ascii="Times New Roman" w:eastAsia="Times New Roman" w:hAnsi="Times New Roman" w:cs="Times New Roman"/>
              </w:rPr>
            </w:pPr>
            <w:r w:rsidRPr="00336B05">
              <w:rPr>
                <w:rFonts w:ascii="Times New Roman" w:eastAsia="Times New Roman" w:hAnsi="Times New Roman" w:cs="Times New Roman"/>
                <w:b/>
                <w:sz w:val="24"/>
                <w:szCs w:val="24"/>
              </w:rPr>
              <w:t>V. Tiesību akta projekta atbilstība Latvijas Republikas starptautiskajām saistībām</w:t>
            </w:r>
          </w:p>
        </w:tc>
      </w:tr>
      <w:tr w:rsidR="00E960B9" w:rsidRPr="00336B05" w14:paraId="1A907AED" w14:textId="77777777" w:rsidTr="00421703">
        <w:trPr>
          <w:trHeight w:val="340"/>
        </w:trPr>
        <w:tc>
          <w:tcPr>
            <w:tcW w:w="9398" w:type="dxa"/>
            <w:tcBorders>
              <w:bottom w:val="single" w:sz="4" w:space="0" w:color="000000"/>
            </w:tcBorders>
            <w:vAlign w:val="center"/>
          </w:tcPr>
          <w:p w14:paraId="1A907AEC" w14:textId="77777777" w:rsidR="00E960B9" w:rsidRPr="00336B05" w:rsidRDefault="00EB69BB">
            <w:pPr>
              <w:spacing w:after="0" w:line="240" w:lineRule="auto"/>
              <w:ind w:firstLine="431"/>
              <w:jc w:val="center"/>
              <w:rPr>
                <w:rFonts w:ascii="Times New Roman" w:eastAsia="Times New Roman" w:hAnsi="Times New Roman" w:cs="Times New Roman"/>
              </w:rPr>
            </w:pPr>
            <w:r w:rsidRPr="00336B05">
              <w:rPr>
                <w:rFonts w:ascii="Times New Roman" w:eastAsia="Times New Roman" w:hAnsi="Times New Roman" w:cs="Times New Roman"/>
                <w:sz w:val="24"/>
                <w:szCs w:val="24"/>
              </w:rPr>
              <w:t>Noteikumu projekts šo jomu neskar.</w:t>
            </w:r>
          </w:p>
        </w:tc>
      </w:tr>
    </w:tbl>
    <w:p w14:paraId="1A907AEE" w14:textId="77777777" w:rsidR="00E960B9" w:rsidRPr="00336B05" w:rsidRDefault="00E960B9">
      <w:pPr>
        <w:spacing w:after="0" w:line="240" w:lineRule="auto"/>
        <w:rPr>
          <w:rFonts w:ascii="Times New Roman" w:eastAsia="Times New Roman" w:hAnsi="Times New Roman" w:cs="Times New Roman"/>
          <w:sz w:val="24"/>
          <w:szCs w:val="24"/>
        </w:rPr>
      </w:pP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960B9" w:rsidRPr="00336B05" w14:paraId="1A907AF0" w14:textId="77777777" w:rsidTr="00421703">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AEF"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VI. Sabiedrības līdzdalība un komunikācijas aktivitātes</w:t>
            </w:r>
          </w:p>
        </w:tc>
      </w:tr>
      <w:tr w:rsidR="00E960B9" w:rsidRPr="00336B05" w14:paraId="1A907AF4"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1"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AF2"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Plānotās sabiedrības līdzdalības un komunikācijas aktivitātes saistībā ar projektu</w:t>
            </w:r>
          </w:p>
        </w:tc>
        <w:tc>
          <w:tcPr>
            <w:tcW w:w="5506" w:type="dxa"/>
            <w:tcBorders>
              <w:top w:val="single" w:sz="6" w:space="0" w:color="000000"/>
              <w:left w:val="single" w:sz="6" w:space="0" w:color="000000"/>
              <w:bottom w:val="single" w:sz="6" w:space="0" w:color="000000"/>
              <w:right w:val="single" w:sz="6" w:space="0" w:color="000000"/>
            </w:tcBorders>
          </w:tcPr>
          <w:p w14:paraId="1A907AF3" w14:textId="45DAA613" w:rsidR="00E960B9" w:rsidRPr="00336B05" w:rsidRDefault="009A09C6" w:rsidP="009B354D">
            <w:pPr>
              <w:spacing w:after="0" w:line="240" w:lineRule="auto"/>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Noteikumu projekts pēc iz</w:t>
            </w:r>
            <w:r w:rsidR="009B354D" w:rsidRPr="00336B05">
              <w:rPr>
                <w:rFonts w:ascii="Times New Roman" w:eastAsia="Times New Roman" w:hAnsi="Times New Roman" w:cs="Times New Roman"/>
                <w:sz w:val="24"/>
                <w:szCs w:val="24"/>
              </w:rPr>
              <w:t>s</w:t>
            </w:r>
            <w:r w:rsidRPr="00336B05">
              <w:rPr>
                <w:rFonts w:ascii="Times New Roman" w:eastAsia="Times New Roman" w:hAnsi="Times New Roman" w:cs="Times New Roman"/>
                <w:sz w:val="24"/>
                <w:szCs w:val="24"/>
              </w:rPr>
              <w:t xml:space="preserve">ludināšanas Valsts sekretāru sanāksmē publicēts Izglītības un zinātnes ministrijas mājas lapā. </w:t>
            </w:r>
          </w:p>
        </w:tc>
      </w:tr>
      <w:tr w:rsidR="00E960B9" w:rsidRPr="00336B05" w14:paraId="1A907AFA"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5"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AF6"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Sabiedrības līdzdalība projekta izstrādē</w:t>
            </w:r>
          </w:p>
        </w:tc>
        <w:tc>
          <w:tcPr>
            <w:tcW w:w="5506" w:type="dxa"/>
            <w:tcBorders>
              <w:top w:val="single" w:sz="6" w:space="0" w:color="000000"/>
              <w:left w:val="single" w:sz="6" w:space="0" w:color="000000"/>
              <w:bottom w:val="single" w:sz="6" w:space="0" w:color="000000"/>
              <w:right w:val="single" w:sz="6" w:space="0" w:color="000000"/>
            </w:tcBorders>
          </w:tcPr>
          <w:p w14:paraId="1A907AF9" w14:textId="0A1E00F6" w:rsidR="00E960B9" w:rsidRPr="00336B05" w:rsidRDefault="0055691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Tiks precizēts</w:t>
            </w:r>
            <w:r w:rsidRPr="00336B05">
              <w:rPr>
                <w:rFonts w:ascii="Times New Roman" w:eastAsia="Times New Roman" w:hAnsi="Times New Roman" w:cs="Times New Roman"/>
                <w:i/>
                <w:sz w:val="24"/>
                <w:szCs w:val="24"/>
              </w:rPr>
              <w:t>, atbilstoši saņemtajai informācijai</w:t>
            </w:r>
            <w:r>
              <w:rPr>
                <w:rFonts w:ascii="Times New Roman" w:eastAsia="Times New Roman" w:hAnsi="Times New Roman" w:cs="Times New Roman"/>
                <w:i/>
                <w:sz w:val="24"/>
                <w:szCs w:val="24"/>
              </w:rPr>
              <w:t>.</w:t>
            </w:r>
          </w:p>
        </w:tc>
      </w:tr>
      <w:tr w:rsidR="00E960B9" w:rsidRPr="00336B05" w14:paraId="1A907AFE"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B"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AFC"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Sabiedrības līdzdalības rezultāti</w:t>
            </w:r>
          </w:p>
        </w:tc>
        <w:tc>
          <w:tcPr>
            <w:tcW w:w="5506" w:type="dxa"/>
            <w:tcBorders>
              <w:top w:val="single" w:sz="6" w:space="0" w:color="000000"/>
              <w:left w:val="single" w:sz="6" w:space="0" w:color="000000"/>
              <w:bottom w:val="single" w:sz="6" w:space="0" w:color="000000"/>
              <w:right w:val="single" w:sz="6" w:space="0" w:color="000000"/>
            </w:tcBorders>
          </w:tcPr>
          <w:p w14:paraId="1A907AFD" w14:textId="73E8A869" w:rsidR="00E960B9" w:rsidRPr="00336B05" w:rsidRDefault="009A09C6">
            <w:pPr>
              <w:spacing w:after="0" w:line="240" w:lineRule="auto"/>
              <w:jc w:val="both"/>
              <w:rPr>
                <w:rFonts w:ascii="Times New Roman" w:eastAsia="Times New Roman" w:hAnsi="Times New Roman" w:cs="Times New Roman"/>
                <w:i/>
                <w:sz w:val="24"/>
                <w:szCs w:val="24"/>
              </w:rPr>
            </w:pPr>
            <w:r w:rsidRPr="00336B05">
              <w:rPr>
                <w:rFonts w:ascii="Times New Roman" w:eastAsia="Times New Roman" w:hAnsi="Times New Roman" w:cs="Times New Roman"/>
                <w:i/>
                <w:sz w:val="24"/>
                <w:szCs w:val="24"/>
              </w:rPr>
              <w:t>Tiks precizēts, atbilstoši saņemtajai informācijai.</w:t>
            </w:r>
          </w:p>
        </w:tc>
      </w:tr>
      <w:tr w:rsidR="00E960B9" w:rsidRPr="00336B05" w14:paraId="1A907B02"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F"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A907B00"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B01"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Nav.</w:t>
            </w:r>
          </w:p>
        </w:tc>
      </w:tr>
    </w:tbl>
    <w:p w14:paraId="1A907B03"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 xml:space="preserve">  </w:t>
      </w: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960B9" w:rsidRPr="00336B05" w14:paraId="1A907B05" w14:textId="77777777" w:rsidTr="0055691A">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B04" w14:textId="77777777" w:rsidR="00E960B9" w:rsidRPr="00336B05" w:rsidRDefault="00EB69BB">
            <w:pPr>
              <w:spacing w:after="0" w:line="240" w:lineRule="auto"/>
              <w:jc w:val="center"/>
              <w:rPr>
                <w:rFonts w:ascii="Times New Roman" w:eastAsia="Times New Roman" w:hAnsi="Times New Roman" w:cs="Times New Roman"/>
                <w:b/>
                <w:sz w:val="24"/>
                <w:szCs w:val="24"/>
              </w:rPr>
            </w:pPr>
            <w:r w:rsidRPr="00336B05">
              <w:rPr>
                <w:rFonts w:ascii="Times New Roman" w:eastAsia="Times New Roman" w:hAnsi="Times New Roman" w:cs="Times New Roman"/>
                <w:b/>
                <w:sz w:val="24"/>
                <w:szCs w:val="24"/>
              </w:rPr>
              <w:t>VII. Tiesību akta projekta izpildes nodrošināšana un tās ietekme uz institūcijām</w:t>
            </w:r>
          </w:p>
        </w:tc>
      </w:tr>
      <w:tr w:rsidR="00E960B9" w:rsidRPr="00336B05" w14:paraId="1A907B09"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6"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B07"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Projekta izpildē iesaistītās institūcijas</w:t>
            </w:r>
          </w:p>
        </w:tc>
        <w:tc>
          <w:tcPr>
            <w:tcW w:w="5506" w:type="dxa"/>
            <w:tcBorders>
              <w:top w:val="single" w:sz="6" w:space="0" w:color="000000"/>
              <w:left w:val="single" w:sz="6" w:space="0" w:color="000000"/>
              <w:bottom w:val="single" w:sz="6" w:space="0" w:color="000000"/>
              <w:right w:val="single" w:sz="6" w:space="0" w:color="000000"/>
            </w:tcBorders>
          </w:tcPr>
          <w:p w14:paraId="1A907B08" w14:textId="69B6BD1C" w:rsidR="00E960B9" w:rsidRPr="00336B05" w:rsidRDefault="00293672">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M</w:t>
            </w:r>
            <w:r w:rsidR="00EB69BB" w:rsidRPr="00336B05">
              <w:rPr>
                <w:rFonts w:ascii="Times New Roman" w:eastAsia="Times New Roman" w:hAnsi="Times New Roman" w:cs="Times New Roman"/>
                <w:sz w:val="24"/>
                <w:szCs w:val="24"/>
              </w:rPr>
              <w:t>inistrija, Akadēmiskās informācija</w:t>
            </w:r>
            <w:r w:rsidRPr="00336B05">
              <w:rPr>
                <w:rFonts w:ascii="Times New Roman" w:eastAsia="Times New Roman" w:hAnsi="Times New Roman" w:cs="Times New Roman"/>
                <w:sz w:val="24"/>
                <w:szCs w:val="24"/>
              </w:rPr>
              <w:t>s centrs, izglītības iestādes</w:t>
            </w:r>
            <w:r w:rsidR="0081082D" w:rsidRPr="00336B05">
              <w:rPr>
                <w:rFonts w:ascii="Times New Roman" w:eastAsia="Times New Roman" w:hAnsi="Times New Roman" w:cs="Times New Roman"/>
                <w:sz w:val="24"/>
                <w:szCs w:val="24"/>
              </w:rPr>
              <w:t xml:space="preserve"> un to dibinātāji</w:t>
            </w:r>
            <w:r w:rsidRPr="00336B05">
              <w:rPr>
                <w:rFonts w:ascii="Times New Roman" w:eastAsia="Times New Roman" w:hAnsi="Times New Roman" w:cs="Times New Roman"/>
                <w:sz w:val="24"/>
                <w:szCs w:val="24"/>
              </w:rPr>
              <w:t xml:space="preserve">, </w:t>
            </w:r>
            <w:r w:rsidR="0089311E" w:rsidRPr="00336B05">
              <w:rPr>
                <w:rFonts w:ascii="Times New Roman" w:eastAsia="Times New Roman" w:hAnsi="Times New Roman" w:cs="Times New Roman"/>
                <w:sz w:val="24"/>
                <w:szCs w:val="24"/>
              </w:rPr>
              <w:t>s</w:t>
            </w:r>
            <w:r w:rsidRPr="00336B05">
              <w:rPr>
                <w:rFonts w:ascii="Times New Roman" w:eastAsia="Times New Roman" w:hAnsi="Times New Roman" w:cs="Times New Roman"/>
                <w:sz w:val="24"/>
                <w:szCs w:val="24"/>
              </w:rPr>
              <w:t xml:space="preserve">abiedrība </w:t>
            </w:r>
            <w:r w:rsidR="0089311E" w:rsidRPr="00336B05">
              <w:rPr>
                <w:rFonts w:ascii="Times New Roman" w:eastAsia="Times New Roman" w:hAnsi="Times New Roman" w:cs="Times New Roman"/>
                <w:sz w:val="24"/>
                <w:szCs w:val="24"/>
              </w:rPr>
              <w:t>“</w:t>
            </w:r>
            <w:proofErr w:type="spellStart"/>
            <w:r w:rsidRPr="00336B05">
              <w:rPr>
                <w:rFonts w:ascii="Times New Roman" w:eastAsia="Times New Roman" w:hAnsi="Times New Roman" w:cs="Times New Roman"/>
                <w:sz w:val="24"/>
                <w:szCs w:val="24"/>
              </w:rPr>
              <w:t>Altum</w:t>
            </w:r>
            <w:proofErr w:type="spellEnd"/>
            <w:r w:rsidR="0089311E" w:rsidRPr="00336B05">
              <w:rPr>
                <w:rFonts w:ascii="Times New Roman" w:eastAsia="Times New Roman" w:hAnsi="Times New Roman" w:cs="Times New Roman"/>
                <w:sz w:val="24"/>
                <w:szCs w:val="24"/>
              </w:rPr>
              <w:t>”, kredītiestādes</w:t>
            </w:r>
            <w:r w:rsidRPr="00336B05">
              <w:rPr>
                <w:rFonts w:ascii="Times New Roman" w:eastAsia="Times New Roman" w:hAnsi="Times New Roman" w:cs="Times New Roman"/>
                <w:sz w:val="24"/>
                <w:szCs w:val="24"/>
              </w:rPr>
              <w:t xml:space="preserve">. </w:t>
            </w:r>
            <w:r w:rsidR="00EB69BB" w:rsidRPr="00336B05">
              <w:rPr>
                <w:rFonts w:ascii="Times New Roman" w:eastAsia="Times New Roman" w:hAnsi="Times New Roman" w:cs="Times New Roman"/>
                <w:sz w:val="24"/>
                <w:szCs w:val="24"/>
              </w:rPr>
              <w:t xml:space="preserve"> </w:t>
            </w:r>
          </w:p>
        </w:tc>
      </w:tr>
      <w:tr w:rsidR="00E960B9" w:rsidRPr="00336B05" w14:paraId="1A907B0E"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A"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B0B"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Projekta izpildes ietekme uz pārvaldes funkcijām un institucionālo struktūru.</w:t>
            </w:r>
            <w:r w:rsidRPr="00336B05">
              <w:rPr>
                <w:rFonts w:ascii="Times New Roman" w:eastAsia="Times New Roman" w:hAnsi="Times New Roman" w:cs="Times New Roman"/>
                <w:sz w:val="24"/>
                <w:szCs w:val="24"/>
              </w:rPr>
              <w:br/>
              <w:t xml:space="preserve">Jaunu institūciju izveide, esošu institūciju likvidācija vai </w:t>
            </w:r>
            <w:r w:rsidRPr="00336B05">
              <w:rPr>
                <w:rFonts w:ascii="Times New Roman" w:eastAsia="Times New Roman" w:hAnsi="Times New Roman" w:cs="Times New Roman"/>
                <w:sz w:val="24"/>
                <w:szCs w:val="24"/>
              </w:rPr>
              <w:lastRenderedPageBreak/>
              <w:t>reorganizācija, to ietekme uz institūcijas cilvēkresursiem</w:t>
            </w:r>
          </w:p>
        </w:tc>
        <w:tc>
          <w:tcPr>
            <w:tcW w:w="5506" w:type="dxa"/>
            <w:tcBorders>
              <w:top w:val="single" w:sz="6" w:space="0" w:color="000000"/>
              <w:left w:val="single" w:sz="6" w:space="0" w:color="000000"/>
              <w:bottom w:val="single" w:sz="6" w:space="0" w:color="000000"/>
              <w:right w:val="single" w:sz="6" w:space="0" w:color="000000"/>
            </w:tcBorders>
          </w:tcPr>
          <w:p w14:paraId="1A907B0C" w14:textId="77777777" w:rsidR="00E960B9" w:rsidRPr="00336B05" w:rsidRDefault="00EB69BB">
            <w:pPr>
              <w:jc w:val="both"/>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lastRenderedPageBreak/>
              <w:t>Jaunu institūciju izveide, esošu institūciju likvidācija vai reorganizācija nav nepieciešama.</w:t>
            </w:r>
          </w:p>
          <w:p w14:paraId="1A907B0D" w14:textId="77777777" w:rsidR="00E960B9" w:rsidRPr="00336B05" w:rsidRDefault="00EB69BB">
            <w:pPr>
              <w:jc w:val="both"/>
              <w:rPr>
                <w:rFonts w:ascii="Times New Roman" w:eastAsia="Times New Roman" w:hAnsi="Times New Roman" w:cs="Times New Roman"/>
              </w:rPr>
            </w:pPr>
            <w:r w:rsidRPr="00336B05">
              <w:rPr>
                <w:rFonts w:ascii="Times New Roman" w:eastAsia="Times New Roman" w:hAnsi="Times New Roman" w:cs="Times New Roman"/>
                <w:sz w:val="24"/>
                <w:szCs w:val="24"/>
              </w:rPr>
              <w:t>Noteikumu projekta izpilde tiks īstenota esošo cilvēkresursu ietvaros.</w:t>
            </w:r>
          </w:p>
        </w:tc>
      </w:tr>
      <w:tr w:rsidR="00E960B9" w:rsidRPr="00336B05" w14:paraId="1A907B12"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F"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B10"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B11" w14:textId="77777777"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Nav.</w:t>
            </w:r>
          </w:p>
        </w:tc>
      </w:tr>
    </w:tbl>
    <w:p w14:paraId="1A907B13" w14:textId="77777777" w:rsidR="00E960B9" w:rsidRPr="00336B05" w:rsidRDefault="00E960B9">
      <w:pPr>
        <w:spacing w:after="0" w:line="240" w:lineRule="auto"/>
        <w:rPr>
          <w:rFonts w:ascii="Times New Roman" w:eastAsia="Times New Roman" w:hAnsi="Times New Roman" w:cs="Times New Roman"/>
          <w:sz w:val="24"/>
          <w:szCs w:val="24"/>
        </w:rPr>
      </w:pPr>
    </w:p>
    <w:p w14:paraId="1A907B14" w14:textId="77777777" w:rsidR="00E960B9" w:rsidRPr="00336B05" w:rsidRDefault="00E960B9">
      <w:pPr>
        <w:tabs>
          <w:tab w:val="left" w:pos="6946"/>
        </w:tabs>
        <w:spacing w:after="0" w:line="240" w:lineRule="auto"/>
        <w:rPr>
          <w:rFonts w:ascii="Times New Roman" w:eastAsia="Times New Roman" w:hAnsi="Times New Roman" w:cs="Times New Roman"/>
          <w:sz w:val="24"/>
          <w:szCs w:val="24"/>
        </w:rPr>
      </w:pPr>
    </w:p>
    <w:p w14:paraId="1A907B15" w14:textId="77777777" w:rsidR="00E960B9" w:rsidRPr="00336B05" w:rsidRDefault="00EB69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36B05">
        <w:rPr>
          <w:rFonts w:ascii="Times New Roman" w:eastAsia="Times New Roman" w:hAnsi="Times New Roman" w:cs="Times New Roman"/>
          <w:color w:val="000000"/>
          <w:sz w:val="24"/>
          <w:szCs w:val="24"/>
        </w:rPr>
        <w:t>Izglītības un zinātnes ministre</w:t>
      </w:r>
      <w:r w:rsidRPr="00336B05">
        <w:rPr>
          <w:rFonts w:ascii="Times New Roman" w:eastAsia="Times New Roman" w:hAnsi="Times New Roman" w:cs="Times New Roman"/>
          <w:color w:val="000000"/>
          <w:sz w:val="24"/>
          <w:szCs w:val="24"/>
        </w:rPr>
        <w:tab/>
      </w:r>
      <w:r w:rsidRPr="00336B05">
        <w:rPr>
          <w:rFonts w:ascii="Times New Roman" w:eastAsia="Times New Roman" w:hAnsi="Times New Roman" w:cs="Times New Roman"/>
          <w:color w:val="000000"/>
          <w:sz w:val="24"/>
          <w:szCs w:val="24"/>
        </w:rPr>
        <w:tab/>
      </w:r>
      <w:r w:rsidRPr="00336B05">
        <w:rPr>
          <w:rFonts w:ascii="Times New Roman" w:eastAsia="Times New Roman" w:hAnsi="Times New Roman" w:cs="Times New Roman"/>
          <w:color w:val="000000"/>
          <w:sz w:val="24"/>
          <w:szCs w:val="24"/>
        </w:rPr>
        <w:tab/>
      </w:r>
      <w:r w:rsidRPr="00336B05">
        <w:rPr>
          <w:rFonts w:ascii="Times New Roman" w:eastAsia="Times New Roman" w:hAnsi="Times New Roman" w:cs="Times New Roman"/>
          <w:color w:val="000000"/>
          <w:sz w:val="24"/>
          <w:szCs w:val="24"/>
        </w:rPr>
        <w:tab/>
      </w:r>
      <w:r w:rsidRPr="00336B05">
        <w:rPr>
          <w:rFonts w:ascii="Times New Roman" w:eastAsia="Times New Roman" w:hAnsi="Times New Roman" w:cs="Times New Roman"/>
          <w:color w:val="000000"/>
          <w:sz w:val="24"/>
          <w:szCs w:val="24"/>
        </w:rPr>
        <w:tab/>
        <w:t>Ilga Šuplinska</w:t>
      </w:r>
    </w:p>
    <w:p w14:paraId="1A907B16" w14:textId="77777777" w:rsidR="00E960B9" w:rsidRPr="00336B05" w:rsidRDefault="00E960B9">
      <w:pPr>
        <w:spacing w:after="0" w:line="240" w:lineRule="auto"/>
        <w:rPr>
          <w:rFonts w:ascii="Times New Roman" w:eastAsia="Times New Roman" w:hAnsi="Times New Roman" w:cs="Times New Roman"/>
          <w:sz w:val="24"/>
          <w:szCs w:val="24"/>
        </w:rPr>
      </w:pPr>
    </w:p>
    <w:p w14:paraId="1A907B17" w14:textId="77777777" w:rsidR="00E960B9" w:rsidRPr="00336B05" w:rsidRDefault="00E960B9">
      <w:pPr>
        <w:spacing w:after="0" w:line="240" w:lineRule="auto"/>
        <w:rPr>
          <w:rFonts w:ascii="Times New Roman" w:eastAsia="Times New Roman" w:hAnsi="Times New Roman" w:cs="Times New Roman"/>
          <w:sz w:val="24"/>
          <w:szCs w:val="24"/>
        </w:rPr>
      </w:pPr>
    </w:p>
    <w:p w14:paraId="1A907B18" w14:textId="47887F3A" w:rsidR="00E960B9" w:rsidRPr="00336B05" w:rsidRDefault="00EB69BB">
      <w:pPr>
        <w:spacing w:after="0" w:line="240" w:lineRule="auto"/>
        <w:rPr>
          <w:rFonts w:ascii="Times New Roman" w:eastAsia="Times New Roman" w:hAnsi="Times New Roman" w:cs="Times New Roman"/>
          <w:sz w:val="24"/>
          <w:szCs w:val="24"/>
        </w:rPr>
      </w:pPr>
      <w:r w:rsidRPr="00336B05">
        <w:rPr>
          <w:rFonts w:ascii="Times New Roman" w:eastAsia="Times New Roman" w:hAnsi="Times New Roman" w:cs="Times New Roman"/>
          <w:sz w:val="24"/>
          <w:szCs w:val="24"/>
        </w:rPr>
        <w:t>Vīza:</w:t>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r>
      <w:r w:rsidR="009A09C6" w:rsidRPr="00336B05">
        <w:rPr>
          <w:rFonts w:ascii="Times New Roman" w:eastAsia="Times New Roman" w:hAnsi="Times New Roman" w:cs="Times New Roman"/>
          <w:sz w:val="24"/>
          <w:szCs w:val="24"/>
        </w:rPr>
        <w:tab/>
        <w:t>Līga Lejiņa</w:t>
      </w:r>
    </w:p>
    <w:p w14:paraId="1A907B1C" w14:textId="77777777" w:rsidR="00E960B9" w:rsidRPr="00336B05" w:rsidRDefault="00E960B9">
      <w:pPr>
        <w:spacing w:after="0" w:line="240" w:lineRule="auto"/>
        <w:rPr>
          <w:rFonts w:ascii="Times New Roman" w:eastAsia="Times New Roman" w:hAnsi="Times New Roman" w:cs="Times New Roman"/>
          <w:sz w:val="24"/>
          <w:szCs w:val="24"/>
        </w:rPr>
      </w:pPr>
    </w:p>
    <w:p w14:paraId="1A907B22" w14:textId="77777777" w:rsidR="00E960B9" w:rsidRPr="00336B05" w:rsidRDefault="00EB69BB">
      <w:pPr>
        <w:spacing w:after="0" w:line="240" w:lineRule="auto"/>
        <w:jc w:val="both"/>
        <w:rPr>
          <w:rFonts w:ascii="Times New Roman" w:eastAsia="Times New Roman" w:hAnsi="Times New Roman" w:cs="Times New Roman"/>
          <w:color w:val="000000"/>
          <w:sz w:val="20"/>
          <w:szCs w:val="20"/>
        </w:rPr>
      </w:pPr>
      <w:proofErr w:type="spellStart"/>
      <w:r w:rsidRPr="00336B05">
        <w:rPr>
          <w:rFonts w:ascii="Times New Roman" w:eastAsia="Times New Roman" w:hAnsi="Times New Roman" w:cs="Times New Roman"/>
          <w:color w:val="000000"/>
          <w:sz w:val="20"/>
          <w:szCs w:val="20"/>
        </w:rPr>
        <w:t>K.Veldre</w:t>
      </w:r>
      <w:proofErr w:type="spellEnd"/>
    </w:p>
    <w:p w14:paraId="1A907B23" w14:textId="77777777" w:rsidR="00E960B9" w:rsidRDefault="00EB69BB">
      <w:pPr>
        <w:spacing w:after="0" w:line="240" w:lineRule="auto"/>
        <w:jc w:val="both"/>
        <w:rPr>
          <w:rFonts w:ascii="Times New Roman" w:eastAsia="Times New Roman" w:hAnsi="Times New Roman" w:cs="Times New Roman"/>
          <w:sz w:val="20"/>
          <w:szCs w:val="20"/>
        </w:rPr>
      </w:pPr>
      <w:r w:rsidRPr="00336B05">
        <w:rPr>
          <w:rFonts w:ascii="Times New Roman" w:eastAsia="Times New Roman" w:hAnsi="Times New Roman" w:cs="Times New Roman"/>
          <w:sz w:val="20"/>
          <w:szCs w:val="20"/>
        </w:rPr>
        <w:t xml:space="preserve">67047857; </w:t>
      </w:r>
      <w:r w:rsidRPr="00336B05">
        <w:rPr>
          <w:rFonts w:ascii="Times New Roman" w:eastAsia="Times New Roman" w:hAnsi="Times New Roman" w:cs="Times New Roman"/>
          <w:color w:val="0000FF"/>
          <w:sz w:val="20"/>
          <w:szCs w:val="20"/>
          <w:u w:val="single"/>
        </w:rPr>
        <w:t>Kaspars.Veldre@izm.gov.lv</w:t>
      </w:r>
    </w:p>
    <w:sectPr w:rsidR="00E960B9">
      <w:headerReference w:type="default" r:id="rId8"/>
      <w:footerReference w:type="default" r:id="rId9"/>
      <w:footerReference w:type="first" r:id="rId10"/>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8D20" w14:textId="77777777" w:rsidR="00640D8A" w:rsidRDefault="00640D8A">
      <w:pPr>
        <w:spacing w:after="0" w:line="240" w:lineRule="auto"/>
      </w:pPr>
      <w:r>
        <w:separator/>
      </w:r>
    </w:p>
  </w:endnote>
  <w:endnote w:type="continuationSeparator" w:id="0">
    <w:p w14:paraId="2A293741" w14:textId="77777777" w:rsidR="00640D8A" w:rsidRDefault="00640D8A">
      <w:pPr>
        <w:spacing w:after="0" w:line="240" w:lineRule="auto"/>
      </w:pPr>
      <w:r>
        <w:continuationSeparator/>
      </w:r>
    </w:p>
  </w:endnote>
  <w:endnote w:type="continuationNotice" w:id="1">
    <w:p w14:paraId="58A997E1" w14:textId="77777777" w:rsidR="00640D8A" w:rsidRDefault="00640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9" w14:textId="20E0D643" w:rsidR="0081481B" w:rsidRDefault="0081481B">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IZManot_23122019_VIIS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A" w14:textId="67D4D5F1" w:rsidR="0081481B" w:rsidRDefault="0081481B">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IZManot_23122019_VIIS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9C377" w14:textId="77777777" w:rsidR="00640D8A" w:rsidRDefault="00640D8A">
      <w:pPr>
        <w:spacing w:after="0" w:line="240" w:lineRule="auto"/>
      </w:pPr>
      <w:r>
        <w:separator/>
      </w:r>
    </w:p>
  </w:footnote>
  <w:footnote w:type="continuationSeparator" w:id="0">
    <w:p w14:paraId="63D33957" w14:textId="77777777" w:rsidR="00640D8A" w:rsidRDefault="00640D8A">
      <w:pPr>
        <w:spacing w:after="0" w:line="240" w:lineRule="auto"/>
      </w:pPr>
      <w:r>
        <w:continuationSeparator/>
      </w:r>
    </w:p>
  </w:footnote>
  <w:footnote w:type="continuationNotice" w:id="1">
    <w:p w14:paraId="248B9A6F" w14:textId="77777777" w:rsidR="00640D8A" w:rsidRDefault="00640D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8" w14:textId="2E8DB37C" w:rsidR="0081481B" w:rsidRDefault="008148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B1227">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12251"/>
    <w:multiLevelType w:val="multilevel"/>
    <w:tmpl w:val="4AC2684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9"/>
    <w:rsid w:val="00006ECD"/>
    <w:rsid w:val="00042E66"/>
    <w:rsid w:val="00044254"/>
    <w:rsid w:val="000474C6"/>
    <w:rsid w:val="000651D1"/>
    <w:rsid w:val="00073D77"/>
    <w:rsid w:val="00082098"/>
    <w:rsid w:val="00082B34"/>
    <w:rsid w:val="00083847"/>
    <w:rsid w:val="000A7813"/>
    <w:rsid w:val="000C2DFC"/>
    <w:rsid w:val="000C43CB"/>
    <w:rsid w:val="000C4E46"/>
    <w:rsid w:val="000D16AB"/>
    <w:rsid w:val="000E0914"/>
    <w:rsid w:val="000E267B"/>
    <w:rsid w:val="000F52C2"/>
    <w:rsid w:val="00104E3E"/>
    <w:rsid w:val="001234A9"/>
    <w:rsid w:val="001278CE"/>
    <w:rsid w:val="00172B16"/>
    <w:rsid w:val="00182C68"/>
    <w:rsid w:val="00184C27"/>
    <w:rsid w:val="0018680B"/>
    <w:rsid w:val="001909DC"/>
    <w:rsid w:val="00194706"/>
    <w:rsid w:val="001A7EB1"/>
    <w:rsid w:val="001B5521"/>
    <w:rsid w:val="001B6C19"/>
    <w:rsid w:val="001E6247"/>
    <w:rsid w:val="001F09BB"/>
    <w:rsid w:val="002007C2"/>
    <w:rsid w:val="00204E8F"/>
    <w:rsid w:val="00210628"/>
    <w:rsid w:val="002151F0"/>
    <w:rsid w:val="002158C1"/>
    <w:rsid w:val="0022469A"/>
    <w:rsid w:val="002258BC"/>
    <w:rsid w:val="00230D1E"/>
    <w:rsid w:val="00240C1B"/>
    <w:rsid w:val="0027279D"/>
    <w:rsid w:val="002827F4"/>
    <w:rsid w:val="00293672"/>
    <w:rsid w:val="002A222D"/>
    <w:rsid w:val="002A52B4"/>
    <w:rsid w:val="002B5B37"/>
    <w:rsid w:val="002B7868"/>
    <w:rsid w:val="002C4595"/>
    <w:rsid w:val="002E260E"/>
    <w:rsid w:val="002F5D82"/>
    <w:rsid w:val="003131A4"/>
    <w:rsid w:val="003347E2"/>
    <w:rsid w:val="00336B05"/>
    <w:rsid w:val="00336D25"/>
    <w:rsid w:val="00346BFD"/>
    <w:rsid w:val="00372545"/>
    <w:rsid w:val="00396215"/>
    <w:rsid w:val="003A05D5"/>
    <w:rsid w:val="003B17B6"/>
    <w:rsid w:val="003C5749"/>
    <w:rsid w:val="003D10A4"/>
    <w:rsid w:val="003E0E64"/>
    <w:rsid w:val="00421703"/>
    <w:rsid w:val="00427767"/>
    <w:rsid w:val="00440673"/>
    <w:rsid w:val="0044078B"/>
    <w:rsid w:val="0046739D"/>
    <w:rsid w:val="00481FCD"/>
    <w:rsid w:val="00485BC0"/>
    <w:rsid w:val="004911F0"/>
    <w:rsid w:val="004A08C3"/>
    <w:rsid w:val="004A3213"/>
    <w:rsid w:val="004B122D"/>
    <w:rsid w:val="004B750F"/>
    <w:rsid w:val="004C19FE"/>
    <w:rsid w:val="004C5B5C"/>
    <w:rsid w:val="004F316B"/>
    <w:rsid w:val="004F4E32"/>
    <w:rsid w:val="00554AAB"/>
    <w:rsid w:val="0055691A"/>
    <w:rsid w:val="005647A9"/>
    <w:rsid w:val="00567586"/>
    <w:rsid w:val="0057121A"/>
    <w:rsid w:val="005739A8"/>
    <w:rsid w:val="00577114"/>
    <w:rsid w:val="00587152"/>
    <w:rsid w:val="005874EA"/>
    <w:rsid w:val="005A2672"/>
    <w:rsid w:val="005B7B9E"/>
    <w:rsid w:val="005D6831"/>
    <w:rsid w:val="005F0807"/>
    <w:rsid w:val="005F1A0D"/>
    <w:rsid w:val="005F4DBA"/>
    <w:rsid w:val="0060533D"/>
    <w:rsid w:val="00610856"/>
    <w:rsid w:val="00611D6C"/>
    <w:rsid w:val="0061552E"/>
    <w:rsid w:val="00616AED"/>
    <w:rsid w:val="0062090D"/>
    <w:rsid w:val="00633203"/>
    <w:rsid w:val="00640D8A"/>
    <w:rsid w:val="00645D76"/>
    <w:rsid w:val="00651745"/>
    <w:rsid w:val="00656AF4"/>
    <w:rsid w:val="00687F4F"/>
    <w:rsid w:val="00690F30"/>
    <w:rsid w:val="006B3513"/>
    <w:rsid w:val="006B6159"/>
    <w:rsid w:val="006C41C0"/>
    <w:rsid w:val="006D2A7F"/>
    <w:rsid w:val="006F2420"/>
    <w:rsid w:val="006F37B7"/>
    <w:rsid w:val="00710FB3"/>
    <w:rsid w:val="007358F6"/>
    <w:rsid w:val="00740501"/>
    <w:rsid w:val="00762A35"/>
    <w:rsid w:val="0077170F"/>
    <w:rsid w:val="007741F2"/>
    <w:rsid w:val="0077625F"/>
    <w:rsid w:val="00791110"/>
    <w:rsid w:val="00792054"/>
    <w:rsid w:val="007C1FA7"/>
    <w:rsid w:val="007F269B"/>
    <w:rsid w:val="007F41B9"/>
    <w:rsid w:val="007F42B0"/>
    <w:rsid w:val="0081082D"/>
    <w:rsid w:val="0081481B"/>
    <w:rsid w:val="00820D31"/>
    <w:rsid w:val="00825811"/>
    <w:rsid w:val="0085253C"/>
    <w:rsid w:val="00855917"/>
    <w:rsid w:val="008805B4"/>
    <w:rsid w:val="0089311E"/>
    <w:rsid w:val="008A6EDC"/>
    <w:rsid w:val="008B46A1"/>
    <w:rsid w:val="008B5DD4"/>
    <w:rsid w:val="008D378F"/>
    <w:rsid w:val="008F4ACC"/>
    <w:rsid w:val="00904329"/>
    <w:rsid w:val="0092010C"/>
    <w:rsid w:val="0092465C"/>
    <w:rsid w:val="0092522B"/>
    <w:rsid w:val="00925FA2"/>
    <w:rsid w:val="00973003"/>
    <w:rsid w:val="009803A7"/>
    <w:rsid w:val="0098193D"/>
    <w:rsid w:val="009A09C6"/>
    <w:rsid w:val="009B1227"/>
    <w:rsid w:val="009B354D"/>
    <w:rsid w:val="009C115B"/>
    <w:rsid w:val="009D1085"/>
    <w:rsid w:val="009E4132"/>
    <w:rsid w:val="009E5D8D"/>
    <w:rsid w:val="00A043C2"/>
    <w:rsid w:val="00A04FCF"/>
    <w:rsid w:val="00A124CC"/>
    <w:rsid w:val="00A2283B"/>
    <w:rsid w:val="00A24070"/>
    <w:rsid w:val="00A354C2"/>
    <w:rsid w:val="00A46E7D"/>
    <w:rsid w:val="00A55089"/>
    <w:rsid w:val="00A61756"/>
    <w:rsid w:val="00A96895"/>
    <w:rsid w:val="00AA27E0"/>
    <w:rsid w:val="00AB0A47"/>
    <w:rsid w:val="00AB4B08"/>
    <w:rsid w:val="00AB5E6B"/>
    <w:rsid w:val="00AD262D"/>
    <w:rsid w:val="00AD2E91"/>
    <w:rsid w:val="00AD42FF"/>
    <w:rsid w:val="00AF1510"/>
    <w:rsid w:val="00B06B5C"/>
    <w:rsid w:val="00B07D67"/>
    <w:rsid w:val="00B14B88"/>
    <w:rsid w:val="00B2206C"/>
    <w:rsid w:val="00B254F7"/>
    <w:rsid w:val="00B37818"/>
    <w:rsid w:val="00B40796"/>
    <w:rsid w:val="00B40E79"/>
    <w:rsid w:val="00B540E3"/>
    <w:rsid w:val="00B875FB"/>
    <w:rsid w:val="00B91BF3"/>
    <w:rsid w:val="00B92714"/>
    <w:rsid w:val="00BB12D0"/>
    <w:rsid w:val="00BD3C0D"/>
    <w:rsid w:val="00BE01D3"/>
    <w:rsid w:val="00C1227B"/>
    <w:rsid w:val="00C13773"/>
    <w:rsid w:val="00C2483E"/>
    <w:rsid w:val="00C85650"/>
    <w:rsid w:val="00C9652A"/>
    <w:rsid w:val="00CC069E"/>
    <w:rsid w:val="00CC4067"/>
    <w:rsid w:val="00CD2130"/>
    <w:rsid w:val="00CE7D7D"/>
    <w:rsid w:val="00CF1B38"/>
    <w:rsid w:val="00CF4F75"/>
    <w:rsid w:val="00D026B0"/>
    <w:rsid w:val="00D279EC"/>
    <w:rsid w:val="00D308F0"/>
    <w:rsid w:val="00D31B69"/>
    <w:rsid w:val="00D5025C"/>
    <w:rsid w:val="00D52B45"/>
    <w:rsid w:val="00D62A46"/>
    <w:rsid w:val="00D66B3A"/>
    <w:rsid w:val="00D77A8B"/>
    <w:rsid w:val="00D92895"/>
    <w:rsid w:val="00DA42E0"/>
    <w:rsid w:val="00DD159D"/>
    <w:rsid w:val="00DE2A09"/>
    <w:rsid w:val="00DE4AC8"/>
    <w:rsid w:val="00DF1239"/>
    <w:rsid w:val="00DF180E"/>
    <w:rsid w:val="00E278F4"/>
    <w:rsid w:val="00E4115F"/>
    <w:rsid w:val="00E54ABE"/>
    <w:rsid w:val="00E5684D"/>
    <w:rsid w:val="00E724E8"/>
    <w:rsid w:val="00E77E32"/>
    <w:rsid w:val="00E960B9"/>
    <w:rsid w:val="00EA1F59"/>
    <w:rsid w:val="00EA342E"/>
    <w:rsid w:val="00EB24AD"/>
    <w:rsid w:val="00EB69BB"/>
    <w:rsid w:val="00ED7228"/>
    <w:rsid w:val="00EF71E9"/>
    <w:rsid w:val="00F01430"/>
    <w:rsid w:val="00F046EE"/>
    <w:rsid w:val="00F14163"/>
    <w:rsid w:val="00F20925"/>
    <w:rsid w:val="00F22EF8"/>
    <w:rsid w:val="00F32419"/>
    <w:rsid w:val="00F44017"/>
    <w:rsid w:val="00F612F4"/>
    <w:rsid w:val="00F67BC5"/>
    <w:rsid w:val="00F86022"/>
    <w:rsid w:val="00F87015"/>
    <w:rsid w:val="00F9240F"/>
    <w:rsid w:val="00F94BE3"/>
    <w:rsid w:val="00FC095D"/>
    <w:rsid w:val="00FC6A1E"/>
    <w:rsid w:val="00FD0DDD"/>
    <w:rsid w:val="00FE1F7D"/>
    <w:rsid w:val="00FE2BBA"/>
    <w:rsid w:val="00FE794D"/>
    <w:rsid w:val="00FF0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993"/>
  <w15:docId w15:val="{A0398AE1-6DD7-451F-8444-6060A87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30" w:type="dxa"/>
        <w:left w:w="30" w:type="dxa"/>
        <w:bottom w:w="30" w:type="dxa"/>
        <w:right w:w="3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30" w:type="dxa"/>
        <w:left w:w="30" w:type="dxa"/>
        <w:bottom w:w="30" w:type="dxa"/>
        <w:right w:w="30"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character" w:styleId="Hyperlink">
    <w:name w:val="Hyperlink"/>
    <w:basedOn w:val="DefaultParagraphFont"/>
    <w:uiPriority w:val="99"/>
    <w:unhideWhenUsed/>
    <w:rsid w:val="00C85650"/>
    <w:rPr>
      <w:color w:val="0000FF"/>
      <w:u w:val="single"/>
    </w:rPr>
  </w:style>
  <w:style w:type="paragraph" w:styleId="Header">
    <w:name w:val="header"/>
    <w:basedOn w:val="Normal"/>
    <w:link w:val="HeaderChar"/>
    <w:uiPriority w:val="99"/>
    <w:unhideWhenUsed/>
    <w:rsid w:val="003B1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7B6"/>
  </w:style>
  <w:style w:type="paragraph" w:styleId="Footer">
    <w:name w:val="footer"/>
    <w:basedOn w:val="Normal"/>
    <w:link w:val="FooterChar"/>
    <w:uiPriority w:val="99"/>
    <w:unhideWhenUsed/>
    <w:rsid w:val="003B1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7B6"/>
  </w:style>
  <w:style w:type="paragraph" w:customStyle="1" w:styleId="tv20787921">
    <w:name w:val="tv207_87_921"/>
    <w:basedOn w:val="Normal"/>
    <w:rsid w:val="00240C1B"/>
    <w:pPr>
      <w:spacing w:after="567" w:line="360" w:lineRule="auto"/>
      <w:jc w:val="center"/>
    </w:pPr>
    <w:rPr>
      <w:rFonts w:ascii="Verdana" w:eastAsia="Times New Roman" w:hAnsi="Verdana" w:cs="Times New Roman"/>
      <w:b/>
      <w:bCs/>
      <w:sz w:val="28"/>
      <w:szCs w:val="28"/>
    </w:rPr>
  </w:style>
  <w:style w:type="paragraph" w:styleId="ListParagraph">
    <w:name w:val="List Paragraph"/>
    <w:basedOn w:val="Normal"/>
    <w:uiPriority w:val="34"/>
    <w:qFormat/>
    <w:rsid w:val="00E54ABE"/>
    <w:pPr>
      <w:ind w:left="720"/>
      <w:contextualSpacing/>
    </w:pPr>
  </w:style>
  <w:style w:type="character" w:styleId="CommentReference">
    <w:name w:val="annotation reference"/>
    <w:basedOn w:val="DefaultParagraphFont"/>
    <w:uiPriority w:val="99"/>
    <w:semiHidden/>
    <w:unhideWhenUsed/>
    <w:rsid w:val="00B92714"/>
    <w:rPr>
      <w:sz w:val="16"/>
      <w:szCs w:val="16"/>
    </w:rPr>
  </w:style>
  <w:style w:type="paragraph" w:styleId="CommentText">
    <w:name w:val="annotation text"/>
    <w:basedOn w:val="Normal"/>
    <w:link w:val="CommentTextChar"/>
    <w:uiPriority w:val="99"/>
    <w:unhideWhenUsed/>
    <w:rsid w:val="00B92714"/>
    <w:pPr>
      <w:spacing w:line="240" w:lineRule="auto"/>
    </w:pPr>
    <w:rPr>
      <w:sz w:val="20"/>
      <w:szCs w:val="20"/>
    </w:rPr>
  </w:style>
  <w:style w:type="character" w:customStyle="1" w:styleId="CommentTextChar">
    <w:name w:val="Comment Text Char"/>
    <w:basedOn w:val="DefaultParagraphFont"/>
    <w:link w:val="CommentText"/>
    <w:uiPriority w:val="99"/>
    <w:rsid w:val="00B92714"/>
    <w:rPr>
      <w:sz w:val="20"/>
      <w:szCs w:val="20"/>
    </w:rPr>
  </w:style>
  <w:style w:type="paragraph" w:styleId="BalloonText">
    <w:name w:val="Balloon Text"/>
    <w:basedOn w:val="Normal"/>
    <w:link w:val="BalloonTextChar"/>
    <w:uiPriority w:val="99"/>
    <w:semiHidden/>
    <w:unhideWhenUsed/>
    <w:rsid w:val="00CE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1F59"/>
    <w:rPr>
      <w:b/>
      <w:bCs/>
    </w:rPr>
  </w:style>
  <w:style w:type="character" w:customStyle="1" w:styleId="CommentSubjectChar">
    <w:name w:val="Comment Subject Char"/>
    <w:basedOn w:val="CommentTextChar"/>
    <w:link w:val="CommentSubject"/>
    <w:uiPriority w:val="99"/>
    <w:semiHidden/>
    <w:rsid w:val="00EA1F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2367">
      <w:bodyDiv w:val="1"/>
      <w:marLeft w:val="0"/>
      <w:marRight w:val="0"/>
      <w:marTop w:val="0"/>
      <w:marBottom w:val="0"/>
      <w:divBdr>
        <w:top w:val="none" w:sz="0" w:space="0" w:color="auto"/>
        <w:left w:val="none" w:sz="0" w:space="0" w:color="auto"/>
        <w:bottom w:val="none" w:sz="0" w:space="0" w:color="auto"/>
        <w:right w:val="none" w:sz="0" w:space="0" w:color="auto"/>
      </w:divBdr>
    </w:div>
    <w:div w:id="89315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B18E-E958-49C2-9C5A-E8F40905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12</Pages>
  <Words>17573</Words>
  <Characters>10017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Mazure</dc:creator>
  <cp:lastModifiedBy>Kaspars Veldre</cp:lastModifiedBy>
  <cp:revision>60</cp:revision>
  <dcterms:created xsi:type="dcterms:W3CDTF">2019-12-24T07:48:00Z</dcterms:created>
  <dcterms:modified xsi:type="dcterms:W3CDTF">2020-01-13T10:37:00Z</dcterms:modified>
</cp:coreProperties>
</file>