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E9F" w:rsidRPr="00F67B51" w:rsidRDefault="004F0E9F" w:rsidP="004F0E9F">
      <w:pPr>
        <w:spacing w:after="0" w:line="240" w:lineRule="auto"/>
        <w:jc w:val="center"/>
        <w:rPr>
          <w:rFonts w:ascii="Times New Roman" w:hAnsi="Times New Roman" w:cs="Times New Roman"/>
          <w:b/>
          <w:sz w:val="24"/>
          <w:szCs w:val="24"/>
        </w:rPr>
      </w:pPr>
      <w:bookmarkStart w:id="0" w:name="_GoBack"/>
      <w:bookmarkEnd w:id="0"/>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8"/>
          <w:szCs w:val="28"/>
        </w:rPr>
      </w:pPr>
      <w:r w:rsidRPr="00F67B51">
        <w:rPr>
          <w:rFonts w:ascii="Times New Roman" w:hAnsi="Times New Roman" w:cs="Times New Roman"/>
          <w:b/>
          <w:sz w:val="28"/>
          <w:szCs w:val="28"/>
        </w:rPr>
        <w:t xml:space="preserve">Informatīvais ziņojums </w:t>
      </w:r>
    </w:p>
    <w:p w:rsidR="006C1722" w:rsidRPr="00F67B51" w:rsidRDefault="004F0E9F" w:rsidP="004F0E9F">
      <w:pPr>
        <w:spacing w:after="0" w:line="240" w:lineRule="auto"/>
        <w:jc w:val="center"/>
        <w:rPr>
          <w:rFonts w:ascii="Times New Roman" w:hAnsi="Times New Roman" w:cs="Times New Roman"/>
          <w:b/>
          <w:sz w:val="28"/>
          <w:szCs w:val="28"/>
        </w:rPr>
      </w:pPr>
      <w:r w:rsidRPr="00F67B51">
        <w:rPr>
          <w:rFonts w:ascii="Times New Roman" w:hAnsi="Times New Roman" w:cs="Times New Roman"/>
          <w:b/>
          <w:sz w:val="28"/>
          <w:szCs w:val="28"/>
        </w:rPr>
        <w:t>"Par Izglītības attīstības pamatnostādņu 2014.–2020.gadam īstenošanas 2014.-2017.gadā starpposma novērtējumu"</w:t>
      </w:r>
    </w:p>
    <w:p w:rsidR="004F0E9F" w:rsidRPr="00F67B51" w:rsidRDefault="004F0E9F" w:rsidP="004F0E9F">
      <w:pPr>
        <w:spacing w:after="0" w:line="240" w:lineRule="auto"/>
        <w:jc w:val="center"/>
        <w:rPr>
          <w:rFonts w:ascii="Times New Roman" w:hAnsi="Times New Roman" w:cs="Times New Roman"/>
          <w:b/>
          <w:sz w:val="28"/>
          <w:szCs w:val="28"/>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4F0E9F" w:rsidRPr="00F67B51" w:rsidRDefault="004F0E9F"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F67B51" w:rsidRDefault="00F67B51" w:rsidP="004F0E9F">
      <w:pPr>
        <w:spacing w:after="0" w:line="240" w:lineRule="auto"/>
        <w:jc w:val="center"/>
        <w:rPr>
          <w:rFonts w:ascii="Times New Roman" w:hAnsi="Times New Roman" w:cs="Times New Roman"/>
          <w:b/>
          <w:sz w:val="28"/>
          <w:szCs w:val="28"/>
        </w:rPr>
      </w:pPr>
    </w:p>
    <w:p w:rsidR="00F67B51" w:rsidRDefault="00F67B51" w:rsidP="004F0E9F">
      <w:pPr>
        <w:spacing w:after="0" w:line="240" w:lineRule="auto"/>
        <w:jc w:val="center"/>
        <w:rPr>
          <w:rFonts w:ascii="Times New Roman" w:hAnsi="Times New Roman" w:cs="Times New Roman"/>
          <w:b/>
          <w:sz w:val="28"/>
          <w:szCs w:val="28"/>
        </w:rPr>
      </w:pPr>
    </w:p>
    <w:p w:rsidR="00F67B51" w:rsidRDefault="00F67B51" w:rsidP="004F0E9F">
      <w:pPr>
        <w:spacing w:after="0" w:line="240" w:lineRule="auto"/>
        <w:jc w:val="center"/>
        <w:rPr>
          <w:rFonts w:ascii="Times New Roman" w:hAnsi="Times New Roman" w:cs="Times New Roman"/>
          <w:b/>
          <w:sz w:val="28"/>
          <w:szCs w:val="28"/>
        </w:rPr>
      </w:pPr>
    </w:p>
    <w:p w:rsidR="00F67B51" w:rsidRDefault="00F67B51" w:rsidP="004F0E9F">
      <w:pPr>
        <w:spacing w:after="0" w:line="240" w:lineRule="auto"/>
        <w:jc w:val="center"/>
        <w:rPr>
          <w:rFonts w:ascii="Times New Roman" w:hAnsi="Times New Roman" w:cs="Times New Roman"/>
          <w:b/>
          <w:sz w:val="28"/>
          <w:szCs w:val="28"/>
        </w:rPr>
      </w:pPr>
    </w:p>
    <w:p w:rsidR="004F0E9F" w:rsidRPr="00F67B51" w:rsidRDefault="004F0E9F" w:rsidP="004F0E9F">
      <w:pPr>
        <w:spacing w:after="0" w:line="240" w:lineRule="auto"/>
        <w:jc w:val="center"/>
        <w:rPr>
          <w:rFonts w:ascii="Times New Roman" w:hAnsi="Times New Roman" w:cs="Times New Roman"/>
          <w:b/>
          <w:sz w:val="28"/>
          <w:szCs w:val="28"/>
        </w:rPr>
      </w:pPr>
      <w:r w:rsidRPr="00F67B51">
        <w:rPr>
          <w:rFonts w:ascii="Times New Roman" w:hAnsi="Times New Roman" w:cs="Times New Roman"/>
          <w:b/>
          <w:sz w:val="28"/>
          <w:szCs w:val="28"/>
        </w:rPr>
        <w:t>Rīgā, 201</w:t>
      </w:r>
      <w:r w:rsidR="00E2490F">
        <w:rPr>
          <w:rFonts w:ascii="Times New Roman" w:hAnsi="Times New Roman" w:cs="Times New Roman"/>
          <w:b/>
          <w:sz w:val="28"/>
          <w:szCs w:val="28"/>
        </w:rPr>
        <w:t>9</w:t>
      </w: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3620D7">
      <w:pPr>
        <w:spacing w:after="0" w:line="240" w:lineRule="auto"/>
        <w:jc w:val="center"/>
        <w:rPr>
          <w:rFonts w:ascii="Times New Roman" w:hAnsi="Times New Roman" w:cs="Times New Roman"/>
          <w:b/>
          <w:sz w:val="24"/>
          <w:szCs w:val="24"/>
        </w:rPr>
      </w:pPr>
      <w:r w:rsidRPr="00F67B51">
        <w:rPr>
          <w:rFonts w:ascii="Times New Roman" w:hAnsi="Times New Roman" w:cs="Times New Roman"/>
          <w:b/>
          <w:sz w:val="24"/>
          <w:szCs w:val="24"/>
        </w:rPr>
        <w:lastRenderedPageBreak/>
        <w:t>Saturs</w:t>
      </w:r>
    </w:p>
    <w:p w:rsidR="00694CF9" w:rsidRPr="00F67B51" w:rsidRDefault="00694CF9" w:rsidP="003620D7">
      <w:pPr>
        <w:spacing w:after="0" w:line="240" w:lineRule="auto"/>
        <w:jc w:val="both"/>
        <w:rPr>
          <w:rFonts w:ascii="Times New Roman" w:hAnsi="Times New Roman" w:cs="Times New Roman"/>
          <w:b/>
          <w:sz w:val="24"/>
          <w:szCs w:val="24"/>
        </w:rPr>
      </w:pPr>
    </w:p>
    <w:p w:rsidR="003958B7" w:rsidRPr="00F67B51" w:rsidRDefault="003958B7" w:rsidP="003620D7">
      <w:pPr>
        <w:spacing w:after="0" w:line="240" w:lineRule="auto"/>
        <w:jc w:val="both"/>
        <w:rPr>
          <w:rFonts w:ascii="Times New Roman" w:hAnsi="Times New Roman" w:cs="Times New Roman"/>
          <w:sz w:val="24"/>
          <w:szCs w:val="24"/>
        </w:rPr>
      </w:pPr>
    </w:p>
    <w:p w:rsidR="003958B7" w:rsidRPr="00F67B51" w:rsidRDefault="003958B7" w:rsidP="003620D7">
      <w:pPr>
        <w:spacing w:after="0" w:line="240" w:lineRule="auto"/>
        <w:jc w:val="both"/>
        <w:rPr>
          <w:rFonts w:ascii="Times New Roman" w:hAnsi="Times New Roman" w:cs="Times New Roman"/>
          <w:sz w:val="24"/>
          <w:szCs w:val="24"/>
        </w:rPr>
      </w:pPr>
    </w:p>
    <w:p w:rsidR="00694CF9" w:rsidRPr="00F67B51" w:rsidRDefault="00694CF9" w:rsidP="003620D7">
      <w:pPr>
        <w:spacing w:after="0" w:line="240" w:lineRule="auto"/>
        <w:jc w:val="both"/>
        <w:rPr>
          <w:rFonts w:ascii="Times New Roman" w:hAnsi="Times New Roman" w:cs="Times New Roman"/>
          <w:sz w:val="24"/>
          <w:szCs w:val="24"/>
        </w:rPr>
      </w:pPr>
      <w:r w:rsidRPr="00F67B51">
        <w:rPr>
          <w:rFonts w:ascii="Times New Roman" w:hAnsi="Times New Roman" w:cs="Times New Roman"/>
          <w:sz w:val="24"/>
          <w:szCs w:val="24"/>
        </w:rPr>
        <w:t>I. Ievads</w:t>
      </w:r>
      <w:r w:rsidR="00F76756" w:rsidRPr="00F67B51">
        <w:rPr>
          <w:rFonts w:ascii="Times New Roman" w:hAnsi="Times New Roman" w:cs="Times New Roman"/>
          <w:sz w:val="24"/>
          <w:szCs w:val="24"/>
        </w:rPr>
        <w:t>………………………………………………………………………</w:t>
      </w:r>
      <w:r w:rsidR="00C555A8">
        <w:rPr>
          <w:rFonts w:ascii="Times New Roman" w:hAnsi="Times New Roman" w:cs="Times New Roman"/>
          <w:sz w:val="24"/>
          <w:szCs w:val="24"/>
        </w:rPr>
        <w:t>……………………3</w:t>
      </w:r>
    </w:p>
    <w:p w:rsidR="00694CF9" w:rsidRPr="00F67B51" w:rsidRDefault="00694CF9" w:rsidP="003620D7">
      <w:pPr>
        <w:spacing w:after="0" w:line="240" w:lineRule="auto"/>
        <w:jc w:val="both"/>
        <w:rPr>
          <w:rFonts w:ascii="Times New Roman" w:hAnsi="Times New Roman" w:cs="Times New Roman"/>
          <w:sz w:val="24"/>
          <w:szCs w:val="24"/>
        </w:rPr>
      </w:pPr>
    </w:p>
    <w:p w:rsidR="00694CF9" w:rsidRDefault="00694CF9" w:rsidP="003620D7">
      <w:pPr>
        <w:spacing w:after="0" w:line="240" w:lineRule="auto"/>
        <w:jc w:val="both"/>
        <w:rPr>
          <w:rFonts w:ascii="Times New Roman" w:hAnsi="Times New Roman" w:cs="Times New Roman"/>
          <w:sz w:val="24"/>
          <w:szCs w:val="24"/>
        </w:rPr>
      </w:pPr>
    </w:p>
    <w:p w:rsidR="0032788F" w:rsidRPr="00F67B51" w:rsidRDefault="0032788F" w:rsidP="003620D7">
      <w:pPr>
        <w:spacing w:after="0" w:line="240" w:lineRule="auto"/>
        <w:jc w:val="both"/>
        <w:rPr>
          <w:rFonts w:ascii="Times New Roman" w:hAnsi="Times New Roman" w:cs="Times New Roman"/>
          <w:sz w:val="24"/>
          <w:szCs w:val="24"/>
        </w:rPr>
      </w:pPr>
    </w:p>
    <w:p w:rsidR="00694CF9" w:rsidRPr="00F67B51" w:rsidRDefault="00240892" w:rsidP="003620D7">
      <w:pPr>
        <w:spacing w:after="0" w:line="240" w:lineRule="auto"/>
        <w:jc w:val="both"/>
        <w:rPr>
          <w:rFonts w:ascii="Times New Roman" w:hAnsi="Times New Roman" w:cs="Times New Roman"/>
          <w:sz w:val="24"/>
          <w:szCs w:val="24"/>
        </w:rPr>
      </w:pPr>
      <w:r w:rsidRPr="00F67B51">
        <w:rPr>
          <w:rFonts w:ascii="Times New Roman" w:hAnsi="Times New Roman" w:cs="Times New Roman"/>
          <w:sz w:val="24"/>
          <w:szCs w:val="24"/>
        </w:rPr>
        <w:t xml:space="preserve">II. </w:t>
      </w:r>
      <w:r w:rsidR="00694CF9" w:rsidRPr="00F67B51">
        <w:rPr>
          <w:rFonts w:ascii="Times New Roman" w:hAnsi="Times New Roman" w:cs="Times New Roman"/>
          <w:sz w:val="24"/>
          <w:szCs w:val="24"/>
        </w:rPr>
        <w:t xml:space="preserve">Izglītības attīstības pamatnostādņu 2014.-2020.gadam īstenošanas 2014.–2017.gadā novērtējums </w:t>
      </w:r>
    </w:p>
    <w:p w:rsidR="00694CF9" w:rsidRDefault="00694CF9" w:rsidP="003620D7">
      <w:pPr>
        <w:spacing w:after="0" w:line="240" w:lineRule="auto"/>
        <w:jc w:val="both"/>
        <w:rPr>
          <w:rFonts w:ascii="Times New Roman" w:hAnsi="Times New Roman" w:cs="Times New Roman"/>
          <w:sz w:val="24"/>
          <w:szCs w:val="24"/>
        </w:rPr>
      </w:pPr>
    </w:p>
    <w:p w:rsidR="0032788F" w:rsidRPr="00F67B51" w:rsidRDefault="0032788F" w:rsidP="003620D7">
      <w:pPr>
        <w:spacing w:after="0" w:line="240" w:lineRule="auto"/>
        <w:jc w:val="both"/>
        <w:rPr>
          <w:rFonts w:ascii="Times New Roman" w:hAnsi="Times New Roman" w:cs="Times New Roman"/>
          <w:sz w:val="24"/>
          <w:szCs w:val="24"/>
        </w:rPr>
      </w:pPr>
    </w:p>
    <w:p w:rsidR="00694CF9" w:rsidRPr="00F67B51" w:rsidRDefault="002830F7" w:rsidP="003620D7">
      <w:pPr>
        <w:spacing w:after="0" w:line="240" w:lineRule="auto"/>
        <w:jc w:val="both"/>
        <w:rPr>
          <w:rFonts w:ascii="Times New Roman" w:hAnsi="Times New Roman" w:cs="Times New Roman"/>
          <w:sz w:val="24"/>
          <w:szCs w:val="24"/>
        </w:rPr>
      </w:pPr>
      <w:r w:rsidRPr="00F67B51">
        <w:rPr>
          <w:rFonts w:ascii="Times New Roman" w:hAnsi="Times New Roman" w:cs="Times New Roman"/>
          <w:sz w:val="24"/>
          <w:szCs w:val="24"/>
        </w:rPr>
        <w:t xml:space="preserve">1. </w:t>
      </w:r>
      <w:r w:rsidR="00694CF9" w:rsidRPr="00F67B51">
        <w:rPr>
          <w:rFonts w:ascii="Times New Roman" w:hAnsi="Times New Roman" w:cs="Times New Roman"/>
          <w:sz w:val="24"/>
          <w:szCs w:val="24"/>
        </w:rPr>
        <w:t xml:space="preserve">Pirmā mērķa – </w:t>
      </w:r>
      <w:r w:rsidR="00240892" w:rsidRPr="00F67B51">
        <w:rPr>
          <w:rFonts w:ascii="Times New Roman" w:hAnsi="Times New Roman" w:cs="Times New Roman"/>
          <w:sz w:val="24"/>
          <w:szCs w:val="24"/>
        </w:rPr>
        <w:t>IZGLĪTĪBAS VIDE: paaugstināt izglītības vides kvalitāti, veicot satura pilnveidi un attīstot atbilstošu infrastruktūru</w:t>
      </w:r>
      <w:r w:rsidR="00694CF9" w:rsidRPr="00F67B51">
        <w:rPr>
          <w:rFonts w:ascii="Times New Roman" w:hAnsi="Times New Roman" w:cs="Times New Roman"/>
          <w:sz w:val="24"/>
          <w:szCs w:val="24"/>
        </w:rPr>
        <w:t xml:space="preserve"> – rīcības v</w:t>
      </w:r>
      <w:r w:rsidR="00240892" w:rsidRPr="00F67B51">
        <w:rPr>
          <w:rFonts w:ascii="Times New Roman" w:hAnsi="Times New Roman" w:cs="Times New Roman"/>
          <w:sz w:val="24"/>
          <w:szCs w:val="24"/>
        </w:rPr>
        <w:t>irzienu īstenošana</w:t>
      </w:r>
      <w:r w:rsidR="00F76756" w:rsidRPr="00F67B51">
        <w:rPr>
          <w:rFonts w:ascii="Times New Roman" w:hAnsi="Times New Roman" w:cs="Times New Roman"/>
          <w:sz w:val="24"/>
          <w:szCs w:val="24"/>
        </w:rPr>
        <w:t>………………………………………………………………………</w:t>
      </w:r>
      <w:r w:rsidR="00C555A8">
        <w:rPr>
          <w:rFonts w:ascii="Times New Roman" w:hAnsi="Times New Roman" w:cs="Times New Roman"/>
          <w:sz w:val="24"/>
          <w:szCs w:val="24"/>
        </w:rPr>
        <w:t>………………….5</w:t>
      </w:r>
    </w:p>
    <w:p w:rsidR="00694CF9" w:rsidRDefault="00694CF9" w:rsidP="003620D7">
      <w:pPr>
        <w:spacing w:after="0" w:line="240" w:lineRule="auto"/>
        <w:ind w:left="720"/>
        <w:jc w:val="both"/>
        <w:rPr>
          <w:rFonts w:ascii="Times New Roman" w:hAnsi="Times New Roman" w:cs="Times New Roman"/>
          <w:sz w:val="24"/>
          <w:szCs w:val="24"/>
        </w:rPr>
      </w:pPr>
    </w:p>
    <w:p w:rsidR="0032788F" w:rsidRPr="00F67B51" w:rsidRDefault="0032788F" w:rsidP="003620D7">
      <w:pPr>
        <w:spacing w:after="0" w:line="240" w:lineRule="auto"/>
        <w:ind w:left="720"/>
        <w:jc w:val="both"/>
        <w:rPr>
          <w:rFonts w:ascii="Times New Roman" w:hAnsi="Times New Roman" w:cs="Times New Roman"/>
          <w:sz w:val="24"/>
          <w:szCs w:val="24"/>
        </w:rPr>
      </w:pPr>
    </w:p>
    <w:p w:rsidR="00694CF9" w:rsidRPr="00F67B51" w:rsidRDefault="002830F7" w:rsidP="003620D7">
      <w:pPr>
        <w:spacing w:after="0" w:line="240" w:lineRule="auto"/>
        <w:jc w:val="both"/>
        <w:rPr>
          <w:rFonts w:ascii="Times New Roman" w:hAnsi="Times New Roman" w:cs="Times New Roman"/>
          <w:sz w:val="24"/>
          <w:szCs w:val="24"/>
        </w:rPr>
      </w:pPr>
      <w:r w:rsidRPr="00F67B51">
        <w:rPr>
          <w:rFonts w:ascii="Times New Roman" w:hAnsi="Times New Roman" w:cs="Times New Roman"/>
          <w:sz w:val="24"/>
          <w:szCs w:val="24"/>
        </w:rPr>
        <w:t xml:space="preserve">2. </w:t>
      </w:r>
      <w:r w:rsidR="00694CF9" w:rsidRPr="00F67B51">
        <w:rPr>
          <w:rFonts w:ascii="Times New Roman" w:hAnsi="Times New Roman" w:cs="Times New Roman"/>
          <w:sz w:val="24"/>
          <w:szCs w:val="24"/>
        </w:rPr>
        <w:t xml:space="preserve">Otrā mērķa – </w:t>
      </w:r>
      <w:r w:rsidR="00240892" w:rsidRPr="00F67B51">
        <w:rPr>
          <w:rFonts w:ascii="Times New Roman" w:hAnsi="Times New Roman" w:cs="Times New Roman"/>
          <w:sz w:val="24"/>
          <w:szCs w:val="24"/>
        </w:rPr>
        <w:t>INDIVĪDU PRASMES: veicināt vērtībizglītībā balstītu indivīda profesionālo un sociālo prasmju attīstību dzīvei un konkurējošai darba videi</w:t>
      </w:r>
      <w:r w:rsidR="00694CF9" w:rsidRPr="00F67B51">
        <w:rPr>
          <w:rFonts w:ascii="Times New Roman" w:hAnsi="Times New Roman" w:cs="Times New Roman"/>
          <w:sz w:val="24"/>
          <w:szCs w:val="24"/>
        </w:rPr>
        <w:t xml:space="preserve"> – rīcības virzienu īstenošana</w:t>
      </w:r>
      <w:r w:rsidR="00F76756" w:rsidRPr="00F67B51">
        <w:rPr>
          <w:rFonts w:ascii="Times New Roman" w:hAnsi="Times New Roman" w:cs="Times New Roman"/>
          <w:sz w:val="24"/>
          <w:szCs w:val="24"/>
        </w:rPr>
        <w:t>……………………………………………………</w:t>
      </w:r>
      <w:r w:rsidR="00C555A8">
        <w:rPr>
          <w:rFonts w:ascii="Times New Roman" w:hAnsi="Times New Roman" w:cs="Times New Roman"/>
          <w:sz w:val="24"/>
          <w:szCs w:val="24"/>
        </w:rPr>
        <w:t>…………………………………...14</w:t>
      </w:r>
    </w:p>
    <w:p w:rsidR="00694CF9" w:rsidRDefault="00694CF9" w:rsidP="003620D7">
      <w:pPr>
        <w:spacing w:after="0" w:line="240" w:lineRule="auto"/>
        <w:jc w:val="both"/>
        <w:rPr>
          <w:rFonts w:ascii="Times New Roman" w:hAnsi="Times New Roman" w:cs="Times New Roman"/>
          <w:sz w:val="24"/>
          <w:szCs w:val="24"/>
        </w:rPr>
      </w:pPr>
    </w:p>
    <w:p w:rsidR="0032788F" w:rsidRPr="00F67B51" w:rsidRDefault="0032788F" w:rsidP="003620D7">
      <w:pPr>
        <w:spacing w:after="0" w:line="240" w:lineRule="auto"/>
        <w:jc w:val="both"/>
        <w:rPr>
          <w:rFonts w:ascii="Times New Roman" w:hAnsi="Times New Roman" w:cs="Times New Roman"/>
          <w:sz w:val="24"/>
          <w:szCs w:val="24"/>
        </w:rPr>
      </w:pPr>
    </w:p>
    <w:p w:rsidR="00694CF9" w:rsidRPr="00F67B51" w:rsidRDefault="002830F7" w:rsidP="003620D7">
      <w:pPr>
        <w:spacing w:after="0" w:line="240" w:lineRule="auto"/>
        <w:jc w:val="both"/>
        <w:rPr>
          <w:rFonts w:ascii="Times New Roman" w:hAnsi="Times New Roman" w:cs="Times New Roman"/>
          <w:sz w:val="24"/>
          <w:szCs w:val="24"/>
        </w:rPr>
      </w:pPr>
      <w:r w:rsidRPr="00F67B51">
        <w:rPr>
          <w:rFonts w:ascii="Times New Roman" w:hAnsi="Times New Roman" w:cs="Times New Roman"/>
          <w:sz w:val="24"/>
          <w:szCs w:val="24"/>
        </w:rPr>
        <w:t xml:space="preserve">3. </w:t>
      </w:r>
      <w:r w:rsidR="00694CF9" w:rsidRPr="00F67B51">
        <w:rPr>
          <w:rFonts w:ascii="Times New Roman" w:hAnsi="Times New Roman" w:cs="Times New Roman"/>
          <w:sz w:val="24"/>
          <w:szCs w:val="24"/>
        </w:rPr>
        <w:t xml:space="preserve">Trešā mērķa – </w:t>
      </w:r>
      <w:r w:rsidR="00240892" w:rsidRPr="00F67B51">
        <w:rPr>
          <w:rFonts w:ascii="Times New Roman" w:hAnsi="Times New Roman" w:cs="Times New Roman"/>
          <w:sz w:val="24"/>
          <w:szCs w:val="24"/>
        </w:rPr>
        <w:t>EFEKTĪVĀ PĀRVALDĪBA: uzlabot resursu pārvaldības efektivitāti, attīstot izglītības iestāžu institucionālo izcilību</w:t>
      </w:r>
      <w:r w:rsidR="00694CF9" w:rsidRPr="00F67B51">
        <w:rPr>
          <w:rFonts w:ascii="Times New Roman" w:hAnsi="Times New Roman" w:cs="Times New Roman"/>
          <w:sz w:val="24"/>
          <w:szCs w:val="24"/>
        </w:rPr>
        <w:t xml:space="preserve"> – rīcības virzienu īstenošana</w:t>
      </w:r>
      <w:r w:rsidR="00F76756" w:rsidRPr="00F67B51">
        <w:rPr>
          <w:rFonts w:ascii="Times New Roman" w:hAnsi="Times New Roman" w:cs="Times New Roman"/>
          <w:sz w:val="24"/>
          <w:szCs w:val="24"/>
        </w:rPr>
        <w:t>………………………………………………………………………</w:t>
      </w:r>
      <w:r w:rsidR="00C555A8">
        <w:rPr>
          <w:rFonts w:ascii="Times New Roman" w:hAnsi="Times New Roman" w:cs="Times New Roman"/>
          <w:sz w:val="24"/>
          <w:szCs w:val="24"/>
        </w:rPr>
        <w:t>………………...2</w:t>
      </w:r>
      <w:r w:rsidR="000B24E6">
        <w:rPr>
          <w:rFonts w:ascii="Times New Roman" w:hAnsi="Times New Roman" w:cs="Times New Roman"/>
          <w:sz w:val="24"/>
          <w:szCs w:val="24"/>
        </w:rPr>
        <w:t>3</w:t>
      </w:r>
    </w:p>
    <w:p w:rsidR="00694CF9" w:rsidRPr="00F67B51" w:rsidRDefault="00694CF9" w:rsidP="003620D7">
      <w:pPr>
        <w:spacing w:after="0" w:line="240" w:lineRule="auto"/>
        <w:jc w:val="both"/>
        <w:rPr>
          <w:rFonts w:ascii="Times New Roman" w:hAnsi="Times New Roman" w:cs="Times New Roman"/>
          <w:bCs/>
          <w:sz w:val="24"/>
          <w:szCs w:val="24"/>
        </w:rPr>
      </w:pPr>
    </w:p>
    <w:p w:rsidR="00694CF9" w:rsidRDefault="00694CF9" w:rsidP="003620D7">
      <w:pPr>
        <w:spacing w:after="0" w:line="240" w:lineRule="auto"/>
        <w:jc w:val="both"/>
        <w:rPr>
          <w:rFonts w:ascii="Times New Roman" w:hAnsi="Times New Roman" w:cs="Times New Roman"/>
          <w:bCs/>
          <w:sz w:val="24"/>
          <w:szCs w:val="24"/>
        </w:rPr>
      </w:pPr>
    </w:p>
    <w:p w:rsidR="0032788F" w:rsidRPr="00F67B51" w:rsidRDefault="0032788F" w:rsidP="003620D7">
      <w:pPr>
        <w:spacing w:after="0" w:line="240" w:lineRule="auto"/>
        <w:jc w:val="both"/>
        <w:rPr>
          <w:rFonts w:ascii="Times New Roman" w:hAnsi="Times New Roman" w:cs="Times New Roman"/>
          <w:bCs/>
          <w:sz w:val="24"/>
          <w:szCs w:val="24"/>
        </w:rPr>
      </w:pPr>
    </w:p>
    <w:p w:rsidR="00694CF9" w:rsidRPr="00F67B51" w:rsidRDefault="00694CF9" w:rsidP="003620D7">
      <w:pPr>
        <w:spacing w:after="0" w:line="240" w:lineRule="auto"/>
        <w:jc w:val="both"/>
        <w:rPr>
          <w:rFonts w:ascii="Times New Roman" w:hAnsi="Times New Roman" w:cs="Times New Roman"/>
          <w:bCs/>
          <w:sz w:val="24"/>
          <w:szCs w:val="24"/>
        </w:rPr>
      </w:pPr>
      <w:r w:rsidRPr="00F67B51">
        <w:rPr>
          <w:rFonts w:ascii="Times New Roman" w:hAnsi="Times New Roman" w:cs="Times New Roman"/>
          <w:bCs/>
          <w:sz w:val="24"/>
          <w:szCs w:val="24"/>
        </w:rPr>
        <w:t>III. Secinājumi un turpmāk</w:t>
      </w:r>
      <w:r w:rsidR="008314B3">
        <w:rPr>
          <w:rFonts w:ascii="Times New Roman" w:hAnsi="Times New Roman" w:cs="Times New Roman"/>
          <w:bCs/>
          <w:sz w:val="24"/>
          <w:szCs w:val="24"/>
        </w:rPr>
        <w:t>ā</w:t>
      </w:r>
      <w:r w:rsidRPr="00F67B51">
        <w:rPr>
          <w:rFonts w:ascii="Times New Roman" w:hAnsi="Times New Roman" w:cs="Times New Roman"/>
          <w:bCs/>
          <w:sz w:val="24"/>
          <w:szCs w:val="24"/>
        </w:rPr>
        <w:t xml:space="preserve"> rīcība</w:t>
      </w:r>
      <w:r w:rsidR="00F76756" w:rsidRPr="00F67B51">
        <w:rPr>
          <w:rFonts w:ascii="Times New Roman" w:hAnsi="Times New Roman" w:cs="Times New Roman"/>
          <w:bCs/>
          <w:sz w:val="24"/>
          <w:szCs w:val="24"/>
        </w:rPr>
        <w:t>………………………………………………</w:t>
      </w:r>
      <w:r w:rsidR="00C555A8">
        <w:rPr>
          <w:rFonts w:ascii="Times New Roman" w:hAnsi="Times New Roman" w:cs="Times New Roman"/>
          <w:bCs/>
          <w:sz w:val="24"/>
          <w:szCs w:val="24"/>
        </w:rPr>
        <w:t>……………….</w:t>
      </w:r>
      <w:r w:rsidR="000B24E6">
        <w:rPr>
          <w:rFonts w:ascii="Times New Roman" w:hAnsi="Times New Roman" w:cs="Times New Roman"/>
          <w:bCs/>
          <w:sz w:val="24"/>
          <w:szCs w:val="24"/>
        </w:rPr>
        <w:t>30</w:t>
      </w:r>
    </w:p>
    <w:p w:rsidR="00694CF9" w:rsidRPr="00F67B51" w:rsidRDefault="00694CF9" w:rsidP="003620D7">
      <w:pPr>
        <w:spacing w:after="0" w:line="240" w:lineRule="auto"/>
        <w:jc w:val="both"/>
        <w:rPr>
          <w:rFonts w:ascii="Times New Roman" w:hAnsi="Times New Roman" w:cs="Times New Roman"/>
          <w:b/>
          <w:sz w:val="24"/>
          <w:szCs w:val="24"/>
        </w:rPr>
      </w:pPr>
    </w:p>
    <w:p w:rsidR="00694CF9" w:rsidRPr="00F67B51" w:rsidRDefault="00694CF9" w:rsidP="003620D7">
      <w:pPr>
        <w:spacing w:after="0" w:line="240" w:lineRule="auto"/>
        <w:jc w:val="center"/>
        <w:rPr>
          <w:rFonts w:ascii="Times New Roman" w:hAnsi="Times New Roman" w:cs="Times New Roman"/>
          <w:b/>
          <w:sz w:val="24"/>
          <w:szCs w:val="24"/>
        </w:rPr>
      </w:pPr>
    </w:p>
    <w:p w:rsidR="00694CF9" w:rsidRPr="00F67B51" w:rsidRDefault="00694CF9" w:rsidP="00694CF9">
      <w:pPr>
        <w:spacing w:after="0"/>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694CF9" w:rsidRPr="00F67B51" w:rsidRDefault="00694CF9"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3620D7" w:rsidRPr="00F67B51" w:rsidRDefault="003620D7" w:rsidP="004F0E9F">
      <w:pPr>
        <w:spacing w:after="0" w:line="240" w:lineRule="auto"/>
        <w:jc w:val="center"/>
        <w:rPr>
          <w:rFonts w:ascii="Times New Roman" w:hAnsi="Times New Roman" w:cs="Times New Roman"/>
          <w:b/>
          <w:sz w:val="24"/>
          <w:szCs w:val="24"/>
        </w:rPr>
      </w:pPr>
    </w:p>
    <w:p w:rsidR="00694CF9" w:rsidRPr="00F67B51" w:rsidRDefault="0091128E" w:rsidP="004C6E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694CF9" w:rsidRPr="00F67B51">
        <w:rPr>
          <w:rFonts w:ascii="Times New Roman" w:hAnsi="Times New Roman" w:cs="Times New Roman"/>
          <w:b/>
          <w:sz w:val="24"/>
          <w:szCs w:val="24"/>
        </w:rPr>
        <w:t>Ievads</w:t>
      </w:r>
    </w:p>
    <w:p w:rsidR="0007229D" w:rsidRPr="00F67B51" w:rsidRDefault="0007229D" w:rsidP="004C6EAA">
      <w:pPr>
        <w:spacing w:after="0" w:line="240" w:lineRule="auto"/>
        <w:jc w:val="center"/>
        <w:rPr>
          <w:rFonts w:ascii="Times New Roman" w:hAnsi="Times New Roman" w:cs="Times New Roman"/>
          <w:b/>
          <w:sz w:val="24"/>
          <w:szCs w:val="24"/>
        </w:rPr>
      </w:pPr>
    </w:p>
    <w:p w:rsidR="0007229D" w:rsidRPr="00F67B51" w:rsidRDefault="0007229D" w:rsidP="002C66D8">
      <w:pPr>
        <w:spacing w:after="12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Ar Latvijas Republikas Saeimas 2014.gada 22.maija lēmumu tika apstiprinātas Izglītības attīstības pamatnostādnes 2014.–2020.gadam</w:t>
      </w:r>
      <w:r w:rsidR="00792DC3" w:rsidRPr="00F67B51">
        <w:rPr>
          <w:rFonts w:ascii="Times New Roman" w:hAnsi="Times New Roman" w:cs="Times New Roman"/>
          <w:sz w:val="24"/>
          <w:szCs w:val="24"/>
        </w:rPr>
        <w:t xml:space="preserve"> (IAP 2014.–2020.gadam)</w:t>
      </w:r>
      <w:r w:rsidRPr="00F67B51">
        <w:rPr>
          <w:rFonts w:ascii="Times New Roman" w:hAnsi="Times New Roman" w:cs="Times New Roman"/>
          <w:sz w:val="24"/>
          <w:szCs w:val="24"/>
        </w:rPr>
        <w:t xml:space="preserve">. Izglītības un zinātnes ministrija (IZM) ir atbildīgā institūcija par </w:t>
      </w:r>
      <w:r w:rsidR="001209D2" w:rsidRPr="00F67B51">
        <w:rPr>
          <w:rFonts w:ascii="Times New Roman" w:hAnsi="Times New Roman" w:cs="Times New Roman"/>
          <w:sz w:val="24"/>
          <w:szCs w:val="24"/>
        </w:rPr>
        <w:t>IAP 2014.–2020.gadam</w:t>
      </w:r>
      <w:r w:rsidR="00F5043A" w:rsidRPr="00F67B51">
        <w:rPr>
          <w:rFonts w:ascii="Times New Roman" w:hAnsi="Times New Roman" w:cs="Times New Roman"/>
          <w:sz w:val="24"/>
          <w:szCs w:val="24"/>
        </w:rPr>
        <w:t xml:space="preserve"> īstenošanu</w:t>
      </w:r>
      <w:r w:rsidR="002B5728">
        <w:rPr>
          <w:rFonts w:ascii="Times New Roman" w:hAnsi="Times New Roman" w:cs="Times New Roman"/>
          <w:sz w:val="24"/>
          <w:szCs w:val="24"/>
        </w:rPr>
        <w:t xml:space="preserve"> un novērtē</w:t>
      </w:r>
      <w:r w:rsidR="00812DCA">
        <w:rPr>
          <w:rFonts w:ascii="Times New Roman" w:hAnsi="Times New Roman" w:cs="Times New Roman"/>
          <w:sz w:val="24"/>
          <w:szCs w:val="24"/>
        </w:rPr>
        <w:t xml:space="preserve">jumu </w:t>
      </w:r>
      <w:r w:rsidR="002B5728">
        <w:rPr>
          <w:rFonts w:ascii="Times New Roman" w:hAnsi="Times New Roman" w:cs="Times New Roman"/>
          <w:sz w:val="24"/>
          <w:szCs w:val="24"/>
        </w:rPr>
        <w:t>sagatavošanu</w:t>
      </w:r>
      <w:r w:rsidR="00F5043A" w:rsidRPr="00F67B51">
        <w:rPr>
          <w:rFonts w:ascii="Times New Roman" w:hAnsi="Times New Roman" w:cs="Times New Roman"/>
          <w:sz w:val="24"/>
          <w:szCs w:val="24"/>
        </w:rPr>
        <w:t>.</w:t>
      </w:r>
    </w:p>
    <w:p w:rsidR="003620D7" w:rsidRPr="00F67B51" w:rsidRDefault="003620D7" w:rsidP="002C66D8">
      <w:pPr>
        <w:spacing w:after="12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 xml:space="preserve">Atbilstoši </w:t>
      </w:r>
      <w:r w:rsidR="001209D2" w:rsidRPr="00F67B51">
        <w:rPr>
          <w:rFonts w:ascii="Times New Roman" w:hAnsi="Times New Roman" w:cs="Times New Roman"/>
          <w:sz w:val="24"/>
          <w:szCs w:val="24"/>
        </w:rPr>
        <w:t>IAP 2014.–2020.gadam</w:t>
      </w:r>
      <w:r w:rsidRPr="00F67B51">
        <w:rPr>
          <w:rFonts w:ascii="Times New Roman" w:hAnsi="Times New Roman" w:cs="Times New Roman"/>
          <w:sz w:val="24"/>
          <w:szCs w:val="24"/>
        </w:rPr>
        <w:t xml:space="preserve"> VII. sadaļā “Pārskatu sniegšanas un novērtēšanas kārtība” </w:t>
      </w:r>
      <w:r w:rsidR="00F5043A" w:rsidRPr="00F67B51">
        <w:rPr>
          <w:rFonts w:ascii="Times New Roman" w:hAnsi="Times New Roman" w:cs="Times New Roman"/>
          <w:sz w:val="24"/>
          <w:szCs w:val="24"/>
        </w:rPr>
        <w:t xml:space="preserve">IZM </w:t>
      </w:r>
      <w:r w:rsidRPr="00F67B51">
        <w:rPr>
          <w:rFonts w:ascii="Times New Roman" w:hAnsi="Times New Roman" w:cs="Times New Roman"/>
          <w:sz w:val="24"/>
          <w:szCs w:val="24"/>
        </w:rPr>
        <w:t>dotajam uzdevumam tika izstrādāts</w:t>
      </w:r>
      <w:r w:rsidR="00F5043A" w:rsidRPr="00F67B51">
        <w:rPr>
          <w:rFonts w:ascii="Times New Roman" w:hAnsi="Times New Roman" w:cs="Times New Roman"/>
          <w:sz w:val="24"/>
          <w:szCs w:val="24"/>
        </w:rPr>
        <w:t xml:space="preserve"> </w:t>
      </w:r>
      <w:r w:rsidR="001209D2" w:rsidRPr="00F67B51">
        <w:rPr>
          <w:rFonts w:ascii="Times New Roman" w:hAnsi="Times New Roman" w:cs="Times New Roman"/>
          <w:sz w:val="24"/>
          <w:szCs w:val="24"/>
        </w:rPr>
        <w:t>IAP 2014.–2020.gadam</w:t>
      </w:r>
      <w:r w:rsidRPr="00F67B51">
        <w:rPr>
          <w:rFonts w:ascii="Times New Roman" w:hAnsi="Times New Roman" w:cs="Times New Roman"/>
          <w:sz w:val="24"/>
          <w:szCs w:val="24"/>
        </w:rPr>
        <w:t xml:space="preserve"> īstenošanas plāns 2015.–2017.gadam</w:t>
      </w:r>
      <w:r w:rsidR="00F5043A" w:rsidRPr="00F67B51">
        <w:rPr>
          <w:rFonts w:ascii="Times New Roman" w:hAnsi="Times New Roman" w:cs="Times New Roman"/>
          <w:sz w:val="24"/>
          <w:szCs w:val="24"/>
        </w:rPr>
        <w:t>, kas tika apstiprināts ar Ministru kabineta (MK) 2015.gada 29.jūnija rīkojumu Nr.331.</w:t>
      </w:r>
      <w:r w:rsidRPr="00F67B51">
        <w:rPr>
          <w:rFonts w:ascii="Times New Roman" w:hAnsi="Times New Roman" w:cs="Times New Roman"/>
          <w:sz w:val="24"/>
          <w:szCs w:val="24"/>
        </w:rPr>
        <w:t xml:space="preserve"> </w:t>
      </w:r>
    </w:p>
    <w:p w:rsidR="00506D99" w:rsidRPr="00F67B51" w:rsidRDefault="00506D99" w:rsidP="002C66D8">
      <w:pPr>
        <w:spacing w:after="12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IAP 2014.–2020.gadam īstenošanu nodrošina IZM un tās padotībā esošās iestādes, kā arī citas iesaistītās institūcijas atbilstoši IAP 2014.–2020.gadam īstenošanas plānam 2015.–2017.gadam.</w:t>
      </w:r>
    </w:p>
    <w:p w:rsidR="003620D7" w:rsidRPr="00F67B51" w:rsidRDefault="00C43EF3" w:rsidP="002C66D8">
      <w:pPr>
        <w:spacing w:after="12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IAP 2014.–2020.gadam VII. sadaļā “Pārskatu sniegšanas un novērtēšanas kārtība” ir noteikts, ka IZM iesniedz MK starpposma novērtējumu par pamatnostādņu īstenošanu līdz 2017.gada 30.septembrim.</w:t>
      </w:r>
    </w:p>
    <w:p w:rsidR="003620D7" w:rsidRDefault="00C43EF3" w:rsidP="002C66D8">
      <w:pPr>
        <w:spacing w:after="12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Savukārt, MK</w:t>
      </w:r>
      <w:r w:rsidR="003620D7" w:rsidRPr="00F67B51">
        <w:rPr>
          <w:rFonts w:ascii="Times New Roman" w:hAnsi="Times New Roman" w:cs="Times New Roman"/>
          <w:sz w:val="24"/>
          <w:szCs w:val="24"/>
        </w:rPr>
        <w:t xml:space="preserve"> 2015.gada 29.jūnija rīkojumā par IAP īstenošanas plāna 2015.–2017.gadam apstiprināšanu ir noteikts IZM sagatavot un līdz 2018.gada 30.septembrim iesniegt noteiktā kārtībā </w:t>
      </w:r>
      <w:r w:rsidRPr="00F67B51">
        <w:rPr>
          <w:rFonts w:ascii="Times New Roman" w:hAnsi="Times New Roman" w:cs="Times New Roman"/>
          <w:sz w:val="24"/>
          <w:szCs w:val="24"/>
        </w:rPr>
        <w:t>MK</w:t>
      </w:r>
      <w:r w:rsidR="003620D7" w:rsidRPr="00F67B51">
        <w:rPr>
          <w:rFonts w:ascii="Times New Roman" w:hAnsi="Times New Roman" w:cs="Times New Roman"/>
          <w:sz w:val="24"/>
          <w:szCs w:val="24"/>
        </w:rPr>
        <w:t xml:space="preserve"> informatīvo ziņojumu par plāna īstenošanu.</w:t>
      </w:r>
    </w:p>
    <w:p w:rsidR="00BB0F43" w:rsidRPr="00F67B51" w:rsidRDefault="00BB0F43" w:rsidP="002C66D8">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Vienlaikus atbilstoši 2014.gada 3.novembra MK sēdes protokola Nr.59 34.paragrāfam IZM atbilstoši </w:t>
      </w:r>
      <w:r w:rsidRPr="00F67B51">
        <w:rPr>
          <w:rFonts w:ascii="Times New Roman" w:hAnsi="Times New Roman" w:cs="Times New Roman"/>
          <w:sz w:val="24"/>
          <w:szCs w:val="24"/>
        </w:rPr>
        <w:t>IAP 2014.–2020.gadam</w:t>
      </w:r>
      <w:r w:rsidRPr="00BB0F43">
        <w:rPr>
          <w:rFonts w:ascii="Times New Roman" w:hAnsi="Times New Roman" w:cs="Times New Roman"/>
          <w:sz w:val="24"/>
          <w:szCs w:val="24"/>
        </w:rPr>
        <w:t xml:space="preserve"> starpposma izvērtējumam </w:t>
      </w:r>
      <w:r w:rsidR="00912130">
        <w:rPr>
          <w:rFonts w:ascii="Times New Roman" w:hAnsi="Times New Roman" w:cs="Times New Roman"/>
          <w:sz w:val="24"/>
          <w:szCs w:val="24"/>
        </w:rPr>
        <w:t>jā</w:t>
      </w:r>
      <w:r w:rsidR="00966AC9">
        <w:rPr>
          <w:rFonts w:ascii="Times New Roman" w:hAnsi="Times New Roman" w:cs="Times New Roman"/>
          <w:sz w:val="24"/>
          <w:szCs w:val="24"/>
        </w:rPr>
        <w:t>ie</w:t>
      </w:r>
      <w:r w:rsidR="00912130">
        <w:rPr>
          <w:rFonts w:ascii="Times New Roman" w:hAnsi="Times New Roman" w:cs="Times New Roman"/>
          <w:sz w:val="24"/>
          <w:szCs w:val="24"/>
        </w:rPr>
        <w:t>sniedz</w:t>
      </w:r>
      <w:r w:rsidRPr="00BB0F43">
        <w:rPr>
          <w:rFonts w:ascii="Times New Roman" w:hAnsi="Times New Roman" w:cs="Times New Roman"/>
          <w:sz w:val="24"/>
          <w:szCs w:val="24"/>
        </w:rPr>
        <w:t xml:space="preserve"> </w:t>
      </w:r>
      <w:r>
        <w:rPr>
          <w:rFonts w:ascii="Times New Roman" w:hAnsi="Times New Roman" w:cs="Times New Roman"/>
          <w:sz w:val="24"/>
          <w:szCs w:val="24"/>
        </w:rPr>
        <w:t>MK</w:t>
      </w:r>
      <w:r w:rsidRPr="00BB0F43">
        <w:rPr>
          <w:rFonts w:ascii="Times New Roman" w:hAnsi="Times New Roman" w:cs="Times New Roman"/>
          <w:sz w:val="24"/>
          <w:szCs w:val="24"/>
        </w:rPr>
        <w:t xml:space="preserve"> informācij</w:t>
      </w:r>
      <w:r w:rsidR="00912130">
        <w:rPr>
          <w:rFonts w:ascii="Times New Roman" w:hAnsi="Times New Roman" w:cs="Times New Roman"/>
          <w:sz w:val="24"/>
          <w:szCs w:val="24"/>
        </w:rPr>
        <w:t>a</w:t>
      </w:r>
      <w:r w:rsidRPr="00BB0F43">
        <w:rPr>
          <w:rFonts w:ascii="Times New Roman" w:hAnsi="Times New Roman" w:cs="Times New Roman"/>
          <w:sz w:val="24"/>
          <w:szCs w:val="24"/>
        </w:rPr>
        <w:t xml:space="preserve"> par laikposmā no 2014.gada līdz 2017.gadam veiktajiem atbalsta pasākumiem speciālo izglītības iestāžu pastāvēšanai kontekstā ar izglītības iestāžu tīkla sakārtošanu</w:t>
      </w:r>
      <w:r>
        <w:rPr>
          <w:rFonts w:ascii="Times New Roman" w:hAnsi="Times New Roman" w:cs="Times New Roman"/>
          <w:sz w:val="24"/>
          <w:szCs w:val="24"/>
        </w:rPr>
        <w:t>.</w:t>
      </w:r>
    </w:p>
    <w:p w:rsidR="00C43EF3" w:rsidRPr="00F67B51" w:rsidRDefault="00C43EF3" w:rsidP="002C66D8">
      <w:pPr>
        <w:spacing w:after="12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Lai nodrošinātu IAP 2014.–2020.gadam un IAP 2014.–2020.gadam īstenošanas plāna 2015.–2017.gadam atskaites procesa saskaņotību, ir sagatavots informatīvais ziņojums "Par Izglītības attīstības pamatnostādņu 2014.–2020.gadam īstenošanas 2014.-2017.gadā starpposma novērtējumu", kurā ir ietverta informācija par IAP 2014.–2020.gadam īstenošanas plāna 2015.–2017.gadam izpildes progresu.</w:t>
      </w:r>
    </w:p>
    <w:p w:rsidR="00C46EEC" w:rsidRPr="00F67B51" w:rsidRDefault="00C46EEC" w:rsidP="002C66D8">
      <w:pPr>
        <w:spacing w:after="120" w:line="240" w:lineRule="auto"/>
        <w:jc w:val="both"/>
        <w:rPr>
          <w:rFonts w:ascii="Times New Roman" w:hAnsi="Times New Roman" w:cs="Times New Roman"/>
          <w:sz w:val="24"/>
          <w:szCs w:val="24"/>
        </w:rPr>
      </w:pPr>
      <w:r w:rsidRPr="00F67B51">
        <w:rPr>
          <w:rFonts w:ascii="Times New Roman" w:hAnsi="Times New Roman" w:cs="Times New Roman"/>
          <w:sz w:val="24"/>
          <w:szCs w:val="24"/>
        </w:rPr>
        <w:tab/>
        <w:t>IAP 2014.-2020.gadam</w:t>
      </w:r>
      <w:r w:rsidR="00A20396" w:rsidRPr="00F67B51">
        <w:rPr>
          <w:rFonts w:ascii="Times New Roman" w:hAnsi="Times New Roman" w:cs="Times New Roman"/>
          <w:sz w:val="24"/>
          <w:szCs w:val="24"/>
        </w:rPr>
        <w:t xml:space="preserve"> ir noteiktas izglītības politikas izaicinājumi un risināmās problēmas, izglītības politikas pamatprincipi, virsmērķis un apakšmērķi, rīcības virzieni, kā arī izglītības politikas rezultāti, darbības rezultāti un rezultatīvie rādītāji to sasniegšanai.</w:t>
      </w:r>
    </w:p>
    <w:p w:rsidR="00A20396" w:rsidRPr="00F67B51" w:rsidRDefault="00A20396" w:rsidP="002C66D8">
      <w:pPr>
        <w:spacing w:after="120" w:line="240" w:lineRule="auto"/>
        <w:jc w:val="both"/>
        <w:rPr>
          <w:rFonts w:ascii="Times New Roman" w:hAnsi="Times New Roman" w:cs="Times New Roman"/>
          <w:sz w:val="24"/>
          <w:szCs w:val="24"/>
        </w:rPr>
      </w:pPr>
      <w:r w:rsidRPr="00F67B51">
        <w:rPr>
          <w:rFonts w:ascii="Times New Roman" w:hAnsi="Times New Roman" w:cs="Times New Roman"/>
          <w:sz w:val="24"/>
          <w:szCs w:val="24"/>
        </w:rPr>
        <w:tab/>
        <w:t xml:space="preserve">Saskaņā ar IAP 2014.-2020.gadam izglītības attīstības politikas virsmērķis ir </w:t>
      </w:r>
      <w:r w:rsidRPr="00F67B51">
        <w:rPr>
          <w:rFonts w:ascii="Times New Roman" w:hAnsi="Times New Roman" w:cs="Times New Roman"/>
          <w:b/>
          <w:i/>
          <w:sz w:val="24"/>
          <w:szCs w:val="24"/>
        </w:rPr>
        <w:t>kvalitatīva un iekļaujoša izglītība personības attīstībai, cilvēku labklājībai un ilgtspējīgai valsts izaugsmei</w:t>
      </w:r>
      <w:r w:rsidRPr="00F67B51">
        <w:rPr>
          <w:rFonts w:ascii="Times New Roman" w:hAnsi="Times New Roman" w:cs="Times New Roman"/>
          <w:sz w:val="24"/>
          <w:szCs w:val="24"/>
        </w:rPr>
        <w:t xml:space="preserve">. </w:t>
      </w:r>
    </w:p>
    <w:p w:rsidR="005C0996" w:rsidRPr="00F67B51" w:rsidRDefault="005C0996" w:rsidP="002C66D8">
      <w:pPr>
        <w:spacing w:after="120" w:line="240" w:lineRule="auto"/>
        <w:jc w:val="both"/>
        <w:rPr>
          <w:rFonts w:ascii="Times New Roman" w:hAnsi="Times New Roman" w:cs="Times New Roman"/>
          <w:sz w:val="24"/>
          <w:szCs w:val="24"/>
        </w:rPr>
      </w:pPr>
      <w:r w:rsidRPr="00F67B51">
        <w:rPr>
          <w:rFonts w:ascii="Times New Roman" w:hAnsi="Times New Roman" w:cs="Times New Roman"/>
          <w:sz w:val="24"/>
          <w:szCs w:val="24"/>
        </w:rPr>
        <w:tab/>
        <w:t>Informatīvajā ziņojumā par IAP 2014.–2020.gadam īstenošanas 2014.-2017.gadā starpposma novērtējumu ir atspoguļoti īstenotās aktivitātes atbilstoši trim noteiktajiem apakšmērķiem un tiem pakļautajiem rīcības virzieniem:</w:t>
      </w:r>
    </w:p>
    <w:p w:rsidR="00A20396" w:rsidRPr="00F67B51" w:rsidRDefault="00A20396" w:rsidP="004C6EAA">
      <w:pPr>
        <w:pStyle w:val="ListParagraph"/>
        <w:numPr>
          <w:ilvl w:val="0"/>
          <w:numId w:val="7"/>
        </w:numPr>
        <w:ind w:left="426"/>
        <w:jc w:val="both"/>
        <w:rPr>
          <w:rFonts w:eastAsiaTheme="minorHAnsi"/>
        </w:rPr>
      </w:pPr>
      <w:r w:rsidRPr="00F67B51">
        <w:rPr>
          <w:rFonts w:eastAsiaTheme="minorHAnsi"/>
          <w:b/>
        </w:rPr>
        <w:t>Izglītības vide: paaugstināt izglītības vides kvalitāti, veicot satura pilnveidi un attīstot atbilstošu infrastruktūru</w:t>
      </w:r>
      <w:r w:rsidR="00781335" w:rsidRPr="00F67B51">
        <w:t>:</w:t>
      </w:r>
    </w:p>
    <w:p w:rsidR="00781335" w:rsidRPr="00F67B51" w:rsidRDefault="00781335" w:rsidP="004C6EAA">
      <w:pPr>
        <w:pStyle w:val="ListParagraph"/>
        <w:jc w:val="both"/>
        <w:rPr>
          <w:rFonts w:eastAsiaTheme="minorHAnsi"/>
        </w:rPr>
      </w:pPr>
      <w:r w:rsidRPr="00F67B51">
        <w:rPr>
          <w:rFonts w:eastAsiaTheme="minorHAnsi"/>
        </w:rPr>
        <w:t>1.1. Uz zināšanu sabiedrībā pieprasītām kompetencēm orientēta, radošumu, inovāciju un veselīga dzīvesveida veicinoša izglītības satura pilnveide.</w:t>
      </w:r>
    </w:p>
    <w:p w:rsidR="00781335" w:rsidRPr="00F67B51" w:rsidRDefault="00781335" w:rsidP="004C6EAA">
      <w:pPr>
        <w:pStyle w:val="ListParagraph"/>
        <w:jc w:val="both"/>
        <w:rPr>
          <w:rFonts w:eastAsiaTheme="minorHAnsi"/>
        </w:rPr>
      </w:pPr>
      <w:r w:rsidRPr="00F67B51">
        <w:rPr>
          <w:rFonts w:eastAsiaTheme="minorHAnsi"/>
        </w:rPr>
        <w:t>1.2. Pedagogu un akadēmiskā personāla motivācijas un profesionālās kapacitātes paaugstināšana.</w:t>
      </w:r>
    </w:p>
    <w:p w:rsidR="00781335" w:rsidRPr="00F67B51" w:rsidRDefault="00781335" w:rsidP="004C6EAA">
      <w:pPr>
        <w:pStyle w:val="ListParagraph"/>
        <w:jc w:val="both"/>
        <w:rPr>
          <w:rFonts w:eastAsiaTheme="minorHAnsi"/>
        </w:rPr>
      </w:pPr>
      <w:r w:rsidRPr="00F67B51">
        <w:rPr>
          <w:rFonts w:eastAsiaTheme="minorHAnsi"/>
        </w:rPr>
        <w:t>1.3. 21.gadsimtam atbilstīgas izglītības vides un izglītības procesa nodrošināšana.</w:t>
      </w:r>
    </w:p>
    <w:p w:rsidR="00882503" w:rsidRDefault="00781335" w:rsidP="00882503">
      <w:pPr>
        <w:pStyle w:val="ListParagraph"/>
        <w:spacing w:after="120"/>
        <w:jc w:val="both"/>
        <w:rPr>
          <w:rFonts w:eastAsiaTheme="minorHAnsi"/>
        </w:rPr>
      </w:pPr>
      <w:r w:rsidRPr="00F67B51">
        <w:rPr>
          <w:rFonts w:eastAsiaTheme="minorHAnsi"/>
        </w:rPr>
        <w:t>1.4. Iekļaujošās izglītības principa īstenošana un sociālās atstumtības riska mazināšana.</w:t>
      </w:r>
    </w:p>
    <w:p w:rsidR="00882503" w:rsidRPr="00882503" w:rsidRDefault="00882503" w:rsidP="00882503">
      <w:pPr>
        <w:pStyle w:val="ListParagraph"/>
        <w:spacing w:after="120"/>
        <w:jc w:val="both"/>
        <w:rPr>
          <w:rFonts w:eastAsiaTheme="minorHAnsi"/>
          <w:sz w:val="12"/>
          <w:szCs w:val="12"/>
        </w:rPr>
      </w:pPr>
    </w:p>
    <w:p w:rsidR="00A20396" w:rsidRPr="00F67B51" w:rsidRDefault="00A20396" w:rsidP="002C66D8">
      <w:pPr>
        <w:pStyle w:val="ListParagraph"/>
        <w:numPr>
          <w:ilvl w:val="0"/>
          <w:numId w:val="7"/>
        </w:numPr>
        <w:spacing w:before="120"/>
        <w:ind w:left="425" w:hanging="357"/>
        <w:jc w:val="both"/>
        <w:rPr>
          <w:rFonts w:eastAsiaTheme="minorHAnsi"/>
        </w:rPr>
      </w:pPr>
      <w:r w:rsidRPr="00F67B51">
        <w:rPr>
          <w:rFonts w:eastAsiaTheme="minorHAnsi"/>
          <w:b/>
        </w:rPr>
        <w:t>Indivīdu prasmes: veicināt vērtībizglītībā balstītu indivīda profesionālo un sociālo</w:t>
      </w:r>
      <w:r w:rsidR="00C42F17" w:rsidRPr="00F67B51">
        <w:rPr>
          <w:rFonts w:eastAsiaTheme="minorHAnsi"/>
          <w:b/>
        </w:rPr>
        <w:t xml:space="preserve"> prasmju attīstību dzīvei un konkurētspējai darba vidē</w:t>
      </w:r>
      <w:r w:rsidR="00781335" w:rsidRPr="00F67B51">
        <w:rPr>
          <w:rFonts w:eastAsiaTheme="minorHAnsi"/>
        </w:rPr>
        <w:t>:</w:t>
      </w:r>
    </w:p>
    <w:p w:rsidR="00781335" w:rsidRPr="00F67B51" w:rsidRDefault="00781335" w:rsidP="004C6EAA">
      <w:pPr>
        <w:pStyle w:val="ListParagraph"/>
        <w:jc w:val="both"/>
        <w:rPr>
          <w:rFonts w:eastAsiaTheme="minorHAnsi"/>
        </w:rPr>
      </w:pPr>
      <w:r w:rsidRPr="00F67B51">
        <w:rPr>
          <w:rFonts w:eastAsiaTheme="minorHAnsi"/>
        </w:rPr>
        <w:lastRenderedPageBreak/>
        <w:t>2.1. Karjeras izglītības sistēmas attīstība</w:t>
      </w:r>
      <w:r w:rsidR="00AC3033" w:rsidRPr="00F67B51">
        <w:rPr>
          <w:rFonts w:eastAsiaTheme="minorHAnsi"/>
        </w:rPr>
        <w:t xml:space="preserve"> </w:t>
      </w:r>
      <w:r w:rsidRPr="00F67B51">
        <w:rPr>
          <w:rFonts w:eastAsiaTheme="minorHAnsi"/>
        </w:rPr>
        <w:t>un pakalpojumu pieejamība.</w:t>
      </w:r>
    </w:p>
    <w:p w:rsidR="00AC3033" w:rsidRPr="00F67B51" w:rsidRDefault="00AC3033" w:rsidP="004C6EAA">
      <w:pPr>
        <w:pStyle w:val="ListParagraph"/>
        <w:jc w:val="both"/>
        <w:rPr>
          <w:rFonts w:eastAsiaTheme="minorHAnsi"/>
        </w:rPr>
      </w:pPr>
      <w:r w:rsidRPr="00F67B51">
        <w:rPr>
          <w:rFonts w:eastAsiaTheme="minorHAnsi"/>
        </w:rPr>
        <w:t>2.2. Priekšlaicīgi mācības pametušo un izglītību neieguvušo skaita samazināšana.</w:t>
      </w:r>
    </w:p>
    <w:p w:rsidR="00AC3033" w:rsidRPr="00F67B51" w:rsidRDefault="00AC3033" w:rsidP="004C6EAA">
      <w:pPr>
        <w:pStyle w:val="ListParagraph"/>
        <w:jc w:val="both"/>
        <w:rPr>
          <w:rFonts w:eastAsiaTheme="minorHAnsi"/>
        </w:rPr>
      </w:pPr>
      <w:r w:rsidRPr="00F67B51">
        <w:rPr>
          <w:rFonts w:eastAsiaTheme="minorHAnsi"/>
        </w:rPr>
        <w:t>2.3. Ārpus formālās izglītības iespēju un pieejamības bērniem un jauniešiem paplašināšana</w:t>
      </w:r>
      <w:r w:rsidR="00135168" w:rsidRPr="00F67B51">
        <w:rPr>
          <w:rFonts w:eastAsiaTheme="minorHAnsi"/>
        </w:rPr>
        <w:t>.</w:t>
      </w:r>
    </w:p>
    <w:p w:rsidR="00AC3033" w:rsidRDefault="00AC3033" w:rsidP="004C6EAA">
      <w:pPr>
        <w:pStyle w:val="ListParagraph"/>
        <w:jc w:val="both"/>
        <w:rPr>
          <w:rFonts w:eastAsiaTheme="minorHAnsi"/>
        </w:rPr>
      </w:pPr>
      <w:r w:rsidRPr="00F67B51">
        <w:rPr>
          <w:rFonts w:eastAsiaTheme="minorHAnsi"/>
        </w:rPr>
        <w:t>2.4. Izglītības iespēju paplašināšana pieaugušajiem</w:t>
      </w:r>
      <w:r w:rsidR="00882503">
        <w:rPr>
          <w:rFonts w:eastAsiaTheme="minorHAnsi"/>
        </w:rPr>
        <w:t>.</w:t>
      </w:r>
    </w:p>
    <w:p w:rsidR="00882503" w:rsidRPr="00882503" w:rsidRDefault="00882503" w:rsidP="004C6EAA">
      <w:pPr>
        <w:pStyle w:val="ListParagraph"/>
        <w:jc w:val="both"/>
        <w:rPr>
          <w:rFonts w:eastAsiaTheme="minorHAnsi"/>
          <w:sz w:val="12"/>
          <w:szCs w:val="12"/>
        </w:rPr>
      </w:pPr>
    </w:p>
    <w:p w:rsidR="00410C53" w:rsidRPr="00F67B51" w:rsidRDefault="00A20396" w:rsidP="004C6EAA">
      <w:pPr>
        <w:pStyle w:val="ListParagraph"/>
        <w:numPr>
          <w:ilvl w:val="0"/>
          <w:numId w:val="7"/>
        </w:numPr>
        <w:ind w:left="426"/>
        <w:jc w:val="both"/>
        <w:rPr>
          <w:rFonts w:eastAsiaTheme="minorHAnsi"/>
        </w:rPr>
      </w:pPr>
      <w:r w:rsidRPr="00F67B51">
        <w:rPr>
          <w:rFonts w:eastAsiaTheme="minorHAnsi"/>
          <w:b/>
        </w:rPr>
        <w:t>Efektīva pārvaldība: uzlabot resursu pārvaldības efektivitāti, attīstot izglītības iestāžu institucionālo izcilību</w:t>
      </w:r>
      <w:r w:rsidR="00781335" w:rsidRPr="00F67B51">
        <w:rPr>
          <w:rFonts w:eastAsiaTheme="minorHAnsi"/>
        </w:rPr>
        <w:t>:</w:t>
      </w:r>
    </w:p>
    <w:p w:rsidR="00781335" w:rsidRPr="00F67B51" w:rsidRDefault="00AC3033" w:rsidP="004C6EAA">
      <w:pPr>
        <w:pStyle w:val="ListParagraph"/>
        <w:jc w:val="both"/>
        <w:rPr>
          <w:rFonts w:eastAsiaTheme="minorHAnsi"/>
        </w:rPr>
      </w:pPr>
      <w:r w:rsidRPr="00F67B51">
        <w:rPr>
          <w:rFonts w:eastAsiaTheme="minorHAnsi"/>
        </w:rPr>
        <w:t>3.1. Izglītības kvalitātes monitoringa sistēmas pilnveide</w:t>
      </w:r>
      <w:r w:rsidR="00135168" w:rsidRPr="00F67B51">
        <w:rPr>
          <w:rFonts w:eastAsiaTheme="minorHAnsi"/>
        </w:rPr>
        <w:t>.</w:t>
      </w:r>
    </w:p>
    <w:p w:rsidR="00AC3033" w:rsidRPr="00F67B51" w:rsidRDefault="00AC3033" w:rsidP="004C6EAA">
      <w:pPr>
        <w:pStyle w:val="ListParagraph"/>
        <w:jc w:val="both"/>
        <w:rPr>
          <w:rFonts w:eastAsiaTheme="minorHAnsi"/>
        </w:rPr>
      </w:pPr>
      <w:r w:rsidRPr="00F67B51">
        <w:rPr>
          <w:rFonts w:eastAsiaTheme="minorHAnsi"/>
        </w:rPr>
        <w:t>3.2. Efektīva izglītības finanšu resursu pārvaldība</w:t>
      </w:r>
      <w:r w:rsidR="00135168" w:rsidRPr="00F67B51">
        <w:rPr>
          <w:rFonts w:eastAsiaTheme="minorHAnsi"/>
        </w:rPr>
        <w:t>.</w:t>
      </w:r>
    </w:p>
    <w:p w:rsidR="00AC3033" w:rsidRPr="00F67B51" w:rsidRDefault="00AC3033" w:rsidP="004C6EAA">
      <w:pPr>
        <w:pStyle w:val="ListParagraph"/>
        <w:jc w:val="both"/>
        <w:rPr>
          <w:rFonts w:eastAsiaTheme="minorHAnsi"/>
        </w:rPr>
      </w:pPr>
      <w:r w:rsidRPr="00F67B51">
        <w:rPr>
          <w:rFonts w:eastAsiaTheme="minorHAnsi"/>
        </w:rPr>
        <w:t>3.3. Izglītības iestāžu tīkla sakārtošana</w:t>
      </w:r>
      <w:r w:rsidR="00135168" w:rsidRPr="00F67B51">
        <w:rPr>
          <w:rFonts w:eastAsiaTheme="minorHAnsi"/>
        </w:rPr>
        <w:t>.</w:t>
      </w:r>
    </w:p>
    <w:p w:rsidR="00694CF9" w:rsidRDefault="00AC3033" w:rsidP="004C6EAA">
      <w:pPr>
        <w:pStyle w:val="ListParagraph"/>
        <w:jc w:val="both"/>
        <w:rPr>
          <w:rFonts w:eastAsiaTheme="minorHAnsi"/>
        </w:rPr>
      </w:pPr>
      <w:r w:rsidRPr="00F67B51">
        <w:rPr>
          <w:rFonts w:eastAsiaTheme="minorHAnsi"/>
        </w:rPr>
        <w:t>3.4. Izglītības starptautiskā konkurētspēja</w:t>
      </w:r>
      <w:r w:rsidR="00135168" w:rsidRPr="00F67B51">
        <w:rPr>
          <w:rFonts w:eastAsiaTheme="minorHAnsi"/>
        </w:rPr>
        <w:t>.</w:t>
      </w:r>
    </w:p>
    <w:p w:rsidR="00882503" w:rsidRPr="00882503" w:rsidRDefault="00882503" w:rsidP="004C6EAA">
      <w:pPr>
        <w:pStyle w:val="ListParagraph"/>
        <w:jc w:val="both"/>
        <w:rPr>
          <w:rFonts w:eastAsiaTheme="minorHAnsi"/>
          <w:sz w:val="12"/>
          <w:szCs w:val="12"/>
        </w:rPr>
      </w:pPr>
    </w:p>
    <w:p w:rsidR="00694CF9" w:rsidRPr="00F67B51" w:rsidRDefault="00694CF9" w:rsidP="00882503">
      <w:pPr>
        <w:spacing w:after="12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 xml:space="preserve">Šo </w:t>
      </w:r>
      <w:r w:rsidR="00E833E5" w:rsidRPr="00F67B51">
        <w:rPr>
          <w:rFonts w:ascii="Times New Roman" w:hAnsi="Times New Roman" w:cs="Times New Roman"/>
          <w:sz w:val="24"/>
          <w:szCs w:val="24"/>
        </w:rPr>
        <w:t>12</w:t>
      </w:r>
      <w:r w:rsidRPr="00F67B51">
        <w:rPr>
          <w:rFonts w:ascii="Times New Roman" w:hAnsi="Times New Roman" w:cs="Times New Roman"/>
          <w:sz w:val="24"/>
          <w:szCs w:val="24"/>
        </w:rPr>
        <w:t xml:space="preserve"> </w:t>
      </w:r>
      <w:r w:rsidR="00135168" w:rsidRPr="00F67B51">
        <w:rPr>
          <w:rFonts w:ascii="Times New Roman" w:hAnsi="Times New Roman" w:cs="Times New Roman"/>
          <w:sz w:val="24"/>
          <w:szCs w:val="24"/>
        </w:rPr>
        <w:t>rīcības</w:t>
      </w:r>
      <w:r w:rsidRPr="00F67B51">
        <w:rPr>
          <w:rFonts w:ascii="Times New Roman" w:hAnsi="Times New Roman" w:cs="Times New Roman"/>
          <w:sz w:val="24"/>
          <w:szCs w:val="24"/>
        </w:rPr>
        <w:t xml:space="preserve"> virzienu efektivitāte izglītības attīstībā ir vērtējama atbilstoši noteiktajiem rādītājiem, kas ir atspoguļoti šajā ziņojumā saskaņā ar informāciju par īstenotajiem pasākumiem un pieejamajiem statistikas datiem.</w:t>
      </w:r>
    </w:p>
    <w:p w:rsidR="00694CF9" w:rsidRDefault="00390403" w:rsidP="00390403">
      <w:pPr>
        <w:spacing w:after="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Informatīvaj</w:t>
      </w:r>
      <w:r>
        <w:rPr>
          <w:rFonts w:ascii="Times New Roman" w:hAnsi="Times New Roman" w:cs="Times New Roman"/>
          <w:sz w:val="24"/>
          <w:szCs w:val="24"/>
        </w:rPr>
        <w:t>am</w:t>
      </w:r>
      <w:r w:rsidRPr="00F67B51">
        <w:rPr>
          <w:rFonts w:ascii="Times New Roman" w:hAnsi="Times New Roman" w:cs="Times New Roman"/>
          <w:sz w:val="24"/>
          <w:szCs w:val="24"/>
        </w:rPr>
        <w:t xml:space="preserve"> ziņojum</w:t>
      </w:r>
      <w:r>
        <w:rPr>
          <w:rFonts w:ascii="Times New Roman" w:hAnsi="Times New Roman" w:cs="Times New Roman"/>
          <w:sz w:val="24"/>
          <w:szCs w:val="24"/>
        </w:rPr>
        <w:t>am</w:t>
      </w:r>
      <w:r w:rsidRPr="00F67B51">
        <w:rPr>
          <w:rFonts w:ascii="Times New Roman" w:hAnsi="Times New Roman" w:cs="Times New Roman"/>
          <w:sz w:val="24"/>
          <w:szCs w:val="24"/>
        </w:rPr>
        <w:t xml:space="preserve"> par IAP 2014.–2020.gadam īstenošanas 2014.-2017.gadā starpposma novērtējumu</w:t>
      </w:r>
      <w:r>
        <w:rPr>
          <w:rFonts w:ascii="Times New Roman" w:hAnsi="Times New Roman" w:cs="Times New Roman"/>
          <w:sz w:val="24"/>
          <w:szCs w:val="24"/>
        </w:rPr>
        <w:t xml:space="preserve"> ir </w:t>
      </w:r>
      <w:r w:rsidR="00890CB5">
        <w:rPr>
          <w:rFonts w:ascii="Times New Roman" w:hAnsi="Times New Roman" w:cs="Times New Roman"/>
          <w:sz w:val="24"/>
          <w:szCs w:val="24"/>
        </w:rPr>
        <w:t>pievienoti</w:t>
      </w:r>
      <w:r>
        <w:rPr>
          <w:rFonts w:ascii="Times New Roman" w:hAnsi="Times New Roman" w:cs="Times New Roman"/>
          <w:sz w:val="24"/>
          <w:szCs w:val="24"/>
        </w:rPr>
        <w:t xml:space="preserve"> divi pielikumi:</w:t>
      </w:r>
    </w:p>
    <w:p w:rsidR="00390403" w:rsidRPr="00601A9E" w:rsidRDefault="00390403" w:rsidP="00601A9E">
      <w:pPr>
        <w:pStyle w:val="ListParagraph"/>
        <w:numPr>
          <w:ilvl w:val="0"/>
          <w:numId w:val="12"/>
        </w:numPr>
        <w:jc w:val="both"/>
      </w:pPr>
      <w:r w:rsidRPr="00601A9E">
        <w:t>1.pielikums “Izglītības attīstības pamatnostādņu 2014.-2020.gadam īstenošanas plāna 2015.-2017.gadam izpilde”, kas ietver detalizētāku informāciju par plānā ietverto pasākumu izpildes statusu un galvenajām aktivitātēm;</w:t>
      </w:r>
    </w:p>
    <w:p w:rsidR="00390403" w:rsidRPr="008144D3" w:rsidRDefault="00390403" w:rsidP="00390403">
      <w:pPr>
        <w:pStyle w:val="ListParagraph"/>
        <w:numPr>
          <w:ilvl w:val="0"/>
          <w:numId w:val="12"/>
        </w:numPr>
        <w:jc w:val="both"/>
      </w:pPr>
      <w:r w:rsidRPr="00601A9E">
        <w:t xml:space="preserve">2.pielikums “Izglītības attīstības pamatnostādņu 2014.-2020.gadam rezultatīvo rādītāju sasniegšanas progress”, kas ietver informāciju par IAP 2014.-2020.gadam politikas rezultātu un darbības rezultātu rezultatīvo rādītāju sasniegšanas virzību. </w:t>
      </w:r>
    </w:p>
    <w:p w:rsidR="00E833E5" w:rsidRDefault="008314B3" w:rsidP="008144D3">
      <w:pPr>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Informatīvā ziņojuma sadaļ</w:t>
      </w:r>
      <w:r w:rsidR="008144D3">
        <w:rPr>
          <w:rFonts w:ascii="Times New Roman" w:hAnsi="Times New Roman" w:cs="Times New Roman"/>
          <w:sz w:val="24"/>
          <w:szCs w:val="24"/>
        </w:rPr>
        <w:t>ā</w:t>
      </w:r>
      <w:r>
        <w:rPr>
          <w:rFonts w:ascii="Times New Roman" w:hAnsi="Times New Roman" w:cs="Times New Roman"/>
          <w:sz w:val="24"/>
          <w:szCs w:val="24"/>
        </w:rPr>
        <w:t xml:space="preserve"> “Secinājumi un turpmākā rīcība” i</w:t>
      </w:r>
      <w:r w:rsidR="008144D3">
        <w:rPr>
          <w:rFonts w:ascii="Times New Roman" w:hAnsi="Times New Roman" w:cs="Times New Roman"/>
          <w:sz w:val="24"/>
          <w:szCs w:val="24"/>
        </w:rPr>
        <w:t>r iekļauta informācija par pasākumu grupām pēc izpildes progresa, kā arī apkopojums par svarīgākajiem paveiktajiem darbiem atskaites periodā.</w:t>
      </w:r>
    </w:p>
    <w:p w:rsidR="008144D3" w:rsidRDefault="008144D3" w:rsidP="008144D3">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Strādājot pie informatīvā ziņojuma par</w:t>
      </w:r>
      <w:r w:rsidRPr="008144D3">
        <w:rPr>
          <w:rFonts w:ascii="Times New Roman" w:hAnsi="Times New Roman" w:cs="Times New Roman"/>
          <w:sz w:val="24"/>
          <w:szCs w:val="24"/>
        </w:rPr>
        <w:t xml:space="preserve"> </w:t>
      </w:r>
      <w:r w:rsidRPr="00F67B51">
        <w:rPr>
          <w:rFonts w:ascii="Times New Roman" w:hAnsi="Times New Roman" w:cs="Times New Roman"/>
          <w:sz w:val="24"/>
          <w:szCs w:val="24"/>
        </w:rPr>
        <w:t>IAP 2014.–2020.gadam</w:t>
      </w:r>
      <w:r>
        <w:rPr>
          <w:rFonts w:ascii="Times New Roman" w:hAnsi="Times New Roman" w:cs="Times New Roman"/>
          <w:sz w:val="24"/>
          <w:szCs w:val="24"/>
        </w:rPr>
        <w:t xml:space="preserve"> īstenošanu un vērtējot IAP </w:t>
      </w:r>
      <w:r w:rsidRPr="00F67B51">
        <w:rPr>
          <w:rFonts w:ascii="Times New Roman" w:hAnsi="Times New Roman" w:cs="Times New Roman"/>
          <w:sz w:val="24"/>
          <w:szCs w:val="24"/>
        </w:rPr>
        <w:t>2014.–2020.gadam</w:t>
      </w:r>
      <w:r>
        <w:rPr>
          <w:rFonts w:ascii="Times New Roman" w:hAnsi="Times New Roman" w:cs="Times New Roman"/>
          <w:sz w:val="24"/>
          <w:szCs w:val="24"/>
        </w:rPr>
        <w:t xml:space="preserve"> iekļauto pasākumu izpildes progresu, tika iezīmēti tie, kuri būtu akcentējami kā </w:t>
      </w:r>
      <w:r>
        <w:rPr>
          <w:rFonts w:ascii="Times New Roman" w:eastAsia="Times New Roman" w:hAnsi="Times New Roman" w:cs="Times New Roman"/>
          <w:sz w:val="24"/>
          <w:szCs w:val="24"/>
          <w:lang w:eastAsia="lv-LV"/>
        </w:rPr>
        <w:t xml:space="preserve">prioritārie turpmākajai rīcībai esošā plānošanas perioda ietvaros, kā arī </w:t>
      </w:r>
      <w:r w:rsidR="00082A6D">
        <w:rPr>
          <w:rFonts w:ascii="Times New Roman" w:eastAsia="Times New Roman" w:hAnsi="Times New Roman" w:cs="Times New Roman"/>
          <w:sz w:val="24"/>
          <w:szCs w:val="24"/>
          <w:lang w:eastAsia="lv-LV"/>
        </w:rPr>
        <w:t xml:space="preserve">indikatīvi </w:t>
      </w:r>
      <w:r>
        <w:rPr>
          <w:rFonts w:ascii="Times New Roman" w:eastAsia="Times New Roman" w:hAnsi="Times New Roman" w:cs="Times New Roman"/>
          <w:sz w:val="24"/>
          <w:szCs w:val="24"/>
          <w:lang w:eastAsia="lv-LV"/>
        </w:rPr>
        <w:t>pēc 2020.gada.</w:t>
      </w:r>
    </w:p>
    <w:p w:rsidR="008144D3" w:rsidRDefault="008144D3" w:rsidP="008144D3">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Vienlaikus </w:t>
      </w:r>
      <w:r w:rsidR="00892A50">
        <w:rPr>
          <w:rFonts w:ascii="Times New Roman" w:eastAsia="Times New Roman" w:hAnsi="Times New Roman" w:cs="Times New Roman"/>
          <w:sz w:val="24"/>
          <w:szCs w:val="24"/>
          <w:lang w:eastAsia="lv-LV"/>
        </w:rPr>
        <w:t xml:space="preserve">vērtējot </w:t>
      </w:r>
      <w:r w:rsidR="00892A50" w:rsidRPr="00F67B51">
        <w:rPr>
          <w:rFonts w:ascii="Times New Roman" w:hAnsi="Times New Roman" w:cs="Times New Roman"/>
          <w:sz w:val="24"/>
          <w:szCs w:val="24"/>
        </w:rPr>
        <w:t>IAP 2014.–2020.gadam</w:t>
      </w:r>
      <w:r w:rsidR="00892A50">
        <w:rPr>
          <w:rFonts w:ascii="Times New Roman" w:hAnsi="Times New Roman" w:cs="Times New Roman"/>
          <w:sz w:val="24"/>
          <w:szCs w:val="24"/>
        </w:rPr>
        <w:t xml:space="preserve"> </w:t>
      </w:r>
      <w:r w:rsidR="00892A50">
        <w:rPr>
          <w:rFonts w:ascii="Times New Roman" w:eastAsia="Times New Roman" w:hAnsi="Times New Roman" w:cs="Times New Roman"/>
          <w:sz w:val="24"/>
          <w:szCs w:val="24"/>
          <w:lang w:eastAsia="lv-LV"/>
        </w:rPr>
        <w:t>rezultatīvos rādītājus un to sasniegšanas progresu, tika secināts, ka virkne no tiem atspoguļo Eiropas Savienības (ES)</w:t>
      </w:r>
      <w:r w:rsidR="00734E46">
        <w:rPr>
          <w:rFonts w:ascii="Times New Roman" w:eastAsia="Times New Roman" w:hAnsi="Times New Roman" w:cs="Times New Roman"/>
          <w:sz w:val="24"/>
          <w:szCs w:val="24"/>
          <w:lang w:eastAsia="lv-LV"/>
        </w:rPr>
        <w:t xml:space="preserve"> fondu un citu ārvalstu finanšu instrumentu procesus un kā rezultātā zaudēs aktualitāti vai mainīsies pēc atbalsta programmu beigām. Attiecīgi plānojot </w:t>
      </w:r>
      <w:r w:rsidR="008C7B62">
        <w:rPr>
          <w:rFonts w:ascii="Times New Roman" w:eastAsia="Times New Roman" w:hAnsi="Times New Roman" w:cs="Times New Roman"/>
          <w:sz w:val="24"/>
          <w:szCs w:val="24"/>
          <w:lang w:eastAsia="lv-LV"/>
        </w:rPr>
        <w:t>izglītības politikas attīstību 2021.-2027.gad</w:t>
      </w:r>
      <w:r w:rsidR="00934F17">
        <w:rPr>
          <w:rFonts w:ascii="Times New Roman" w:eastAsia="Times New Roman" w:hAnsi="Times New Roman" w:cs="Times New Roman"/>
          <w:sz w:val="24"/>
          <w:szCs w:val="24"/>
          <w:lang w:eastAsia="lv-LV"/>
        </w:rPr>
        <w:t>a</w:t>
      </w:r>
      <w:r w:rsidR="008C7B62">
        <w:rPr>
          <w:rFonts w:ascii="Times New Roman" w:eastAsia="Times New Roman" w:hAnsi="Times New Roman" w:cs="Times New Roman"/>
          <w:sz w:val="24"/>
          <w:szCs w:val="24"/>
          <w:lang w:eastAsia="lv-LV"/>
        </w:rPr>
        <w:t xml:space="preserve"> periodā, būtu nepieciešams noteikt rezultatīvos rādītājus, kas vairāk fokusējas uz izglītības politikas darbībām un raksturo to ietekm</w:t>
      </w:r>
      <w:r w:rsidR="00934F17">
        <w:rPr>
          <w:rFonts w:ascii="Times New Roman" w:eastAsia="Times New Roman" w:hAnsi="Times New Roman" w:cs="Times New Roman"/>
          <w:sz w:val="24"/>
          <w:szCs w:val="24"/>
          <w:lang w:eastAsia="lv-LV"/>
        </w:rPr>
        <w:t xml:space="preserve">i un </w:t>
      </w:r>
      <w:r w:rsidR="00F56C55">
        <w:rPr>
          <w:rFonts w:ascii="Times New Roman" w:eastAsia="Times New Roman" w:hAnsi="Times New Roman" w:cs="Times New Roman"/>
          <w:sz w:val="24"/>
          <w:szCs w:val="24"/>
          <w:lang w:eastAsia="lv-LV"/>
        </w:rPr>
        <w:t>kvalitāti</w:t>
      </w:r>
      <w:r w:rsidR="008C7B62">
        <w:rPr>
          <w:rFonts w:ascii="Times New Roman" w:eastAsia="Times New Roman" w:hAnsi="Times New Roman" w:cs="Times New Roman"/>
          <w:sz w:val="24"/>
          <w:szCs w:val="24"/>
          <w:lang w:eastAsia="lv-LV"/>
        </w:rPr>
        <w:t>.</w:t>
      </w:r>
    </w:p>
    <w:p w:rsidR="001F1F26" w:rsidRDefault="001F1F26" w:rsidP="008144D3">
      <w:pPr>
        <w:spacing w:before="120"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Ievērojot minēto, </w:t>
      </w:r>
      <w:r w:rsidR="00945D7D">
        <w:rPr>
          <w:rFonts w:ascii="Times New Roman" w:hAnsi="Times New Roman" w:cs="Times New Roman"/>
          <w:sz w:val="24"/>
          <w:szCs w:val="24"/>
        </w:rPr>
        <w:t xml:space="preserve">ziņojuma sadaļā “Secinājumi un turpmākā rīcība” ir iekļauta arī informācija par prioritārajiem pasākumiem </w:t>
      </w:r>
      <w:r w:rsidR="00945D7D" w:rsidRPr="00F67B51">
        <w:rPr>
          <w:rFonts w:ascii="Times New Roman" w:hAnsi="Times New Roman" w:cs="Times New Roman"/>
          <w:sz w:val="24"/>
          <w:szCs w:val="24"/>
        </w:rPr>
        <w:t>IAP 2014.–2020.gadam</w:t>
      </w:r>
      <w:r w:rsidR="00945D7D">
        <w:rPr>
          <w:rFonts w:ascii="Times New Roman" w:hAnsi="Times New Roman" w:cs="Times New Roman"/>
          <w:sz w:val="24"/>
          <w:szCs w:val="24"/>
        </w:rPr>
        <w:t xml:space="preserve"> īstenošanas perioda ietvaros un indikatīvi arī pēc 2020.gada, kā arī </w:t>
      </w:r>
      <w:r w:rsidR="005D6AA5">
        <w:rPr>
          <w:rFonts w:ascii="Times New Roman" w:hAnsi="Times New Roman" w:cs="Times New Roman"/>
          <w:sz w:val="24"/>
          <w:szCs w:val="24"/>
        </w:rPr>
        <w:t>rezultatīvie rādītāji, k</w:t>
      </w:r>
      <w:r w:rsidR="00F56C55">
        <w:rPr>
          <w:rFonts w:ascii="Times New Roman" w:hAnsi="Times New Roman" w:cs="Times New Roman"/>
          <w:sz w:val="24"/>
          <w:szCs w:val="24"/>
        </w:rPr>
        <w:t>uri</w:t>
      </w:r>
      <w:r w:rsidR="005D6AA5">
        <w:rPr>
          <w:rFonts w:ascii="Times New Roman" w:hAnsi="Times New Roman" w:cs="Times New Roman"/>
          <w:sz w:val="24"/>
          <w:szCs w:val="24"/>
        </w:rPr>
        <w:t xml:space="preserve"> varētu papildināt un uzlabot izglītības politikas aktivitāšu izpildes mērīšanu un ietekmes novērtēšanu.</w:t>
      </w:r>
    </w:p>
    <w:p w:rsidR="008144D3" w:rsidRDefault="008144D3" w:rsidP="00D56051">
      <w:pPr>
        <w:spacing w:after="0" w:line="240" w:lineRule="auto"/>
        <w:jc w:val="both"/>
        <w:rPr>
          <w:rFonts w:ascii="Times New Roman" w:hAnsi="Times New Roman" w:cs="Times New Roman"/>
          <w:sz w:val="24"/>
          <w:szCs w:val="24"/>
        </w:rPr>
      </w:pPr>
    </w:p>
    <w:p w:rsidR="00E833E5" w:rsidRPr="00F67B51" w:rsidRDefault="00E833E5" w:rsidP="004F0E9F">
      <w:pPr>
        <w:spacing w:after="0" w:line="240" w:lineRule="auto"/>
        <w:jc w:val="center"/>
        <w:rPr>
          <w:rFonts w:ascii="Times New Roman" w:hAnsi="Times New Roman" w:cs="Times New Roman"/>
          <w:b/>
          <w:sz w:val="24"/>
          <w:szCs w:val="24"/>
        </w:rPr>
      </w:pPr>
    </w:p>
    <w:p w:rsidR="00E833E5" w:rsidRPr="00F67B51" w:rsidRDefault="00E833E5" w:rsidP="004F0E9F">
      <w:pPr>
        <w:spacing w:after="0" w:line="240" w:lineRule="auto"/>
        <w:jc w:val="center"/>
        <w:rPr>
          <w:rFonts w:ascii="Times New Roman" w:hAnsi="Times New Roman" w:cs="Times New Roman"/>
          <w:b/>
          <w:sz w:val="24"/>
          <w:szCs w:val="24"/>
        </w:rPr>
      </w:pPr>
    </w:p>
    <w:p w:rsidR="00E833E5" w:rsidRPr="00F67B51" w:rsidRDefault="00E833E5" w:rsidP="004F0E9F">
      <w:pPr>
        <w:spacing w:after="0" w:line="240" w:lineRule="auto"/>
        <w:jc w:val="center"/>
        <w:rPr>
          <w:rFonts w:ascii="Times New Roman" w:hAnsi="Times New Roman" w:cs="Times New Roman"/>
          <w:b/>
          <w:sz w:val="24"/>
          <w:szCs w:val="24"/>
        </w:rPr>
      </w:pPr>
    </w:p>
    <w:p w:rsidR="00E833E5" w:rsidRPr="00F67B51" w:rsidRDefault="00E833E5" w:rsidP="004F0E9F">
      <w:pPr>
        <w:spacing w:after="0" w:line="240" w:lineRule="auto"/>
        <w:jc w:val="center"/>
        <w:rPr>
          <w:rFonts w:ascii="Times New Roman" w:hAnsi="Times New Roman" w:cs="Times New Roman"/>
          <w:b/>
          <w:sz w:val="24"/>
          <w:szCs w:val="24"/>
        </w:rPr>
      </w:pPr>
    </w:p>
    <w:p w:rsidR="00E833E5" w:rsidRPr="00F67B51" w:rsidRDefault="00E833E5" w:rsidP="004F0E9F">
      <w:pPr>
        <w:spacing w:after="0" w:line="240" w:lineRule="auto"/>
        <w:jc w:val="center"/>
        <w:rPr>
          <w:rFonts w:ascii="Times New Roman" w:hAnsi="Times New Roman" w:cs="Times New Roman"/>
          <w:b/>
          <w:sz w:val="24"/>
          <w:szCs w:val="24"/>
        </w:rPr>
      </w:pPr>
    </w:p>
    <w:p w:rsidR="00E833E5" w:rsidRPr="00F67B51" w:rsidRDefault="00E833E5" w:rsidP="004F0E9F">
      <w:pPr>
        <w:spacing w:after="0" w:line="240" w:lineRule="auto"/>
        <w:jc w:val="center"/>
        <w:rPr>
          <w:rFonts w:ascii="Times New Roman" w:hAnsi="Times New Roman" w:cs="Times New Roman"/>
          <w:b/>
          <w:sz w:val="24"/>
          <w:szCs w:val="24"/>
        </w:rPr>
      </w:pPr>
    </w:p>
    <w:p w:rsidR="00E833E5" w:rsidRPr="00F67B51" w:rsidRDefault="00E833E5" w:rsidP="004629A3">
      <w:pPr>
        <w:spacing w:after="0" w:line="240" w:lineRule="auto"/>
        <w:rPr>
          <w:rFonts w:ascii="Times New Roman" w:hAnsi="Times New Roman" w:cs="Times New Roman"/>
          <w:b/>
          <w:sz w:val="24"/>
          <w:szCs w:val="24"/>
        </w:rPr>
      </w:pPr>
    </w:p>
    <w:p w:rsidR="004C6EAA" w:rsidRPr="00F67B51" w:rsidRDefault="004C6EAA" w:rsidP="004629A3">
      <w:pPr>
        <w:jc w:val="center"/>
        <w:rPr>
          <w:rFonts w:ascii="Times New Roman" w:hAnsi="Times New Roman" w:cs="Times New Roman"/>
          <w:b/>
          <w:sz w:val="24"/>
          <w:szCs w:val="24"/>
        </w:rPr>
      </w:pPr>
    </w:p>
    <w:p w:rsidR="00694CF9" w:rsidRPr="00F67B51" w:rsidRDefault="00694CF9" w:rsidP="004629A3">
      <w:pPr>
        <w:jc w:val="center"/>
        <w:rPr>
          <w:rFonts w:ascii="Times New Roman" w:hAnsi="Times New Roman" w:cs="Times New Roman"/>
          <w:b/>
          <w:sz w:val="24"/>
          <w:szCs w:val="24"/>
        </w:rPr>
      </w:pPr>
      <w:r w:rsidRPr="00F67B51">
        <w:rPr>
          <w:rFonts w:ascii="Times New Roman" w:hAnsi="Times New Roman" w:cs="Times New Roman"/>
          <w:b/>
          <w:sz w:val="24"/>
          <w:szCs w:val="24"/>
        </w:rPr>
        <w:lastRenderedPageBreak/>
        <w:t>I</w:t>
      </w:r>
      <w:r w:rsidR="00736263" w:rsidRPr="00F67B51">
        <w:rPr>
          <w:rFonts w:ascii="Times New Roman" w:hAnsi="Times New Roman" w:cs="Times New Roman"/>
          <w:b/>
          <w:sz w:val="24"/>
          <w:szCs w:val="24"/>
        </w:rPr>
        <w:t>I</w:t>
      </w:r>
      <w:r w:rsidRPr="00F67B51">
        <w:rPr>
          <w:rFonts w:ascii="Times New Roman" w:hAnsi="Times New Roman" w:cs="Times New Roman"/>
          <w:b/>
          <w:sz w:val="24"/>
          <w:szCs w:val="24"/>
        </w:rPr>
        <w:t xml:space="preserve">. </w:t>
      </w:r>
      <w:r w:rsidR="00736263" w:rsidRPr="00F67B51">
        <w:rPr>
          <w:rFonts w:ascii="Times New Roman" w:hAnsi="Times New Roman" w:cs="Times New Roman"/>
          <w:b/>
          <w:sz w:val="24"/>
          <w:szCs w:val="24"/>
        </w:rPr>
        <w:t>Izglītības attīstības pamatnostādņu 2014.-2020.gadam īstenošanas 2014.–2017.gadā novērtējums</w:t>
      </w: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A22413" w:rsidRPr="00F67B51" w:rsidTr="00340DE1">
        <w:tc>
          <w:tcPr>
            <w:tcW w:w="9351" w:type="dxa"/>
            <w:shd w:val="clear" w:color="auto" w:fill="D9D9D9" w:themeFill="background1" w:themeFillShade="D9"/>
          </w:tcPr>
          <w:p w:rsidR="00B109BD" w:rsidRDefault="00A22413" w:rsidP="00B109BD">
            <w:pPr>
              <w:jc w:val="center"/>
              <w:rPr>
                <w:rFonts w:ascii="Times New Roman" w:hAnsi="Times New Roman" w:cs="Times New Roman"/>
                <w:b/>
                <w:sz w:val="24"/>
                <w:szCs w:val="24"/>
              </w:rPr>
            </w:pPr>
            <w:r w:rsidRPr="00F67B51">
              <w:rPr>
                <w:rFonts w:ascii="Times New Roman" w:hAnsi="Times New Roman" w:cs="Times New Roman"/>
                <w:b/>
                <w:sz w:val="24"/>
                <w:szCs w:val="24"/>
              </w:rPr>
              <w:t xml:space="preserve">1.apakšmērķis. </w:t>
            </w:r>
          </w:p>
          <w:p w:rsidR="00B109BD" w:rsidRDefault="00A22413" w:rsidP="00B109BD">
            <w:pPr>
              <w:jc w:val="center"/>
              <w:rPr>
                <w:rFonts w:ascii="Times New Roman" w:hAnsi="Times New Roman" w:cs="Times New Roman"/>
                <w:b/>
                <w:sz w:val="24"/>
                <w:szCs w:val="24"/>
              </w:rPr>
            </w:pPr>
            <w:r w:rsidRPr="00F67B51">
              <w:rPr>
                <w:rFonts w:ascii="Times New Roman" w:hAnsi="Times New Roman" w:cs="Times New Roman"/>
                <w:b/>
                <w:sz w:val="24"/>
                <w:szCs w:val="24"/>
              </w:rPr>
              <w:t xml:space="preserve">IZGLĪTĪBAS VIDE: </w:t>
            </w:r>
          </w:p>
          <w:p w:rsidR="00A22413" w:rsidRPr="00F67B51" w:rsidRDefault="00A22413" w:rsidP="00B109BD">
            <w:pPr>
              <w:jc w:val="center"/>
              <w:rPr>
                <w:rFonts w:ascii="Times New Roman" w:hAnsi="Times New Roman" w:cs="Times New Roman"/>
                <w:b/>
                <w:sz w:val="24"/>
                <w:szCs w:val="24"/>
              </w:rPr>
            </w:pPr>
            <w:r w:rsidRPr="00F67B51">
              <w:rPr>
                <w:rFonts w:ascii="Times New Roman" w:hAnsi="Times New Roman" w:cs="Times New Roman"/>
                <w:b/>
                <w:sz w:val="24"/>
                <w:szCs w:val="24"/>
              </w:rPr>
              <w:t>paaugstināt izglītības vides kvalitāti, veicot satura pilnveidi un attīstot atbilstošu infrastruktūru</w:t>
            </w:r>
          </w:p>
        </w:tc>
      </w:tr>
    </w:tbl>
    <w:p w:rsidR="004C6EAA" w:rsidRPr="00F67B51" w:rsidRDefault="004C6EAA" w:rsidP="004C6EAA">
      <w:pPr>
        <w:spacing w:after="0"/>
        <w:jc w:val="both"/>
        <w:rPr>
          <w:rFonts w:ascii="Times New Roman" w:hAnsi="Times New Roman" w:cs="Times New Roman"/>
          <w:b/>
          <w:sz w:val="24"/>
          <w:szCs w:val="24"/>
        </w:rPr>
      </w:pPr>
    </w:p>
    <w:p w:rsidR="004C6EAA" w:rsidRPr="00F67B51" w:rsidRDefault="004C6EAA" w:rsidP="004C6EAA">
      <w:pPr>
        <w:spacing w:after="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 xml:space="preserve">Šis apakšmērķis ir vērsts uz izglītības vides kvalitātes uzlabošanu visos izglītības līmeņos, kas ietver indivīdu zināšanu, prasmju un kompetenču attīstošo un nostiprinošo izglītības saturu, profesionālus un kompetentus mācībspēkus, mūsdienīgu mācību vidi un izglītības procesu, </w:t>
      </w:r>
      <w:r w:rsidR="009B038C" w:rsidRPr="00F67B51">
        <w:rPr>
          <w:rFonts w:ascii="Times New Roman" w:hAnsi="Times New Roman" w:cs="Times New Roman"/>
          <w:sz w:val="24"/>
          <w:szCs w:val="24"/>
        </w:rPr>
        <w:t>kā arī iekļaujošās izglītības principa attīstību.</w:t>
      </w:r>
    </w:p>
    <w:p w:rsidR="006D058B" w:rsidRDefault="006D058B" w:rsidP="00B071D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45"/>
      </w:tblGrid>
      <w:tr w:rsidR="00B071D7" w:rsidTr="00B071D7">
        <w:tc>
          <w:tcPr>
            <w:tcW w:w="9345" w:type="dxa"/>
            <w:shd w:val="clear" w:color="auto" w:fill="DEEAF6" w:themeFill="accent1" w:themeFillTint="33"/>
          </w:tcPr>
          <w:p w:rsidR="00B071D7" w:rsidRPr="00B071D7" w:rsidRDefault="00B071D7" w:rsidP="00B071D7">
            <w:pPr>
              <w:jc w:val="both"/>
              <w:rPr>
                <w:rFonts w:ascii="Times New Roman" w:hAnsi="Times New Roman" w:cs="Times New Roman"/>
                <w:b/>
                <w:sz w:val="24"/>
                <w:szCs w:val="24"/>
              </w:rPr>
            </w:pPr>
            <w:r w:rsidRPr="00B071D7">
              <w:rPr>
                <w:rFonts w:ascii="Times New Roman" w:hAnsi="Times New Roman" w:cs="Times New Roman"/>
                <w:b/>
                <w:sz w:val="24"/>
                <w:szCs w:val="24"/>
              </w:rPr>
              <w:t>Rīcības virziens: 1.1. Uz zināšanu sabiedrībā pieprasītām kompetencēm orientēta, radošumu, inovāciju un veselīga dzīves veida veicinoša izglītības satura pilnveide</w:t>
            </w:r>
          </w:p>
        </w:tc>
      </w:tr>
    </w:tbl>
    <w:p w:rsidR="00F13367" w:rsidRDefault="009B038C" w:rsidP="004C6EAA">
      <w:pPr>
        <w:spacing w:after="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Viens no pasaulē ievērojamākajiem rādītāj</w:t>
      </w:r>
      <w:r w:rsidR="00F13367" w:rsidRPr="00F67B51">
        <w:rPr>
          <w:rFonts w:ascii="Times New Roman" w:hAnsi="Times New Roman" w:cs="Times New Roman"/>
          <w:sz w:val="24"/>
          <w:szCs w:val="24"/>
        </w:rPr>
        <w:t>u avotiem</w:t>
      </w:r>
      <w:r w:rsidRPr="00F67B51">
        <w:rPr>
          <w:rFonts w:ascii="Times New Roman" w:hAnsi="Times New Roman" w:cs="Times New Roman"/>
          <w:sz w:val="24"/>
          <w:szCs w:val="24"/>
        </w:rPr>
        <w:t>, kas liecina par izglītības kvalitāti valstī, ir Ekonomiskās sadarbības un attīstības organizācija</w:t>
      </w:r>
      <w:r w:rsidR="00F13367" w:rsidRPr="00F67B51">
        <w:rPr>
          <w:rFonts w:ascii="Times New Roman" w:hAnsi="Times New Roman" w:cs="Times New Roman"/>
          <w:sz w:val="24"/>
          <w:szCs w:val="24"/>
        </w:rPr>
        <w:t>s (OECD)</w:t>
      </w:r>
      <w:r w:rsidRPr="00F67B51">
        <w:rPr>
          <w:rFonts w:ascii="Times New Roman" w:hAnsi="Times New Roman" w:cs="Times New Roman"/>
          <w:sz w:val="24"/>
          <w:szCs w:val="24"/>
        </w:rPr>
        <w:t xml:space="preserve"> Starptautiskās skolēnu novērtēšanas programmas pētījum</w:t>
      </w:r>
      <w:r w:rsidR="00F13367" w:rsidRPr="00F67B51">
        <w:rPr>
          <w:rFonts w:ascii="Times New Roman" w:hAnsi="Times New Roman" w:cs="Times New Roman"/>
          <w:sz w:val="24"/>
          <w:szCs w:val="24"/>
        </w:rPr>
        <w:t>s (PISA), k</w:t>
      </w:r>
      <w:r w:rsidR="000C053C">
        <w:rPr>
          <w:rFonts w:ascii="Times New Roman" w:hAnsi="Times New Roman" w:cs="Times New Roman"/>
          <w:sz w:val="24"/>
          <w:szCs w:val="24"/>
        </w:rPr>
        <w:t>as</w:t>
      </w:r>
      <w:r w:rsidR="00F13367" w:rsidRPr="00F67B51">
        <w:rPr>
          <w:rFonts w:ascii="Times New Roman" w:hAnsi="Times New Roman" w:cs="Times New Roman"/>
          <w:sz w:val="24"/>
          <w:szCs w:val="24"/>
        </w:rPr>
        <w:t xml:space="preserve"> novērtē 15-gadīgu </w:t>
      </w:r>
      <w:r w:rsidR="00F67B51">
        <w:rPr>
          <w:rFonts w:ascii="Times New Roman" w:hAnsi="Times New Roman" w:cs="Times New Roman"/>
          <w:sz w:val="24"/>
          <w:szCs w:val="24"/>
        </w:rPr>
        <w:t>izglītojamo</w:t>
      </w:r>
      <w:r w:rsidR="00F13367" w:rsidRPr="00F67B51">
        <w:rPr>
          <w:rFonts w:ascii="Times New Roman" w:hAnsi="Times New Roman" w:cs="Times New Roman"/>
          <w:sz w:val="24"/>
          <w:szCs w:val="24"/>
        </w:rPr>
        <w:t xml:space="preserve"> prasmes un zināšanas </w:t>
      </w:r>
      <w:r w:rsidR="0072022B" w:rsidRPr="00F67B51">
        <w:rPr>
          <w:rFonts w:ascii="Times New Roman" w:hAnsi="Times New Roman" w:cs="Times New Roman"/>
          <w:sz w:val="24"/>
          <w:szCs w:val="24"/>
        </w:rPr>
        <w:t>lasī</w:t>
      </w:r>
      <w:r w:rsidR="00B01968" w:rsidRPr="00F67B51">
        <w:rPr>
          <w:rFonts w:ascii="Times New Roman" w:hAnsi="Times New Roman" w:cs="Times New Roman"/>
          <w:sz w:val="24"/>
          <w:szCs w:val="24"/>
        </w:rPr>
        <w:t>tprasmē</w:t>
      </w:r>
      <w:r w:rsidR="0072022B" w:rsidRPr="00F67B51">
        <w:rPr>
          <w:rFonts w:ascii="Times New Roman" w:hAnsi="Times New Roman" w:cs="Times New Roman"/>
          <w:sz w:val="24"/>
          <w:szCs w:val="24"/>
        </w:rPr>
        <w:t>, matemātikā</w:t>
      </w:r>
      <w:r w:rsidR="00F13367" w:rsidRPr="00F67B51">
        <w:rPr>
          <w:rFonts w:ascii="Times New Roman" w:hAnsi="Times New Roman" w:cs="Times New Roman"/>
          <w:sz w:val="24"/>
          <w:szCs w:val="24"/>
        </w:rPr>
        <w:t xml:space="preserve"> un dabaszinātnēs, un salīdzina tās starp OECD dalībvalstīm un partnervalstīm. Atbilstoši PISA 2015 pētījuma datiem, Latvijas </w:t>
      </w:r>
      <w:r w:rsidR="00F67B51">
        <w:rPr>
          <w:rFonts w:ascii="Times New Roman" w:hAnsi="Times New Roman" w:cs="Times New Roman"/>
          <w:sz w:val="24"/>
          <w:szCs w:val="24"/>
        </w:rPr>
        <w:t>izglītojamo</w:t>
      </w:r>
      <w:r w:rsidR="00F13367" w:rsidRPr="00F67B51">
        <w:rPr>
          <w:rFonts w:ascii="Times New Roman" w:hAnsi="Times New Roman" w:cs="Times New Roman"/>
          <w:sz w:val="24"/>
          <w:szCs w:val="24"/>
        </w:rPr>
        <w:t xml:space="preserve"> prasmju līmenis kopumā atbilst OECD valstu vidējam līmenim. </w:t>
      </w:r>
    </w:p>
    <w:p w:rsidR="00933655" w:rsidRPr="00BD699E" w:rsidRDefault="00933655" w:rsidP="00933655">
      <w:pPr>
        <w:spacing w:after="0" w:line="240" w:lineRule="auto"/>
        <w:ind w:firstLine="720"/>
        <w:jc w:val="right"/>
        <w:rPr>
          <w:rFonts w:ascii="Times New Roman" w:hAnsi="Times New Roman" w:cs="Times New Roman"/>
          <w:sz w:val="24"/>
          <w:szCs w:val="24"/>
        </w:rPr>
      </w:pPr>
      <w:r w:rsidRPr="00BD699E">
        <w:rPr>
          <w:rFonts w:ascii="Times New Roman" w:hAnsi="Times New Roman" w:cs="Times New Roman"/>
          <w:sz w:val="24"/>
          <w:szCs w:val="24"/>
        </w:rPr>
        <w:t>1.</w:t>
      </w:r>
      <w:r w:rsidR="005644D4">
        <w:rPr>
          <w:rFonts w:ascii="Times New Roman" w:hAnsi="Times New Roman" w:cs="Times New Roman"/>
          <w:sz w:val="24"/>
          <w:szCs w:val="24"/>
        </w:rPr>
        <w:t>attēls</w:t>
      </w:r>
    </w:p>
    <w:p w:rsidR="00BD699E" w:rsidRPr="00BD699E" w:rsidRDefault="00BD699E" w:rsidP="00BD699E">
      <w:pPr>
        <w:spacing w:after="0" w:line="240" w:lineRule="auto"/>
        <w:ind w:firstLine="720"/>
        <w:jc w:val="center"/>
        <w:rPr>
          <w:rFonts w:ascii="Times New Roman" w:hAnsi="Times New Roman" w:cs="Times New Roman"/>
          <w:b/>
          <w:sz w:val="24"/>
          <w:szCs w:val="24"/>
        </w:rPr>
      </w:pPr>
      <w:r w:rsidRPr="00BD699E">
        <w:rPr>
          <w:rFonts w:ascii="Times New Roman" w:hAnsi="Times New Roman" w:cs="Times New Roman"/>
          <w:b/>
          <w:sz w:val="24"/>
          <w:szCs w:val="24"/>
        </w:rPr>
        <w:t>15-gadīgo izglītojamo īpatsvars ar zemiem un augstiem sasniegumiem lasītprasmē, matemātikā un dabaszinātnēs</w:t>
      </w:r>
      <w:r w:rsidR="00C24C1B">
        <w:rPr>
          <w:rFonts w:ascii="Times New Roman" w:hAnsi="Times New Roman" w:cs="Times New Roman"/>
          <w:b/>
          <w:sz w:val="24"/>
          <w:szCs w:val="24"/>
        </w:rPr>
        <w:t xml:space="preserve"> (%)</w:t>
      </w:r>
    </w:p>
    <w:p w:rsidR="00BD699E" w:rsidRDefault="00BD699E" w:rsidP="00BD699E">
      <w:pPr>
        <w:spacing w:after="0" w:line="240" w:lineRule="auto"/>
        <w:ind w:firstLine="720"/>
        <w:jc w:val="center"/>
        <w:rPr>
          <w:rFonts w:ascii="Times New Roman" w:hAnsi="Times New Roman" w:cs="Times New Roman"/>
          <w:sz w:val="24"/>
          <w:szCs w:val="24"/>
        </w:rPr>
      </w:pPr>
    </w:p>
    <w:p w:rsidR="00933655" w:rsidRDefault="00933655" w:rsidP="00BD699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5410200" cy="24860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33655" w:rsidRPr="00F84C09" w:rsidRDefault="00122F98" w:rsidP="004C6EAA">
      <w:pPr>
        <w:spacing w:after="0" w:line="240" w:lineRule="auto"/>
        <w:ind w:firstLine="720"/>
        <w:jc w:val="both"/>
        <w:rPr>
          <w:rFonts w:ascii="Times New Roman" w:hAnsi="Times New Roman" w:cs="Times New Roman"/>
          <w:i/>
        </w:rPr>
      </w:pPr>
      <w:r w:rsidRPr="00F84C09">
        <w:rPr>
          <w:rFonts w:ascii="Times New Roman" w:hAnsi="Times New Roman" w:cs="Times New Roman"/>
          <w:i/>
        </w:rPr>
        <w:t xml:space="preserve">* </w:t>
      </w:r>
      <w:r w:rsidR="00F84C09">
        <w:rPr>
          <w:rFonts w:ascii="Times New Roman" w:hAnsi="Times New Roman" w:cs="Times New Roman"/>
          <w:i/>
        </w:rPr>
        <w:t>OECD</w:t>
      </w:r>
      <w:r w:rsidRPr="00F84C09">
        <w:rPr>
          <w:rFonts w:ascii="Times New Roman" w:hAnsi="Times New Roman" w:cs="Times New Roman"/>
          <w:i/>
        </w:rPr>
        <w:t xml:space="preserve"> dati</w:t>
      </w:r>
    </w:p>
    <w:p w:rsidR="00122F98" w:rsidRPr="00F67B51" w:rsidRDefault="00122F98" w:rsidP="004C6EAA">
      <w:pPr>
        <w:spacing w:after="0" w:line="240" w:lineRule="auto"/>
        <w:ind w:firstLine="720"/>
        <w:jc w:val="both"/>
        <w:rPr>
          <w:rFonts w:ascii="Times New Roman" w:hAnsi="Times New Roman" w:cs="Times New Roman"/>
          <w:sz w:val="24"/>
          <w:szCs w:val="24"/>
        </w:rPr>
      </w:pPr>
    </w:p>
    <w:p w:rsidR="00B01968" w:rsidRDefault="0072022B" w:rsidP="004C6EAA">
      <w:pPr>
        <w:spacing w:after="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 xml:space="preserve">PISA 2015 dati liecina, ka Latvijā </w:t>
      </w:r>
      <w:r w:rsidR="00B01968" w:rsidRPr="00F67B51">
        <w:rPr>
          <w:rFonts w:ascii="Times New Roman" w:hAnsi="Times New Roman" w:cs="Times New Roman"/>
          <w:sz w:val="24"/>
          <w:szCs w:val="24"/>
        </w:rPr>
        <w:t>ir</w:t>
      </w:r>
      <w:r w:rsidRPr="00F67B51">
        <w:rPr>
          <w:rFonts w:ascii="Times New Roman" w:hAnsi="Times New Roman" w:cs="Times New Roman"/>
          <w:sz w:val="24"/>
          <w:szCs w:val="24"/>
        </w:rPr>
        <w:t xml:space="preserve"> </w:t>
      </w:r>
      <w:r w:rsidR="00B01968" w:rsidRPr="00F67B51">
        <w:rPr>
          <w:rFonts w:ascii="Times New Roman" w:hAnsi="Times New Roman" w:cs="Times New Roman"/>
          <w:sz w:val="24"/>
          <w:szCs w:val="24"/>
        </w:rPr>
        <w:t xml:space="preserve">neliels </w:t>
      </w:r>
      <w:r w:rsidR="00F67B51">
        <w:rPr>
          <w:rFonts w:ascii="Times New Roman" w:hAnsi="Times New Roman" w:cs="Times New Roman"/>
          <w:sz w:val="24"/>
          <w:szCs w:val="24"/>
        </w:rPr>
        <w:t>izglītojamo</w:t>
      </w:r>
      <w:r w:rsidRPr="00F67B51">
        <w:rPr>
          <w:rFonts w:ascii="Times New Roman" w:hAnsi="Times New Roman" w:cs="Times New Roman"/>
          <w:sz w:val="24"/>
          <w:szCs w:val="24"/>
        </w:rPr>
        <w:t xml:space="preserve"> īpatsvars ar augstiem mācību rezultātiem (PISA 5. un 6.līmenis)</w:t>
      </w:r>
      <w:r w:rsidR="00B01968" w:rsidRPr="00F67B51">
        <w:rPr>
          <w:rFonts w:ascii="Times New Roman" w:hAnsi="Times New Roman" w:cs="Times New Roman"/>
          <w:sz w:val="24"/>
          <w:szCs w:val="24"/>
        </w:rPr>
        <w:t xml:space="preserve">, sasniedzot 4,3% lasītprasmē, 5,1% matemātikā un 3,8% dabaszinātnēs. Vienlaikus </w:t>
      </w:r>
      <w:r w:rsidR="00F67B51">
        <w:rPr>
          <w:rFonts w:ascii="Times New Roman" w:hAnsi="Times New Roman" w:cs="Times New Roman"/>
          <w:sz w:val="24"/>
          <w:szCs w:val="24"/>
        </w:rPr>
        <w:t>izglītojamo</w:t>
      </w:r>
      <w:r w:rsidR="00B01968" w:rsidRPr="00F67B51">
        <w:rPr>
          <w:rFonts w:ascii="Times New Roman" w:hAnsi="Times New Roman" w:cs="Times New Roman"/>
          <w:sz w:val="24"/>
          <w:szCs w:val="24"/>
        </w:rPr>
        <w:t xml:space="preserve"> īpatsvars ar zemiem mācību sasniegumiem (PISA 1. un zemāks līmenis) saglabā</w:t>
      </w:r>
      <w:r w:rsidR="002C2432" w:rsidRPr="00F67B51">
        <w:rPr>
          <w:rFonts w:ascii="Times New Roman" w:hAnsi="Times New Roman" w:cs="Times New Roman"/>
          <w:sz w:val="24"/>
          <w:szCs w:val="24"/>
        </w:rPr>
        <w:t>jā</w:t>
      </w:r>
      <w:r w:rsidR="00B01968" w:rsidRPr="00F67B51">
        <w:rPr>
          <w:rFonts w:ascii="Times New Roman" w:hAnsi="Times New Roman" w:cs="Times New Roman"/>
          <w:sz w:val="24"/>
          <w:szCs w:val="24"/>
        </w:rPr>
        <w:t>s augstā līmenī, sasniedzot 17,7% lasītprasmē, 21,4% matemātikā un 17,2% dabaszinātnēs.</w:t>
      </w:r>
      <w:r w:rsidR="00CB3A07" w:rsidRPr="00F67B51">
        <w:rPr>
          <w:rFonts w:ascii="Times New Roman" w:hAnsi="Times New Roman" w:cs="Times New Roman"/>
          <w:sz w:val="24"/>
          <w:szCs w:val="24"/>
        </w:rPr>
        <w:t xml:space="preserve"> Šie rezultāti parāda, ka ir nepieciešams turpināt uzsāktās reformas izglītības sistēmā, veicinot izglītības kvalitātes paaugstināšanu.</w:t>
      </w:r>
    </w:p>
    <w:p w:rsidR="00F67B51" w:rsidRPr="00F67B51" w:rsidRDefault="00F67B51" w:rsidP="00ED7C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Sekmējot izglītojamo kompetenču līmeņa paaugstināšanu, kā arī to atbilstību 21.gadsimta prasībām, tiek nodrošināta </w:t>
      </w:r>
      <w:r w:rsidRPr="002D3D48">
        <w:rPr>
          <w:rFonts w:ascii="Times New Roman" w:hAnsi="Times New Roman" w:cs="Times New Roman"/>
          <w:b/>
          <w:sz w:val="24"/>
          <w:szCs w:val="24"/>
        </w:rPr>
        <w:t>kompetenču pieejā pilnveidota vispārējās izglītības satura</w:t>
      </w:r>
      <w:r w:rsidRPr="00F67B51">
        <w:rPr>
          <w:rFonts w:ascii="Times New Roman" w:hAnsi="Times New Roman" w:cs="Times New Roman"/>
          <w:sz w:val="24"/>
          <w:szCs w:val="24"/>
        </w:rPr>
        <w:t xml:space="preserve"> izstrāde</w:t>
      </w:r>
      <w:r>
        <w:rPr>
          <w:rFonts w:ascii="Times New Roman" w:hAnsi="Times New Roman" w:cs="Times New Roman"/>
          <w:sz w:val="24"/>
          <w:szCs w:val="24"/>
        </w:rPr>
        <w:t xml:space="preserve">. </w:t>
      </w:r>
      <w:r w:rsidRPr="00F67B51">
        <w:rPr>
          <w:rFonts w:ascii="Times New Roman" w:hAnsi="Times New Roman" w:cs="Times New Roman"/>
          <w:sz w:val="24"/>
          <w:szCs w:val="24"/>
        </w:rPr>
        <w:t xml:space="preserve">2016.gada 17.oktobrī Valsts izglītības satura centrs (VISC) sadarbībā ar pašvaldībām un augstākās izglītības iestādēm uzsāka </w:t>
      </w:r>
      <w:r>
        <w:rPr>
          <w:rFonts w:ascii="Times New Roman" w:hAnsi="Times New Roman" w:cs="Times New Roman"/>
          <w:sz w:val="24"/>
          <w:szCs w:val="24"/>
        </w:rPr>
        <w:t>Eiropas Sociālā Fonda (</w:t>
      </w:r>
      <w:r w:rsidRPr="00F67B51">
        <w:rPr>
          <w:rFonts w:ascii="Times New Roman" w:hAnsi="Times New Roman" w:cs="Times New Roman"/>
          <w:sz w:val="24"/>
          <w:szCs w:val="24"/>
        </w:rPr>
        <w:t>ESF</w:t>
      </w:r>
      <w:r>
        <w:rPr>
          <w:rFonts w:ascii="Times New Roman" w:hAnsi="Times New Roman" w:cs="Times New Roman"/>
          <w:sz w:val="24"/>
          <w:szCs w:val="24"/>
        </w:rPr>
        <w:t>)</w:t>
      </w:r>
      <w:r w:rsidRPr="00F67B51">
        <w:rPr>
          <w:rFonts w:ascii="Times New Roman" w:hAnsi="Times New Roman" w:cs="Times New Roman"/>
          <w:sz w:val="24"/>
          <w:szCs w:val="24"/>
        </w:rPr>
        <w:t xml:space="preserve"> projekta “Kompetenču pieeja mācību </w:t>
      </w:r>
      <w:r w:rsidRPr="00F67B51">
        <w:rPr>
          <w:rFonts w:ascii="Times New Roman" w:hAnsi="Times New Roman" w:cs="Times New Roman"/>
          <w:sz w:val="24"/>
          <w:szCs w:val="24"/>
        </w:rPr>
        <w:lastRenderedPageBreak/>
        <w:t xml:space="preserve">saturā” īstenošanu, kurā paredzēts izstrādāt, aprobēt un ieviest jaunu mācību saturu vispārējā izglītībā no pirmskolas līdz 12.klasei. </w:t>
      </w:r>
      <w:r w:rsidR="00D86636" w:rsidRPr="00F67B51">
        <w:rPr>
          <w:rFonts w:ascii="Times New Roman" w:hAnsi="Times New Roman" w:cs="Times New Roman"/>
          <w:color w:val="000000" w:themeColor="text1"/>
          <w:sz w:val="24"/>
          <w:szCs w:val="24"/>
        </w:rPr>
        <w:t xml:space="preserve">2017./2018.mācību gadā 100 vispārējās izglītības iestādēs pirmsskolas izglītības un pamatizglītības pakāpē </w:t>
      </w:r>
      <w:r w:rsidR="00B31F94">
        <w:rPr>
          <w:rFonts w:ascii="Times New Roman" w:hAnsi="Times New Roman" w:cs="Times New Roman"/>
          <w:color w:val="000000" w:themeColor="text1"/>
          <w:sz w:val="24"/>
          <w:szCs w:val="24"/>
        </w:rPr>
        <w:t>norisinājās</w:t>
      </w:r>
      <w:r w:rsidR="00D86636" w:rsidRPr="00F67B51">
        <w:rPr>
          <w:rFonts w:ascii="Times New Roman" w:hAnsi="Times New Roman" w:cs="Times New Roman"/>
          <w:color w:val="000000" w:themeColor="text1"/>
          <w:sz w:val="24"/>
          <w:szCs w:val="24"/>
        </w:rPr>
        <w:t xml:space="preserve"> jaunā kompetenču pieejā balstītā satura aprobācija.</w:t>
      </w:r>
      <w:r w:rsidR="00D86636">
        <w:rPr>
          <w:rFonts w:ascii="Times New Roman" w:hAnsi="Times New Roman" w:cs="Times New Roman"/>
          <w:color w:val="000000" w:themeColor="text1"/>
          <w:sz w:val="24"/>
          <w:szCs w:val="24"/>
        </w:rPr>
        <w:t xml:space="preserve"> </w:t>
      </w:r>
      <w:r w:rsidRPr="00F67B51">
        <w:rPr>
          <w:rFonts w:ascii="Times New Roman" w:hAnsi="Times New Roman" w:cs="Times New Roman"/>
          <w:sz w:val="24"/>
          <w:szCs w:val="24"/>
        </w:rPr>
        <w:t xml:space="preserve">Mācību satura pakāpeniska ieviešana pirmsskolas izglītības pakāpē un pamatizglītības 1.posmā (1.-6.klase) plānota, </w:t>
      </w:r>
      <w:r w:rsidRPr="006E1B2D">
        <w:rPr>
          <w:rFonts w:ascii="Times New Roman" w:hAnsi="Times New Roman" w:cs="Times New Roman"/>
          <w:sz w:val="24"/>
          <w:szCs w:val="24"/>
        </w:rPr>
        <w:t>sākot ar 201</w:t>
      </w:r>
      <w:r w:rsidR="00B653BE" w:rsidRPr="006E1B2D">
        <w:rPr>
          <w:rFonts w:ascii="Times New Roman" w:hAnsi="Times New Roman" w:cs="Times New Roman"/>
          <w:sz w:val="24"/>
          <w:szCs w:val="24"/>
        </w:rPr>
        <w:t>9</w:t>
      </w:r>
      <w:r w:rsidRPr="006E1B2D">
        <w:rPr>
          <w:rFonts w:ascii="Times New Roman" w:hAnsi="Times New Roman" w:cs="Times New Roman"/>
          <w:sz w:val="24"/>
          <w:szCs w:val="24"/>
        </w:rPr>
        <w:t>.gada 1.septembri</w:t>
      </w:r>
      <w:r w:rsidRPr="00F67B51">
        <w:rPr>
          <w:rFonts w:ascii="Times New Roman" w:hAnsi="Times New Roman" w:cs="Times New Roman"/>
          <w:sz w:val="24"/>
          <w:szCs w:val="24"/>
        </w:rPr>
        <w:t xml:space="preserve">. </w:t>
      </w:r>
      <w:r w:rsidR="00ED7C55">
        <w:rPr>
          <w:rFonts w:ascii="Times New Roman" w:hAnsi="Times New Roman" w:cs="Times New Roman"/>
          <w:sz w:val="24"/>
          <w:szCs w:val="24"/>
        </w:rPr>
        <w:t>Ir</w:t>
      </w:r>
      <w:r w:rsidRPr="00F67B51">
        <w:rPr>
          <w:rFonts w:ascii="Times New Roman" w:hAnsi="Times New Roman" w:cs="Times New Roman"/>
          <w:sz w:val="24"/>
          <w:szCs w:val="24"/>
        </w:rPr>
        <w:t xml:space="preserve"> plānots izstrādāt 61 kompetenču pieejā balstītu m</w:t>
      </w:r>
      <w:r w:rsidR="00F85DC4">
        <w:rPr>
          <w:rFonts w:ascii="Times New Roman" w:hAnsi="Times New Roman" w:cs="Times New Roman"/>
          <w:sz w:val="24"/>
          <w:szCs w:val="24"/>
        </w:rPr>
        <w:t>ācību un metodisko līdzekli, tajā</w:t>
      </w:r>
      <w:r w:rsidRPr="00F67B51">
        <w:rPr>
          <w:rFonts w:ascii="Times New Roman" w:hAnsi="Times New Roman" w:cs="Times New Roman"/>
          <w:sz w:val="24"/>
          <w:szCs w:val="24"/>
        </w:rPr>
        <w:t xml:space="preserve"> skaitā</w:t>
      </w:r>
      <w:r w:rsidR="003C55EF">
        <w:rPr>
          <w:rFonts w:ascii="Times New Roman" w:hAnsi="Times New Roman" w:cs="Times New Roman"/>
          <w:sz w:val="24"/>
          <w:szCs w:val="24"/>
        </w:rPr>
        <w:t>,</w:t>
      </w:r>
      <w:r w:rsidRPr="00F67B51">
        <w:rPr>
          <w:rFonts w:ascii="Times New Roman" w:hAnsi="Times New Roman" w:cs="Times New Roman"/>
          <w:sz w:val="24"/>
          <w:szCs w:val="24"/>
        </w:rPr>
        <w:t xml:space="preserve"> 15 mācību līdzekļus vieglajā valodā izglītojamajiem ar speciālām vajadzībām iekļaujošas izglītības īstenošanai. Iekļaujošas izglītības veicināšanai plānots izstrādāt arī 15 mācību un metodiskos līdzekļus izglītojamiem ar garīgās attīstības traucējumiem. Minēto mācību un metodisko līdzekļu pieejamība plānota arī digitālā formātā. </w:t>
      </w:r>
    </w:p>
    <w:p w:rsidR="00F67B51" w:rsidRDefault="00F67B51" w:rsidP="004C6EAA">
      <w:pPr>
        <w:spacing w:after="0" w:line="240" w:lineRule="auto"/>
        <w:ind w:firstLine="720"/>
        <w:jc w:val="both"/>
        <w:rPr>
          <w:rFonts w:ascii="Times New Roman" w:hAnsi="Times New Roman" w:cs="Times New Roman"/>
          <w:color w:val="000000" w:themeColor="text1"/>
          <w:sz w:val="24"/>
          <w:szCs w:val="24"/>
        </w:rPr>
      </w:pPr>
      <w:r w:rsidRPr="00F67B51">
        <w:rPr>
          <w:rFonts w:ascii="Times New Roman" w:hAnsi="Times New Roman" w:cs="Times New Roman"/>
          <w:color w:val="000000" w:themeColor="text1"/>
          <w:sz w:val="24"/>
          <w:szCs w:val="24"/>
        </w:rPr>
        <w:t xml:space="preserve">2018.gada 1.februārī noslēdzās sabiedriskā apspriešana par </w:t>
      </w:r>
      <w:r w:rsidR="0053100E">
        <w:rPr>
          <w:rFonts w:ascii="Times New Roman" w:hAnsi="Times New Roman" w:cs="Times New Roman"/>
          <w:color w:val="000000" w:themeColor="text1"/>
          <w:sz w:val="24"/>
          <w:szCs w:val="24"/>
        </w:rPr>
        <w:t xml:space="preserve">izstrādāto </w:t>
      </w:r>
      <w:r w:rsidRPr="00F67B51">
        <w:rPr>
          <w:rFonts w:ascii="Times New Roman" w:hAnsi="Times New Roman" w:cs="Times New Roman"/>
          <w:color w:val="000000" w:themeColor="text1"/>
          <w:sz w:val="24"/>
          <w:szCs w:val="24"/>
        </w:rPr>
        <w:t xml:space="preserve">jauno </w:t>
      </w:r>
      <w:r w:rsidRPr="00ED7C55">
        <w:rPr>
          <w:rFonts w:ascii="Times New Roman" w:hAnsi="Times New Roman" w:cs="Times New Roman"/>
          <w:color w:val="000000" w:themeColor="text1"/>
          <w:sz w:val="24"/>
          <w:szCs w:val="24"/>
        </w:rPr>
        <w:t>kompetenču pieejā balstīto vispārējās izglītības mācību satura un pieejas</w:t>
      </w:r>
      <w:r w:rsidRPr="00ED7C55">
        <w:rPr>
          <w:rFonts w:ascii="Times New Roman" w:hAnsi="Times New Roman" w:cs="Times New Roman"/>
          <w:sz w:val="24"/>
          <w:szCs w:val="24"/>
        </w:rPr>
        <w:t xml:space="preserve"> </w:t>
      </w:r>
      <w:r w:rsidRPr="00ED7C55">
        <w:rPr>
          <w:rFonts w:ascii="Times New Roman" w:hAnsi="Times New Roman" w:cs="Times New Roman"/>
          <w:color w:val="000000" w:themeColor="text1"/>
          <w:sz w:val="24"/>
          <w:szCs w:val="24"/>
        </w:rPr>
        <w:t>apraksta projektu</w:t>
      </w:r>
      <w:r w:rsidRPr="00F67B51">
        <w:rPr>
          <w:rFonts w:ascii="Times New Roman" w:hAnsi="Times New Roman" w:cs="Times New Roman"/>
          <w:color w:val="000000" w:themeColor="text1"/>
          <w:sz w:val="24"/>
          <w:szCs w:val="24"/>
        </w:rPr>
        <w:t xml:space="preserve">. </w:t>
      </w:r>
      <w:r w:rsidRPr="00F67B51">
        <w:rPr>
          <w:rFonts w:ascii="Times New Roman" w:hAnsi="Times New Roman" w:cs="Times New Roman"/>
          <w:sz w:val="24"/>
          <w:szCs w:val="24"/>
        </w:rPr>
        <w:t xml:space="preserve">Notiek darbs pie normatīvā regulējuma izstrādes, </w:t>
      </w:r>
      <w:r w:rsidR="00C16BD7">
        <w:rPr>
          <w:rFonts w:ascii="Times New Roman" w:hAnsi="Times New Roman" w:cs="Times New Roman"/>
          <w:sz w:val="24"/>
          <w:szCs w:val="24"/>
        </w:rPr>
        <w:t>izstrādājot</w:t>
      </w:r>
      <w:r w:rsidR="00ED7C55">
        <w:rPr>
          <w:rFonts w:ascii="Times New Roman" w:hAnsi="Times New Roman" w:cs="Times New Roman"/>
          <w:sz w:val="24"/>
          <w:szCs w:val="24"/>
        </w:rPr>
        <w:t xml:space="preserve"> MK noteikumu</w:t>
      </w:r>
      <w:r w:rsidR="00C16BD7">
        <w:rPr>
          <w:rFonts w:ascii="Times New Roman" w:hAnsi="Times New Roman" w:cs="Times New Roman"/>
          <w:sz w:val="24"/>
          <w:szCs w:val="24"/>
        </w:rPr>
        <w:t>s</w:t>
      </w:r>
      <w:r w:rsidR="00ED7C55">
        <w:rPr>
          <w:rFonts w:ascii="Times New Roman" w:hAnsi="Times New Roman" w:cs="Times New Roman"/>
          <w:sz w:val="24"/>
          <w:szCs w:val="24"/>
        </w:rPr>
        <w:t xml:space="preserve"> par pirmsskolas izglītības vadlīnijām un pirmsskolas</w:t>
      </w:r>
      <w:r w:rsidR="00C16BD7">
        <w:rPr>
          <w:rFonts w:ascii="Times New Roman" w:hAnsi="Times New Roman" w:cs="Times New Roman"/>
          <w:sz w:val="24"/>
          <w:szCs w:val="24"/>
        </w:rPr>
        <w:t xml:space="preserve"> izglītības programmu paraugiem (apstiprināti 2018.gada 21.novembrī)</w:t>
      </w:r>
      <w:r w:rsidR="00ED7C55">
        <w:rPr>
          <w:rFonts w:ascii="Times New Roman" w:hAnsi="Times New Roman" w:cs="Times New Roman"/>
          <w:sz w:val="24"/>
          <w:szCs w:val="24"/>
        </w:rPr>
        <w:t xml:space="preserve"> un MK noteikumu</w:t>
      </w:r>
      <w:r w:rsidR="00C16BD7">
        <w:rPr>
          <w:rFonts w:ascii="Times New Roman" w:hAnsi="Times New Roman" w:cs="Times New Roman"/>
          <w:sz w:val="24"/>
          <w:szCs w:val="24"/>
        </w:rPr>
        <w:t>s</w:t>
      </w:r>
      <w:r w:rsidR="00ED7C55">
        <w:rPr>
          <w:rFonts w:ascii="Times New Roman" w:hAnsi="Times New Roman" w:cs="Times New Roman"/>
          <w:sz w:val="24"/>
          <w:szCs w:val="24"/>
        </w:rPr>
        <w:t xml:space="preserve"> par pamatizglītības standartu un pamatizg</w:t>
      </w:r>
      <w:r w:rsidR="00C16BD7">
        <w:rPr>
          <w:rFonts w:ascii="Times New Roman" w:hAnsi="Times New Roman" w:cs="Times New Roman"/>
          <w:sz w:val="24"/>
          <w:szCs w:val="24"/>
        </w:rPr>
        <w:t>lītības programmu paraugiem (apstiprināti 2018.gada 27.novembrī)</w:t>
      </w:r>
      <w:r w:rsidRPr="00F67B51">
        <w:rPr>
          <w:rFonts w:ascii="Times New Roman" w:hAnsi="Times New Roman" w:cs="Times New Roman"/>
          <w:sz w:val="24"/>
          <w:szCs w:val="24"/>
        </w:rPr>
        <w:t>.</w:t>
      </w:r>
      <w:r w:rsidRPr="00BA6600">
        <w:rPr>
          <w:rFonts w:ascii="Times New Roman" w:hAnsi="Times New Roman" w:cs="Times New Roman"/>
          <w:sz w:val="24"/>
          <w:szCs w:val="24"/>
        </w:rPr>
        <w:t xml:space="preserve"> </w:t>
      </w:r>
      <w:r w:rsidR="00BA6600">
        <w:rPr>
          <w:rFonts w:ascii="Times New Roman" w:hAnsi="Times New Roman" w:cs="Times New Roman"/>
          <w:color w:val="000000" w:themeColor="text1"/>
          <w:sz w:val="24"/>
          <w:szCs w:val="24"/>
        </w:rPr>
        <w:t>Ir uzsākta</w:t>
      </w:r>
      <w:r w:rsidR="00D86636">
        <w:rPr>
          <w:rFonts w:ascii="Times New Roman" w:hAnsi="Times New Roman" w:cs="Times New Roman"/>
          <w:color w:val="000000" w:themeColor="text1"/>
          <w:sz w:val="24"/>
          <w:szCs w:val="24"/>
        </w:rPr>
        <w:t xml:space="preserve"> </w:t>
      </w:r>
      <w:r w:rsidR="00570D39">
        <w:rPr>
          <w:rFonts w:ascii="Times New Roman" w:hAnsi="Times New Roman" w:cs="Times New Roman"/>
          <w:color w:val="000000" w:themeColor="text1"/>
          <w:sz w:val="24"/>
          <w:szCs w:val="24"/>
        </w:rPr>
        <w:t xml:space="preserve">arī </w:t>
      </w:r>
      <w:r w:rsidR="00D86636">
        <w:rPr>
          <w:rFonts w:ascii="Times New Roman" w:hAnsi="Times New Roman" w:cs="Times New Roman"/>
          <w:color w:val="000000" w:themeColor="text1"/>
          <w:sz w:val="24"/>
          <w:szCs w:val="24"/>
        </w:rPr>
        <w:t xml:space="preserve">vispārējās vidējās izglītības standarta izstrāde. </w:t>
      </w:r>
    </w:p>
    <w:p w:rsidR="008A020C" w:rsidRDefault="005D68DD" w:rsidP="008A020C">
      <w:pPr>
        <w:spacing w:after="0" w:line="240" w:lineRule="auto"/>
        <w:ind w:firstLine="720"/>
        <w:jc w:val="both"/>
        <w:rPr>
          <w:rFonts w:ascii="Times New Roman" w:hAnsi="Times New Roman" w:cs="Times New Roman"/>
          <w:sz w:val="24"/>
          <w:szCs w:val="24"/>
        </w:rPr>
      </w:pPr>
      <w:r w:rsidRPr="005D68DD">
        <w:rPr>
          <w:rFonts w:ascii="Times New Roman" w:hAnsi="Times New Roman" w:cs="Times New Roman"/>
          <w:sz w:val="24"/>
          <w:szCs w:val="24"/>
        </w:rPr>
        <w:t xml:space="preserve">Vienlaikus 2015./2016.mācību gadā VISC uzsāka 153 vispārizglītojošās izglītības iestādēs visā Latvijā </w:t>
      </w:r>
      <w:r w:rsidRPr="002D3D48">
        <w:rPr>
          <w:rFonts w:ascii="Times New Roman" w:hAnsi="Times New Roman" w:cs="Times New Roman"/>
          <w:b/>
          <w:sz w:val="24"/>
          <w:szCs w:val="24"/>
        </w:rPr>
        <w:t>datorikas mācību satura</w:t>
      </w:r>
      <w:r w:rsidRPr="005D68DD">
        <w:rPr>
          <w:rFonts w:ascii="Times New Roman" w:hAnsi="Times New Roman" w:cs="Times New Roman"/>
          <w:sz w:val="24"/>
          <w:szCs w:val="24"/>
        </w:rPr>
        <w:t xml:space="preserve"> aprobāciju, kurā piedalījās 9084 skolēni</w:t>
      </w:r>
      <w:r w:rsidR="002163B2">
        <w:rPr>
          <w:rFonts w:ascii="Times New Roman" w:hAnsi="Times New Roman" w:cs="Times New Roman"/>
          <w:sz w:val="24"/>
          <w:szCs w:val="24"/>
        </w:rPr>
        <w:t xml:space="preserve"> un kura turpinājās arī </w:t>
      </w:r>
      <w:r w:rsidR="00F51F69">
        <w:rPr>
          <w:rFonts w:ascii="Times New Roman" w:hAnsi="Times New Roman" w:cs="Times New Roman"/>
          <w:sz w:val="24"/>
          <w:szCs w:val="24"/>
        </w:rPr>
        <w:t>2016./2017.</w:t>
      </w:r>
      <w:r w:rsidR="00CB6F92">
        <w:rPr>
          <w:rFonts w:ascii="Times New Roman" w:hAnsi="Times New Roman" w:cs="Times New Roman"/>
          <w:sz w:val="24"/>
          <w:szCs w:val="24"/>
        </w:rPr>
        <w:t xml:space="preserve"> un</w:t>
      </w:r>
      <w:r w:rsidR="00CB6F92" w:rsidRPr="00CB6F92">
        <w:rPr>
          <w:rFonts w:ascii="Times New Roman" w:hAnsi="Times New Roman" w:cs="Times New Roman"/>
          <w:sz w:val="24"/>
          <w:szCs w:val="24"/>
        </w:rPr>
        <w:t xml:space="preserve"> 2017./2018.</w:t>
      </w:r>
      <w:r w:rsidR="002163B2" w:rsidRPr="005D68DD">
        <w:rPr>
          <w:rFonts w:ascii="Times New Roman" w:hAnsi="Times New Roman" w:cs="Times New Roman"/>
          <w:sz w:val="24"/>
          <w:szCs w:val="24"/>
        </w:rPr>
        <w:t>mācību gadā</w:t>
      </w:r>
      <w:r w:rsidRPr="005D68DD">
        <w:rPr>
          <w:rFonts w:ascii="Times New Roman" w:hAnsi="Times New Roman" w:cs="Times New Roman"/>
          <w:sz w:val="24"/>
          <w:szCs w:val="24"/>
        </w:rPr>
        <w:t xml:space="preserve">. Datorikas mācību satura aprobācija pilotskolās noritēja sekmīgi, izraisot interesi gan </w:t>
      </w:r>
      <w:r w:rsidR="00791168">
        <w:rPr>
          <w:rFonts w:ascii="Times New Roman" w:hAnsi="Times New Roman" w:cs="Times New Roman"/>
          <w:sz w:val="24"/>
          <w:szCs w:val="24"/>
        </w:rPr>
        <w:t>no skolēnu</w:t>
      </w:r>
      <w:r w:rsidRPr="005D68DD">
        <w:rPr>
          <w:rFonts w:ascii="Times New Roman" w:hAnsi="Times New Roman" w:cs="Times New Roman"/>
          <w:sz w:val="24"/>
          <w:szCs w:val="24"/>
        </w:rPr>
        <w:t xml:space="preserve">, gan </w:t>
      </w:r>
      <w:r w:rsidR="00791168">
        <w:rPr>
          <w:rFonts w:ascii="Times New Roman" w:hAnsi="Times New Roman" w:cs="Times New Roman"/>
          <w:sz w:val="24"/>
          <w:szCs w:val="24"/>
        </w:rPr>
        <w:t>no skolotāju puses</w:t>
      </w:r>
      <w:r w:rsidRPr="005D68DD">
        <w:rPr>
          <w:rFonts w:ascii="Times New Roman" w:hAnsi="Times New Roman" w:cs="Times New Roman"/>
          <w:sz w:val="24"/>
          <w:szCs w:val="24"/>
        </w:rPr>
        <w:t xml:space="preserve">. Ir sagatavoti brīvi pieejami mācību materiāli katrai mācību stundai </w:t>
      </w:r>
      <w:r w:rsidR="00CB6F92">
        <w:rPr>
          <w:rFonts w:ascii="Times New Roman" w:hAnsi="Times New Roman" w:cs="Times New Roman"/>
          <w:sz w:val="24"/>
          <w:szCs w:val="24"/>
        </w:rPr>
        <w:t>trim</w:t>
      </w:r>
      <w:r w:rsidRPr="005D68DD">
        <w:rPr>
          <w:rFonts w:ascii="Times New Roman" w:hAnsi="Times New Roman" w:cs="Times New Roman"/>
          <w:sz w:val="24"/>
          <w:szCs w:val="24"/>
        </w:rPr>
        <w:t xml:space="preserve"> mācību gadiem, ko veiksmīgi izmanto ne tikai Datorikas mācību programmas aprobācijā iesaistījušās izglītības iestādes, bet arī citas skolas. </w:t>
      </w:r>
    </w:p>
    <w:p w:rsidR="008A020C" w:rsidRDefault="008A020C" w:rsidP="008A02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Sekmējot </w:t>
      </w:r>
      <w:r w:rsidRPr="002D3D48">
        <w:rPr>
          <w:rFonts w:ascii="Times New Roman" w:hAnsi="Times New Roman" w:cs="Times New Roman"/>
          <w:b/>
          <w:sz w:val="24"/>
          <w:szCs w:val="24"/>
        </w:rPr>
        <w:t>digitālo mācību līdzekļu</w:t>
      </w:r>
      <w:r>
        <w:rPr>
          <w:rFonts w:ascii="Times New Roman" w:hAnsi="Times New Roman" w:cs="Times New Roman"/>
          <w:sz w:val="24"/>
          <w:szCs w:val="24"/>
        </w:rPr>
        <w:t xml:space="preserve"> izstrādi, sadarbībā ar </w:t>
      </w:r>
      <w:r w:rsidRPr="008A020C">
        <w:rPr>
          <w:rFonts w:ascii="Times New Roman" w:hAnsi="Times New Roman" w:cs="Times New Roman"/>
          <w:sz w:val="24"/>
          <w:szCs w:val="24"/>
        </w:rPr>
        <w:t>Latvijas Informācij​as un komunikācijas tehnoloģijas asociāciju</w:t>
      </w:r>
      <w:r>
        <w:rPr>
          <w:rFonts w:ascii="Times New Roman" w:hAnsi="Times New Roman" w:cs="Times New Roman"/>
          <w:sz w:val="24"/>
          <w:szCs w:val="24"/>
        </w:rPr>
        <w:t xml:space="preserve"> tika izstrādāts materiāls “Ieteikumi digitālo mācību līdzekļu un resursu izstrādei un novērtēšanai”.</w:t>
      </w:r>
      <w:r w:rsidR="0053100E">
        <w:rPr>
          <w:rFonts w:ascii="Times New Roman" w:hAnsi="Times New Roman" w:cs="Times New Roman"/>
          <w:sz w:val="24"/>
          <w:szCs w:val="24"/>
        </w:rPr>
        <w:t xml:space="preserve"> Turpmāk šis materiāls tiks izmantots, izstrādājot ESF atbalstu digitālo mācību un metodisko līdzekļu izstrādei 8.3.1.SAM 8.3.1.2.pasākuma „Digitālo mācību un metodisko līdzekļu izstrāde” ietvaros.</w:t>
      </w:r>
    </w:p>
    <w:p w:rsidR="004C6EAA" w:rsidRDefault="008A020C" w:rsidP="008A02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Ievērojot, ka jaunā kompetencēs balstītā mācību satura pieeja paredz satura integrāciju, </w:t>
      </w:r>
      <w:r w:rsidRPr="002D3D48">
        <w:rPr>
          <w:rFonts w:ascii="Times New Roman" w:hAnsi="Times New Roman" w:cs="Times New Roman"/>
          <w:b/>
          <w:sz w:val="24"/>
          <w:szCs w:val="24"/>
        </w:rPr>
        <w:t>cilvēkdrošības jautājumi</w:t>
      </w:r>
      <w:r>
        <w:rPr>
          <w:rFonts w:ascii="Times New Roman" w:hAnsi="Times New Roman" w:cs="Times New Roman"/>
          <w:sz w:val="24"/>
          <w:szCs w:val="24"/>
        </w:rPr>
        <w:t xml:space="preserve"> arī tiek integrēti kopējā mācību saturā. </w:t>
      </w:r>
      <w:r w:rsidRPr="009A021D">
        <w:rPr>
          <w:rFonts w:ascii="Times New Roman" w:hAnsi="Times New Roman" w:cs="Times New Roman"/>
          <w:sz w:val="24"/>
          <w:szCs w:val="24"/>
        </w:rPr>
        <w:t xml:space="preserve">2016.gadā </w:t>
      </w:r>
      <w:r>
        <w:rPr>
          <w:rFonts w:ascii="Times New Roman" w:hAnsi="Times New Roman" w:cs="Times New Roman"/>
          <w:sz w:val="24"/>
          <w:szCs w:val="24"/>
        </w:rPr>
        <w:t>tika izstrādāti cilvēkdrošības mācību kursa satura temati un ieteikumi to īstenošanai, kas pēctecīgi iekļauti visu trīs vispārējās izglītības posmu mācību satura normatīvajos dokumentos. Vidējā izglītībā atsevišķi tiek izstrādāts Valsts aizsardzības mācības mācību priekšmeta standarts un programma, kas ir specificēta cilvēkdrošības kursa daļa.</w:t>
      </w:r>
    </w:p>
    <w:p w:rsidR="002D3A46" w:rsidRDefault="002D3A46" w:rsidP="002D3A46">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2.</w:t>
      </w:r>
      <w:r w:rsidR="005644D4">
        <w:rPr>
          <w:rFonts w:ascii="Times New Roman" w:hAnsi="Times New Roman" w:cs="Times New Roman"/>
          <w:sz w:val="24"/>
          <w:szCs w:val="24"/>
        </w:rPr>
        <w:t>attēls</w:t>
      </w:r>
    </w:p>
    <w:p w:rsidR="00183389" w:rsidRPr="00183389" w:rsidRDefault="00183389" w:rsidP="00183389">
      <w:pPr>
        <w:spacing w:after="0" w:line="240" w:lineRule="auto"/>
        <w:ind w:firstLine="720"/>
        <w:jc w:val="center"/>
        <w:rPr>
          <w:rFonts w:ascii="Times New Roman" w:hAnsi="Times New Roman" w:cs="Times New Roman"/>
          <w:b/>
          <w:sz w:val="24"/>
          <w:szCs w:val="24"/>
        </w:rPr>
      </w:pPr>
      <w:r w:rsidRPr="00183389">
        <w:rPr>
          <w:rFonts w:ascii="Times New Roman" w:eastAsia="Times New Roman" w:hAnsi="Times New Roman" w:cs="Times New Roman"/>
          <w:b/>
          <w:sz w:val="24"/>
          <w:szCs w:val="24"/>
          <w:lang w:eastAsia="lv-LV"/>
        </w:rPr>
        <w:t>Skolēnu proporcija vispārējā un profesionālajā izglīt</w:t>
      </w:r>
      <w:r w:rsidR="00C24C1B">
        <w:rPr>
          <w:rFonts w:ascii="Times New Roman" w:eastAsia="Times New Roman" w:hAnsi="Times New Roman" w:cs="Times New Roman"/>
          <w:b/>
          <w:sz w:val="24"/>
          <w:szCs w:val="24"/>
          <w:lang w:eastAsia="lv-LV"/>
        </w:rPr>
        <w:t>ībā vidējās izglītības pakāpē (%)</w:t>
      </w:r>
    </w:p>
    <w:p w:rsidR="002D3A46" w:rsidRPr="007B73ED" w:rsidRDefault="00183389" w:rsidP="00183389">
      <w:pPr>
        <w:spacing w:after="0" w:line="240" w:lineRule="auto"/>
        <w:jc w:val="center"/>
        <w:rPr>
          <w:rFonts w:ascii="Times New Roman" w:hAnsi="Times New Roman" w:cs="Times New Roman"/>
          <w:color w:val="92D050"/>
          <w:sz w:val="24"/>
          <w:szCs w:val="24"/>
        </w:rPr>
      </w:pPr>
      <w:r>
        <w:rPr>
          <w:rFonts w:ascii="Times New Roman" w:hAnsi="Times New Roman" w:cs="Times New Roman"/>
          <w:noProof/>
          <w:sz w:val="24"/>
          <w:szCs w:val="24"/>
          <w:lang w:eastAsia="lv-LV"/>
        </w:rPr>
        <w:drawing>
          <wp:inline distT="0" distB="0" distL="0" distR="0">
            <wp:extent cx="5648325" cy="24669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4E9D" w:rsidRPr="00F84C09" w:rsidRDefault="00122F98" w:rsidP="00122F98">
      <w:pPr>
        <w:spacing w:after="0" w:line="240" w:lineRule="auto"/>
        <w:ind w:firstLine="720"/>
        <w:rPr>
          <w:rFonts w:ascii="Times New Roman" w:hAnsi="Times New Roman" w:cs="Times New Roman"/>
          <w:i/>
        </w:rPr>
      </w:pPr>
      <w:r w:rsidRPr="00F84C09">
        <w:rPr>
          <w:rFonts w:ascii="Times New Roman" w:hAnsi="Times New Roman" w:cs="Times New Roman"/>
          <w:i/>
        </w:rPr>
        <w:t>* IZM dati</w:t>
      </w:r>
    </w:p>
    <w:p w:rsidR="00B44E9D" w:rsidRDefault="00B44E9D" w:rsidP="002D3A46">
      <w:pPr>
        <w:spacing w:after="0" w:line="240" w:lineRule="auto"/>
        <w:ind w:firstLine="720"/>
        <w:jc w:val="right"/>
        <w:rPr>
          <w:rFonts w:ascii="Times New Roman" w:hAnsi="Times New Roman" w:cs="Times New Roman"/>
          <w:sz w:val="24"/>
          <w:szCs w:val="24"/>
        </w:rPr>
      </w:pPr>
    </w:p>
    <w:p w:rsidR="007D4E1E" w:rsidRDefault="007D4E1E" w:rsidP="007D4E1E">
      <w:pPr>
        <w:spacing w:after="0" w:line="240" w:lineRule="auto"/>
        <w:ind w:firstLine="720"/>
        <w:jc w:val="both"/>
        <w:rPr>
          <w:rFonts w:ascii="Times New Roman" w:hAnsi="Times New Roman" w:cs="Times New Roman"/>
          <w:sz w:val="24"/>
          <w:szCs w:val="24"/>
        </w:rPr>
      </w:pPr>
      <w:r w:rsidRPr="002D3D48">
        <w:rPr>
          <w:rFonts w:ascii="Times New Roman" w:hAnsi="Times New Roman" w:cs="Times New Roman"/>
          <w:sz w:val="24"/>
          <w:szCs w:val="24"/>
        </w:rPr>
        <w:t xml:space="preserve">Lai paaugstinātu </w:t>
      </w:r>
      <w:r w:rsidRPr="002D3D48">
        <w:rPr>
          <w:rFonts w:ascii="Times New Roman" w:hAnsi="Times New Roman" w:cs="Times New Roman"/>
          <w:b/>
          <w:sz w:val="24"/>
          <w:szCs w:val="24"/>
        </w:rPr>
        <w:t>profesionālās izglītības</w:t>
      </w:r>
      <w:r w:rsidRPr="002D3D48">
        <w:rPr>
          <w:rFonts w:ascii="Times New Roman" w:hAnsi="Times New Roman" w:cs="Times New Roman"/>
          <w:sz w:val="24"/>
          <w:szCs w:val="24"/>
        </w:rPr>
        <w:t xml:space="preserve"> </w:t>
      </w:r>
      <w:r w:rsidRPr="0009036D">
        <w:rPr>
          <w:rFonts w:ascii="Times New Roman" w:hAnsi="Times New Roman" w:cs="Times New Roman"/>
          <w:b/>
          <w:sz w:val="24"/>
          <w:szCs w:val="24"/>
        </w:rPr>
        <w:t>kvalitāti, pievilcību un atbilstību tautsaimniecības vajadzībām</w:t>
      </w:r>
      <w:r w:rsidRPr="002D3D48">
        <w:rPr>
          <w:rFonts w:ascii="Times New Roman" w:hAnsi="Times New Roman" w:cs="Times New Roman"/>
          <w:sz w:val="24"/>
          <w:szCs w:val="24"/>
        </w:rPr>
        <w:t xml:space="preserve">, kā arī veicinātu izglītojamo interesi par profesionālo izglītību, </w:t>
      </w:r>
      <w:r>
        <w:rPr>
          <w:rFonts w:ascii="Times New Roman" w:hAnsi="Times New Roman" w:cs="Times New Roman"/>
          <w:sz w:val="24"/>
          <w:szCs w:val="24"/>
        </w:rPr>
        <w:t>ir</w:t>
      </w:r>
      <w:r w:rsidRPr="002D3D48">
        <w:rPr>
          <w:rFonts w:ascii="Times New Roman" w:hAnsi="Times New Roman" w:cs="Times New Roman"/>
          <w:sz w:val="24"/>
          <w:szCs w:val="24"/>
        </w:rPr>
        <w:t xml:space="preserve"> turpinātas profesionālās izglītības </w:t>
      </w:r>
      <w:r>
        <w:rPr>
          <w:rFonts w:ascii="Times New Roman" w:hAnsi="Times New Roman" w:cs="Times New Roman"/>
          <w:sz w:val="24"/>
          <w:szCs w:val="24"/>
        </w:rPr>
        <w:t xml:space="preserve">reformas. </w:t>
      </w:r>
      <w:r w:rsidR="00F51F69">
        <w:rPr>
          <w:rFonts w:ascii="Times New Roman" w:hAnsi="Times New Roman" w:cs="Times New Roman"/>
          <w:sz w:val="24"/>
          <w:szCs w:val="24"/>
        </w:rPr>
        <w:t>Mērķis ir</w:t>
      </w:r>
      <w:r>
        <w:rPr>
          <w:rFonts w:ascii="Times New Roman" w:hAnsi="Times New Roman" w:cs="Times New Roman"/>
          <w:sz w:val="24"/>
          <w:szCs w:val="24"/>
        </w:rPr>
        <w:t xml:space="preserve"> skolēnu proporcijas līdzsvarošan</w:t>
      </w:r>
      <w:r w:rsidR="00F51F69">
        <w:rPr>
          <w:rFonts w:ascii="Times New Roman" w:hAnsi="Times New Roman" w:cs="Times New Roman"/>
          <w:sz w:val="24"/>
          <w:szCs w:val="24"/>
        </w:rPr>
        <w:t>a</w:t>
      </w:r>
      <w:r>
        <w:rPr>
          <w:rFonts w:ascii="Times New Roman" w:hAnsi="Times New Roman" w:cs="Times New Roman"/>
          <w:sz w:val="24"/>
          <w:szCs w:val="24"/>
        </w:rPr>
        <w:t xml:space="preserve"> </w:t>
      </w:r>
      <w:r w:rsidRPr="007D4E1E">
        <w:rPr>
          <w:rFonts w:ascii="Times New Roman" w:hAnsi="Times New Roman" w:cs="Times New Roman"/>
          <w:sz w:val="24"/>
          <w:szCs w:val="24"/>
        </w:rPr>
        <w:t>vispārējā un profesionālajā izglītībā vidējās izglītības pakāpē</w:t>
      </w:r>
      <w:r>
        <w:rPr>
          <w:rFonts w:ascii="Times New Roman" w:hAnsi="Times New Roman" w:cs="Times New Roman"/>
          <w:sz w:val="24"/>
          <w:szCs w:val="24"/>
        </w:rPr>
        <w:t xml:space="preserve">, līdz 2020.gadam sasniedzot 50/50%. </w:t>
      </w:r>
      <w:r w:rsidR="00D33460">
        <w:rPr>
          <w:rFonts w:ascii="Times New Roman" w:hAnsi="Times New Roman" w:cs="Times New Roman"/>
          <w:sz w:val="24"/>
          <w:szCs w:val="24"/>
        </w:rPr>
        <w:t>Pārskata periodā šī proporcija nav ievērojami mainījusies</w:t>
      </w:r>
      <w:r w:rsidR="00F5376C">
        <w:rPr>
          <w:rFonts w:ascii="Times New Roman" w:hAnsi="Times New Roman" w:cs="Times New Roman"/>
          <w:sz w:val="24"/>
          <w:szCs w:val="24"/>
        </w:rPr>
        <w:t xml:space="preserve"> un ap</w:t>
      </w:r>
      <w:r w:rsidR="00D33460">
        <w:rPr>
          <w:rFonts w:ascii="Times New Roman" w:hAnsi="Times New Roman" w:cs="Times New Roman"/>
          <w:sz w:val="24"/>
          <w:szCs w:val="24"/>
        </w:rPr>
        <w:t xml:space="preserve"> 60% skolēnu </w:t>
      </w:r>
      <w:r w:rsidR="00F5376C">
        <w:rPr>
          <w:rFonts w:ascii="Times New Roman" w:hAnsi="Times New Roman" w:cs="Times New Roman"/>
          <w:sz w:val="24"/>
          <w:szCs w:val="24"/>
        </w:rPr>
        <w:t>joprojām izvēlas</w:t>
      </w:r>
      <w:r w:rsidR="00D33460">
        <w:rPr>
          <w:rFonts w:ascii="Times New Roman" w:hAnsi="Times New Roman" w:cs="Times New Roman"/>
          <w:sz w:val="24"/>
          <w:szCs w:val="24"/>
        </w:rPr>
        <w:t xml:space="preserve"> turpināt mācības vispārējā izglītībā vidējās izglītības pakāpē.</w:t>
      </w:r>
    </w:p>
    <w:p w:rsidR="000C67D6" w:rsidRPr="000C67D6" w:rsidRDefault="000C67D6" w:rsidP="008A020C">
      <w:pPr>
        <w:spacing w:after="0" w:line="240" w:lineRule="auto"/>
        <w:ind w:firstLine="720"/>
        <w:jc w:val="both"/>
        <w:rPr>
          <w:rFonts w:ascii="Times New Roman" w:hAnsi="Times New Roman" w:cs="Times New Roman"/>
          <w:sz w:val="24"/>
          <w:szCs w:val="24"/>
        </w:rPr>
      </w:pPr>
      <w:r w:rsidRPr="000C67D6">
        <w:rPr>
          <w:rFonts w:ascii="Times New Roman" w:hAnsi="Times New Roman" w:cs="Times New Roman"/>
          <w:sz w:val="24"/>
          <w:szCs w:val="24"/>
        </w:rPr>
        <w:t xml:space="preserve">Ar mērķi izstrādāt mainīgajām darba tirgus prasībām atbilstošu profesionālās izglītības saturu un nodrošināt </w:t>
      </w:r>
      <w:r w:rsidRPr="005E388D">
        <w:rPr>
          <w:rFonts w:ascii="Times New Roman" w:hAnsi="Times New Roman" w:cs="Times New Roman"/>
          <w:b/>
          <w:sz w:val="24"/>
          <w:szCs w:val="24"/>
        </w:rPr>
        <w:t>profesionālās izglītības atbilstību Eiropas kvalifikācijas ietvarstruktūrai</w:t>
      </w:r>
      <w:r w:rsidRPr="000C67D6">
        <w:rPr>
          <w:rFonts w:ascii="Times New Roman" w:hAnsi="Times New Roman" w:cs="Times New Roman"/>
          <w:sz w:val="24"/>
          <w:szCs w:val="24"/>
        </w:rPr>
        <w:t xml:space="preserve"> kopš 2016.gada nogales tiek īstenots ESF līdzfinansēts projekts “Nozaru kvalifikācijas sistēmas pilnveide profesionālās izglītības attīstībai un kvalitātes nodrošināšanai”. Projekta ietvaros ir paredzēta nozaru kvalifikāciju sistēmas pilnveide un aprakstu sagatavošana, 160 profesiju standartu un profesionālās kvalifikācijas prasību izstrāde vai pilnveide (90 līdz 2018.gada beigām), 184 modulāro profesionālās izglītības programmu izstrāde un ieviešana (10 līdz 2018.gada beigām), profesionālās kvalifikācijas eksāmenu satura izstrāde 210 profesionālajām kvalifikācijām, kā arī attiecīgo mācību līdzekļu un metodisko materiālu izstrāde. Lai paātrinātu projekta rezultātu sasniegšanu, tika pārplānots projekta īstenošanas grafiks un vairākas aktivitātes uzsāktas ātrāk. </w:t>
      </w:r>
    </w:p>
    <w:p w:rsidR="000C67D6" w:rsidRPr="005565F8" w:rsidRDefault="000C67D6" w:rsidP="000C67D6">
      <w:pPr>
        <w:spacing w:after="0" w:line="240" w:lineRule="auto"/>
        <w:ind w:firstLine="720"/>
        <w:jc w:val="both"/>
      </w:pPr>
      <w:r w:rsidRPr="000C67D6">
        <w:rPr>
          <w:rFonts w:ascii="Times New Roman" w:hAnsi="Times New Roman" w:cs="Times New Roman"/>
          <w:sz w:val="24"/>
          <w:szCs w:val="24"/>
        </w:rPr>
        <w:t xml:space="preserve">Kopumā ir izstrādāti un saskaņoti vairāk nekā puse no plānotajiem </w:t>
      </w:r>
      <w:r w:rsidRPr="005E388D">
        <w:rPr>
          <w:rFonts w:ascii="Times New Roman" w:hAnsi="Times New Roman" w:cs="Times New Roman"/>
          <w:b/>
          <w:sz w:val="24"/>
          <w:szCs w:val="24"/>
        </w:rPr>
        <w:t>profesiju standartiem un profesionālās kvalifikācijas prasībām</w:t>
      </w:r>
      <w:r w:rsidRPr="000C67D6">
        <w:rPr>
          <w:rFonts w:ascii="Times New Roman" w:hAnsi="Times New Roman" w:cs="Times New Roman"/>
          <w:sz w:val="24"/>
          <w:szCs w:val="24"/>
        </w:rPr>
        <w:t xml:space="preserve">. 2017.gadā nodrošināta 64 profesiju standartu izstrāde sākotnēji plānoto 30 profesijas standartu vietā. Līdz 2018.gada </w:t>
      </w:r>
      <w:r>
        <w:rPr>
          <w:rFonts w:ascii="Times New Roman" w:hAnsi="Times New Roman" w:cs="Times New Roman"/>
          <w:sz w:val="24"/>
          <w:szCs w:val="24"/>
        </w:rPr>
        <w:t>sākumam</w:t>
      </w:r>
      <w:r w:rsidRPr="000C67D6">
        <w:rPr>
          <w:rFonts w:ascii="Times New Roman" w:hAnsi="Times New Roman" w:cs="Times New Roman"/>
          <w:sz w:val="24"/>
          <w:szCs w:val="24"/>
        </w:rPr>
        <w:t xml:space="preserve"> </w:t>
      </w:r>
      <w:r w:rsidRPr="000C67D6">
        <w:rPr>
          <w:rFonts w:ascii="Times New Roman" w:hAnsi="Times New Roman" w:cs="Times New Roman"/>
          <w:bCs/>
          <w:sz w:val="24"/>
          <w:szCs w:val="24"/>
        </w:rPr>
        <w:t>Profesionālās izglītības un nodarbinātības trīspusējās sadarbības apakšpadome</w:t>
      </w:r>
      <w:r w:rsidRPr="000C67D6">
        <w:rPr>
          <w:rFonts w:ascii="Times New Roman" w:hAnsi="Times New Roman" w:cs="Times New Roman"/>
          <w:sz w:val="24"/>
          <w:szCs w:val="24"/>
        </w:rPr>
        <w:t xml:space="preserve"> ir apstiprinājusi 49 profesijas standartus /profesionālās kvalifikācijas pamatprasības</w:t>
      </w:r>
      <w:r w:rsidRPr="005565F8">
        <w:t>.</w:t>
      </w:r>
    </w:p>
    <w:p w:rsidR="000C67D6" w:rsidRPr="000C67D6" w:rsidRDefault="000C67D6" w:rsidP="00960346">
      <w:pPr>
        <w:spacing w:after="0" w:line="240" w:lineRule="auto"/>
        <w:ind w:firstLine="720"/>
        <w:jc w:val="both"/>
        <w:rPr>
          <w:rFonts w:ascii="Times New Roman" w:hAnsi="Times New Roman" w:cs="Times New Roman"/>
          <w:bCs/>
          <w:sz w:val="24"/>
          <w:szCs w:val="24"/>
        </w:rPr>
      </w:pPr>
      <w:r w:rsidRPr="000C67D6">
        <w:rPr>
          <w:rFonts w:ascii="Times New Roman" w:hAnsi="Times New Roman" w:cs="Times New Roman"/>
          <w:bCs/>
          <w:sz w:val="24"/>
          <w:szCs w:val="24"/>
        </w:rPr>
        <w:t xml:space="preserve">Ir uzsākta arī </w:t>
      </w:r>
      <w:r w:rsidRPr="005E388D">
        <w:rPr>
          <w:rFonts w:ascii="Times New Roman" w:hAnsi="Times New Roman" w:cs="Times New Roman"/>
          <w:b/>
          <w:bCs/>
          <w:sz w:val="24"/>
          <w:szCs w:val="24"/>
        </w:rPr>
        <w:t>modulāro profesionālās izglītības programmu</w:t>
      </w:r>
      <w:r w:rsidRPr="000C67D6">
        <w:rPr>
          <w:rFonts w:ascii="Times New Roman" w:hAnsi="Times New Roman" w:cs="Times New Roman"/>
          <w:bCs/>
          <w:sz w:val="24"/>
          <w:szCs w:val="24"/>
        </w:rPr>
        <w:t xml:space="preserve"> izstrāde 10 profesionālās kvalifikācij</w:t>
      </w:r>
      <w:r w:rsidR="00F51F69">
        <w:rPr>
          <w:rFonts w:ascii="Times New Roman" w:hAnsi="Times New Roman" w:cs="Times New Roman"/>
          <w:bCs/>
          <w:sz w:val="24"/>
          <w:szCs w:val="24"/>
        </w:rPr>
        <w:t>ās no 184 moduļu programmām</w:t>
      </w:r>
      <w:r w:rsidRPr="000C67D6">
        <w:rPr>
          <w:rFonts w:ascii="Times New Roman" w:hAnsi="Times New Roman" w:cs="Times New Roman"/>
          <w:bCs/>
          <w:sz w:val="24"/>
          <w:szCs w:val="24"/>
        </w:rPr>
        <w:t>. Paralēli uzsākts darbs pie profesionāl</w:t>
      </w:r>
      <w:r w:rsidR="00F51F69">
        <w:rPr>
          <w:rFonts w:ascii="Times New Roman" w:hAnsi="Times New Roman" w:cs="Times New Roman"/>
          <w:bCs/>
          <w:sz w:val="24"/>
          <w:szCs w:val="24"/>
        </w:rPr>
        <w:t>ās</w:t>
      </w:r>
      <w:r w:rsidRPr="000C67D6">
        <w:rPr>
          <w:rFonts w:ascii="Times New Roman" w:hAnsi="Times New Roman" w:cs="Times New Roman"/>
          <w:bCs/>
          <w:sz w:val="24"/>
          <w:szCs w:val="24"/>
        </w:rPr>
        <w:t xml:space="preserve"> kvalifikācijas eksāmenu satura izstrādes 65 profesionālajām kvalifikācijām. </w:t>
      </w:r>
    </w:p>
    <w:p w:rsidR="000C67D6" w:rsidRDefault="000C67D6" w:rsidP="000C67D6">
      <w:pPr>
        <w:spacing w:after="0" w:line="240" w:lineRule="auto"/>
        <w:ind w:firstLine="720"/>
        <w:jc w:val="both"/>
        <w:rPr>
          <w:rFonts w:ascii="Times New Roman" w:hAnsi="Times New Roman" w:cs="Times New Roman"/>
          <w:sz w:val="24"/>
          <w:szCs w:val="24"/>
        </w:rPr>
      </w:pPr>
      <w:r w:rsidRPr="000C67D6">
        <w:rPr>
          <w:rFonts w:ascii="Times New Roman" w:hAnsi="Times New Roman" w:cs="Times New Roman"/>
          <w:sz w:val="24"/>
          <w:szCs w:val="24"/>
        </w:rPr>
        <w:t>Vienlaikus uzsākta izstrādāto profesionālās izglītības modulāro programmu īstenošana, t.sk. pieaugušo izglītības ietvaros. 2016./2017.mācību gadā tika uzsākta 29 no 56 reformu pirmajā posmā izstrādāto profesionālās izglītības modulāro programmu īstenošana, bet sākot ar 2017./2018.mācību gadu uzsākta jau profesionālās izglītības modulāro programmu 39 profesionālās kvalifikācijās īstenošana 24 profesionālās izglītības iestādēs. 2017.</w:t>
      </w:r>
      <w:r w:rsidR="006C30E1">
        <w:rPr>
          <w:rFonts w:ascii="Times New Roman" w:hAnsi="Times New Roman" w:cs="Times New Roman"/>
          <w:sz w:val="24"/>
          <w:szCs w:val="24"/>
        </w:rPr>
        <w:t>gada 22.</w:t>
      </w:r>
      <w:r w:rsidRPr="000C67D6">
        <w:rPr>
          <w:rFonts w:ascii="Times New Roman" w:hAnsi="Times New Roman" w:cs="Times New Roman"/>
          <w:sz w:val="24"/>
          <w:szCs w:val="24"/>
        </w:rPr>
        <w:t xml:space="preserve">jūnijā </w:t>
      </w:r>
      <w:r w:rsidR="00F51F69">
        <w:rPr>
          <w:rFonts w:ascii="Times New Roman" w:hAnsi="Times New Roman" w:cs="Times New Roman"/>
          <w:sz w:val="24"/>
          <w:szCs w:val="24"/>
        </w:rPr>
        <w:t>apstiprināti</w:t>
      </w:r>
      <w:r w:rsidRPr="000C67D6">
        <w:rPr>
          <w:rFonts w:ascii="Times New Roman" w:hAnsi="Times New Roman" w:cs="Times New Roman"/>
          <w:sz w:val="24"/>
          <w:szCs w:val="24"/>
        </w:rPr>
        <w:t xml:space="preserve"> </w:t>
      </w:r>
      <w:r w:rsidR="00785A4A">
        <w:rPr>
          <w:rFonts w:ascii="Times New Roman" w:hAnsi="Times New Roman" w:cs="Times New Roman"/>
          <w:sz w:val="24"/>
          <w:szCs w:val="24"/>
        </w:rPr>
        <w:t>g</w:t>
      </w:r>
      <w:r w:rsidRPr="000C67D6">
        <w:rPr>
          <w:rFonts w:ascii="Times New Roman" w:hAnsi="Times New Roman" w:cs="Times New Roman"/>
          <w:sz w:val="24"/>
          <w:szCs w:val="24"/>
        </w:rPr>
        <w:t xml:space="preserve">rozījumi </w:t>
      </w:r>
      <w:r w:rsidR="00785A4A">
        <w:rPr>
          <w:rFonts w:ascii="Times New Roman" w:hAnsi="Times New Roman" w:cs="Times New Roman"/>
          <w:sz w:val="24"/>
          <w:szCs w:val="24"/>
        </w:rPr>
        <w:t>P</w:t>
      </w:r>
      <w:r w:rsidRPr="000C67D6">
        <w:rPr>
          <w:rFonts w:ascii="Times New Roman" w:hAnsi="Times New Roman" w:cs="Times New Roman"/>
          <w:sz w:val="24"/>
          <w:szCs w:val="24"/>
        </w:rPr>
        <w:t>rofesionālās izglītības likumā, nosakot modulārās profesionālās izglītības programmas definīciju un izglītības veidus, k</w:t>
      </w:r>
      <w:r w:rsidR="00F51F69">
        <w:rPr>
          <w:rFonts w:ascii="Times New Roman" w:hAnsi="Times New Roman" w:cs="Times New Roman"/>
          <w:sz w:val="24"/>
          <w:szCs w:val="24"/>
        </w:rPr>
        <w:t>ā</w:t>
      </w:r>
      <w:r w:rsidRPr="000C67D6">
        <w:rPr>
          <w:rFonts w:ascii="Times New Roman" w:hAnsi="Times New Roman" w:cs="Times New Roman"/>
          <w:sz w:val="24"/>
          <w:szCs w:val="24"/>
        </w:rPr>
        <w:t xml:space="preserve"> var īstenot modulārās profesionālās izglītības programmas, kā arī dokumentus, kas apliecina profesionālo izglītību un profesionālo kvalifikāciju, kas </w:t>
      </w:r>
      <w:r w:rsidR="00F51F69">
        <w:rPr>
          <w:rFonts w:ascii="Times New Roman" w:hAnsi="Times New Roman" w:cs="Times New Roman"/>
          <w:sz w:val="24"/>
          <w:szCs w:val="24"/>
        </w:rPr>
        <w:t xml:space="preserve">tiek </w:t>
      </w:r>
      <w:r w:rsidRPr="000C67D6">
        <w:rPr>
          <w:rFonts w:ascii="Times New Roman" w:hAnsi="Times New Roman" w:cs="Times New Roman"/>
          <w:sz w:val="24"/>
          <w:szCs w:val="24"/>
        </w:rPr>
        <w:t>izsniegt</w:t>
      </w:r>
      <w:r w:rsidR="00F51F69">
        <w:rPr>
          <w:rFonts w:ascii="Times New Roman" w:hAnsi="Times New Roman" w:cs="Times New Roman"/>
          <w:sz w:val="24"/>
          <w:szCs w:val="24"/>
        </w:rPr>
        <w:t xml:space="preserve">i </w:t>
      </w:r>
      <w:r w:rsidRPr="000C67D6">
        <w:rPr>
          <w:rFonts w:ascii="Times New Roman" w:hAnsi="Times New Roman" w:cs="Times New Roman"/>
          <w:sz w:val="24"/>
          <w:szCs w:val="24"/>
        </w:rPr>
        <w:t>pēc modulāro programmu pabeigšanas.</w:t>
      </w:r>
    </w:p>
    <w:p w:rsidR="000C67D6" w:rsidRPr="00960346" w:rsidRDefault="00960346" w:rsidP="009603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2D3D48">
        <w:rPr>
          <w:rFonts w:ascii="Times New Roman" w:hAnsi="Times New Roman" w:cs="Times New Roman"/>
          <w:sz w:val="24"/>
          <w:szCs w:val="24"/>
        </w:rPr>
        <w:t>tbalstot</w:t>
      </w:r>
      <w:r>
        <w:rPr>
          <w:rFonts w:ascii="Times New Roman" w:hAnsi="Times New Roman" w:cs="Times New Roman"/>
          <w:sz w:val="24"/>
          <w:szCs w:val="24"/>
        </w:rPr>
        <w:t xml:space="preserve"> </w:t>
      </w:r>
      <w:r w:rsidRPr="000235D4">
        <w:rPr>
          <w:rFonts w:ascii="Times New Roman" w:hAnsi="Times New Roman" w:cs="Times New Roman"/>
          <w:b/>
          <w:sz w:val="24"/>
          <w:szCs w:val="24"/>
        </w:rPr>
        <w:t>darba vidē balstītu (DVB) mācību un prakses attīstību profesionālajā izglītībā</w:t>
      </w:r>
      <w:r>
        <w:rPr>
          <w:rFonts w:ascii="Times New Roman" w:hAnsi="Times New Roman" w:cs="Times New Roman"/>
          <w:sz w:val="24"/>
          <w:szCs w:val="24"/>
        </w:rPr>
        <w:t xml:space="preserve">, </w:t>
      </w:r>
      <w:r w:rsidRPr="00BD7BC1">
        <w:rPr>
          <w:rFonts w:ascii="Times New Roman" w:hAnsi="Times New Roman" w:cs="Times New Roman"/>
          <w:sz w:val="24"/>
          <w:szCs w:val="24"/>
        </w:rPr>
        <w:t>n</w:t>
      </w:r>
      <w:r w:rsidR="000C67D6" w:rsidRPr="00BD7BC1">
        <w:rPr>
          <w:rFonts w:ascii="Times New Roman" w:hAnsi="Times New Roman" w:cs="Times New Roman"/>
          <w:sz w:val="24"/>
          <w:szCs w:val="24"/>
        </w:rPr>
        <w:t xml:space="preserve">odrošināts atbilstošs tiesiskais ietvars un institucionālo mehānismu darbība DVB mācību koordinēšanai un īstenošanai. 2016.gada 15.jūnijā </w:t>
      </w:r>
      <w:r w:rsidR="004820CE">
        <w:rPr>
          <w:rFonts w:ascii="Times New Roman" w:hAnsi="Times New Roman" w:cs="Times New Roman"/>
          <w:sz w:val="24"/>
          <w:szCs w:val="24"/>
        </w:rPr>
        <w:t xml:space="preserve">tika </w:t>
      </w:r>
      <w:r w:rsidR="000C67D6" w:rsidRPr="00BD7BC1">
        <w:rPr>
          <w:rFonts w:ascii="Times New Roman" w:hAnsi="Times New Roman" w:cs="Times New Roman"/>
          <w:sz w:val="24"/>
          <w:szCs w:val="24"/>
        </w:rPr>
        <w:t>apstiprinā</w:t>
      </w:r>
      <w:r w:rsidR="004820CE">
        <w:rPr>
          <w:rFonts w:ascii="Times New Roman" w:hAnsi="Times New Roman" w:cs="Times New Roman"/>
          <w:sz w:val="24"/>
          <w:szCs w:val="24"/>
        </w:rPr>
        <w:t>ti MK noteikumi</w:t>
      </w:r>
      <w:r w:rsidR="000C67D6" w:rsidRPr="00BD7BC1">
        <w:rPr>
          <w:rFonts w:ascii="Times New Roman" w:hAnsi="Times New Roman" w:cs="Times New Roman"/>
          <w:sz w:val="24"/>
          <w:szCs w:val="24"/>
        </w:rPr>
        <w:t xml:space="preserve"> </w:t>
      </w:r>
      <w:r w:rsidR="004820CE">
        <w:rPr>
          <w:rFonts w:ascii="Times New Roman" w:hAnsi="Times New Roman" w:cs="Times New Roman"/>
          <w:sz w:val="24"/>
          <w:szCs w:val="24"/>
        </w:rPr>
        <w:t xml:space="preserve">Nr.484 </w:t>
      </w:r>
      <w:r w:rsidR="00BD7BC1" w:rsidRPr="00BD7BC1">
        <w:rPr>
          <w:rFonts w:ascii="Times New Roman" w:hAnsi="Times New Roman" w:cs="Times New Roman"/>
          <w:sz w:val="24"/>
          <w:szCs w:val="24"/>
        </w:rPr>
        <w:t>“</w:t>
      </w:r>
      <w:r w:rsidR="000C67D6" w:rsidRPr="00BD7BC1">
        <w:rPr>
          <w:rFonts w:ascii="Times New Roman" w:hAnsi="Times New Roman" w:cs="Times New Roman"/>
          <w:sz w:val="24"/>
          <w:szCs w:val="24"/>
        </w:rPr>
        <w:t>Kārtīb</w:t>
      </w:r>
      <w:r w:rsidR="004820CE">
        <w:rPr>
          <w:rFonts w:ascii="Times New Roman" w:hAnsi="Times New Roman" w:cs="Times New Roman"/>
          <w:sz w:val="24"/>
          <w:szCs w:val="24"/>
        </w:rPr>
        <w:t>a</w:t>
      </w:r>
      <w:r w:rsidR="000C67D6" w:rsidRPr="00BD7BC1">
        <w:rPr>
          <w:rFonts w:ascii="Times New Roman" w:hAnsi="Times New Roman" w:cs="Times New Roman"/>
          <w:sz w:val="24"/>
          <w:szCs w:val="24"/>
        </w:rPr>
        <w:t>, kādā organizē un īsteno darba vidē balstītas mācības</w:t>
      </w:r>
      <w:r w:rsidR="00BD7BC1" w:rsidRPr="00BD7BC1">
        <w:rPr>
          <w:rFonts w:ascii="Times New Roman" w:hAnsi="Times New Roman" w:cs="Times New Roman"/>
          <w:sz w:val="24"/>
          <w:szCs w:val="24"/>
        </w:rPr>
        <w:t>”, kas</w:t>
      </w:r>
      <w:r w:rsidR="000C67D6" w:rsidRPr="00BD7BC1">
        <w:rPr>
          <w:rFonts w:ascii="Times New Roman" w:hAnsi="Times New Roman" w:cs="Times New Roman"/>
          <w:sz w:val="24"/>
          <w:szCs w:val="24"/>
        </w:rPr>
        <w:t xml:space="preserve"> nosaka DVB mācību īstenošanas nosacījumus, iesaistīto pušu tiesības un pienākumus, koordinējot un veicinot </w:t>
      </w:r>
      <w:r w:rsidR="00BD6E59">
        <w:rPr>
          <w:rFonts w:ascii="Times New Roman" w:hAnsi="Times New Roman" w:cs="Times New Roman"/>
          <w:sz w:val="24"/>
          <w:szCs w:val="24"/>
        </w:rPr>
        <w:t>darba devēju</w:t>
      </w:r>
      <w:r w:rsidR="000C67D6" w:rsidRPr="00BD7BC1">
        <w:rPr>
          <w:rFonts w:ascii="Times New Roman" w:hAnsi="Times New Roman" w:cs="Times New Roman"/>
          <w:sz w:val="24"/>
          <w:szCs w:val="24"/>
        </w:rPr>
        <w:t xml:space="preserve"> sadarbību ar izglītības iestādēm un nodrošinot profesionālās izglītības atbilstību aktuālajām darba tirgus prasībām. </w:t>
      </w:r>
      <w:r w:rsidR="00BD7BC1" w:rsidRPr="00BD7BC1">
        <w:rPr>
          <w:rFonts w:ascii="Times New Roman" w:hAnsi="Times New Roman" w:cs="Times New Roman"/>
          <w:sz w:val="24"/>
          <w:szCs w:val="24"/>
        </w:rPr>
        <w:t>Vienlaikus</w:t>
      </w:r>
      <w:r w:rsidR="000C67D6" w:rsidRPr="00BD7BC1">
        <w:rPr>
          <w:rFonts w:ascii="Times New Roman" w:hAnsi="Times New Roman" w:cs="Times New Roman"/>
          <w:sz w:val="24"/>
          <w:szCs w:val="24"/>
        </w:rPr>
        <w:t xml:space="preserve"> 2017.gadā </w:t>
      </w:r>
      <w:r w:rsidR="00701373">
        <w:rPr>
          <w:rFonts w:ascii="Times New Roman" w:hAnsi="Times New Roman" w:cs="Times New Roman"/>
          <w:sz w:val="24"/>
          <w:szCs w:val="24"/>
        </w:rPr>
        <w:t xml:space="preserve">tika </w:t>
      </w:r>
      <w:r w:rsidR="000C67D6" w:rsidRPr="00BD7BC1">
        <w:rPr>
          <w:rFonts w:ascii="Times New Roman" w:hAnsi="Times New Roman" w:cs="Times New Roman"/>
          <w:sz w:val="24"/>
          <w:szCs w:val="24"/>
        </w:rPr>
        <w:t xml:space="preserve">apstiprinātas </w:t>
      </w:r>
      <w:r w:rsidR="00BD7BC1" w:rsidRPr="00BD7BC1">
        <w:rPr>
          <w:rFonts w:ascii="Times New Roman" w:hAnsi="Times New Roman" w:cs="Times New Roman"/>
          <w:sz w:val="24"/>
          <w:szCs w:val="24"/>
        </w:rPr>
        <w:t>“</w:t>
      </w:r>
      <w:r w:rsidR="000C67D6" w:rsidRPr="00BD7BC1">
        <w:rPr>
          <w:rFonts w:ascii="Times New Roman" w:hAnsi="Times New Roman" w:cs="Times New Roman"/>
          <w:sz w:val="24"/>
          <w:szCs w:val="24"/>
        </w:rPr>
        <w:t>DVB mācību organizēšanas un īstenošanas vadlīnijas</w:t>
      </w:r>
      <w:r w:rsidR="00BD7BC1" w:rsidRPr="00BD7BC1">
        <w:rPr>
          <w:rFonts w:ascii="Times New Roman" w:hAnsi="Times New Roman" w:cs="Times New Roman"/>
          <w:sz w:val="24"/>
          <w:szCs w:val="24"/>
        </w:rPr>
        <w:t>”</w:t>
      </w:r>
      <w:r w:rsidR="000C67D6" w:rsidRPr="00BD7BC1">
        <w:rPr>
          <w:rFonts w:ascii="Times New Roman" w:hAnsi="Times New Roman" w:cs="Times New Roman"/>
          <w:sz w:val="24"/>
          <w:szCs w:val="24"/>
        </w:rPr>
        <w:t>, kas ietver vienotus pamatprincipus un metodisku atbalstu mācību organizēšanai un īstenošanai.</w:t>
      </w:r>
    </w:p>
    <w:p w:rsidR="001D7C65" w:rsidRDefault="000C67D6" w:rsidP="001D7C65">
      <w:pPr>
        <w:autoSpaceDE w:val="0"/>
        <w:autoSpaceDN w:val="0"/>
        <w:adjustRightInd w:val="0"/>
        <w:spacing w:after="0" w:line="240" w:lineRule="auto"/>
        <w:ind w:firstLine="720"/>
        <w:jc w:val="both"/>
        <w:rPr>
          <w:rFonts w:ascii="Times New Roman" w:hAnsi="Times New Roman" w:cs="Times New Roman"/>
          <w:sz w:val="24"/>
          <w:szCs w:val="24"/>
        </w:rPr>
      </w:pPr>
      <w:r w:rsidRPr="001D7C65">
        <w:rPr>
          <w:rFonts w:ascii="Times New Roman" w:hAnsi="Times New Roman" w:cs="Times New Roman"/>
          <w:sz w:val="24"/>
          <w:szCs w:val="24"/>
        </w:rPr>
        <w:t>2017.gada janvārī uzsākts ESF projekts</w:t>
      </w:r>
      <w:r w:rsidR="0053100E">
        <w:rPr>
          <w:rFonts w:ascii="Times New Roman" w:hAnsi="Times New Roman" w:cs="Times New Roman"/>
          <w:sz w:val="24"/>
          <w:szCs w:val="24"/>
        </w:rPr>
        <w:t xml:space="preserve"> „</w:t>
      </w:r>
      <w:r w:rsidR="0053100E" w:rsidRPr="006F1EF7">
        <w:rPr>
          <w:rFonts w:ascii="Times New Roman" w:hAnsi="Times New Roman" w:cs="Times New Roman"/>
          <w:sz w:val="24"/>
          <w:szCs w:val="24"/>
        </w:rPr>
        <w:t>Profesionālo izglītības iestāžu audzēkņu dalība darba vidē balstītās mācībās un mācību praksēs uzņēmumos</w:t>
      </w:r>
      <w:r w:rsidR="0053100E">
        <w:rPr>
          <w:rFonts w:ascii="Times New Roman" w:hAnsi="Times New Roman" w:cs="Times New Roman"/>
          <w:sz w:val="24"/>
          <w:szCs w:val="24"/>
        </w:rPr>
        <w:t>”</w:t>
      </w:r>
      <w:r w:rsidRPr="001D7C65">
        <w:rPr>
          <w:rFonts w:ascii="Times New Roman" w:hAnsi="Times New Roman" w:cs="Times New Roman"/>
          <w:sz w:val="24"/>
          <w:szCs w:val="24"/>
        </w:rPr>
        <w:t>, lai palielinātu kvalificētu profesionālās izglītības iestāžu audzēkņu skaitu pēc to dalības DVB mācībās vai mācību praksē uzņēmumā.</w:t>
      </w:r>
      <w:r w:rsidR="0053100E">
        <w:rPr>
          <w:rFonts w:ascii="Times New Roman" w:hAnsi="Times New Roman" w:cs="Times New Roman"/>
          <w:sz w:val="24"/>
          <w:szCs w:val="24"/>
        </w:rPr>
        <w:t xml:space="preserve"> ESF projekta</w:t>
      </w:r>
      <w:r w:rsidR="0053100E" w:rsidRPr="00BF7711">
        <w:rPr>
          <w:rFonts w:ascii="Times New Roman" w:hAnsi="Times New Roman" w:cs="Times New Roman"/>
          <w:sz w:val="24"/>
          <w:szCs w:val="24"/>
        </w:rPr>
        <w:t xml:space="preserve"> „Profesionālo izglītības iestāžu audzēkņu dalība darba vidē balstītās mācībās un mācību praksēs uzņēmumos”</w:t>
      </w:r>
      <w:r w:rsidR="0053100E">
        <w:rPr>
          <w:rFonts w:ascii="Times New Roman" w:hAnsi="Times New Roman" w:cs="Times New Roman"/>
          <w:sz w:val="24"/>
          <w:szCs w:val="24"/>
        </w:rPr>
        <w:t xml:space="preserve"> ietvaros uz 2017.gada 31.decembri DVB mācībās ir iesaistīti </w:t>
      </w:r>
      <w:r w:rsidR="0053100E" w:rsidRPr="00BF7711">
        <w:rPr>
          <w:rFonts w:ascii="Times New Roman" w:hAnsi="Times New Roman" w:cs="Times New Roman"/>
          <w:sz w:val="24"/>
          <w:szCs w:val="24"/>
        </w:rPr>
        <w:t>363 audzēkņi</w:t>
      </w:r>
      <w:r w:rsidR="0053100E">
        <w:rPr>
          <w:rFonts w:ascii="Times New Roman" w:hAnsi="Times New Roman" w:cs="Times New Roman"/>
          <w:sz w:val="24"/>
          <w:szCs w:val="24"/>
        </w:rPr>
        <w:t>, bet m</w:t>
      </w:r>
      <w:r w:rsidR="0053100E" w:rsidRPr="00BF7711">
        <w:rPr>
          <w:rFonts w:ascii="Times New Roman" w:hAnsi="Times New Roman" w:cs="Times New Roman"/>
          <w:sz w:val="24"/>
          <w:szCs w:val="24"/>
        </w:rPr>
        <w:t>ācību praksē uzņēmumos 1055 audzēkņi</w:t>
      </w:r>
      <w:r w:rsidR="0053100E">
        <w:rPr>
          <w:rFonts w:ascii="Times New Roman" w:hAnsi="Times New Roman" w:cs="Times New Roman"/>
          <w:sz w:val="24"/>
          <w:szCs w:val="24"/>
        </w:rPr>
        <w:t>.</w:t>
      </w:r>
      <w:r w:rsidRPr="001D7C65">
        <w:rPr>
          <w:rFonts w:ascii="Times New Roman" w:hAnsi="Times New Roman" w:cs="Times New Roman"/>
          <w:sz w:val="24"/>
          <w:szCs w:val="24"/>
        </w:rPr>
        <w:t xml:space="preserve"> Paredzams, ka līd</w:t>
      </w:r>
      <w:r w:rsidR="00701373">
        <w:rPr>
          <w:rFonts w:ascii="Times New Roman" w:hAnsi="Times New Roman" w:cs="Times New Roman"/>
          <w:sz w:val="24"/>
          <w:szCs w:val="24"/>
        </w:rPr>
        <w:t xml:space="preserve">z projekta </w:t>
      </w:r>
      <w:r w:rsidR="00701373">
        <w:rPr>
          <w:rFonts w:ascii="Times New Roman" w:hAnsi="Times New Roman" w:cs="Times New Roman"/>
          <w:sz w:val="24"/>
          <w:szCs w:val="24"/>
        </w:rPr>
        <w:lastRenderedPageBreak/>
        <w:t>noslēgumam 2023.gadā</w:t>
      </w:r>
      <w:r w:rsidRPr="001D7C65">
        <w:rPr>
          <w:rFonts w:ascii="Times New Roman" w:hAnsi="Times New Roman" w:cs="Times New Roman"/>
          <w:sz w:val="24"/>
          <w:szCs w:val="24"/>
        </w:rPr>
        <w:t xml:space="preserve"> DVB mācībās būs iesaistīti 3 1</w:t>
      </w:r>
      <w:r w:rsidR="001478A4">
        <w:rPr>
          <w:rFonts w:ascii="Times New Roman" w:hAnsi="Times New Roman" w:cs="Times New Roman"/>
          <w:sz w:val="24"/>
          <w:szCs w:val="24"/>
        </w:rPr>
        <w:t>50 audzēkņi un 11 025 audzēkņi</w:t>
      </w:r>
      <w:r w:rsidRPr="001D7C65">
        <w:rPr>
          <w:rFonts w:ascii="Times New Roman" w:hAnsi="Times New Roman" w:cs="Times New Roman"/>
          <w:sz w:val="24"/>
          <w:szCs w:val="24"/>
        </w:rPr>
        <w:t xml:space="preserve"> mācību praksēm uzņēmumā. </w:t>
      </w:r>
    </w:p>
    <w:p w:rsidR="0021046D" w:rsidRDefault="000C67D6" w:rsidP="008F25B7">
      <w:pPr>
        <w:autoSpaceDE w:val="0"/>
        <w:autoSpaceDN w:val="0"/>
        <w:adjustRightInd w:val="0"/>
        <w:spacing w:after="0" w:line="240" w:lineRule="auto"/>
        <w:ind w:firstLine="720"/>
        <w:jc w:val="both"/>
        <w:rPr>
          <w:rFonts w:ascii="Times New Roman" w:hAnsi="Times New Roman" w:cs="Times New Roman"/>
          <w:sz w:val="24"/>
          <w:szCs w:val="24"/>
        </w:rPr>
      </w:pPr>
      <w:r w:rsidRPr="001D7C65">
        <w:rPr>
          <w:rFonts w:ascii="Times New Roman" w:hAnsi="Times New Roman" w:cs="Times New Roman"/>
          <w:sz w:val="24"/>
          <w:szCs w:val="24"/>
        </w:rPr>
        <w:t xml:space="preserve">Sākot ar 2017.gada 1.janvāri, </w:t>
      </w:r>
      <w:r w:rsidR="00701373">
        <w:rPr>
          <w:rFonts w:ascii="Times New Roman" w:hAnsi="Times New Roman" w:cs="Times New Roman"/>
          <w:sz w:val="24"/>
          <w:szCs w:val="24"/>
        </w:rPr>
        <w:t>grozījumi</w:t>
      </w:r>
      <w:r w:rsidRPr="001D7C65">
        <w:rPr>
          <w:rFonts w:ascii="Times New Roman" w:hAnsi="Times New Roman" w:cs="Times New Roman"/>
          <w:sz w:val="24"/>
          <w:szCs w:val="24"/>
        </w:rPr>
        <w:t xml:space="preserve"> </w:t>
      </w:r>
      <w:r w:rsidR="001D7C65">
        <w:rPr>
          <w:rFonts w:ascii="Times New Roman" w:hAnsi="Times New Roman" w:cs="Times New Roman"/>
          <w:sz w:val="24"/>
          <w:szCs w:val="24"/>
        </w:rPr>
        <w:t>l</w:t>
      </w:r>
      <w:r w:rsidRPr="001D7C65">
        <w:rPr>
          <w:rFonts w:ascii="Times New Roman" w:hAnsi="Times New Roman" w:cs="Times New Roman"/>
          <w:sz w:val="24"/>
          <w:szCs w:val="24"/>
        </w:rPr>
        <w:t xml:space="preserve">ikumā </w:t>
      </w:r>
      <w:r w:rsidR="001D7C65">
        <w:rPr>
          <w:rFonts w:ascii="Times New Roman" w:hAnsi="Times New Roman" w:cs="Times New Roman"/>
          <w:sz w:val="24"/>
          <w:szCs w:val="24"/>
        </w:rPr>
        <w:t>“</w:t>
      </w:r>
      <w:r w:rsidRPr="001D7C65">
        <w:rPr>
          <w:rFonts w:ascii="Times New Roman" w:hAnsi="Times New Roman" w:cs="Times New Roman"/>
          <w:sz w:val="24"/>
          <w:szCs w:val="24"/>
        </w:rPr>
        <w:t>Par iedzīvotāju ienākuma nodokli</w:t>
      </w:r>
      <w:r w:rsidR="001D7C65">
        <w:rPr>
          <w:rFonts w:ascii="Times New Roman" w:hAnsi="Times New Roman" w:cs="Times New Roman"/>
          <w:sz w:val="24"/>
          <w:szCs w:val="24"/>
        </w:rPr>
        <w:t>”</w:t>
      </w:r>
      <w:r w:rsidRPr="001D7C65">
        <w:rPr>
          <w:rFonts w:ascii="Times New Roman" w:hAnsi="Times New Roman" w:cs="Times New Roman"/>
          <w:sz w:val="24"/>
          <w:szCs w:val="24"/>
        </w:rPr>
        <w:t xml:space="preserve"> paredz neaplikt ar </w:t>
      </w:r>
      <w:r w:rsidR="001D7C65">
        <w:rPr>
          <w:rFonts w:ascii="Times New Roman" w:hAnsi="Times New Roman" w:cs="Times New Roman"/>
          <w:sz w:val="24"/>
          <w:szCs w:val="24"/>
        </w:rPr>
        <w:t>iedzīvotāju ienākuma nodokli</w:t>
      </w:r>
      <w:r w:rsidRPr="001D7C65">
        <w:rPr>
          <w:rFonts w:ascii="Times New Roman" w:hAnsi="Times New Roman" w:cs="Times New Roman"/>
          <w:sz w:val="24"/>
          <w:szCs w:val="24"/>
        </w:rPr>
        <w:t xml:space="preserve"> stipendijas līdz 280 EUR mēnesī, ko izglītojamam DVB mācību ietvaros izmaksā komersants, iestāde, biedrība, nodibinājums, fiziska persona, kura reģistrēta kā saimnieciskās darbības veicēja, kā arī individuālais uzņēmums, t</w:t>
      </w:r>
      <w:r w:rsidR="00701373">
        <w:rPr>
          <w:rFonts w:ascii="Times New Roman" w:hAnsi="Times New Roman" w:cs="Times New Roman"/>
          <w:sz w:val="24"/>
          <w:szCs w:val="24"/>
        </w:rPr>
        <w:t>ajā skaitā,</w:t>
      </w:r>
      <w:r w:rsidRPr="001D7C65">
        <w:rPr>
          <w:rFonts w:ascii="Times New Roman" w:hAnsi="Times New Roman" w:cs="Times New Roman"/>
          <w:sz w:val="24"/>
          <w:szCs w:val="24"/>
        </w:rPr>
        <w:t xml:space="preserve"> zemnieku vai zvejnieku saimniecība, un citi saimnieciskās darbības veicēji.</w:t>
      </w:r>
    </w:p>
    <w:p w:rsidR="001A6037" w:rsidRDefault="001A6037" w:rsidP="001A60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Augstākās izglītības jom</w:t>
      </w:r>
      <w:r w:rsidR="009649FF">
        <w:rPr>
          <w:rFonts w:ascii="Times New Roman" w:hAnsi="Times New Roman" w:cs="Times New Roman"/>
          <w:sz w:val="24"/>
          <w:szCs w:val="24"/>
        </w:rPr>
        <w:t xml:space="preserve">ā Eiropas līmeņa mērķis, kas ir iekļauts arī IAP 2014.–2020.gadam, </w:t>
      </w:r>
      <w:r w:rsidR="002A55C6">
        <w:rPr>
          <w:rFonts w:ascii="Times New Roman" w:hAnsi="Times New Roman" w:cs="Times New Roman"/>
          <w:sz w:val="24"/>
          <w:szCs w:val="24"/>
        </w:rPr>
        <w:t xml:space="preserve">ir </w:t>
      </w:r>
      <w:r w:rsidR="002A55C6" w:rsidRPr="00701373">
        <w:rPr>
          <w:rFonts w:ascii="Times New Roman" w:hAnsi="Times New Roman" w:cs="Times New Roman"/>
          <w:b/>
          <w:sz w:val="24"/>
          <w:szCs w:val="24"/>
        </w:rPr>
        <w:t>palielināt</w:t>
      </w:r>
      <w:r w:rsidRPr="00701373">
        <w:rPr>
          <w:rFonts w:ascii="Times New Roman" w:hAnsi="Times New Roman" w:cs="Times New Roman"/>
          <w:b/>
          <w:sz w:val="24"/>
          <w:szCs w:val="24"/>
        </w:rPr>
        <w:t xml:space="preserve"> </w:t>
      </w:r>
      <w:r w:rsidRPr="00701373">
        <w:rPr>
          <w:rFonts w:ascii="Times New Roman" w:eastAsia="Times New Roman" w:hAnsi="Times New Roman" w:cs="Times New Roman"/>
          <w:b/>
          <w:sz w:val="24"/>
          <w:szCs w:val="24"/>
          <w:lang w:eastAsia="lv-LV"/>
        </w:rPr>
        <w:t>iedzīvotāju īpatsvar</w:t>
      </w:r>
      <w:r w:rsidR="002A55C6" w:rsidRPr="00701373">
        <w:rPr>
          <w:rFonts w:ascii="Times New Roman" w:eastAsia="Times New Roman" w:hAnsi="Times New Roman" w:cs="Times New Roman"/>
          <w:b/>
          <w:sz w:val="24"/>
          <w:szCs w:val="24"/>
          <w:lang w:eastAsia="lv-LV"/>
        </w:rPr>
        <w:t>u</w:t>
      </w:r>
      <w:r w:rsidRPr="00701373">
        <w:rPr>
          <w:rFonts w:ascii="Times New Roman" w:eastAsia="Times New Roman" w:hAnsi="Times New Roman" w:cs="Times New Roman"/>
          <w:b/>
          <w:sz w:val="24"/>
          <w:szCs w:val="24"/>
          <w:lang w:eastAsia="lv-LV"/>
        </w:rPr>
        <w:t>, kam ir augstākā izglītība</w:t>
      </w:r>
      <w:r w:rsidR="002A55C6">
        <w:rPr>
          <w:rFonts w:ascii="Times New Roman" w:eastAsia="Times New Roman" w:hAnsi="Times New Roman" w:cs="Times New Roman"/>
          <w:sz w:val="24"/>
          <w:szCs w:val="24"/>
          <w:lang w:eastAsia="lv-LV"/>
        </w:rPr>
        <w:t>.</w:t>
      </w:r>
      <w:r w:rsidR="0038761C">
        <w:rPr>
          <w:rFonts w:ascii="Times New Roman" w:eastAsia="Times New Roman" w:hAnsi="Times New Roman" w:cs="Times New Roman"/>
          <w:sz w:val="24"/>
          <w:szCs w:val="24"/>
          <w:lang w:eastAsia="lv-LV"/>
        </w:rPr>
        <w:t xml:space="preserve"> Latvij</w:t>
      </w:r>
      <w:r w:rsidR="00701373">
        <w:rPr>
          <w:rFonts w:ascii="Times New Roman" w:eastAsia="Times New Roman" w:hAnsi="Times New Roman" w:cs="Times New Roman"/>
          <w:sz w:val="24"/>
          <w:szCs w:val="24"/>
          <w:lang w:eastAsia="lv-LV"/>
        </w:rPr>
        <w:t>ā</w:t>
      </w:r>
      <w:r w:rsidR="0038761C">
        <w:rPr>
          <w:rFonts w:ascii="Times New Roman" w:eastAsia="Times New Roman" w:hAnsi="Times New Roman" w:cs="Times New Roman"/>
          <w:sz w:val="24"/>
          <w:szCs w:val="24"/>
          <w:lang w:eastAsia="lv-LV"/>
        </w:rPr>
        <w:t xml:space="preserve"> visā pārskata periodā šis līmenis turpināja pieaugt, pārsniedzot gan uzstādīto mērķi (40%), gan ES vidējo rādītāju.</w:t>
      </w:r>
    </w:p>
    <w:p w:rsidR="001A6037" w:rsidRDefault="001A6037" w:rsidP="001A6037">
      <w:pPr>
        <w:autoSpaceDE w:val="0"/>
        <w:autoSpaceDN w:val="0"/>
        <w:adjustRightInd w:val="0"/>
        <w:spacing w:after="0" w:line="240" w:lineRule="auto"/>
        <w:ind w:firstLine="72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644D4">
        <w:rPr>
          <w:rFonts w:ascii="Times New Roman" w:eastAsia="Times New Roman" w:hAnsi="Times New Roman" w:cs="Times New Roman"/>
          <w:sz w:val="24"/>
          <w:szCs w:val="24"/>
          <w:lang w:eastAsia="lv-LV"/>
        </w:rPr>
        <w:t>attēls</w:t>
      </w:r>
    </w:p>
    <w:p w:rsidR="001A6037" w:rsidRPr="006C39DD" w:rsidRDefault="00C24C1B" w:rsidP="001A6037">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lv-LV"/>
        </w:rPr>
      </w:pPr>
      <w:r w:rsidRPr="006C39DD">
        <w:rPr>
          <w:rFonts w:ascii="Times New Roman" w:eastAsia="Times New Roman" w:hAnsi="Times New Roman" w:cs="Times New Roman"/>
          <w:b/>
          <w:sz w:val="24"/>
          <w:szCs w:val="24"/>
          <w:lang w:eastAsia="lv-LV"/>
        </w:rPr>
        <w:t>I</w:t>
      </w:r>
      <w:r w:rsidR="002A55C6" w:rsidRPr="006C39DD">
        <w:rPr>
          <w:rFonts w:ascii="Times New Roman" w:eastAsia="Times New Roman" w:hAnsi="Times New Roman" w:cs="Times New Roman"/>
          <w:b/>
          <w:sz w:val="24"/>
          <w:szCs w:val="24"/>
          <w:lang w:eastAsia="lv-LV"/>
        </w:rPr>
        <w:t xml:space="preserve">edzīvotāju īpatsvars </w:t>
      </w:r>
      <w:r w:rsidRPr="006C39DD">
        <w:rPr>
          <w:rFonts w:ascii="Times New Roman" w:eastAsia="Times New Roman" w:hAnsi="Times New Roman" w:cs="Times New Roman"/>
          <w:b/>
          <w:sz w:val="24"/>
          <w:szCs w:val="24"/>
          <w:lang w:eastAsia="lv-LV"/>
        </w:rPr>
        <w:t>ar augstāko izglītību (</w:t>
      </w:r>
      <w:r w:rsidR="002A55C6" w:rsidRPr="006C39DD">
        <w:rPr>
          <w:rFonts w:ascii="Times New Roman" w:eastAsia="Times New Roman" w:hAnsi="Times New Roman" w:cs="Times New Roman"/>
          <w:b/>
          <w:sz w:val="24"/>
          <w:szCs w:val="24"/>
          <w:lang w:eastAsia="lv-LV"/>
        </w:rPr>
        <w:t>vecuma grupā 30-34 gadi</w:t>
      </w:r>
      <w:r w:rsidRPr="006C39DD">
        <w:rPr>
          <w:rFonts w:ascii="Times New Roman" w:eastAsia="Times New Roman" w:hAnsi="Times New Roman" w:cs="Times New Roman"/>
          <w:b/>
          <w:sz w:val="24"/>
          <w:szCs w:val="24"/>
          <w:lang w:eastAsia="lv-LV"/>
        </w:rPr>
        <w:t>),%</w:t>
      </w:r>
    </w:p>
    <w:p w:rsidR="00C24C1B" w:rsidRDefault="00C24C1B" w:rsidP="001A6037">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lv-LV"/>
        </w:rPr>
      </w:pPr>
    </w:p>
    <w:p w:rsidR="00C24C1B" w:rsidRDefault="00E31C97" w:rsidP="00F84C09">
      <w:pPr>
        <w:autoSpaceDE w:val="0"/>
        <w:autoSpaceDN w:val="0"/>
        <w:adjustRightInd w:val="0"/>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5486400" cy="2305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6037" w:rsidRPr="00F84C09" w:rsidRDefault="00F84C09" w:rsidP="001A6037">
      <w:pPr>
        <w:autoSpaceDE w:val="0"/>
        <w:autoSpaceDN w:val="0"/>
        <w:adjustRightInd w:val="0"/>
        <w:spacing w:after="0" w:line="240" w:lineRule="auto"/>
        <w:ind w:firstLine="720"/>
        <w:jc w:val="both"/>
        <w:rPr>
          <w:rFonts w:ascii="Times New Roman" w:hAnsi="Times New Roman" w:cs="Times New Roman"/>
          <w:i/>
        </w:rPr>
      </w:pPr>
      <w:r w:rsidRPr="00F84C09">
        <w:rPr>
          <w:rFonts w:ascii="Times New Roman" w:hAnsi="Times New Roman" w:cs="Times New Roman"/>
          <w:i/>
        </w:rPr>
        <w:t>* Eurostat dati</w:t>
      </w:r>
    </w:p>
    <w:p w:rsidR="00F84C09" w:rsidRDefault="00F84C09" w:rsidP="001A6037">
      <w:pPr>
        <w:autoSpaceDE w:val="0"/>
        <w:autoSpaceDN w:val="0"/>
        <w:adjustRightInd w:val="0"/>
        <w:spacing w:after="0" w:line="240" w:lineRule="auto"/>
        <w:ind w:firstLine="720"/>
        <w:jc w:val="both"/>
        <w:rPr>
          <w:rFonts w:ascii="Times New Roman" w:hAnsi="Times New Roman" w:cs="Times New Roman"/>
          <w:sz w:val="24"/>
          <w:szCs w:val="24"/>
        </w:rPr>
      </w:pPr>
    </w:p>
    <w:p w:rsidR="001A6037" w:rsidRDefault="00B71488" w:rsidP="001A6037">
      <w:pPr>
        <w:autoSpaceDE w:val="0"/>
        <w:autoSpaceDN w:val="0"/>
        <w:adjustRightInd w:val="0"/>
        <w:spacing w:after="0" w:line="240" w:lineRule="auto"/>
        <w:ind w:firstLine="720"/>
        <w:jc w:val="both"/>
        <w:rPr>
          <w:rFonts w:ascii="Times New Roman" w:hAnsi="Times New Roman" w:cs="Times New Roman"/>
          <w:sz w:val="24"/>
          <w:szCs w:val="24"/>
        </w:rPr>
      </w:pPr>
      <w:r w:rsidRPr="00B71488">
        <w:rPr>
          <w:rFonts w:ascii="Times New Roman" w:hAnsi="Times New Roman" w:cs="Times New Roman"/>
          <w:sz w:val="24"/>
          <w:szCs w:val="24"/>
        </w:rPr>
        <w:t xml:space="preserve">2016.-2018.gadā sadarbībā ar Starptautisko Rekonstrukcijas un attīstības banku  tika veikts pētījums par </w:t>
      </w:r>
      <w:r w:rsidRPr="00142C89">
        <w:rPr>
          <w:rFonts w:ascii="Times New Roman" w:hAnsi="Times New Roman" w:cs="Times New Roman"/>
          <w:b/>
          <w:sz w:val="24"/>
          <w:szCs w:val="24"/>
        </w:rPr>
        <w:t>augstākās izglītības pārvaldības pilnveidi</w:t>
      </w:r>
      <w:r w:rsidRPr="00B71488">
        <w:rPr>
          <w:rFonts w:ascii="Times New Roman" w:hAnsi="Times New Roman" w:cs="Times New Roman"/>
          <w:sz w:val="24"/>
          <w:szCs w:val="24"/>
        </w:rPr>
        <w:t xml:space="preserve"> augstākas izglītības modernizācijai ES fondu īstenošanas nosacījumu un satura izstrādei. Ekspertu rekomendācijas ir izmantojamas ES fondu ieguldījumu 8.2.3.SAM „Nodrošināt labāku pārvaldību augstākās izglītības institūcijās” plānošanai. Koncentrējot materiālos un intelektuālos resursus, 8.2.3.SAM ietvaros atbalsts plānots augstākās izglītības institūciju attīstības stratēģiju izstrādei, uzlabošanai un ārējās novērtēšanas rekomendāciju ieviešanai, studiju virzienu padomju darbībai, t</w:t>
      </w:r>
      <w:r w:rsidR="00AA2180">
        <w:rPr>
          <w:rFonts w:ascii="Times New Roman" w:hAnsi="Times New Roman" w:cs="Times New Roman"/>
          <w:sz w:val="24"/>
          <w:szCs w:val="24"/>
        </w:rPr>
        <w:t>ajā skaitā,</w:t>
      </w:r>
      <w:r w:rsidRPr="00B71488">
        <w:rPr>
          <w:rFonts w:ascii="Times New Roman" w:hAnsi="Times New Roman" w:cs="Times New Roman"/>
          <w:sz w:val="24"/>
          <w:szCs w:val="24"/>
        </w:rPr>
        <w:t xml:space="preserve"> atbalsts studiju pārstrukturēšanai un mācību satur</w:t>
      </w:r>
      <w:r w:rsidR="00AA2180">
        <w:rPr>
          <w:rFonts w:ascii="Times New Roman" w:hAnsi="Times New Roman" w:cs="Times New Roman"/>
          <w:sz w:val="24"/>
          <w:szCs w:val="24"/>
        </w:rPr>
        <w:t>a</w:t>
      </w:r>
      <w:r w:rsidRPr="00B71488">
        <w:rPr>
          <w:rFonts w:ascii="Times New Roman" w:hAnsi="Times New Roman" w:cs="Times New Roman"/>
          <w:sz w:val="24"/>
          <w:szCs w:val="24"/>
        </w:rPr>
        <w:t xml:space="preserve"> atjaunināšanai, augstākās izglītības institūciju iekšējās kvalitātes nodrošināšanas sistēmu efektivitātes uzlabošanai, atbalsts e-risinājumu attīstībai, t</w:t>
      </w:r>
      <w:r w:rsidR="00AA2180">
        <w:rPr>
          <w:rFonts w:ascii="Times New Roman" w:hAnsi="Times New Roman" w:cs="Times New Roman"/>
          <w:sz w:val="24"/>
          <w:szCs w:val="24"/>
        </w:rPr>
        <w:t>ajā skaitā</w:t>
      </w:r>
      <w:r w:rsidR="00FA72E0">
        <w:rPr>
          <w:rFonts w:ascii="Times New Roman" w:hAnsi="Times New Roman" w:cs="Times New Roman"/>
          <w:sz w:val="24"/>
          <w:szCs w:val="24"/>
        </w:rPr>
        <w:t>,</w:t>
      </w:r>
      <w:r w:rsidRPr="00B71488">
        <w:rPr>
          <w:rFonts w:ascii="Times New Roman" w:hAnsi="Times New Roman" w:cs="Times New Roman"/>
          <w:sz w:val="24"/>
          <w:szCs w:val="24"/>
        </w:rPr>
        <w:t xml:space="preserve"> starpinst</w:t>
      </w:r>
      <w:r>
        <w:rPr>
          <w:rFonts w:ascii="Times New Roman" w:hAnsi="Times New Roman" w:cs="Times New Roman"/>
          <w:sz w:val="24"/>
          <w:szCs w:val="24"/>
        </w:rPr>
        <w:t>itūciju sadarbība</w:t>
      </w:r>
      <w:r w:rsidR="00FA72E0">
        <w:rPr>
          <w:rFonts w:ascii="Times New Roman" w:hAnsi="Times New Roman" w:cs="Times New Roman"/>
          <w:sz w:val="24"/>
          <w:szCs w:val="24"/>
        </w:rPr>
        <w:t>i</w:t>
      </w:r>
      <w:r>
        <w:rPr>
          <w:rFonts w:ascii="Times New Roman" w:hAnsi="Times New Roman" w:cs="Times New Roman"/>
          <w:sz w:val="24"/>
          <w:szCs w:val="24"/>
        </w:rPr>
        <w:t>.</w:t>
      </w:r>
    </w:p>
    <w:p w:rsidR="002E6951" w:rsidRDefault="00B71488" w:rsidP="00B7148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2018.gada </w:t>
      </w:r>
      <w:r w:rsidR="00521C01">
        <w:rPr>
          <w:rFonts w:ascii="Times New Roman" w:hAnsi="Times New Roman" w:cs="Times New Roman"/>
          <w:sz w:val="24"/>
          <w:szCs w:val="24"/>
        </w:rPr>
        <w:t xml:space="preserve">9.janvārī tika </w:t>
      </w:r>
      <w:r>
        <w:rPr>
          <w:rFonts w:ascii="Times New Roman" w:hAnsi="Times New Roman" w:cs="Times New Roman"/>
          <w:sz w:val="24"/>
          <w:szCs w:val="24"/>
        </w:rPr>
        <w:t xml:space="preserve">apstiprināti MK </w:t>
      </w:r>
      <w:r w:rsidR="00521C01">
        <w:rPr>
          <w:rFonts w:ascii="Times New Roman" w:hAnsi="Times New Roman" w:cs="Times New Roman"/>
          <w:sz w:val="24"/>
          <w:szCs w:val="24"/>
        </w:rPr>
        <w:t>n</w:t>
      </w:r>
      <w:r w:rsidRPr="00B71488">
        <w:rPr>
          <w:rFonts w:ascii="Times New Roman" w:hAnsi="Times New Roman" w:cs="Times New Roman"/>
          <w:sz w:val="24"/>
          <w:szCs w:val="24"/>
        </w:rPr>
        <w:t xml:space="preserve">oteikumi </w:t>
      </w:r>
      <w:r w:rsidR="00521C01" w:rsidRPr="00521C01">
        <w:rPr>
          <w:rFonts w:ascii="Times New Roman" w:hAnsi="Times New Roman" w:cs="Times New Roman"/>
          <w:sz w:val="24"/>
          <w:szCs w:val="24"/>
        </w:rPr>
        <w:t>8.2.1. </w:t>
      </w:r>
      <w:r w:rsidR="00521C01">
        <w:rPr>
          <w:rFonts w:ascii="Times New Roman" w:hAnsi="Times New Roman" w:cs="Times New Roman"/>
          <w:sz w:val="24"/>
          <w:szCs w:val="24"/>
        </w:rPr>
        <w:t>SAM</w:t>
      </w:r>
      <w:r w:rsidR="00521C01" w:rsidRPr="00521C01">
        <w:rPr>
          <w:rFonts w:ascii="Times New Roman" w:hAnsi="Times New Roman" w:cs="Times New Roman"/>
          <w:sz w:val="24"/>
          <w:szCs w:val="24"/>
        </w:rPr>
        <w:t xml:space="preserve"> "Samazināt studiju programmu fragmentāciju un stiprināt resursu koplietošanu" īstenošanai</w:t>
      </w:r>
      <w:r w:rsidRPr="00B71488">
        <w:rPr>
          <w:rFonts w:ascii="Times New Roman" w:hAnsi="Times New Roman" w:cs="Times New Roman"/>
          <w:sz w:val="24"/>
          <w:szCs w:val="24"/>
        </w:rPr>
        <w:t xml:space="preserve">, lai turpmāko piecu gadu laikā investētu ESF finansējumu </w:t>
      </w:r>
      <w:r w:rsidRPr="000D0B09">
        <w:rPr>
          <w:rFonts w:ascii="Times New Roman" w:hAnsi="Times New Roman" w:cs="Times New Roman"/>
          <w:b/>
          <w:sz w:val="24"/>
          <w:szCs w:val="24"/>
        </w:rPr>
        <w:t>jaunu, spēcīgu un starptautiski konkurētspējīgu studiju programmu</w:t>
      </w:r>
      <w:r w:rsidRPr="00B71488">
        <w:rPr>
          <w:rFonts w:ascii="Times New Roman" w:hAnsi="Times New Roman" w:cs="Times New Roman"/>
          <w:sz w:val="24"/>
          <w:szCs w:val="24"/>
        </w:rPr>
        <w:t xml:space="preserve"> izveidē. </w:t>
      </w:r>
    </w:p>
    <w:p w:rsidR="00B71488" w:rsidRDefault="00B90023" w:rsidP="00B7148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B71488">
        <w:rPr>
          <w:rFonts w:ascii="Times New Roman" w:hAnsi="Times New Roman" w:cs="Times New Roman"/>
          <w:sz w:val="24"/>
          <w:szCs w:val="24"/>
        </w:rPr>
        <w:t>ika apstiprināt</w:t>
      </w:r>
      <w:r w:rsidR="007D513B">
        <w:rPr>
          <w:rFonts w:ascii="Times New Roman" w:hAnsi="Times New Roman" w:cs="Times New Roman"/>
          <w:sz w:val="24"/>
          <w:szCs w:val="24"/>
        </w:rPr>
        <w:t>s</w:t>
      </w:r>
      <w:r w:rsidR="00B71488">
        <w:rPr>
          <w:rFonts w:ascii="Times New Roman" w:hAnsi="Times New Roman" w:cs="Times New Roman"/>
          <w:sz w:val="24"/>
          <w:szCs w:val="24"/>
        </w:rPr>
        <w:t xml:space="preserve"> </w:t>
      </w:r>
      <w:r w:rsidR="007D513B">
        <w:rPr>
          <w:rFonts w:ascii="Times New Roman" w:hAnsi="Times New Roman" w:cs="Times New Roman"/>
          <w:sz w:val="24"/>
          <w:szCs w:val="24"/>
        </w:rPr>
        <w:t>arī normatīvais regulējums</w:t>
      </w:r>
      <w:r w:rsidR="00B71488" w:rsidRPr="00B71488">
        <w:rPr>
          <w:rFonts w:ascii="Times New Roman" w:hAnsi="Times New Roman" w:cs="Times New Roman"/>
          <w:sz w:val="24"/>
          <w:szCs w:val="24"/>
        </w:rPr>
        <w:t xml:space="preserve">, kas turpmāko </w:t>
      </w:r>
      <w:r>
        <w:rPr>
          <w:rFonts w:ascii="Times New Roman" w:hAnsi="Times New Roman" w:cs="Times New Roman"/>
          <w:sz w:val="24"/>
          <w:szCs w:val="24"/>
        </w:rPr>
        <w:t>četru</w:t>
      </w:r>
      <w:r w:rsidR="00B71488" w:rsidRPr="00B71488">
        <w:rPr>
          <w:rFonts w:ascii="Times New Roman" w:hAnsi="Times New Roman" w:cs="Times New Roman"/>
          <w:sz w:val="24"/>
          <w:szCs w:val="24"/>
        </w:rPr>
        <w:t xml:space="preserve"> gadu laikā paredz investēt ES fondu finansējumu augstskolu akadēmiskā personāla stiprināšanā stratēģiskās specializācijas jomās. Tādējādi augstskolām būs pieejams finansējums mērķtiecīgai pasniedzēju kompetenču un prasmju paaugstināšanai, kā arī jaunu pasniedzēju (doktorantu) un ārvalstu pasniedzēju </w:t>
      </w:r>
      <w:r w:rsidR="00A26CEF">
        <w:rPr>
          <w:rFonts w:ascii="Times New Roman" w:hAnsi="Times New Roman" w:cs="Times New Roman"/>
          <w:sz w:val="24"/>
          <w:szCs w:val="24"/>
        </w:rPr>
        <w:t xml:space="preserve">aktīvākai </w:t>
      </w:r>
      <w:r w:rsidR="00B71488" w:rsidRPr="00B71488">
        <w:rPr>
          <w:rFonts w:ascii="Times New Roman" w:hAnsi="Times New Roman" w:cs="Times New Roman"/>
          <w:sz w:val="24"/>
          <w:szCs w:val="24"/>
        </w:rPr>
        <w:t xml:space="preserve">piesaistei. </w:t>
      </w:r>
    </w:p>
    <w:p w:rsidR="0017231F" w:rsidRDefault="0017231F" w:rsidP="009D75A2">
      <w:pPr>
        <w:spacing w:after="0" w:line="240" w:lineRule="auto"/>
        <w:ind w:firstLine="720"/>
        <w:jc w:val="both"/>
        <w:rPr>
          <w:rFonts w:ascii="Times New Roman" w:hAnsi="Times New Roman" w:cs="Times New Roman"/>
          <w:sz w:val="24"/>
          <w:szCs w:val="24"/>
        </w:rPr>
      </w:pPr>
      <w:r w:rsidRPr="0017231F">
        <w:rPr>
          <w:rFonts w:ascii="Times New Roman" w:hAnsi="Times New Roman" w:cs="Times New Roman"/>
          <w:sz w:val="24"/>
          <w:szCs w:val="24"/>
        </w:rPr>
        <w:t xml:space="preserve">Lai nodrošinātu </w:t>
      </w:r>
      <w:r w:rsidRPr="00E16BD0">
        <w:rPr>
          <w:rFonts w:ascii="Times New Roman" w:hAnsi="Times New Roman" w:cs="Times New Roman"/>
          <w:b/>
          <w:sz w:val="24"/>
          <w:szCs w:val="24"/>
        </w:rPr>
        <w:t>mūsdienīgu studiju un pētniecības vidi STEM</w:t>
      </w:r>
      <w:r w:rsidR="009D75A2">
        <w:rPr>
          <w:rFonts w:ascii="Times New Roman" w:hAnsi="Times New Roman" w:cs="Times New Roman"/>
          <w:sz w:val="24"/>
          <w:szCs w:val="24"/>
        </w:rPr>
        <w:t xml:space="preserve"> (</w:t>
      </w:r>
      <w:r w:rsidR="009D75A2" w:rsidRPr="009D75A2">
        <w:rPr>
          <w:rFonts w:ascii="Times New Roman" w:hAnsi="Times New Roman" w:cs="Times New Roman"/>
          <w:i/>
          <w:sz w:val="24"/>
          <w:szCs w:val="24"/>
        </w:rPr>
        <w:t>Science, Technology, Engineering and Mathematics</w:t>
      </w:r>
      <w:r w:rsidR="009D75A2" w:rsidRPr="009D75A2">
        <w:rPr>
          <w:rFonts w:ascii="Times New Roman" w:hAnsi="Times New Roman" w:cs="Times New Roman"/>
          <w:sz w:val="24"/>
          <w:szCs w:val="24"/>
        </w:rPr>
        <w:t>)</w:t>
      </w:r>
      <w:r w:rsidRPr="0017231F">
        <w:rPr>
          <w:rFonts w:ascii="Times New Roman" w:hAnsi="Times New Roman" w:cs="Times New Roman"/>
          <w:sz w:val="24"/>
          <w:szCs w:val="24"/>
        </w:rPr>
        <w:t xml:space="preserve">, </w:t>
      </w:r>
      <w:r w:rsidR="001C6DED">
        <w:rPr>
          <w:rFonts w:ascii="Times New Roman" w:hAnsi="Times New Roman" w:cs="Times New Roman"/>
          <w:sz w:val="24"/>
          <w:szCs w:val="24"/>
        </w:rPr>
        <w:t>tajā skaitā,</w:t>
      </w:r>
      <w:r w:rsidRPr="0017231F">
        <w:rPr>
          <w:rFonts w:ascii="Times New Roman" w:hAnsi="Times New Roman" w:cs="Times New Roman"/>
          <w:sz w:val="24"/>
          <w:szCs w:val="24"/>
        </w:rPr>
        <w:t xml:space="preserve"> medicīnas un radošo industriju, studiju programmu īstenošanai, vienlaikus nodrošinātu teritoriāli koncentrētu studiju telpu izveidi un veicinātu </w:t>
      </w:r>
      <w:r w:rsidRPr="0017231F">
        <w:rPr>
          <w:rFonts w:ascii="Times New Roman" w:hAnsi="Times New Roman" w:cs="Times New Roman"/>
          <w:sz w:val="24"/>
          <w:szCs w:val="24"/>
        </w:rPr>
        <w:lastRenderedPageBreak/>
        <w:t xml:space="preserve">augstākās izglītības atbilstību tautsaimniecības attīstības un darba tirgus vajadzībām, </w:t>
      </w:r>
      <w:r w:rsidR="001C6DED">
        <w:rPr>
          <w:rFonts w:ascii="Times New Roman" w:hAnsi="Times New Roman" w:cs="Times New Roman"/>
          <w:sz w:val="24"/>
          <w:szCs w:val="24"/>
        </w:rPr>
        <w:t xml:space="preserve">plānots ES fondu </w:t>
      </w:r>
      <w:r w:rsidR="00B55011">
        <w:rPr>
          <w:rFonts w:ascii="Times New Roman" w:hAnsi="Times New Roman" w:cs="Times New Roman"/>
          <w:sz w:val="24"/>
          <w:szCs w:val="24"/>
        </w:rPr>
        <w:t>atbalsts</w:t>
      </w:r>
      <w:r w:rsidRPr="0017231F">
        <w:rPr>
          <w:rFonts w:ascii="Times New Roman" w:hAnsi="Times New Roman" w:cs="Times New Roman"/>
          <w:sz w:val="24"/>
          <w:szCs w:val="24"/>
        </w:rPr>
        <w:t xml:space="preserve"> teritoriāli koncentrētas studiju un zinātniskā darba infrastruktūras attīstībai. Vienlaikus plānots sniegt ES fondu atbalstu 1.līmeņa profesionālās augstākās izglītības STEM, t</w:t>
      </w:r>
      <w:r w:rsidR="00B55011">
        <w:rPr>
          <w:rFonts w:ascii="Times New Roman" w:hAnsi="Times New Roman" w:cs="Times New Roman"/>
          <w:sz w:val="24"/>
          <w:szCs w:val="24"/>
        </w:rPr>
        <w:t>ajā skaitā</w:t>
      </w:r>
      <w:r w:rsidRPr="0017231F">
        <w:rPr>
          <w:rFonts w:ascii="Times New Roman" w:hAnsi="Times New Roman" w:cs="Times New Roman"/>
          <w:sz w:val="24"/>
          <w:szCs w:val="24"/>
        </w:rPr>
        <w:t>. medicīnas un radošās industrijas, studiju mācību vides uzlabošanai koledžās</w:t>
      </w:r>
      <w:r w:rsidR="002E6951">
        <w:rPr>
          <w:rFonts w:ascii="Times New Roman" w:hAnsi="Times New Roman" w:cs="Times New Roman"/>
          <w:sz w:val="24"/>
          <w:szCs w:val="24"/>
        </w:rPr>
        <w:t>.</w:t>
      </w:r>
      <w:r w:rsidRPr="0017231F">
        <w:rPr>
          <w:rFonts w:ascii="Times New Roman" w:hAnsi="Times New Roman" w:cs="Times New Roman"/>
          <w:sz w:val="24"/>
          <w:szCs w:val="24"/>
        </w:rPr>
        <w:t xml:space="preserve"> 2017.gadā izvērtētas un saskaņotas augstākās izglītības institūciju attīstības stratēģijas un izvērtēti projektu iesniegumi, uzsākta projektu īstenošana</w:t>
      </w:r>
      <w:r w:rsidR="003C3853">
        <w:rPr>
          <w:rFonts w:ascii="Times New Roman" w:hAnsi="Times New Roman" w:cs="Times New Roman"/>
          <w:sz w:val="24"/>
          <w:szCs w:val="24"/>
        </w:rPr>
        <w:t>, kas ir</w:t>
      </w:r>
      <w:r w:rsidRPr="0017231F">
        <w:rPr>
          <w:rFonts w:ascii="Times New Roman" w:hAnsi="Times New Roman" w:cs="Times New Roman"/>
          <w:sz w:val="24"/>
          <w:szCs w:val="24"/>
        </w:rPr>
        <w:t xml:space="preserve"> plānota līdz  2022.gada decembrim.</w:t>
      </w:r>
    </w:p>
    <w:p w:rsidR="003E5675" w:rsidRDefault="003E5675" w:rsidP="009D75A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 </w:t>
      </w:r>
      <w:r w:rsidRPr="00197861">
        <w:rPr>
          <w:rFonts w:ascii="Times New Roman" w:hAnsi="Times New Roman" w:cs="Times New Roman"/>
          <w:sz w:val="24"/>
          <w:szCs w:val="24"/>
        </w:rPr>
        <w:t>sekmētu</w:t>
      </w:r>
      <w:r w:rsidRPr="00197861">
        <w:rPr>
          <w:rFonts w:ascii="Times New Roman" w:hAnsi="Times New Roman" w:cs="Times New Roman"/>
          <w:b/>
          <w:sz w:val="24"/>
          <w:szCs w:val="24"/>
        </w:rPr>
        <w:t xml:space="preserve"> studējošo inovāciju un uzņēmējdarbības spēju attīstību</w:t>
      </w:r>
      <w:r w:rsidRPr="00197861">
        <w:rPr>
          <w:rFonts w:ascii="Times New Roman" w:hAnsi="Times New Roman" w:cs="Times New Roman"/>
          <w:sz w:val="24"/>
          <w:szCs w:val="24"/>
        </w:rPr>
        <w:t xml:space="preserve">, </w:t>
      </w:r>
      <w:r>
        <w:rPr>
          <w:rFonts w:ascii="Times New Roman" w:hAnsi="Times New Roman" w:cs="Times New Roman"/>
          <w:sz w:val="24"/>
          <w:szCs w:val="24"/>
        </w:rPr>
        <w:t>izstrādāta ES fondu programma „Inovācijas granti studentiem”</w:t>
      </w:r>
      <w:r w:rsidRPr="00197861">
        <w:rPr>
          <w:rFonts w:ascii="Times New Roman" w:hAnsi="Times New Roman" w:cs="Times New Roman"/>
          <w:sz w:val="24"/>
          <w:szCs w:val="24"/>
        </w:rPr>
        <w:t xml:space="preserve">, </w:t>
      </w:r>
      <w:r>
        <w:rPr>
          <w:rFonts w:ascii="Times New Roman" w:hAnsi="Times New Roman" w:cs="Times New Roman"/>
          <w:sz w:val="24"/>
          <w:szCs w:val="24"/>
        </w:rPr>
        <w:t>kuras</w:t>
      </w:r>
      <w:r w:rsidRPr="00197861">
        <w:rPr>
          <w:rFonts w:ascii="Times New Roman" w:hAnsi="Times New Roman" w:cs="Times New Roman"/>
          <w:sz w:val="24"/>
          <w:szCs w:val="24"/>
        </w:rPr>
        <w:t xml:space="preserve"> galvenais mērķis ir atbalstīt studentu </w:t>
      </w:r>
      <w:r>
        <w:rPr>
          <w:rFonts w:ascii="Times New Roman" w:hAnsi="Times New Roman" w:cs="Times New Roman"/>
          <w:sz w:val="24"/>
          <w:szCs w:val="24"/>
        </w:rPr>
        <w:t>(</w:t>
      </w:r>
      <w:r w:rsidRPr="00197861">
        <w:rPr>
          <w:rFonts w:ascii="Times New Roman" w:hAnsi="Times New Roman" w:cs="Times New Roman"/>
          <w:sz w:val="24"/>
          <w:szCs w:val="24"/>
        </w:rPr>
        <w:t>bakalaura, profesionālo studiju, maģistra, doktora vai rezidentūra</w:t>
      </w:r>
      <w:r>
        <w:rPr>
          <w:rFonts w:ascii="Times New Roman" w:hAnsi="Times New Roman" w:cs="Times New Roman"/>
          <w:sz w:val="24"/>
          <w:szCs w:val="24"/>
        </w:rPr>
        <w:t xml:space="preserve">s studiju programmās studējošo) </w:t>
      </w:r>
      <w:r w:rsidRPr="00197861">
        <w:rPr>
          <w:rFonts w:ascii="Times New Roman" w:hAnsi="Times New Roman" w:cs="Times New Roman"/>
          <w:sz w:val="24"/>
          <w:szCs w:val="24"/>
        </w:rPr>
        <w:t>inovāciju projektus un pētījumus, vienlaikus stiprinot augstskolu un nozaru vadošo uzņēmumu sadarbību tām nepieciešamo cilvēkresursu attīstībā.</w:t>
      </w:r>
      <w:r>
        <w:rPr>
          <w:rFonts w:ascii="Times New Roman" w:hAnsi="Times New Roman" w:cs="Times New Roman"/>
          <w:sz w:val="24"/>
          <w:szCs w:val="24"/>
        </w:rPr>
        <w:t xml:space="preserve"> Projektu īstenošanu plānots uzsākt ar 2019.gada II-III ceturksni.</w:t>
      </w:r>
    </w:p>
    <w:p w:rsidR="00B90023" w:rsidRDefault="003E5675" w:rsidP="00C632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Vienlaikus tiek nodrošināts ES fondu</w:t>
      </w:r>
      <w:r w:rsidR="00B90023" w:rsidRPr="00B90023">
        <w:rPr>
          <w:rFonts w:ascii="Times New Roman" w:hAnsi="Times New Roman" w:cs="Times New Roman"/>
          <w:sz w:val="24"/>
          <w:szCs w:val="24"/>
        </w:rPr>
        <w:t xml:space="preserve"> atbalsts </w:t>
      </w:r>
      <w:r w:rsidR="00B90023" w:rsidRPr="006054A9">
        <w:rPr>
          <w:rFonts w:ascii="Times New Roman" w:hAnsi="Times New Roman" w:cs="Times New Roman"/>
          <w:b/>
          <w:sz w:val="24"/>
          <w:szCs w:val="24"/>
        </w:rPr>
        <w:t>pēcdoktorantūras pētījumiem</w:t>
      </w:r>
      <w:r w:rsidR="00B90023" w:rsidRPr="00B90023">
        <w:rPr>
          <w:rFonts w:ascii="Times New Roman" w:hAnsi="Times New Roman" w:cs="Times New Roman"/>
          <w:sz w:val="24"/>
          <w:szCs w:val="24"/>
        </w:rPr>
        <w:t>, kas</w:t>
      </w:r>
      <w:r w:rsidR="00B55011">
        <w:rPr>
          <w:rFonts w:ascii="Times New Roman" w:hAnsi="Times New Roman" w:cs="Times New Roman"/>
          <w:sz w:val="24"/>
          <w:szCs w:val="24"/>
        </w:rPr>
        <w:t xml:space="preserve"> ir</w:t>
      </w:r>
      <w:r w:rsidR="00B90023" w:rsidRPr="00B90023">
        <w:rPr>
          <w:rFonts w:ascii="Times New Roman" w:hAnsi="Times New Roman" w:cs="Times New Roman"/>
          <w:sz w:val="24"/>
          <w:szCs w:val="24"/>
        </w:rPr>
        <w:t xml:space="preserve"> vērsts uz jauno zinātnieku (pēcdoktorantu) pētniecības kapacitātes </w:t>
      </w:r>
      <w:r w:rsidR="00081235">
        <w:rPr>
          <w:rFonts w:ascii="Times New Roman" w:hAnsi="Times New Roman" w:cs="Times New Roman"/>
          <w:sz w:val="24"/>
          <w:szCs w:val="24"/>
        </w:rPr>
        <w:t xml:space="preserve">stiprināšanu </w:t>
      </w:r>
      <w:r w:rsidR="00B90023" w:rsidRPr="00B90023">
        <w:rPr>
          <w:rFonts w:ascii="Times New Roman" w:hAnsi="Times New Roman" w:cs="Times New Roman"/>
          <w:sz w:val="24"/>
          <w:szCs w:val="24"/>
        </w:rPr>
        <w:t xml:space="preserve">un karjeras attīstību, kā arī atbalsts </w:t>
      </w:r>
      <w:r w:rsidR="00B90023" w:rsidRPr="006054A9">
        <w:rPr>
          <w:rFonts w:ascii="Times New Roman" w:hAnsi="Times New Roman" w:cs="Times New Roman"/>
          <w:b/>
          <w:sz w:val="24"/>
          <w:szCs w:val="24"/>
        </w:rPr>
        <w:t>praktiskas ievirzes pētījumiem</w:t>
      </w:r>
      <w:r w:rsidR="00F12B9E">
        <w:rPr>
          <w:rFonts w:ascii="Times New Roman" w:hAnsi="Times New Roman" w:cs="Times New Roman"/>
          <w:sz w:val="24"/>
          <w:szCs w:val="24"/>
        </w:rPr>
        <w:t xml:space="preserve"> ar mērķi</w:t>
      </w:r>
      <w:r w:rsidR="00B90023" w:rsidRPr="00B90023">
        <w:rPr>
          <w:rFonts w:ascii="Times New Roman" w:hAnsi="Times New Roman" w:cs="Times New Roman"/>
          <w:sz w:val="24"/>
          <w:szCs w:val="24"/>
        </w:rPr>
        <w:t xml:space="preserve"> atbalstīt pētniecību, kas sniedz ieguldījumu Latvijas </w:t>
      </w:r>
      <w:r w:rsidR="009A10F6">
        <w:rPr>
          <w:rFonts w:ascii="Times New Roman" w:hAnsi="Times New Roman" w:cs="Times New Roman"/>
          <w:sz w:val="24"/>
          <w:szCs w:val="24"/>
        </w:rPr>
        <w:t>V</w:t>
      </w:r>
      <w:r w:rsidR="00B90023" w:rsidRPr="00B90023">
        <w:rPr>
          <w:rFonts w:ascii="Times New Roman" w:hAnsi="Times New Roman" w:cs="Times New Roman"/>
          <w:sz w:val="24"/>
          <w:szCs w:val="24"/>
        </w:rPr>
        <w:t>iedās specializācijas stratēģijas mērķu sasniegšanā, zinātnes un tehnoloģiju cilvēkkapitāla attīstībā un jaunu zināšanu radīšanā tautsaimniecības konkurētspējas uzlabošanai</w:t>
      </w:r>
      <w:r w:rsidR="009A10F6">
        <w:rPr>
          <w:rFonts w:ascii="Times New Roman" w:hAnsi="Times New Roman" w:cs="Times New Roman"/>
          <w:sz w:val="24"/>
          <w:szCs w:val="24"/>
        </w:rPr>
        <w:t>, , tostarp projektu īstenošanā iesaistot studējošos un zinātniskā grāda pretendentus</w:t>
      </w:r>
      <w:r w:rsidR="00B90023" w:rsidRPr="00B90023">
        <w:rPr>
          <w:rFonts w:ascii="Times New Roman" w:hAnsi="Times New Roman" w:cs="Times New Roman"/>
          <w:sz w:val="24"/>
          <w:szCs w:val="24"/>
        </w:rPr>
        <w:t>.</w:t>
      </w:r>
    </w:p>
    <w:p w:rsidR="00496328" w:rsidRDefault="00496328" w:rsidP="00C632A1">
      <w:pPr>
        <w:spacing w:after="0" w:line="240" w:lineRule="auto"/>
        <w:ind w:firstLine="720"/>
        <w:jc w:val="both"/>
        <w:rPr>
          <w:rFonts w:ascii="Times New Roman" w:hAnsi="Times New Roman" w:cs="Times New Roman"/>
          <w:sz w:val="24"/>
          <w:szCs w:val="24"/>
        </w:rPr>
      </w:pPr>
    </w:p>
    <w:p w:rsidR="00B071D7" w:rsidRPr="008A020C" w:rsidRDefault="00B071D7" w:rsidP="00B90023">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45"/>
      </w:tblGrid>
      <w:tr w:rsidR="00B071D7" w:rsidTr="00B071D7">
        <w:tc>
          <w:tcPr>
            <w:tcW w:w="9345" w:type="dxa"/>
            <w:shd w:val="clear" w:color="auto" w:fill="DEEAF6" w:themeFill="accent1" w:themeFillTint="33"/>
          </w:tcPr>
          <w:p w:rsidR="00B071D7" w:rsidRPr="00B071D7" w:rsidRDefault="00B071D7" w:rsidP="00B071D7">
            <w:pPr>
              <w:pStyle w:val="ListParagraph"/>
              <w:ind w:left="0"/>
              <w:jc w:val="both"/>
              <w:rPr>
                <w:rFonts w:eastAsiaTheme="minorHAnsi"/>
                <w:b/>
              </w:rPr>
            </w:pPr>
            <w:r w:rsidRPr="00B071D7">
              <w:rPr>
                <w:b/>
              </w:rPr>
              <w:t xml:space="preserve">Rīcības virziens: </w:t>
            </w:r>
            <w:r w:rsidRPr="00B071D7">
              <w:rPr>
                <w:rFonts w:eastAsiaTheme="minorHAnsi"/>
                <w:b/>
              </w:rPr>
              <w:t>1.2. Pedagogu un akadēmiskā personāla motivācijas un profesionālās kapacitātes paaugstināšana</w:t>
            </w:r>
          </w:p>
        </w:tc>
      </w:tr>
    </w:tbl>
    <w:p w:rsidR="00387CF8" w:rsidRDefault="00480DD4" w:rsidP="00387CF8">
      <w:pPr>
        <w:pStyle w:val="ListParagraph"/>
        <w:ind w:left="0" w:firstLine="720"/>
        <w:jc w:val="both"/>
      </w:pPr>
      <w:r>
        <w:rPr>
          <w:rFonts w:eastAsiaTheme="minorHAnsi"/>
        </w:rPr>
        <w:t xml:space="preserve">Viens no būtiskākajiem pedagogu motivācijas paaugstināšanas aspektiem ir atalgojuma sistēmas pilnveide. Pārskata periodā tika izstrādāts un </w:t>
      </w:r>
      <w:r w:rsidRPr="00397DFB">
        <w:t xml:space="preserve">2016.gada 1.septembrī tika ieviests </w:t>
      </w:r>
      <w:r w:rsidRPr="00E24FA3">
        <w:rPr>
          <w:b/>
        </w:rPr>
        <w:t>jauns pedagogu darba samaksas aprēķināšanas modelis</w:t>
      </w:r>
      <w:r>
        <w:t>, kas paredzēja</w:t>
      </w:r>
      <w:r w:rsidRPr="00397DFB">
        <w:t xml:space="preserve"> paaugstināt pedagogu darba samaksu, līdztekus sekmējot  pedagogu d</w:t>
      </w:r>
      <w:r w:rsidR="00984EF9">
        <w:t>arba kvalitātes paaugstināšanu,</w:t>
      </w:r>
      <w:r w:rsidRPr="00397DFB">
        <w:t> nodrošin</w:t>
      </w:r>
      <w:r>
        <w:t>o</w:t>
      </w:r>
      <w:r w:rsidRPr="00397DFB">
        <w:t>t finanšu resursu efektīvu izmantošanu.</w:t>
      </w:r>
      <w:r>
        <w:t xml:space="preserve"> Šis modelis </w:t>
      </w:r>
      <w:r w:rsidRPr="00397DFB">
        <w:t xml:space="preserve">paredz pedagogu minimālās likmes paaugstinājumu par slodzi no 420 līdz 680 </w:t>
      </w:r>
      <w:r>
        <w:t>EUR</w:t>
      </w:r>
      <w:r w:rsidRPr="00397DFB">
        <w:t xml:space="preserve"> mēnesī jeb 13,3%</w:t>
      </w:r>
      <w:r>
        <w:t xml:space="preserve">. 2017.gadā šis modelis tika </w:t>
      </w:r>
      <w:r w:rsidR="00387CF8">
        <w:t xml:space="preserve">pilnveidots, </w:t>
      </w:r>
      <w:r w:rsidR="00387CF8" w:rsidRPr="00F958AF">
        <w:t>sakārtojot un precizējot prasības saistībā ar pedagogu algu likmēm un darba slodzi, mazinot darba samaksas nevienlīdzību starp vienādu darbu strādājošiem skolotājiem</w:t>
      </w:r>
      <w:r w:rsidR="00387CF8">
        <w:t xml:space="preserve">, kā arī nosakot stingrāku </w:t>
      </w:r>
      <w:r w:rsidR="00387CF8" w:rsidRPr="00F958AF">
        <w:t>finanšu disciplīn</w:t>
      </w:r>
      <w:r w:rsidR="00387CF8">
        <w:t>u</w:t>
      </w:r>
      <w:r w:rsidR="00387CF8" w:rsidRPr="00F958AF">
        <w:t xml:space="preserve"> pašvaldībām saistībā ar valsts mērķdotācijas izlietojumu</w:t>
      </w:r>
      <w:r w:rsidR="00387CF8">
        <w:t>. Papildus, MK</w:t>
      </w:r>
      <w:r w:rsidR="00387CF8" w:rsidRPr="005565F8">
        <w:t xml:space="preserve"> </w:t>
      </w:r>
      <w:r w:rsidR="00984EF9">
        <w:t>tika apstiprināts</w:t>
      </w:r>
      <w:r w:rsidR="00387CF8" w:rsidRPr="005565F8">
        <w:t xml:space="preserve"> </w:t>
      </w:r>
      <w:r w:rsidR="00984EF9">
        <w:t>“</w:t>
      </w:r>
      <w:r w:rsidR="00387CF8" w:rsidRPr="00984EF9">
        <w:t>Pedagogu darba samaksas pieauguma grafik</w:t>
      </w:r>
      <w:r w:rsidR="00984EF9">
        <w:t>s”</w:t>
      </w:r>
      <w:r w:rsidR="00387CF8">
        <w:t xml:space="preserve"> turpmākajiem pieciem gadiem, kas paredz, ka n</w:t>
      </w:r>
      <w:r w:rsidR="00387CF8" w:rsidRPr="005565F8">
        <w:t>o 2018.gada 1.septembra līdz 2022.gada 1.septembrim pedagogu zemākā mēneša darba algas likme indikatīvi varētu pakāpeniski pieaugt no 710 EUR līdz 900 EUR.</w:t>
      </w:r>
    </w:p>
    <w:p w:rsidR="00D837C6" w:rsidRDefault="007141A1" w:rsidP="00C9192D">
      <w:pPr>
        <w:pStyle w:val="ListParagraph"/>
        <w:ind w:left="0" w:firstLine="720"/>
        <w:jc w:val="both"/>
      </w:pPr>
      <w:r>
        <w:t xml:space="preserve">Attiecībā uz </w:t>
      </w:r>
      <w:r w:rsidRPr="004E031E">
        <w:rPr>
          <w:b/>
        </w:rPr>
        <w:t xml:space="preserve">pedagogu </w:t>
      </w:r>
      <w:r w:rsidR="00984EF9">
        <w:rPr>
          <w:b/>
        </w:rPr>
        <w:t xml:space="preserve">darba </w:t>
      </w:r>
      <w:r w:rsidRPr="004E031E">
        <w:rPr>
          <w:b/>
        </w:rPr>
        <w:t>kvalitāti</w:t>
      </w:r>
      <w:r>
        <w:t xml:space="preserve"> ir jāpiemin, ka 2873 (11%) pedagogiem bija augstākās (4. un 5.) kvalitātes pakāpes. </w:t>
      </w:r>
      <w:r w:rsidR="00F077B1">
        <w:t>MK</w:t>
      </w:r>
      <w:r w:rsidR="00D837C6" w:rsidRPr="005C0211">
        <w:t xml:space="preserve"> 2017.gada 22.augusta noteikum</w:t>
      </w:r>
      <w:r w:rsidR="0040173E">
        <w:t>i</w:t>
      </w:r>
      <w:r w:rsidR="00D837C6" w:rsidRPr="005C0211">
        <w:t xml:space="preserve"> Nr.</w:t>
      </w:r>
      <w:r w:rsidR="0040173E">
        <w:t>501</w:t>
      </w:r>
      <w:r w:rsidR="00D837C6" w:rsidRPr="005C0211">
        <w:t xml:space="preserve"> “Pedagogu profesionālās darbības kvalitātes novērtēšanas organizēšanas kārtība” nosaka, ka </w:t>
      </w:r>
      <w:r w:rsidR="0040173E">
        <w:t xml:space="preserve">pedagogu </w:t>
      </w:r>
      <w:r w:rsidR="00D837C6" w:rsidRPr="005C0211">
        <w:t>novērtēšanas procesā piemēro izglītības iestādes izstrādātu, ar izglītības iestādes dibinātāju vai tā pilnvarotu personu saskaņotu un izglītības iestādes vadītāja apstiprinātu pedagogu profesionālās darbības novērtēšanas kārtību. Kārtībā saskaņā ar š</w:t>
      </w:r>
      <w:r w:rsidR="0040173E">
        <w:t>ajos</w:t>
      </w:r>
      <w:r w:rsidR="00D837C6" w:rsidRPr="005C0211">
        <w:t xml:space="preserve"> noteikum</w:t>
      </w:r>
      <w:r w:rsidR="0040173E">
        <w:t>os</w:t>
      </w:r>
      <w:r w:rsidR="00D837C6" w:rsidRPr="005C0211">
        <w:t xml:space="preserve"> minētajiem novērtēšanas virzieniem iekļauj pedagoga profesionālās darbības kvalitātes novērtēšanas kritērijus, pedagoga pašvērtējumu, vērojamo mācību stundu/nodarbību skaitu, lēmuma apstrīdēšanas kārtību, nosacījumus pakāpes piešķiršanas termiņam un piemaksas apmēram.</w:t>
      </w:r>
    </w:p>
    <w:p w:rsidR="00310B63" w:rsidRPr="00310B63" w:rsidRDefault="00310B63" w:rsidP="00310B6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Sekmējot pedagogu darba kvalitāti un motivāciju, no 2009. līdz 2016.</w:t>
      </w:r>
      <w:r w:rsidRPr="005C0211">
        <w:rPr>
          <w:rFonts w:ascii="Times New Roman" w:eastAsia="Times New Roman" w:hAnsi="Times New Roman" w:cs="Times New Roman"/>
          <w:sz w:val="24"/>
          <w:szCs w:val="24"/>
        </w:rPr>
        <w:t>gadam tika noteikta</w:t>
      </w:r>
      <w:r>
        <w:rPr>
          <w:rFonts w:ascii="Times New Roman" w:eastAsia="Times New Roman" w:hAnsi="Times New Roman" w:cs="Times New Roman"/>
          <w:sz w:val="24"/>
          <w:szCs w:val="24"/>
        </w:rPr>
        <w:t xml:space="preserve"> piemaksa</w:t>
      </w:r>
      <w:r w:rsidRPr="005C0211">
        <w:rPr>
          <w:rFonts w:ascii="Times New Roman" w:eastAsia="Times New Roman" w:hAnsi="Times New Roman" w:cs="Times New Roman"/>
          <w:sz w:val="24"/>
          <w:szCs w:val="24"/>
        </w:rPr>
        <w:t xml:space="preserve">, sākot ar trešo pakāpi: par </w:t>
      </w:r>
      <w:r>
        <w:rPr>
          <w:rFonts w:ascii="Times New Roman" w:eastAsia="Times New Roman" w:hAnsi="Times New Roman" w:cs="Times New Roman"/>
          <w:sz w:val="24"/>
          <w:szCs w:val="24"/>
        </w:rPr>
        <w:t>3.</w:t>
      </w:r>
      <w:r w:rsidRPr="005C0211">
        <w:rPr>
          <w:rFonts w:ascii="Times New Roman" w:eastAsia="Times New Roman" w:hAnsi="Times New Roman" w:cs="Times New Roman"/>
          <w:sz w:val="24"/>
          <w:szCs w:val="24"/>
        </w:rPr>
        <w:t xml:space="preserve">pakāpi – 31,87 EUR, par 4.pakāpi – 79,78 EUR, par 5.pakāpi – 99,60 EUR. </w:t>
      </w:r>
      <w:r>
        <w:rPr>
          <w:rFonts w:ascii="Times New Roman" w:eastAsia="Times New Roman" w:hAnsi="Times New Roman" w:cs="Times New Roman"/>
          <w:sz w:val="24"/>
          <w:szCs w:val="24"/>
        </w:rPr>
        <w:t xml:space="preserve">Savukārt pēc </w:t>
      </w:r>
      <w:r w:rsidRPr="005C0211">
        <w:rPr>
          <w:rFonts w:ascii="Times New Roman" w:eastAsia="Times New Roman" w:hAnsi="Times New Roman" w:cs="Times New Roman"/>
          <w:sz w:val="24"/>
          <w:szCs w:val="24"/>
        </w:rPr>
        <w:t>jaun</w:t>
      </w:r>
      <w:r>
        <w:rPr>
          <w:rFonts w:ascii="Times New Roman" w:eastAsia="Times New Roman" w:hAnsi="Times New Roman" w:cs="Times New Roman"/>
          <w:sz w:val="24"/>
          <w:szCs w:val="24"/>
        </w:rPr>
        <w:t>a</w:t>
      </w:r>
      <w:r w:rsidRPr="005C0211">
        <w:rPr>
          <w:rFonts w:ascii="Times New Roman" w:eastAsia="Times New Roman" w:hAnsi="Times New Roman" w:cs="Times New Roman"/>
          <w:sz w:val="24"/>
          <w:szCs w:val="24"/>
        </w:rPr>
        <w:t xml:space="preserve"> regulējum</w:t>
      </w:r>
      <w:r>
        <w:rPr>
          <w:rFonts w:ascii="Times New Roman" w:eastAsia="Times New Roman" w:hAnsi="Times New Roman" w:cs="Times New Roman"/>
          <w:sz w:val="24"/>
          <w:szCs w:val="24"/>
        </w:rPr>
        <w:t>a pieņemšanas</w:t>
      </w:r>
      <w:r w:rsidRPr="005C0211">
        <w:rPr>
          <w:rFonts w:ascii="Times New Roman" w:eastAsia="Times New Roman" w:hAnsi="Times New Roman" w:cs="Times New Roman"/>
          <w:sz w:val="24"/>
          <w:szCs w:val="24"/>
        </w:rPr>
        <w:t xml:space="preserve">: par 3.pakāpi - 45 EUR, par 4.pakāpi – 114 EUR, par 5.pakāpi – 140 EUR. </w:t>
      </w:r>
    </w:p>
    <w:p w:rsidR="009C1F3F" w:rsidRPr="005C0211" w:rsidRDefault="009C1F3F" w:rsidP="009C1F3F">
      <w:pPr>
        <w:spacing w:after="0" w:line="240" w:lineRule="auto"/>
        <w:jc w:val="both"/>
        <w:rPr>
          <w:rFonts w:ascii="Times New Roman" w:hAnsi="Times New Roman" w:cs="Times New Roman"/>
          <w:sz w:val="24"/>
          <w:szCs w:val="24"/>
        </w:rPr>
      </w:pPr>
      <w:r>
        <w:tab/>
      </w:r>
      <w:r w:rsidRPr="009C1F3F">
        <w:rPr>
          <w:rFonts w:ascii="Times New Roman" w:hAnsi="Times New Roman" w:cs="Times New Roman"/>
          <w:sz w:val="24"/>
          <w:szCs w:val="24"/>
        </w:rPr>
        <w:t>Pilnveidojot</w:t>
      </w:r>
      <w:r>
        <w:t xml:space="preserve"> </w:t>
      </w:r>
      <w:r w:rsidRPr="004E031E">
        <w:rPr>
          <w:rFonts w:ascii="Times New Roman" w:hAnsi="Times New Roman" w:cs="Times New Roman"/>
          <w:b/>
          <w:sz w:val="24"/>
          <w:szCs w:val="24"/>
        </w:rPr>
        <w:t>profesionālajā izglītībā iesaistīto pedagogu profesionālās un prakšu vadītāju pedagoģiskās kompetences</w:t>
      </w:r>
      <w:r>
        <w:t xml:space="preserve">, </w:t>
      </w:r>
      <w:r w:rsidRPr="004E031E">
        <w:rPr>
          <w:rFonts w:ascii="Times New Roman" w:hAnsi="Times New Roman" w:cs="Times New Roman"/>
          <w:sz w:val="24"/>
          <w:szCs w:val="24"/>
        </w:rPr>
        <w:t>tika nodrošināta</w:t>
      </w:r>
      <w:r>
        <w:t xml:space="preserve"> </w:t>
      </w:r>
      <w:r w:rsidRPr="005C0211">
        <w:rPr>
          <w:rFonts w:ascii="Times New Roman" w:hAnsi="Times New Roman" w:cs="Times New Roman"/>
          <w:sz w:val="24"/>
          <w:szCs w:val="24"/>
        </w:rPr>
        <w:t>pedagog</w:t>
      </w:r>
      <w:r>
        <w:t>u</w:t>
      </w:r>
      <w:r w:rsidRPr="005C0211">
        <w:rPr>
          <w:rFonts w:ascii="Times New Roman" w:hAnsi="Times New Roman" w:cs="Times New Roman"/>
          <w:sz w:val="24"/>
          <w:szCs w:val="24"/>
        </w:rPr>
        <w:t>, amata meistar</w:t>
      </w:r>
      <w:r>
        <w:t>u</w:t>
      </w:r>
      <w:r w:rsidRPr="005C0211">
        <w:rPr>
          <w:rFonts w:ascii="Times New Roman" w:hAnsi="Times New Roman" w:cs="Times New Roman"/>
          <w:sz w:val="24"/>
          <w:szCs w:val="24"/>
        </w:rPr>
        <w:t xml:space="preserve"> un prakses vadītāj</w:t>
      </w:r>
      <w:r w:rsidRPr="00214B4D">
        <w:rPr>
          <w:rFonts w:ascii="Times New Roman" w:hAnsi="Times New Roman" w:cs="Times New Roman"/>
          <w:sz w:val="24"/>
          <w:szCs w:val="24"/>
        </w:rPr>
        <w:t>u</w:t>
      </w:r>
      <w:r w:rsidRPr="005C0211">
        <w:rPr>
          <w:rFonts w:ascii="Times New Roman" w:hAnsi="Times New Roman" w:cs="Times New Roman"/>
          <w:sz w:val="24"/>
          <w:szCs w:val="24"/>
        </w:rPr>
        <w:t xml:space="preserve"> </w:t>
      </w:r>
      <w:r w:rsidRPr="00214B4D">
        <w:rPr>
          <w:rFonts w:ascii="Times New Roman" w:hAnsi="Times New Roman" w:cs="Times New Roman"/>
          <w:sz w:val="24"/>
          <w:szCs w:val="24"/>
        </w:rPr>
        <w:t xml:space="preserve">dalība </w:t>
      </w:r>
      <w:r w:rsidRPr="005C0211">
        <w:rPr>
          <w:rFonts w:ascii="Times New Roman" w:hAnsi="Times New Roman" w:cs="Times New Roman"/>
          <w:sz w:val="24"/>
          <w:szCs w:val="24"/>
        </w:rPr>
        <w:t>profesionālās pilnveides pasākumos, ta</w:t>
      </w:r>
      <w:r w:rsidR="0029110B">
        <w:rPr>
          <w:rFonts w:ascii="Times New Roman" w:hAnsi="Times New Roman" w:cs="Times New Roman"/>
          <w:sz w:val="24"/>
          <w:szCs w:val="24"/>
        </w:rPr>
        <w:t>jā</w:t>
      </w:r>
      <w:r w:rsidRPr="005C0211">
        <w:rPr>
          <w:rFonts w:ascii="Times New Roman" w:hAnsi="Times New Roman" w:cs="Times New Roman"/>
          <w:sz w:val="24"/>
          <w:szCs w:val="24"/>
        </w:rPr>
        <w:t xml:space="preserve"> skaitā</w:t>
      </w:r>
      <w:r w:rsidR="0029110B">
        <w:rPr>
          <w:rFonts w:ascii="Times New Roman" w:hAnsi="Times New Roman" w:cs="Times New Roman"/>
          <w:sz w:val="24"/>
          <w:szCs w:val="24"/>
        </w:rPr>
        <w:t>,</w:t>
      </w:r>
      <w:r w:rsidRPr="005C0211">
        <w:rPr>
          <w:rFonts w:ascii="Times New Roman" w:hAnsi="Times New Roman" w:cs="Times New Roman"/>
          <w:sz w:val="24"/>
          <w:szCs w:val="24"/>
        </w:rPr>
        <w:t xml:space="preserve"> pilnveidojot pedagoģisko kompetenci un aprobējot jauno mācību saturu</w:t>
      </w:r>
      <w:r w:rsidRPr="00C9322F">
        <w:rPr>
          <w:rFonts w:ascii="Times New Roman" w:hAnsi="Times New Roman" w:cs="Times New Roman"/>
          <w:sz w:val="24"/>
          <w:szCs w:val="24"/>
        </w:rPr>
        <w:t xml:space="preserve">. Šo pasākumu ir plānots turpināt </w:t>
      </w:r>
      <w:r w:rsidRPr="005C0211">
        <w:rPr>
          <w:rFonts w:ascii="Times New Roman" w:hAnsi="Times New Roman" w:cs="Times New Roman"/>
          <w:sz w:val="24"/>
          <w:szCs w:val="24"/>
        </w:rPr>
        <w:t xml:space="preserve">SAM 8.5.3. </w:t>
      </w:r>
      <w:r w:rsidRPr="005C0211">
        <w:rPr>
          <w:rFonts w:ascii="Times New Roman" w:hAnsi="Times New Roman" w:cs="Times New Roman"/>
          <w:sz w:val="24"/>
          <w:szCs w:val="24"/>
        </w:rPr>
        <w:lastRenderedPageBreak/>
        <w:t>"Nodrošināt profesionālās izglītības iestāžu efektīvu pārvaldību un iesaistītā personāla profesionālās kompetences pilnveidi" ietvaros.</w:t>
      </w:r>
    </w:p>
    <w:p w:rsidR="00D837C6" w:rsidRDefault="00C9322F" w:rsidP="0099552C">
      <w:pPr>
        <w:pStyle w:val="ListParagraph"/>
        <w:ind w:left="0"/>
        <w:jc w:val="both"/>
      </w:pPr>
      <w:r>
        <w:rPr>
          <w:rFonts w:eastAsiaTheme="minorHAnsi"/>
          <w:b/>
        </w:rPr>
        <w:tab/>
      </w:r>
      <w:r w:rsidR="00C83AF2" w:rsidRPr="00C83AF2">
        <w:rPr>
          <w:rFonts w:eastAsiaTheme="minorHAnsi"/>
        </w:rPr>
        <w:t>Stiprinot</w:t>
      </w:r>
      <w:r w:rsidR="00C83AF2">
        <w:rPr>
          <w:rFonts w:eastAsiaTheme="minorHAnsi"/>
        </w:rPr>
        <w:t xml:space="preserve"> </w:t>
      </w:r>
      <w:r w:rsidR="00C83AF2" w:rsidRPr="00932772">
        <w:rPr>
          <w:rFonts w:eastAsiaTheme="minorHAnsi"/>
          <w:b/>
        </w:rPr>
        <w:t xml:space="preserve">profesionālās izglītības iestāžu </w:t>
      </w:r>
      <w:r w:rsidR="00C83AF2" w:rsidRPr="00932772">
        <w:rPr>
          <w:b/>
        </w:rPr>
        <w:t>kapacitātes stiprināšanu pieaugušo izglītībā saistībā ar administratīvā un pedagoģiskā personāla kompetences pilnveidi mācību organizācijas, metodisko jautājumu un tehnoloģiju attīstības kontekstā</w:t>
      </w:r>
      <w:r w:rsidR="00C83AF2">
        <w:t xml:space="preserve"> </w:t>
      </w:r>
      <w:r w:rsidR="00C83AF2" w:rsidRPr="005C0211">
        <w:t>SAM 8.5.3. “Nodrošināt profesionālās izglītības iestāžu efektīvu pārvaldību un iesaistītā personāla profesionālās kompetences pilnveidi" ietvaros</w:t>
      </w:r>
      <w:r w:rsidR="00C83AF2">
        <w:t xml:space="preserve"> </w:t>
      </w:r>
      <w:r w:rsidR="007F75BC">
        <w:t xml:space="preserve">tika </w:t>
      </w:r>
      <w:r w:rsidR="00C83AF2">
        <w:t>n</w:t>
      </w:r>
      <w:r w:rsidR="00C83AF2" w:rsidRPr="005C0211">
        <w:t xml:space="preserve">odrošināts atbalsts </w:t>
      </w:r>
      <w:r w:rsidR="00C83AF2">
        <w:t xml:space="preserve">profesionālās izglītības iestāžu </w:t>
      </w:r>
      <w:r w:rsidR="007F75BC">
        <w:t>vadībai c</w:t>
      </w:r>
      <w:r w:rsidR="00C83AF2" w:rsidRPr="005C0211">
        <w:t>ilvēkresursu plānu izstrādē un pilnveidē, uzsākta atbalsta sniegšana pieaugušo izglītības procesa vadībā un sadarbības ar darba devējiem sekmēšanā, izstrādājot metodisko materiālu</w:t>
      </w:r>
      <w:r w:rsidR="00C83AF2">
        <w:t>.</w:t>
      </w:r>
    </w:p>
    <w:p w:rsidR="00D47565" w:rsidRPr="007F75BC" w:rsidRDefault="00D47565" w:rsidP="007F75BC">
      <w:pPr>
        <w:pStyle w:val="ListParagraph"/>
        <w:ind w:left="0"/>
        <w:jc w:val="both"/>
        <w:rPr>
          <w:rFonts w:eastAsiaTheme="minorHAnsi"/>
        </w:rPr>
      </w:pPr>
      <w:r>
        <w:tab/>
      </w:r>
      <w:r w:rsidR="0029750E">
        <w:t xml:space="preserve">Atbalstot </w:t>
      </w:r>
      <w:r w:rsidR="008D6112" w:rsidRPr="008D6112">
        <w:rPr>
          <w:b/>
          <w:i/>
        </w:rPr>
        <w:t>e</w:t>
      </w:r>
      <w:r w:rsidR="0029750E" w:rsidRPr="008D6112">
        <w:rPr>
          <w:b/>
          <w:i/>
        </w:rPr>
        <w:t>Twinning</w:t>
      </w:r>
      <w:r w:rsidR="00457A4B" w:rsidRPr="00932772">
        <w:rPr>
          <w:b/>
        </w:rPr>
        <w:t xml:space="preserve"> projektu īstenošanu</w:t>
      </w:r>
      <w:r w:rsidR="00457A4B">
        <w:t xml:space="preserve">, tika veicināta pedagogu savstarpējā starptautiskā sadarbība, </w:t>
      </w:r>
      <w:r w:rsidR="00457A4B" w:rsidRPr="005C0211">
        <w:t>sekmējot svešvalodu apguvi un veidojot IKT prasmes kā daļu no ikdienas dzīves mācību telpā</w:t>
      </w:r>
      <w:r w:rsidR="00457A4B">
        <w:t xml:space="preserve">. </w:t>
      </w:r>
      <w:r w:rsidRPr="005C0211">
        <w:t>2017.gadā tika uzsākti 497 projekti, rīkotas 53 nacionāl</w:t>
      </w:r>
      <w:r w:rsidR="00BC66DD">
        <w:t>ā un starptautiskā</w:t>
      </w:r>
      <w:r w:rsidRPr="005C0211">
        <w:t xml:space="preserve"> līmeņa apmācības klātienē un tiešsaistē, kuru kopējais dalībnieku skaits bija 1269.</w:t>
      </w:r>
      <w:r w:rsidR="007F75BC">
        <w:t xml:space="preserve"> </w:t>
      </w:r>
      <w:r w:rsidRPr="005C0211">
        <w:t xml:space="preserve">Plānots turpināt iesākto darbu un piesaistīt </w:t>
      </w:r>
      <w:r w:rsidRPr="008D6112">
        <w:rPr>
          <w:i/>
        </w:rPr>
        <w:t>eTwinning</w:t>
      </w:r>
      <w:r w:rsidRPr="005C0211">
        <w:t xml:space="preserve"> tīklā jaunus pedagogus, k</w:t>
      </w:r>
      <w:r w:rsidR="00BC66DD">
        <w:t>uri</w:t>
      </w:r>
      <w:r w:rsidRPr="005C0211">
        <w:t xml:space="preserve"> ir ieinteresēti veikt nacionā</w:t>
      </w:r>
      <w:r w:rsidR="00BC66DD">
        <w:t>los un starptautiskos projektus, kā arī stiprināt sadarbību ar</w:t>
      </w:r>
      <w:r w:rsidRPr="005C0211">
        <w:t xml:space="preserve"> izglītības nozarē strādājošiem uzņēmumiem, lai nodrošinātu augstas kvalitātes mācību piedāvājumu skolotājiem.</w:t>
      </w:r>
    </w:p>
    <w:p w:rsidR="00373D8A" w:rsidRDefault="006C0E29" w:rsidP="00D475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Lai atbalstītu </w:t>
      </w:r>
      <w:r w:rsidRPr="00932772">
        <w:rPr>
          <w:rFonts w:ascii="Times New Roman" w:hAnsi="Times New Roman" w:cs="Times New Roman"/>
          <w:b/>
          <w:sz w:val="24"/>
          <w:szCs w:val="24"/>
        </w:rPr>
        <w:t>jaunus pedagogus vidējās izglītības pakāpē</w:t>
      </w:r>
      <w:r w:rsidR="00DF7AF3">
        <w:rPr>
          <w:rFonts w:ascii="Times New Roman" w:hAnsi="Times New Roman" w:cs="Times New Roman"/>
          <w:sz w:val="24"/>
          <w:szCs w:val="24"/>
        </w:rPr>
        <w:t xml:space="preserve">, tika nodrošināts viņu adaptācijas process, </w:t>
      </w:r>
      <w:r w:rsidR="00DF7AF3" w:rsidRPr="005C0211">
        <w:rPr>
          <w:rFonts w:ascii="Times New Roman" w:hAnsi="Times New Roman" w:cs="Times New Roman"/>
          <w:sz w:val="24"/>
          <w:szCs w:val="24"/>
        </w:rPr>
        <w:t>uzsākot darbu izglītības iestādē</w:t>
      </w:r>
      <w:r w:rsidR="00DF7AF3">
        <w:rPr>
          <w:rFonts w:ascii="Times New Roman" w:hAnsi="Times New Roman" w:cs="Times New Roman"/>
          <w:sz w:val="24"/>
          <w:szCs w:val="24"/>
        </w:rPr>
        <w:t xml:space="preserve">, kā arī </w:t>
      </w:r>
      <w:r w:rsidR="00DF7AF3" w:rsidRPr="005C0211">
        <w:rPr>
          <w:rFonts w:ascii="Times New Roman" w:hAnsi="Times New Roman" w:cs="Times New Roman"/>
          <w:sz w:val="24"/>
          <w:szCs w:val="24"/>
        </w:rPr>
        <w:t>jauno pedagogu profesi</w:t>
      </w:r>
      <w:r w:rsidR="00DF7AF3">
        <w:rPr>
          <w:rFonts w:ascii="Times New Roman" w:hAnsi="Times New Roman" w:cs="Times New Roman"/>
          <w:sz w:val="24"/>
          <w:szCs w:val="24"/>
        </w:rPr>
        <w:t>onālās kompetences stiprināšana</w:t>
      </w:r>
      <w:r w:rsidR="00DF7AF3" w:rsidRPr="005C0211">
        <w:rPr>
          <w:rFonts w:ascii="Times New Roman" w:hAnsi="Times New Roman" w:cs="Times New Roman"/>
          <w:sz w:val="24"/>
          <w:szCs w:val="24"/>
        </w:rPr>
        <w:t>, piedāvājot vispārējo kompetenču pilnveidi</w:t>
      </w:r>
      <w:r w:rsidR="00DF7AF3">
        <w:rPr>
          <w:rFonts w:ascii="Times New Roman" w:hAnsi="Times New Roman" w:cs="Times New Roman"/>
          <w:sz w:val="24"/>
          <w:szCs w:val="24"/>
        </w:rPr>
        <w:t>.</w:t>
      </w:r>
      <w:r w:rsidR="00D60C78">
        <w:rPr>
          <w:rFonts w:ascii="Times New Roman" w:hAnsi="Times New Roman" w:cs="Times New Roman"/>
          <w:sz w:val="24"/>
          <w:szCs w:val="24"/>
        </w:rPr>
        <w:t xml:space="preserve"> Tādējādi vairāki pedagogi katru gadu apguvuši </w:t>
      </w:r>
      <w:r w:rsidR="00D60C78" w:rsidRPr="005C0211">
        <w:rPr>
          <w:rFonts w:ascii="Times New Roman" w:hAnsi="Times New Roman" w:cs="Times New Roman"/>
          <w:sz w:val="24"/>
          <w:szCs w:val="24"/>
        </w:rPr>
        <w:t>vairāku mācību priekšmetu pasniegšanas metodiku</w:t>
      </w:r>
      <w:r w:rsidR="00D60C78">
        <w:rPr>
          <w:rFonts w:ascii="Times New Roman" w:hAnsi="Times New Roman" w:cs="Times New Roman"/>
          <w:sz w:val="24"/>
          <w:szCs w:val="24"/>
        </w:rPr>
        <w:t>, kā arī stiprinājuši profesionālo kompetenci STEM priekšmetos.</w:t>
      </w:r>
    </w:p>
    <w:p w:rsidR="00067316" w:rsidRDefault="001005B5" w:rsidP="0006731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6E32C7">
        <w:rPr>
          <w:rFonts w:ascii="Times New Roman" w:hAnsi="Times New Roman" w:cs="Times New Roman"/>
          <w:sz w:val="24"/>
          <w:szCs w:val="24"/>
        </w:rPr>
        <w:t>Veicinot</w:t>
      </w:r>
      <w:r>
        <w:rPr>
          <w:rFonts w:ascii="Times New Roman" w:hAnsi="Times New Roman" w:cs="Times New Roman"/>
          <w:sz w:val="24"/>
          <w:szCs w:val="24"/>
        </w:rPr>
        <w:t xml:space="preserve"> </w:t>
      </w:r>
      <w:r w:rsidRPr="00932772">
        <w:rPr>
          <w:rFonts w:ascii="Times New Roman" w:hAnsi="Times New Roman" w:cs="Times New Roman"/>
          <w:b/>
          <w:sz w:val="24"/>
          <w:szCs w:val="24"/>
        </w:rPr>
        <w:t>akadēmiskā personāla motivāciju</w:t>
      </w:r>
      <w:r>
        <w:rPr>
          <w:rFonts w:ascii="Times New Roman" w:hAnsi="Times New Roman" w:cs="Times New Roman"/>
          <w:sz w:val="24"/>
          <w:szCs w:val="24"/>
        </w:rPr>
        <w:t xml:space="preserve">, </w:t>
      </w:r>
      <w:r w:rsidR="006E32C7">
        <w:rPr>
          <w:rFonts w:ascii="Times New Roman" w:hAnsi="Times New Roman" w:cs="Times New Roman"/>
          <w:sz w:val="24"/>
          <w:szCs w:val="24"/>
        </w:rPr>
        <w:t xml:space="preserve">atbilstoši </w:t>
      </w:r>
      <w:r w:rsidR="006E32C7">
        <w:rPr>
          <w:rFonts w:ascii="Times New Roman" w:eastAsia="Times New Roman" w:hAnsi="Times New Roman" w:cs="Times New Roman"/>
          <w:sz w:val="24"/>
          <w:szCs w:val="24"/>
        </w:rPr>
        <w:t>MK 2016.gada 5.</w:t>
      </w:r>
      <w:r w:rsidR="006E32C7" w:rsidRPr="005C0211">
        <w:rPr>
          <w:rFonts w:ascii="Times New Roman" w:eastAsia="Times New Roman" w:hAnsi="Times New Roman" w:cs="Times New Roman"/>
          <w:sz w:val="24"/>
          <w:szCs w:val="24"/>
        </w:rPr>
        <w:t>jūlija noteikumi</w:t>
      </w:r>
      <w:r w:rsidR="006E32C7">
        <w:rPr>
          <w:rFonts w:ascii="Times New Roman" w:eastAsia="Times New Roman" w:hAnsi="Times New Roman" w:cs="Times New Roman"/>
          <w:sz w:val="24"/>
          <w:szCs w:val="24"/>
        </w:rPr>
        <w:t>em</w:t>
      </w:r>
      <w:r w:rsidR="006E32C7" w:rsidRPr="005C0211">
        <w:rPr>
          <w:rFonts w:ascii="Times New Roman" w:eastAsia="Times New Roman" w:hAnsi="Times New Roman" w:cs="Times New Roman"/>
          <w:sz w:val="24"/>
          <w:szCs w:val="24"/>
        </w:rPr>
        <w:t xml:space="preserve"> Nr.445 "Pedagogu darba samaksas noteikumi"</w:t>
      </w:r>
      <w:r w:rsidR="006E32C7">
        <w:rPr>
          <w:rFonts w:ascii="Times New Roman" w:eastAsia="Times New Roman" w:hAnsi="Times New Roman" w:cs="Times New Roman"/>
          <w:sz w:val="24"/>
          <w:szCs w:val="24"/>
        </w:rPr>
        <w:t xml:space="preserve"> ir plānots </w:t>
      </w:r>
      <w:r w:rsidR="006E32C7" w:rsidRPr="005C0211">
        <w:rPr>
          <w:rFonts w:ascii="Times New Roman" w:eastAsia="Times New Roman" w:hAnsi="Times New Roman" w:cs="Times New Roman"/>
          <w:sz w:val="24"/>
          <w:szCs w:val="24"/>
        </w:rPr>
        <w:t>no 2017.gada līdz 2019.</w:t>
      </w:r>
      <w:r w:rsidR="006E32C7">
        <w:rPr>
          <w:rFonts w:ascii="Times New Roman" w:eastAsia="Times New Roman" w:hAnsi="Times New Roman" w:cs="Times New Roman"/>
          <w:sz w:val="24"/>
          <w:szCs w:val="24"/>
        </w:rPr>
        <w:t>gadam pakāpeniski paaugstināt</w:t>
      </w:r>
      <w:r w:rsidR="006E32C7" w:rsidRPr="005C0211">
        <w:rPr>
          <w:rFonts w:ascii="Times New Roman" w:eastAsia="Times New Roman" w:hAnsi="Times New Roman" w:cs="Times New Roman"/>
          <w:sz w:val="24"/>
          <w:szCs w:val="24"/>
        </w:rPr>
        <w:t xml:space="preserve"> pedagogu, izglītības iestāžu vadītāju, viņu vietnieku un struktūrvienību vadītāju zemākās mēneša darba algas likmes</w:t>
      </w:r>
      <w:r w:rsidR="006E32C7">
        <w:rPr>
          <w:rFonts w:ascii="Times New Roman" w:eastAsia="Times New Roman" w:hAnsi="Times New Roman" w:cs="Times New Roman"/>
          <w:sz w:val="24"/>
          <w:szCs w:val="24"/>
        </w:rPr>
        <w:t xml:space="preserve">. </w:t>
      </w:r>
      <w:r w:rsidR="006E32C7">
        <w:rPr>
          <w:rFonts w:ascii="Times New Roman" w:hAnsi="Times New Roman" w:cs="Times New Roman"/>
          <w:sz w:val="24"/>
          <w:szCs w:val="24"/>
        </w:rPr>
        <w:t xml:space="preserve">Vienlaikus </w:t>
      </w:r>
      <w:r w:rsidR="006E32C7">
        <w:rPr>
          <w:rFonts w:ascii="Times New Roman" w:eastAsia="Times New Roman" w:hAnsi="Times New Roman" w:cs="Times New Roman"/>
          <w:sz w:val="24"/>
          <w:szCs w:val="24"/>
        </w:rPr>
        <w:t>n</w:t>
      </w:r>
      <w:r w:rsidR="00067316" w:rsidRPr="005C0211">
        <w:rPr>
          <w:rFonts w:ascii="Times New Roman" w:eastAsia="Times New Roman" w:hAnsi="Times New Roman" w:cs="Times New Roman"/>
          <w:sz w:val="24"/>
          <w:szCs w:val="24"/>
        </w:rPr>
        <w:t>oteikts papildu finansējums, ko IZM aprēķina un piešķir bāzes finansējumu pētnieciskā darba daļējai nodrošināšanai valsts dibināto augstskolu akadēmiskajam personālam – profesoriem, asociētajiem profesoriem un docentie</w:t>
      </w:r>
      <w:r w:rsidR="00193A6E">
        <w:rPr>
          <w:rFonts w:ascii="Times New Roman" w:eastAsia="Times New Roman" w:hAnsi="Times New Roman" w:cs="Times New Roman"/>
          <w:sz w:val="24"/>
          <w:szCs w:val="24"/>
        </w:rPr>
        <w:t>m, kas veic zinātnisko darbību</w:t>
      </w:r>
      <w:r w:rsidR="00067316" w:rsidRPr="005C0211">
        <w:rPr>
          <w:rFonts w:ascii="Times New Roman" w:eastAsia="Times New Roman" w:hAnsi="Times New Roman" w:cs="Times New Roman"/>
          <w:sz w:val="24"/>
          <w:szCs w:val="24"/>
        </w:rPr>
        <w:t>.</w:t>
      </w:r>
    </w:p>
    <w:p w:rsidR="00193A6E" w:rsidRDefault="00193A6E" w:rsidP="0006731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932772">
        <w:rPr>
          <w:rFonts w:ascii="Times New Roman" w:eastAsia="Times New Roman" w:hAnsi="Times New Roman" w:cs="Times New Roman"/>
          <w:b/>
          <w:sz w:val="24"/>
          <w:szCs w:val="24"/>
        </w:rPr>
        <w:t>Akadēmiskā personāla ataudzei un pilnveide</w:t>
      </w:r>
      <w:r w:rsidR="00BA7F60" w:rsidRPr="00932772">
        <w:rPr>
          <w:rFonts w:ascii="Times New Roman" w:eastAsia="Times New Roman" w:hAnsi="Times New Roman" w:cs="Times New Roman"/>
          <w:b/>
          <w:sz w:val="24"/>
          <w:szCs w:val="24"/>
        </w:rPr>
        <w:t>i</w:t>
      </w:r>
      <w:r w:rsidR="00BA7F60">
        <w:rPr>
          <w:rFonts w:ascii="Times New Roman" w:eastAsia="Times New Roman" w:hAnsi="Times New Roman" w:cs="Times New Roman"/>
          <w:sz w:val="24"/>
          <w:szCs w:val="24"/>
        </w:rPr>
        <w:t xml:space="preserve"> </w:t>
      </w:r>
      <w:r w:rsidR="00BA7F60" w:rsidRPr="005C0211">
        <w:rPr>
          <w:rFonts w:ascii="Times New Roman" w:eastAsia="Times New Roman" w:hAnsi="Times New Roman" w:cs="Times New Roman"/>
          <w:sz w:val="24"/>
          <w:szCs w:val="24"/>
        </w:rPr>
        <w:t>8.2.2. SAM "Stiprināt augstākās izglītības institūciju akadēmisko personālu stratēģiskās specializācijas jomās"</w:t>
      </w:r>
      <w:r w:rsidR="00BA7F60">
        <w:rPr>
          <w:rFonts w:ascii="Times New Roman" w:eastAsia="Times New Roman" w:hAnsi="Times New Roman" w:cs="Times New Roman"/>
          <w:sz w:val="24"/>
          <w:szCs w:val="24"/>
        </w:rPr>
        <w:t xml:space="preserve"> ietvaros ir plānots, ka </w:t>
      </w:r>
      <w:r w:rsidR="00BA7F60" w:rsidRPr="005C0211">
        <w:rPr>
          <w:rFonts w:ascii="Times New Roman" w:eastAsia="Times New Roman" w:hAnsi="Times New Roman" w:cs="Times New Roman"/>
          <w:sz w:val="24"/>
          <w:szCs w:val="24"/>
        </w:rPr>
        <w:t xml:space="preserve">līdz 2023.gada 31.decembrim 420 doktoranti </w:t>
      </w:r>
      <w:r w:rsidR="004B6935">
        <w:rPr>
          <w:rFonts w:ascii="Times New Roman" w:eastAsia="Times New Roman" w:hAnsi="Times New Roman" w:cs="Times New Roman"/>
          <w:sz w:val="24"/>
          <w:szCs w:val="24"/>
        </w:rPr>
        <w:t xml:space="preserve">un 300 ārvalstu pasniedzēji </w:t>
      </w:r>
      <w:r w:rsidR="00BA7F60" w:rsidRPr="005C0211">
        <w:rPr>
          <w:rFonts w:ascii="Times New Roman" w:eastAsia="Times New Roman" w:hAnsi="Times New Roman" w:cs="Times New Roman"/>
          <w:sz w:val="24"/>
          <w:szCs w:val="24"/>
        </w:rPr>
        <w:t>saņems ESF atbalstu darbam augstākās izglītības institūcijā</w:t>
      </w:r>
      <w:r w:rsidR="004B6935">
        <w:rPr>
          <w:rFonts w:ascii="Times New Roman" w:eastAsia="Times New Roman" w:hAnsi="Times New Roman" w:cs="Times New Roman"/>
          <w:sz w:val="24"/>
          <w:szCs w:val="24"/>
        </w:rPr>
        <w:t>s</w:t>
      </w:r>
      <w:r w:rsidR="00BA7F60">
        <w:rPr>
          <w:rFonts w:ascii="Times New Roman" w:eastAsia="Times New Roman" w:hAnsi="Times New Roman" w:cs="Times New Roman"/>
          <w:sz w:val="24"/>
          <w:szCs w:val="24"/>
        </w:rPr>
        <w:t xml:space="preserve">, tādējādi sekmējot arī </w:t>
      </w:r>
      <w:r w:rsidR="00BA7F60" w:rsidRPr="005C0211">
        <w:rPr>
          <w:rFonts w:ascii="Times New Roman" w:hAnsi="Times New Roman" w:cs="Times New Roman"/>
          <w:sz w:val="24"/>
          <w:szCs w:val="24"/>
        </w:rPr>
        <w:t>jauno pasniedzēju piesaisti</w:t>
      </w:r>
      <w:r w:rsidR="00BA7F60">
        <w:rPr>
          <w:rFonts w:ascii="Times New Roman" w:hAnsi="Times New Roman" w:cs="Times New Roman"/>
          <w:sz w:val="24"/>
          <w:szCs w:val="24"/>
        </w:rPr>
        <w:t>.</w:t>
      </w:r>
    </w:p>
    <w:p w:rsidR="009C1F3F" w:rsidRPr="006055C8" w:rsidRDefault="006055C8" w:rsidP="006055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Stiprinot profesionālo kapacitāti, pārskata periodā tika veicināta </w:t>
      </w:r>
      <w:r w:rsidRPr="00932772">
        <w:rPr>
          <w:b/>
        </w:rPr>
        <w:t>a</w:t>
      </w:r>
      <w:r w:rsidR="00B949D1" w:rsidRPr="00932772">
        <w:rPr>
          <w:rFonts w:ascii="Times New Roman" w:hAnsi="Times New Roman" w:cs="Times New Roman"/>
          <w:b/>
          <w:sz w:val="24"/>
          <w:szCs w:val="24"/>
        </w:rPr>
        <w:t>dministratīvā, pedagoģiskā un akadēmiskā personāla profesionālās izglītības un augstākās izglītības iestādēs kompetences pilnveide mācību organizācijas, metodiskos jautājumos un tehnoloģiju attīstības kontekstā</w:t>
      </w:r>
      <w:r>
        <w:rPr>
          <w:rFonts w:ascii="Times New Roman" w:hAnsi="Times New Roman" w:cs="Times New Roman"/>
          <w:sz w:val="24"/>
          <w:szCs w:val="24"/>
        </w:rPr>
        <w:t>. Nodrošināta</w:t>
      </w:r>
      <w:r w:rsidRPr="006055C8">
        <w:rPr>
          <w:rFonts w:ascii="Times New Roman" w:hAnsi="Times New Roman" w:cs="Times New Roman"/>
          <w:sz w:val="24"/>
          <w:szCs w:val="24"/>
        </w:rPr>
        <w:t xml:space="preserve"> </w:t>
      </w:r>
      <w:r>
        <w:rPr>
          <w:rFonts w:ascii="Times New Roman" w:hAnsi="Times New Roman" w:cs="Times New Roman"/>
          <w:sz w:val="24"/>
          <w:szCs w:val="24"/>
        </w:rPr>
        <w:t>v</w:t>
      </w:r>
      <w:r w:rsidRPr="005C0211">
        <w:rPr>
          <w:rFonts w:ascii="Times New Roman" w:hAnsi="Times New Roman" w:cs="Times New Roman"/>
          <w:sz w:val="24"/>
          <w:szCs w:val="24"/>
        </w:rPr>
        <w:t>ispārējās izglītības iestāžu</w:t>
      </w:r>
      <w:r>
        <w:rPr>
          <w:rFonts w:ascii="Times New Roman" w:hAnsi="Times New Roman" w:cs="Times New Roman"/>
          <w:sz w:val="24"/>
          <w:szCs w:val="24"/>
        </w:rPr>
        <w:t xml:space="preserve"> vadītāju un vietnieku </w:t>
      </w:r>
      <w:r w:rsidRPr="005C0211">
        <w:rPr>
          <w:rFonts w:ascii="Times New Roman" w:hAnsi="Times New Roman" w:cs="Times New Roman"/>
          <w:sz w:val="24"/>
          <w:szCs w:val="24"/>
        </w:rPr>
        <w:t>pedagoģiskās kompetences pilnveide</w:t>
      </w:r>
      <w:r>
        <w:rPr>
          <w:rFonts w:ascii="Times New Roman" w:hAnsi="Times New Roman" w:cs="Times New Roman"/>
          <w:sz w:val="24"/>
          <w:szCs w:val="24"/>
        </w:rPr>
        <w:t xml:space="preserve">, profesionālās </w:t>
      </w:r>
      <w:r w:rsidRPr="005C0211">
        <w:rPr>
          <w:rFonts w:ascii="Times New Roman" w:hAnsi="Times New Roman" w:cs="Times New Roman"/>
          <w:sz w:val="24"/>
          <w:szCs w:val="24"/>
        </w:rPr>
        <w:t>izglītības iestāžu</w:t>
      </w:r>
      <w:r>
        <w:rPr>
          <w:rFonts w:ascii="Times New Roman" w:hAnsi="Times New Roman" w:cs="Times New Roman"/>
          <w:sz w:val="24"/>
          <w:szCs w:val="24"/>
        </w:rPr>
        <w:t xml:space="preserve"> vadītāju un vietnieku </w:t>
      </w:r>
      <w:r w:rsidRPr="005C0211">
        <w:rPr>
          <w:rFonts w:ascii="Times New Roman" w:hAnsi="Times New Roman" w:cs="Times New Roman"/>
          <w:sz w:val="24"/>
          <w:szCs w:val="24"/>
        </w:rPr>
        <w:t>pedagoģiskās kompetences pilnveide</w:t>
      </w:r>
      <w:r>
        <w:rPr>
          <w:rFonts w:ascii="Times New Roman" w:hAnsi="Times New Roman" w:cs="Times New Roman"/>
          <w:sz w:val="24"/>
          <w:szCs w:val="24"/>
        </w:rPr>
        <w:t xml:space="preserve">, profesionālās </w:t>
      </w:r>
      <w:r w:rsidRPr="005C0211">
        <w:rPr>
          <w:rFonts w:ascii="Times New Roman" w:hAnsi="Times New Roman" w:cs="Times New Roman"/>
          <w:sz w:val="24"/>
          <w:szCs w:val="24"/>
        </w:rPr>
        <w:t>izglītības iestāžu</w:t>
      </w:r>
      <w:r>
        <w:rPr>
          <w:rFonts w:ascii="Times New Roman" w:hAnsi="Times New Roman" w:cs="Times New Roman"/>
          <w:sz w:val="24"/>
          <w:szCs w:val="24"/>
        </w:rPr>
        <w:t xml:space="preserve"> </w:t>
      </w:r>
      <w:r w:rsidRPr="005C0211">
        <w:rPr>
          <w:rFonts w:ascii="Times New Roman" w:hAnsi="Times New Roman" w:cs="Times New Roman"/>
          <w:sz w:val="24"/>
          <w:szCs w:val="24"/>
        </w:rPr>
        <w:t>pedagoģiskā personāla kompetenču pilnveide</w:t>
      </w:r>
      <w:r>
        <w:rPr>
          <w:rFonts w:ascii="Times New Roman" w:hAnsi="Times New Roman" w:cs="Times New Roman"/>
          <w:sz w:val="24"/>
          <w:szCs w:val="24"/>
        </w:rPr>
        <w:t xml:space="preserve"> </w:t>
      </w:r>
      <w:r w:rsidRPr="005C0211">
        <w:rPr>
          <w:rFonts w:ascii="Times New Roman" w:hAnsi="Times New Roman" w:cs="Times New Roman"/>
          <w:sz w:val="24"/>
          <w:szCs w:val="24"/>
        </w:rPr>
        <w:t>par darba drošības jautājumiem</w:t>
      </w:r>
      <w:r>
        <w:rPr>
          <w:rFonts w:ascii="Times New Roman" w:hAnsi="Times New Roman" w:cs="Times New Roman"/>
          <w:sz w:val="24"/>
          <w:szCs w:val="24"/>
        </w:rPr>
        <w:t>, kā arī par veselības jautājumiem (</w:t>
      </w:r>
      <w:r w:rsidRPr="005C0211">
        <w:rPr>
          <w:rFonts w:ascii="Times New Roman" w:hAnsi="Times New Roman" w:cs="Times New Roman"/>
          <w:sz w:val="24"/>
          <w:szCs w:val="24"/>
        </w:rPr>
        <w:t xml:space="preserve">veselību ietekmējoši personības faktori, atkarību cēloņi un to profilakse, kā arī </w:t>
      </w:r>
      <w:r w:rsidR="007F75BC">
        <w:rPr>
          <w:rFonts w:ascii="Times New Roman" w:hAnsi="Times New Roman" w:cs="Times New Roman"/>
          <w:sz w:val="24"/>
          <w:szCs w:val="24"/>
        </w:rPr>
        <w:t xml:space="preserve">veselīgs </w:t>
      </w:r>
      <w:r w:rsidRPr="005C0211">
        <w:rPr>
          <w:rFonts w:ascii="Times New Roman" w:hAnsi="Times New Roman" w:cs="Times New Roman"/>
          <w:sz w:val="24"/>
          <w:szCs w:val="24"/>
        </w:rPr>
        <w:t>uzturs un sports)</w:t>
      </w:r>
      <w:r>
        <w:rPr>
          <w:rFonts w:ascii="Times New Roman" w:hAnsi="Times New Roman" w:cs="Times New Roman"/>
          <w:sz w:val="24"/>
          <w:szCs w:val="24"/>
        </w:rPr>
        <w:t xml:space="preserve">. Vienlaikus </w:t>
      </w:r>
      <w:r>
        <w:rPr>
          <w:rFonts w:ascii="Times New Roman" w:eastAsia="Times New Roman" w:hAnsi="Times New Roman" w:cs="Times New Roman"/>
          <w:sz w:val="24"/>
          <w:szCs w:val="24"/>
        </w:rPr>
        <w:t>a</w:t>
      </w:r>
      <w:r w:rsidRPr="005C0211">
        <w:rPr>
          <w:rFonts w:ascii="Times New Roman" w:eastAsia="Times New Roman" w:hAnsi="Times New Roman" w:cs="Times New Roman"/>
          <w:sz w:val="24"/>
          <w:szCs w:val="24"/>
        </w:rPr>
        <w:t xml:space="preserve">tbilstoši 8.2.2. SAM "Stiprināt augstākās izglītības institūciju akadēmisko personālu stratēģiskās specializācijas jomās" </w:t>
      </w:r>
      <w:r>
        <w:rPr>
          <w:rFonts w:ascii="Times New Roman" w:eastAsia="Times New Roman" w:hAnsi="Times New Roman" w:cs="Times New Roman"/>
          <w:sz w:val="24"/>
          <w:szCs w:val="24"/>
        </w:rPr>
        <w:t xml:space="preserve">ir plānots atbalsts </w:t>
      </w:r>
      <w:r>
        <w:rPr>
          <w:rFonts w:ascii="Times New Roman" w:hAnsi="Times New Roman" w:cs="Times New Roman"/>
          <w:sz w:val="24"/>
          <w:szCs w:val="24"/>
        </w:rPr>
        <w:t>a</w:t>
      </w:r>
      <w:r w:rsidRPr="005C0211">
        <w:rPr>
          <w:rFonts w:ascii="Times New Roman" w:hAnsi="Times New Roman" w:cs="Times New Roman"/>
          <w:sz w:val="24"/>
          <w:szCs w:val="24"/>
        </w:rPr>
        <w:t>kadēmiskā personāla kompetenču pilnveide</w:t>
      </w:r>
      <w:r>
        <w:rPr>
          <w:rFonts w:ascii="Times New Roman" w:hAnsi="Times New Roman" w:cs="Times New Roman"/>
          <w:sz w:val="24"/>
          <w:szCs w:val="24"/>
        </w:rPr>
        <w:t>i.</w:t>
      </w:r>
    </w:p>
    <w:p w:rsidR="00F1273F" w:rsidRDefault="00F1273F" w:rsidP="0099552C">
      <w:pPr>
        <w:pStyle w:val="ListParagraph"/>
        <w:ind w:left="0"/>
        <w:jc w:val="both"/>
        <w:rPr>
          <w:rFonts w:eastAsiaTheme="minorHAnsi"/>
          <w:lang w:eastAsia="en-US"/>
        </w:rPr>
      </w:pPr>
    </w:p>
    <w:p w:rsidR="00BF7BF3" w:rsidRDefault="00BF7BF3" w:rsidP="0099552C">
      <w:pPr>
        <w:pStyle w:val="ListParagraph"/>
        <w:ind w:left="0"/>
        <w:jc w:val="both"/>
        <w:rPr>
          <w:rFonts w:eastAsiaTheme="minorHAnsi"/>
          <w:b/>
        </w:rPr>
      </w:pPr>
    </w:p>
    <w:tbl>
      <w:tblPr>
        <w:tblStyle w:val="TableGrid"/>
        <w:tblW w:w="0" w:type="auto"/>
        <w:shd w:val="clear" w:color="auto" w:fill="DEEAF6" w:themeFill="accent1" w:themeFillTint="33"/>
        <w:tblLook w:val="04A0" w:firstRow="1" w:lastRow="0" w:firstColumn="1" w:lastColumn="0" w:noHBand="0" w:noVBand="1"/>
      </w:tblPr>
      <w:tblGrid>
        <w:gridCol w:w="9345"/>
      </w:tblGrid>
      <w:tr w:rsidR="00670008" w:rsidRPr="00670008" w:rsidTr="00670008">
        <w:tc>
          <w:tcPr>
            <w:tcW w:w="9345" w:type="dxa"/>
            <w:shd w:val="clear" w:color="auto" w:fill="DEEAF6" w:themeFill="accent1" w:themeFillTint="33"/>
          </w:tcPr>
          <w:p w:rsidR="00670008" w:rsidRPr="00670008" w:rsidRDefault="00670008" w:rsidP="0099552C">
            <w:pPr>
              <w:pStyle w:val="ListParagraph"/>
              <w:ind w:left="0"/>
              <w:jc w:val="both"/>
              <w:rPr>
                <w:rFonts w:eastAsiaTheme="minorHAnsi"/>
                <w:b/>
              </w:rPr>
            </w:pPr>
            <w:r w:rsidRPr="00670008">
              <w:rPr>
                <w:b/>
              </w:rPr>
              <w:t xml:space="preserve">Rīcības virziens: </w:t>
            </w:r>
            <w:r w:rsidRPr="00670008">
              <w:rPr>
                <w:rFonts w:eastAsiaTheme="minorHAnsi"/>
                <w:b/>
              </w:rPr>
              <w:t>1.3. 21.gadsimtam atbilstīgas izglītības vides un izglītības procesa nodrošināšana</w:t>
            </w:r>
          </w:p>
        </w:tc>
      </w:tr>
    </w:tbl>
    <w:p w:rsidR="00782945" w:rsidRPr="001838D9" w:rsidRDefault="00782945" w:rsidP="00E522AC">
      <w:pPr>
        <w:spacing w:after="0" w:line="240" w:lineRule="auto"/>
        <w:ind w:right="-1" w:firstLine="720"/>
        <w:jc w:val="both"/>
        <w:rPr>
          <w:rFonts w:ascii="Times New Roman" w:hAnsi="Times New Roman"/>
          <w:sz w:val="24"/>
          <w:szCs w:val="24"/>
        </w:rPr>
      </w:pPr>
      <w:r w:rsidRPr="001838D9">
        <w:rPr>
          <w:rFonts w:ascii="Times New Roman" w:eastAsia="Times New Roman" w:hAnsi="Times New Roman"/>
          <w:sz w:val="24"/>
          <w:szCs w:val="24"/>
          <w:lang w:eastAsia="lv-LV"/>
        </w:rPr>
        <w:t xml:space="preserve">Ar mērķi izveidot </w:t>
      </w:r>
      <w:r w:rsidRPr="001A33BA">
        <w:rPr>
          <w:rFonts w:ascii="Times New Roman" w:eastAsia="Times New Roman" w:hAnsi="Times New Roman"/>
          <w:b/>
          <w:sz w:val="24"/>
          <w:szCs w:val="24"/>
          <w:lang w:eastAsia="lv-LV"/>
        </w:rPr>
        <w:t>vispārējās izglītības iestāžu tīkla ģeotelpiskās plānošanas platformu un izstrādāt optimālo vispārējās vidējās izglītības iestāžu tīkla modeli</w:t>
      </w:r>
      <w:r w:rsidRPr="001838D9">
        <w:rPr>
          <w:rFonts w:ascii="Times New Roman" w:eastAsia="Times New Roman" w:hAnsi="Times New Roman"/>
          <w:sz w:val="24"/>
          <w:szCs w:val="24"/>
          <w:lang w:eastAsia="lv-LV"/>
        </w:rPr>
        <w:t xml:space="preserve"> tika veikts IZM pasūtīt</w:t>
      </w:r>
      <w:r>
        <w:rPr>
          <w:rFonts w:ascii="Times New Roman" w:eastAsia="Times New Roman" w:hAnsi="Times New Roman"/>
          <w:sz w:val="24"/>
          <w:szCs w:val="24"/>
          <w:lang w:eastAsia="lv-LV"/>
        </w:rPr>
        <w:t>ai</w:t>
      </w:r>
      <w:r w:rsidRPr="001838D9">
        <w:rPr>
          <w:rFonts w:ascii="Times New Roman" w:eastAsia="Times New Roman" w:hAnsi="Times New Roman"/>
          <w:sz w:val="24"/>
          <w:szCs w:val="24"/>
          <w:lang w:eastAsia="lv-LV"/>
        </w:rPr>
        <w:t xml:space="preserve">s neatkarīgs pētījums </w:t>
      </w:r>
      <w:r w:rsidRPr="001A33BA">
        <w:rPr>
          <w:rFonts w:ascii="Times New Roman" w:eastAsia="Times New Roman" w:hAnsi="Times New Roman"/>
          <w:sz w:val="24"/>
          <w:szCs w:val="24"/>
          <w:lang w:eastAsia="lv-LV"/>
        </w:rPr>
        <w:t>“Optimālā vispārējās izglītības iestāžu tīkla modeļa izveide Latvijā”</w:t>
      </w:r>
      <w:r w:rsidRPr="001838D9">
        <w:rPr>
          <w:rFonts w:ascii="Times New Roman" w:eastAsia="Times New Roman" w:hAnsi="Times New Roman"/>
          <w:sz w:val="24"/>
          <w:szCs w:val="24"/>
          <w:lang w:eastAsia="lv-LV"/>
        </w:rPr>
        <w:t xml:space="preserve">. Pētījums tika izstrādāts, balstoties uz datiem par skolēnu skaitu, demogrāfijas un migrācijas </w:t>
      </w:r>
      <w:r w:rsidRPr="001838D9">
        <w:rPr>
          <w:rFonts w:ascii="Times New Roman" w:eastAsia="Times New Roman" w:hAnsi="Times New Roman"/>
          <w:sz w:val="24"/>
          <w:szCs w:val="24"/>
          <w:lang w:eastAsia="lv-LV"/>
        </w:rPr>
        <w:lastRenderedPageBreak/>
        <w:t>tendencēm un prognozēm pašvaldībās, izglītības iestāžu pieejamību, pašvaldību sociāl</w:t>
      </w:r>
      <w:r w:rsidRPr="001838D9">
        <w:rPr>
          <w:rFonts w:ascii="Times New Roman" w:eastAsia="Times New Roman" w:hAnsi="Times New Roman"/>
          <w:sz w:val="24"/>
          <w:szCs w:val="24"/>
          <w:lang w:eastAsia="lv-LV"/>
        </w:rPr>
        <w:softHyphen/>
        <w:t>ekonomisko situāciju, kā arī izglītības iestāžu k</w:t>
      </w:r>
      <w:r>
        <w:rPr>
          <w:rFonts w:ascii="Times New Roman" w:eastAsia="Times New Roman" w:hAnsi="Times New Roman"/>
          <w:sz w:val="24"/>
          <w:szCs w:val="24"/>
          <w:lang w:eastAsia="lv-LV"/>
        </w:rPr>
        <w:t xml:space="preserve">valitātes rādītājiem. Pētījuma </w:t>
      </w:r>
      <w:r w:rsidRPr="001838D9">
        <w:rPr>
          <w:rFonts w:ascii="Times New Roman" w:eastAsia="Times New Roman" w:hAnsi="Times New Roman"/>
          <w:sz w:val="24"/>
          <w:szCs w:val="24"/>
          <w:lang w:eastAsia="lv-LV"/>
        </w:rPr>
        <w:t xml:space="preserve">rezultāti, tajā skaitā, ģeotelpiskās plānošanas platforma “Skolu karte” tika publicēti 2017.gada oktobrī. </w:t>
      </w:r>
      <w:r>
        <w:rPr>
          <w:rFonts w:ascii="Times New Roman" w:eastAsia="Times New Roman" w:hAnsi="Times New Roman"/>
          <w:sz w:val="24"/>
          <w:szCs w:val="24"/>
          <w:lang w:eastAsia="lv-LV"/>
        </w:rPr>
        <w:t>Tie tiek</w:t>
      </w:r>
      <w:r w:rsidR="00A42D63">
        <w:rPr>
          <w:rFonts w:ascii="Times New Roman" w:eastAsia="Times New Roman" w:hAnsi="Times New Roman"/>
          <w:sz w:val="24"/>
          <w:szCs w:val="24"/>
          <w:lang w:eastAsia="lv-LV"/>
        </w:rPr>
        <w:t xml:space="preserve"> izmantoti</w:t>
      </w:r>
      <w:r w:rsidRPr="001838D9">
        <w:rPr>
          <w:rFonts w:ascii="Times New Roman" w:eastAsia="Times New Roman" w:hAnsi="Times New Roman"/>
          <w:sz w:val="24"/>
          <w:szCs w:val="24"/>
          <w:lang w:eastAsia="lv-LV"/>
        </w:rPr>
        <w:t xml:space="preserve"> turpmākajām sarunām ar pašvaldībām par vispārējās izglītības iestāžu tīkla sakārtošanu.</w:t>
      </w:r>
    </w:p>
    <w:p w:rsidR="00782945" w:rsidRDefault="004B6935" w:rsidP="00782945">
      <w:pPr>
        <w:pStyle w:val="ListParagraph"/>
        <w:ind w:left="0" w:firstLine="720"/>
        <w:jc w:val="both"/>
      </w:pPr>
      <w:r>
        <w:t xml:space="preserve">Nodrošinot </w:t>
      </w:r>
      <w:r w:rsidRPr="001A33BA">
        <w:rPr>
          <w:b/>
        </w:rPr>
        <w:t>vispārējās izglītības mācību vides uzlabošanu</w:t>
      </w:r>
      <w:r>
        <w:t xml:space="preserve">, </w:t>
      </w:r>
      <w:r w:rsidRPr="005C0211">
        <w:t>8.1.2.SAM “Uzlabot vispārējās izglītības iestāžu mācību vidi”</w:t>
      </w:r>
      <w:r>
        <w:t xml:space="preserve"> ietvaros </w:t>
      </w:r>
      <w:r w:rsidRPr="005C0211">
        <w:t>38 pašvaldības (nacionālas un reģionālas nozīmes attīstības centri, Pierīgas reģiona pašvaldības un Viļakas novada pašvaldība) paredz īsteno</w:t>
      </w:r>
      <w:r>
        <w:t>t</w:t>
      </w:r>
      <w:r w:rsidRPr="005C0211">
        <w:t xml:space="preserve"> projektus vispārējās izglītības iestāžu (tostarp valsts ģimnāziju) infrastruktūras modernizēšana</w:t>
      </w:r>
      <w:r>
        <w:t xml:space="preserve">i. Projektu </w:t>
      </w:r>
      <w:r w:rsidRPr="005C0211">
        <w:t>īstenošana</w:t>
      </w:r>
      <w:r>
        <w:t xml:space="preserve">s rezultātā </w:t>
      </w:r>
      <w:r w:rsidRPr="005C0211">
        <w:t>vispārējās izglītības iestādēs tiks rādīta moderna, ergonomiska un higiēnas prasībām atbilstoša mācību vide, kas papildināta ar mūsdienīgu mācību procesa nodrošināšanai nepieciešamu informācijas un komunikāciju tehnoloģiju aprīkojumu un tā darbības nodrošināšanai nepieciešamu risinājumu ieviešana</w:t>
      </w:r>
      <w:r>
        <w:t>i.</w:t>
      </w:r>
      <w:r w:rsidRPr="00C8592E">
        <w:t xml:space="preserve"> </w:t>
      </w:r>
      <w:r w:rsidRPr="005C0211">
        <w:t>Atbalsts var tikt paredzēts arī jaunu izglītības iestāžu ēku būvniecība</w:t>
      </w:r>
      <w:r>
        <w:t>i (tajā skaitā, piebūvju būvniecībai),</w:t>
      </w:r>
      <w:r w:rsidRPr="005C0211">
        <w:t xml:space="preserve"> jaunu dabaszinātņu un matemātikas kabinetu izveidei, izglītības iestādes sporta infrastruktūras sakārtošanai un dienesta viesnīcas izveidei vai tās uzlabošanai, kā arī valsts ģimnāziju reģionālā metodiskā centra funkcijas attīstībai.</w:t>
      </w:r>
    </w:p>
    <w:p w:rsidR="004A5B86" w:rsidRPr="004A5B86" w:rsidRDefault="004A5B86" w:rsidP="004A5B86">
      <w:pPr>
        <w:pStyle w:val="ListParagraph"/>
        <w:ind w:left="0" w:firstLine="720"/>
        <w:jc w:val="both"/>
      </w:pPr>
      <w:r>
        <w:t xml:space="preserve">Sekmējot </w:t>
      </w:r>
      <w:r w:rsidRPr="001A33BA">
        <w:rPr>
          <w:b/>
        </w:rPr>
        <w:t>profesionālās izglītības iestāžu tīkla optimizāciju</w:t>
      </w:r>
      <w:r>
        <w:t xml:space="preserve">, </w:t>
      </w:r>
      <w:r w:rsidRPr="004A5B86">
        <w:t>IZM padotībā esošo vidējās profesionālās izglītības iestāžu skaits samazinājies no 60 iestādēm 2010.gadā līdz 21 iestādei 2017.gadā.</w:t>
      </w:r>
    </w:p>
    <w:p w:rsidR="004A5B86" w:rsidRPr="004A5B86" w:rsidRDefault="007F087E" w:rsidP="004A5B86">
      <w:pPr>
        <w:spacing w:after="0" w:line="240" w:lineRule="auto"/>
        <w:ind w:firstLine="720"/>
        <w:jc w:val="both"/>
        <w:rPr>
          <w:rFonts w:ascii="Times New Roman" w:eastAsia="Times New Roman" w:hAnsi="Times New Roman" w:cs="Times New Roman"/>
          <w:sz w:val="24"/>
          <w:szCs w:val="24"/>
          <w:lang w:eastAsia="lv-LV"/>
        </w:rPr>
      </w:pPr>
      <w:r w:rsidRPr="004A5B86">
        <w:rPr>
          <w:rFonts w:ascii="Times New Roman" w:eastAsia="Times New Roman" w:hAnsi="Times New Roman" w:cs="Times New Roman"/>
          <w:sz w:val="24"/>
          <w:szCs w:val="24"/>
          <w:lang w:eastAsia="lv-LV"/>
        </w:rPr>
        <w:t>Lai t</w:t>
      </w:r>
      <w:r>
        <w:rPr>
          <w:rFonts w:ascii="Times New Roman" w:eastAsia="Times New Roman" w:hAnsi="Times New Roman" w:cs="Times New Roman"/>
          <w:sz w:val="24"/>
          <w:szCs w:val="24"/>
          <w:lang w:eastAsia="lv-LV"/>
        </w:rPr>
        <w:t>urpmāk</w:t>
      </w:r>
      <w:r w:rsidRPr="004A5B86">
        <w:rPr>
          <w:rFonts w:ascii="Times New Roman" w:eastAsia="Times New Roman" w:hAnsi="Times New Roman" w:cs="Times New Roman"/>
          <w:sz w:val="24"/>
          <w:szCs w:val="24"/>
          <w:lang w:eastAsia="lv-LV"/>
        </w:rPr>
        <w:t xml:space="preserve"> </w:t>
      </w:r>
      <w:r w:rsidRPr="001A33BA">
        <w:rPr>
          <w:rFonts w:ascii="Times New Roman" w:eastAsia="Times New Roman" w:hAnsi="Times New Roman" w:cs="Times New Roman"/>
          <w:b/>
          <w:sz w:val="24"/>
          <w:szCs w:val="24"/>
          <w:lang w:eastAsia="lv-LV"/>
        </w:rPr>
        <w:t>modernizētu profesionālās izglītības iestāžu  infrastruktūru un prioritārās izglītības programmas un izvietojumu reģionos</w:t>
      </w:r>
      <w:r w:rsidRPr="004A5B86">
        <w:rPr>
          <w:rFonts w:ascii="Times New Roman" w:eastAsia="Times New Roman" w:hAnsi="Times New Roman" w:cs="Times New Roman"/>
          <w:sz w:val="24"/>
          <w:szCs w:val="24"/>
          <w:lang w:eastAsia="lv-LV"/>
        </w:rPr>
        <w:t>, tiek veicināta Profesionālās izglītības kompetences centra (PIKC) statusa iegūšana. 201</w:t>
      </w:r>
      <w:r>
        <w:rPr>
          <w:rFonts w:ascii="Times New Roman" w:eastAsia="Times New Roman" w:hAnsi="Times New Roman" w:cs="Times New Roman"/>
          <w:sz w:val="24"/>
          <w:szCs w:val="24"/>
          <w:lang w:eastAsia="lv-LV"/>
        </w:rPr>
        <w:t>8</w:t>
      </w:r>
      <w:r w:rsidRPr="004A5B86">
        <w:rPr>
          <w:rFonts w:ascii="Times New Roman" w:eastAsia="Times New Roman" w:hAnsi="Times New Roman" w:cs="Times New Roman"/>
          <w:sz w:val="24"/>
          <w:szCs w:val="24"/>
          <w:lang w:eastAsia="lv-LV"/>
        </w:rPr>
        <w:t xml:space="preserve">.gada beigās PIKC statuss  piešķirts </w:t>
      </w:r>
      <w:r>
        <w:rPr>
          <w:rFonts w:ascii="Times New Roman" w:eastAsia="Times New Roman" w:hAnsi="Times New Roman" w:cs="Times New Roman"/>
          <w:sz w:val="24"/>
          <w:szCs w:val="24"/>
          <w:lang w:eastAsia="lv-LV"/>
        </w:rPr>
        <w:t>17</w:t>
      </w:r>
      <w:r w:rsidRPr="004A5B86">
        <w:rPr>
          <w:rFonts w:ascii="Times New Roman" w:eastAsia="Times New Roman" w:hAnsi="Times New Roman" w:cs="Times New Roman"/>
          <w:sz w:val="24"/>
          <w:szCs w:val="24"/>
          <w:lang w:eastAsia="lv-LV"/>
        </w:rPr>
        <w:t xml:space="preserve"> IZM</w:t>
      </w:r>
      <w:r>
        <w:rPr>
          <w:rFonts w:ascii="Times New Roman" w:eastAsia="Times New Roman" w:hAnsi="Times New Roman" w:cs="Times New Roman"/>
          <w:sz w:val="24"/>
          <w:szCs w:val="24"/>
          <w:lang w:eastAsia="lv-LV"/>
        </w:rPr>
        <w:t>, 1 pašvaldības un 4 Kultūras ministrijas</w:t>
      </w:r>
      <w:r w:rsidRPr="004A5B86">
        <w:rPr>
          <w:rFonts w:ascii="Times New Roman" w:eastAsia="Times New Roman" w:hAnsi="Times New Roman" w:cs="Times New Roman"/>
          <w:sz w:val="24"/>
          <w:szCs w:val="24"/>
          <w:lang w:eastAsia="lv-LV"/>
        </w:rPr>
        <w:t xml:space="preserve"> padotībā </w:t>
      </w:r>
      <w:r>
        <w:rPr>
          <w:rFonts w:ascii="Times New Roman" w:eastAsia="Times New Roman" w:hAnsi="Times New Roman" w:cs="Times New Roman"/>
          <w:sz w:val="24"/>
          <w:szCs w:val="24"/>
          <w:lang w:eastAsia="lv-LV"/>
        </w:rPr>
        <w:t xml:space="preserve">esošajām </w:t>
      </w:r>
      <w:r w:rsidRPr="004A5B86">
        <w:rPr>
          <w:rFonts w:ascii="Times New Roman" w:eastAsia="Times New Roman" w:hAnsi="Times New Roman" w:cs="Times New Roman"/>
          <w:sz w:val="24"/>
          <w:szCs w:val="24"/>
          <w:lang w:eastAsia="lv-LV"/>
        </w:rPr>
        <w:t>profesionālās</w:t>
      </w:r>
      <w:r>
        <w:rPr>
          <w:rFonts w:ascii="Times New Roman" w:eastAsia="Times New Roman" w:hAnsi="Times New Roman" w:cs="Times New Roman"/>
          <w:sz w:val="24"/>
          <w:szCs w:val="24"/>
          <w:lang w:eastAsia="lv-LV"/>
        </w:rPr>
        <w:t xml:space="preserve"> </w:t>
      </w:r>
      <w:r w:rsidRPr="004A5B86">
        <w:rPr>
          <w:rFonts w:ascii="Times New Roman" w:eastAsia="Times New Roman" w:hAnsi="Times New Roman" w:cs="Times New Roman"/>
          <w:sz w:val="24"/>
          <w:szCs w:val="24"/>
          <w:lang w:eastAsia="lv-LV"/>
        </w:rPr>
        <w:t>izglītības iestādēm.</w:t>
      </w:r>
    </w:p>
    <w:p w:rsidR="004A5B86" w:rsidRDefault="007F087E" w:rsidP="004A5B86">
      <w:pPr>
        <w:pStyle w:val="ListParagraph"/>
        <w:ind w:left="0" w:firstLine="720"/>
        <w:jc w:val="both"/>
      </w:pPr>
      <w:r>
        <w:t>Notiek</w:t>
      </w:r>
      <w:r w:rsidR="004A5B86" w:rsidRPr="004A5B86">
        <w:t xml:space="preserve"> </w:t>
      </w:r>
      <w:r>
        <w:t>23</w:t>
      </w:r>
      <w:r w:rsidR="004A5B86" w:rsidRPr="004A5B86">
        <w:t xml:space="preserve"> profesionālās izglītības iestāžu modernizācijas projekt</w:t>
      </w:r>
      <w:r w:rsidR="004A5B86">
        <w:t>u</w:t>
      </w:r>
      <w:r w:rsidR="004A5B86" w:rsidRPr="004A5B86">
        <w:t xml:space="preserve"> īstenošana</w:t>
      </w:r>
      <w:r w:rsidR="004A5B86">
        <w:t xml:space="preserve"> </w:t>
      </w:r>
      <w:r w:rsidR="004A5B86" w:rsidRPr="005C0211">
        <w:t>8.1.3. SAM "Palielināt modernizēto profesionālās izglītības iestāžu skaitu"</w:t>
      </w:r>
      <w:r w:rsidR="00562981">
        <w:t xml:space="preserve"> ietvaros</w:t>
      </w:r>
      <w:r w:rsidR="004A5B86" w:rsidRPr="004A5B86">
        <w:t xml:space="preserve">, </w:t>
      </w:r>
      <w:r w:rsidR="004A5B86">
        <w:t>nodrošinot</w:t>
      </w:r>
      <w:r w:rsidR="004A5B86" w:rsidRPr="004A5B86">
        <w:t xml:space="preserve"> mācību aprīkojuma modernizāciju un profesionālās izglītības iestāžu infrastruktūras uzlabošanu profesionālās izglītības programmu īstenošanai. </w:t>
      </w:r>
      <w:r w:rsidRPr="009207C8">
        <w:t>8.1.3. SAM projektu ietvaros kopumā  atbalsts tiek sniegts aprīkojuma un iekārtu iegādei</w:t>
      </w:r>
      <w:r>
        <w:t xml:space="preserve"> </w:t>
      </w:r>
      <w:r w:rsidRPr="00287038">
        <w:t>17 prioritāro izglītības tematisko jomu vai programmu grupās</w:t>
      </w:r>
      <w:r w:rsidRPr="009207C8">
        <w:t>, mācību un koplietošanas telpu un āra laukumu infrastruktūras modernizēšanai vai jaunu izveidei, metodiskā centra funkciju stiprināšanai, dabaszinātņu (fizika, ķīmija, bioloģija) un matemātikas kabinetu iekārtošanai un jaunu izveidei, IKT ieviešanai un ergonomiskas mācību vides izveidei.</w:t>
      </w:r>
    </w:p>
    <w:p w:rsidR="00D064C3" w:rsidRDefault="005B5CEA" w:rsidP="001A33BA">
      <w:pPr>
        <w:spacing w:after="0" w:line="240" w:lineRule="auto"/>
        <w:ind w:firstLine="720"/>
        <w:jc w:val="both"/>
        <w:rPr>
          <w:rFonts w:ascii="Times New Roman" w:eastAsia="Times New Roman" w:hAnsi="Times New Roman" w:cs="Times New Roman"/>
          <w:sz w:val="24"/>
          <w:szCs w:val="24"/>
        </w:rPr>
      </w:pPr>
      <w:r w:rsidRPr="005C0211">
        <w:rPr>
          <w:rFonts w:ascii="Times New Roman" w:hAnsi="Times New Roman" w:cs="Times New Roman"/>
          <w:sz w:val="24"/>
          <w:szCs w:val="24"/>
        </w:rPr>
        <w:t>Augstākās izglītības institūciju resursu mērķtiecīga</w:t>
      </w:r>
      <w:r>
        <w:rPr>
          <w:rFonts w:ascii="Times New Roman" w:hAnsi="Times New Roman" w:cs="Times New Roman"/>
          <w:sz w:val="24"/>
          <w:szCs w:val="24"/>
        </w:rPr>
        <w:t>i</w:t>
      </w:r>
      <w:r w:rsidRPr="005C0211">
        <w:rPr>
          <w:rFonts w:ascii="Times New Roman" w:hAnsi="Times New Roman" w:cs="Times New Roman"/>
          <w:sz w:val="24"/>
          <w:szCs w:val="24"/>
        </w:rPr>
        <w:t xml:space="preserve"> izmantošana</w:t>
      </w:r>
      <w:r>
        <w:rPr>
          <w:rFonts w:ascii="Times New Roman" w:hAnsi="Times New Roman" w:cs="Times New Roman"/>
          <w:sz w:val="24"/>
          <w:szCs w:val="24"/>
        </w:rPr>
        <w:t>i</w:t>
      </w:r>
      <w:r w:rsidRPr="005C0211">
        <w:rPr>
          <w:rFonts w:ascii="Times New Roman" w:hAnsi="Times New Roman" w:cs="Times New Roman"/>
          <w:sz w:val="24"/>
          <w:szCs w:val="24"/>
        </w:rPr>
        <w:t xml:space="preserve">, veicinot </w:t>
      </w:r>
      <w:r w:rsidRPr="001A33BA">
        <w:rPr>
          <w:rFonts w:ascii="Times New Roman" w:hAnsi="Times New Roman" w:cs="Times New Roman"/>
          <w:b/>
          <w:sz w:val="24"/>
          <w:szCs w:val="24"/>
        </w:rPr>
        <w:t>STEM studiju un zinātniskā darba teritoriāli telpisko koncentrēšanos un materiālās un tehniskās bāzes modernizēšanu</w:t>
      </w:r>
      <w:r>
        <w:rPr>
          <w:rFonts w:ascii="Times New Roman" w:hAnsi="Times New Roman" w:cs="Times New Roman"/>
          <w:sz w:val="24"/>
          <w:szCs w:val="24"/>
        </w:rPr>
        <w:t xml:space="preserve">, </w:t>
      </w:r>
      <w:r w:rsidRPr="005C0211">
        <w:rPr>
          <w:rFonts w:ascii="Times New Roman" w:eastAsia="Times New Roman" w:hAnsi="Times New Roman" w:cs="Times New Roman"/>
          <w:sz w:val="24"/>
          <w:szCs w:val="24"/>
        </w:rPr>
        <w:t>8.1.1.</w:t>
      </w:r>
      <w:r w:rsidR="00D064C3">
        <w:rPr>
          <w:rFonts w:ascii="Times New Roman" w:eastAsia="Times New Roman" w:hAnsi="Times New Roman" w:cs="Times New Roman"/>
          <w:sz w:val="24"/>
          <w:szCs w:val="24"/>
        </w:rPr>
        <w:t xml:space="preserve"> SAM </w:t>
      </w:r>
      <w:r w:rsidR="00D064C3" w:rsidRPr="005C0211">
        <w:rPr>
          <w:rFonts w:ascii="Times New Roman" w:eastAsia="Times New Roman" w:hAnsi="Times New Roman" w:cs="Times New Roman"/>
          <w:sz w:val="24"/>
          <w:szCs w:val="24"/>
        </w:rPr>
        <w:t>"Palielināt modernizēto STEM, tajā skaitā medicīnas un radošās industrijas, studiju programmu skaitu"</w:t>
      </w:r>
      <w:r w:rsidR="00D064C3">
        <w:rPr>
          <w:rFonts w:ascii="Times New Roman" w:eastAsia="Times New Roman" w:hAnsi="Times New Roman" w:cs="Times New Roman"/>
          <w:sz w:val="24"/>
          <w:szCs w:val="24"/>
        </w:rPr>
        <w:t xml:space="preserve"> ietvaros </w:t>
      </w:r>
      <w:r w:rsidR="00D064C3" w:rsidRPr="005C0211">
        <w:rPr>
          <w:rFonts w:ascii="Times New Roman" w:eastAsia="Times New Roman" w:hAnsi="Times New Roman" w:cs="Times New Roman"/>
          <w:sz w:val="24"/>
          <w:szCs w:val="24"/>
        </w:rPr>
        <w:t>ir noteiktas 14 augstskolas, kurās tiek koncentrēti resursi STEM programmu īstenošanai un modernizēta materiālā un tehniskā bāze, t</w:t>
      </w:r>
      <w:r w:rsidR="00D064C3">
        <w:rPr>
          <w:rFonts w:ascii="Times New Roman" w:eastAsia="Times New Roman" w:hAnsi="Times New Roman" w:cs="Times New Roman"/>
          <w:sz w:val="24"/>
          <w:szCs w:val="24"/>
        </w:rPr>
        <w:t>ajā skaitā,</w:t>
      </w:r>
      <w:r w:rsidR="00D064C3" w:rsidRPr="005C0211">
        <w:rPr>
          <w:rFonts w:ascii="Times New Roman" w:eastAsia="Times New Roman" w:hAnsi="Times New Roman" w:cs="Times New Roman"/>
          <w:sz w:val="24"/>
          <w:szCs w:val="24"/>
        </w:rPr>
        <w:t xml:space="preserve"> reģionālās</w:t>
      </w:r>
      <w:r w:rsidR="006B754A">
        <w:rPr>
          <w:rFonts w:ascii="Times New Roman" w:eastAsia="Times New Roman" w:hAnsi="Times New Roman" w:cs="Times New Roman"/>
          <w:sz w:val="24"/>
          <w:szCs w:val="24"/>
        </w:rPr>
        <w:t xml:space="preserve"> augstskolas</w:t>
      </w:r>
      <w:r w:rsidR="00D064C3" w:rsidRPr="005C0211">
        <w:rPr>
          <w:rFonts w:ascii="Times New Roman" w:eastAsia="Times New Roman" w:hAnsi="Times New Roman" w:cs="Times New Roman"/>
          <w:sz w:val="24"/>
          <w:szCs w:val="24"/>
        </w:rPr>
        <w:t>.</w:t>
      </w:r>
      <w:r w:rsidR="00D064C3">
        <w:rPr>
          <w:rFonts w:ascii="Times New Roman" w:eastAsia="Times New Roman" w:hAnsi="Times New Roman" w:cs="Times New Roman"/>
          <w:sz w:val="24"/>
          <w:szCs w:val="24"/>
        </w:rPr>
        <w:t xml:space="preserve"> Tāpat atbalsts tiek nodrošināts</w:t>
      </w:r>
      <w:r w:rsidR="00855322">
        <w:rPr>
          <w:rFonts w:ascii="Times New Roman" w:eastAsia="Times New Roman" w:hAnsi="Times New Roman" w:cs="Times New Roman"/>
          <w:sz w:val="24"/>
          <w:szCs w:val="24"/>
        </w:rPr>
        <w:t xml:space="preserve"> 7 augstskolām</w:t>
      </w:r>
      <w:r w:rsidR="00D064C3">
        <w:rPr>
          <w:rFonts w:ascii="Times New Roman" w:eastAsia="Times New Roman" w:hAnsi="Times New Roman" w:cs="Times New Roman"/>
          <w:sz w:val="24"/>
          <w:szCs w:val="24"/>
        </w:rPr>
        <w:t xml:space="preserve"> </w:t>
      </w:r>
      <w:r w:rsidR="00855322" w:rsidRPr="00855322">
        <w:rPr>
          <w:rFonts w:ascii="Times New Roman" w:eastAsia="Times New Roman" w:hAnsi="Times New Roman" w:cs="Times New Roman"/>
          <w:sz w:val="24"/>
          <w:szCs w:val="24"/>
        </w:rPr>
        <w:t>1.1.1.4. pasākuma "P&amp;A infrastruktūras attīstīšana viedās specializācijas jomās un zinātnisko institūciju institucionālās kapacitātes stiprināšana"</w:t>
      </w:r>
      <w:r w:rsidR="00D064C3">
        <w:rPr>
          <w:rFonts w:ascii="Times New Roman" w:eastAsia="Times New Roman" w:hAnsi="Times New Roman" w:cs="Times New Roman"/>
          <w:sz w:val="24"/>
          <w:szCs w:val="24"/>
        </w:rPr>
        <w:t xml:space="preserve"> ietvaros.</w:t>
      </w:r>
    </w:p>
    <w:p w:rsidR="00855322" w:rsidRPr="00E644C5" w:rsidRDefault="00E644C5" w:rsidP="0085532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1A2B6F" w:rsidRPr="001A33BA">
        <w:rPr>
          <w:rFonts w:ascii="Times New Roman" w:hAnsi="Times New Roman" w:cs="Times New Roman"/>
          <w:b/>
          <w:sz w:val="24"/>
          <w:szCs w:val="24"/>
        </w:rPr>
        <w:t>Pirmā līmeņa profesionālās augstākās izglītības STEM programmu, t</w:t>
      </w:r>
      <w:r w:rsidR="00CC123B">
        <w:rPr>
          <w:rFonts w:ascii="Times New Roman" w:hAnsi="Times New Roman" w:cs="Times New Roman"/>
          <w:b/>
          <w:sz w:val="24"/>
          <w:szCs w:val="24"/>
        </w:rPr>
        <w:t>ajā skaitā,</w:t>
      </w:r>
      <w:r w:rsidR="001A2B6F" w:rsidRPr="001A33BA">
        <w:rPr>
          <w:rFonts w:ascii="Times New Roman" w:hAnsi="Times New Roman" w:cs="Times New Roman"/>
          <w:b/>
          <w:sz w:val="24"/>
          <w:szCs w:val="24"/>
        </w:rPr>
        <w:t xml:space="preserve"> medicīnas un radošo industriju jomās, īstenošanai nepieciešam</w:t>
      </w:r>
      <w:r w:rsidRPr="001A33BA">
        <w:rPr>
          <w:rFonts w:ascii="Times New Roman" w:hAnsi="Times New Roman" w:cs="Times New Roman"/>
          <w:b/>
          <w:sz w:val="24"/>
          <w:szCs w:val="24"/>
        </w:rPr>
        <w:t>ās</w:t>
      </w:r>
      <w:r w:rsidR="001A2B6F" w:rsidRPr="001A33BA">
        <w:rPr>
          <w:rFonts w:ascii="Times New Roman" w:hAnsi="Times New Roman" w:cs="Times New Roman"/>
          <w:b/>
          <w:sz w:val="24"/>
          <w:szCs w:val="24"/>
        </w:rPr>
        <w:t xml:space="preserve"> mācību vides uzlabošana</w:t>
      </w:r>
      <w:r w:rsidRPr="001A33BA">
        <w:rPr>
          <w:rFonts w:ascii="Times New Roman" w:hAnsi="Times New Roman" w:cs="Times New Roman"/>
          <w:b/>
          <w:sz w:val="24"/>
          <w:szCs w:val="24"/>
        </w:rPr>
        <w:t>i</w:t>
      </w:r>
      <w:r w:rsidR="001A2B6F" w:rsidRPr="001A33BA">
        <w:rPr>
          <w:rFonts w:ascii="Times New Roman" w:hAnsi="Times New Roman" w:cs="Times New Roman"/>
          <w:b/>
          <w:sz w:val="24"/>
          <w:szCs w:val="24"/>
        </w:rPr>
        <w:t xml:space="preserve"> koledžās atbilstoši tautsaimniecību nozaru attīstībai</w:t>
      </w:r>
      <w:r>
        <w:rPr>
          <w:rFonts w:ascii="Times New Roman" w:hAnsi="Times New Roman" w:cs="Times New Roman"/>
          <w:sz w:val="24"/>
          <w:szCs w:val="24"/>
        </w:rPr>
        <w:t xml:space="preserve"> tiek īstenoti </w:t>
      </w:r>
      <w:r w:rsidR="00855322">
        <w:rPr>
          <w:rFonts w:ascii="Times New Roman" w:hAnsi="Times New Roman" w:cs="Times New Roman"/>
          <w:sz w:val="24"/>
          <w:szCs w:val="24"/>
        </w:rPr>
        <w:t xml:space="preserve">9 </w:t>
      </w:r>
      <w:r>
        <w:rPr>
          <w:rFonts w:ascii="Times New Roman" w:hAnsi="Times New Roman" w:cs="Times New Roman"/>
          <w:sz w:val="24"/>
          <w:szCs w:val="24"/>
        </w:rPr>
        <w:t xml:space="preserve">projekti 8.1.4. SAM </w:t>
      </w:r>
      <w:r w:rsidRPr="005C0211">
        <w:rPr>
          <w:rFonts w:ascii="Times New Roman" w:eastAsia="Times New Roman" w:hAnsi="Times New Roman" w:cs="Times New Roman"/>
          <w:sz w:val="24"/>
          <w:szCs w:val="24"/>
        </w:rPr>
        <w:t>"Uzlabot pirmā līmeņa profesionālās augstākās izglītības STEM, tajā skaitā medicīnas un radošās industrijas, studiju mācību vidi koledžās"</w:t>
      </w:r>
      <w:r>
        <w:rPr>
          <w:rFonts w:ascii="Times New Roman" w:eastAsia="Times New Roman" w:hAnsi="Times New Roman" w:cs="Times New Roman"/>
          <w:sz w:val="24"/>
          <w:szCs w:val="24"/>
        </w:rPr>
        <w:t xml:space="preserve"> </w:t>
      </w:r>
      <w:r w:rsidRPr="00E644C5">
        <w:rPr>
          <w:rFonts w:ascii="Times New Roman" w:hAnsi="Times New Roman" w:cs="Times New Roman"/>
          <w:sz w:val="24"/>
          <w:szCs w:val="24"/>
        </w:rPr>
        <w:t xml:space="preserve">ietvaros. Tiek atbalstīta koledžu infrastruktūras attīstība, iekārtu, aparatūras, datortehnikas, tehnoloģiju, materiālu, inventāra un instrumentu iegāde, </w:t>
      </w:r>
      <w:r w:rsidR="00CC123B">
        <w:rPr>
          <w:rFonts w:ascii="Times New Roman" w:hAnsi="Times New Roman" w:cs="Times New Roman"/>
          <w:sz w:val="24"/>
          <w:szCs w:val="24"/>
        </w:rPr>
        <w:t>i</w:t>
      </w:r>
      <w:r w:rsidRPr="00E644C5">
        <w:rPr>
          <w:rFonts w:ascii="Times New Roman" w:hAnsi="Times New Roman" w:cs="Times New Roman"/>
          <w:sz w:val="24"/>
          <w:szCs w:val="24"/>
        </w:rPr>
        <w:t>nformācijas un komunikācijas tehnoloģiju risinājumu ieviešana izglītības procesā, ta</w:t>
      </w:r>
      <w:r w:rsidR="00CC123B">
        <w:rPr>
          <w:rFonts w:ascii="Times New Roman" w:hAnsi="Times New Roman" w:cs="Times New Roman"/>
          <w:sz w:val="24"/>
          <w:szCs w:val="24"/>
        </w:rPr>
        <w:t>jā</w:t>
      </w:r>
      <w:r w:rsidRPr="00E644C5">
        <w:rPr>
          <w:rFonts w:ascii="Times New Roman" w:hAnsi="Times New Roman" w:cs="Times New Roman"/>
          <w:sz w:val="24"/>
          <w:szCs w:val="24"/>
        </w:rPr>
        <w:t xml:space="preserve"> skaitā</w:t>
      </w:r>
      <w:r w:rsidR="00CC123B">
        <w:rPr>
          <w:rFonts w:ascii="Times New Roman" w:hAnsi="Times New Roman" w:cs="Times New Roman"/>
          <w:sz w:val="24"/>
          <w:szCs w:val="24"/>
        </w:rPr>
        <w:t>,</w:t>
      </w:r>
      <w:r w:rsidRPr="00E644C5">
        <w:rPr>
          <w:rFonts w:ascii="Times New Roman" w:hAnsi="Times New Roman" w:cs="Times New Roman"/>
          <w:sz w:val="24"/>
          <w:szCs w:val="24"/>
        </w:rPr>
        <w:t xml:space="preserve"> e-studiju attīstība, kā arī bibliotēkas fondu papildināšana. </w:t>
      </w:r>
      <w:r w:rsidR="00855322" w:rsidRPr="00E644C5">
        <w:rPr>
          <w:rFonts w:ascii="Times New Roman" w:hAnsi="Times New Roman" w:cs="Times New Roman"/>
          <w:sz w:val="24"/>
          <w:szCs w:val="24"/>
        </w:rPr>
        <w:t>Ir plānots, ka koledžu īpatsvars, kurās ir pilnībā modernizēta pirmā līmeņa profesionālās augstākās izglītības STEM studiju programmu mācību vide sasnieg</w:t>
      </w:r>
      <w:r w:rsidR="00855322">
        <w:rPr>
          <w:rFonts w:ascii="Times New Roman" w:hAnsi="Times New Roman" w:cs="Times New Roman"/>
          <w:sz w:val="24"/>
          <w:szCs w:val="24"/>
        </w:rPr>
        <w:t>s</w:t>
      </w:r>
      <w:r w:rsidR="00855322" w:rsidRPr="00E644C5">
        <w:rPr>
          <w:rFonts w:ascii="Times New Roman" w:hAnsi="Times New Roman" w:cs="Times New Roman"/>
          <w:sz w:val="24"/>
          <w:szCs w:val="24"/>
        </w:rPr>
        <w:t xml:space="preserve"> 61%.</w:t>
      </w:r>
      <w:r w:rsidR="00855322">
        <w:rPr>
          <w:rFonts w:ascii="Times New Roman" w:hAnsi="Times New Roman" w:cs="Times New Roman"/>
          <w:sz w:val="24"/>
          <w:szCs w:val="24"/>
        </w:rPr>
        <w:t xml:space="preserve"> </w:t>
      </w:r>
      <w:r w:rsidR="00855322">
        <w:rPr>
          <w:rFonts w:ascii="Times New Roman" w:eastAsia="Times New Roman" w:hAnsi="Times New Roman" w:cs="Times New Roman"/>
          <w:sz w:val="24"/>
          <w:szCs w:val="24"/>
        </w:rPr>
        <w:t>Atbalsts tiek nodrošināts</w:t>
      </w:r>
      <w:r w:rsidR="00855322">
        <w:rPr>
          <w:rFonts w:ascii="Times New Roman" w:hAnsi="Times New Roman" w:cs="Times New Roman"/>
          <w:sz w:val="24"/>
          <w:szCs w:val="24"/>
        </w:rPr>
        <w:t xml:space="preserve"> arī </w:t>
      </w:r>
      <w:r w:rsidR="00855322">
        <w:rPr>
          <w:rFonts w:ascii="Times New Roman" w:eastAsia="Times New Roman" w:hAnsi="Times New Roman" w:cs="Times New Roman"/>
          <w:sz w:val="24"/>
          <w:szCs w:val="24"/>
        </w:rPr>
        <w:t>8.1.1.</w:t>
      </w:r>
      <w:r w:rsidR="00855322" w:rsidRPr="0020131A">
        <w:rPr>
          <w:rFonts w:ascii="Times New Roman" w:eastAsia="Times New Roman" w:hAnsi="Times New Roman" w:cs="Times New Roman"/>
          <w:sz w:val="24"/>
          <w:szCs w:val="24"/>
        </w:rPr>
        <w:t xml:space="preserve"> </w:t>
      </w:r>
      <w:r w:rsidR="00855322">
        <w:rPr>
          <w:rFonts w:ascii="Times New Roman" w:eastAsia="Times New Roman" w:hAnsi="Times New Roman" w:cs="Times New Roman"/>
          <w:sz w:val="24"/>
          <w:szCs w:val="24"/>
        </w:rPr>
        <w:t xml:space="preserve">SAM </w:t>
      </w:r>
      <w:r w:rsidR="00855322" w:rsidRPr="0020131A">
        <w:rPr>
          <w:rFonts w:ascii="Times New Roman" w:eastAsia="Times New Roman" w:hAnsi="Times New Roman" w:cs="Times New Roman"/>
          <w:sz w:val="24"/>
          <w:szCs w:val="24"/>
        </w:rPr>
        <w:t xml:space="preserve">"Palielināt modernizēto </w:t>
      </w:r>
      <w:r w:rsidR="00855322" w:rsidRPr="0020131A">
        <w:rPr>
          <w:rFonts w:ascii="Times New Roman" w:eastAsia="Times New Roman" w:hAnsi="Times New Roman" w:cs="Times New Roman"/>
          <w:sz w:val="24"/>
          <w:szCs w:val="24"/>
        </w:rPr>
        <w:lastRenderedPageBreak/>
        <w:t xml:space="preserve">STEM, tajā skaitā medicīnas un radošās industrijas, studiju programmu skaitu" </w:t>
      </w:r>
      <w:r w:rsidR="00855322">
        <w:rPr>
          <w:rFonts w:ascii="Times New Roman" w:eastAsia="Times New Roman" w:hAnsi="Times New Roman" w:cs="Times New Roman"/>
          <w:sz w:val="24"/>
          <w:szCs w:val="24"/>
        </w:rPr>
        <w:t xml:space="preserve">ietvaros 3 </w:t>
      </w:r>
      <w:r w:rsidR="00855322">
        <w:rPr>
          <w:rFonts w:ascii="Times New Roman" w:hAnsi="Times New Roman" w:cs="Times New Roman"/>
          <w:sz w:val="24"/>
          <w:szCs w:val="24"/>
        </w:rPr>
        <w:t>koledžām, kas ir augstskolu aģentūras</w:t>
      </w:r>
      <w:r w:rsidR="00855322" w:rsidRPr="0020131A">
        <w:rPr>
          <w:rFonts w:ascii="Times New Roman" w:eastAsia="Times New Roman" w:hAnsi="Times New Roman" w:cs="Times New Roman"/>
          <w:sz w:val="24"/>
          <w:szCs w:val="24"/>
        </w:rPr>
        <w:t>.</w:t>
      </w:r>
    </w:p>
    <w:p w:rsidR="00E933F2" w:rsidRDefault="00E933F2" w:rsidP="00855322">
      <w:pPr>
        <w:spacing w:after="0" w:line="240" w:lineRule="auto"/>
        <w:jc w:val="both"/>
        <w:rPr>
          <w:rFonts w:ascii="Arial" w:hAnsi="Arial" w:cs="Arial"/>
        </w:rPr>
      </w:pPr>
    </w:p>
    <w:p w:rsidR="00E933F2" w:rsidRDefault="00E933F2" w:rsidP="0099552C">
      <w:pPr>
        <w:pStyle w:val="ListParagraph"/>
        <w:ind w:left="0"/>
        <w:jc w:val="both"/>
        <w:rPr>
          <w:rFonts w:eastAsiaTheme="minorHAnsi"/>
          <w:b/>
        </w:rPr>
      </w:pPr>
    </w:p>
    <w:tbl>
      <w:tblPr>
        <w:tblStyle w:val="TableGrid"/>
        <w:tblW w:w="0" w:type="auto"/>
        <w:shd w:val="clear" w:color="auto" w:fill="DEEAF6" w:themeFill="accent1" w:themeFillTint="33"/>
        <w:tblLook w:val="04A0" w:firstRow="1" w:lastRow="0" w:firstColumn="1" w:lastColumn="0" w:noHBand="0" w:noVBand="1"/>
      </w:tblPr>
      <w:tblGrid>
        <w:gridCol w:w="9345"/>
      </w:tblGrid>
      <w:tr w:rsidR="00670008" w:rsidRPr="00670008" w:rsidTr="00670008">
        <w:tc>
          <w:tcPr>
            <w:tcW w:w="9345" w:type="dxa"/>
            <w:shd w:val="clear" w:color="auto" w:fill="DEEAF6" w:themeFill="accent1" w:themeFillTint="33"/>
          </w:tcPr>
          <w:p w:rsidR="00670008" w:rsidRPr="00670008" w:rsidRDefault="00670008" w:rsidP="0099552C">
            <w:pPr>
              <w:pStyle w:val="ListParagraph"/>
              <w:ind w:left="0"/>
              <w:jc w:val="both"/>
              <w:rPr>
                <w:rFonts w:eastAsiaTheme="minorHAnsi"/>
                <w:b/>
              </w:rPr>
            </w:pPr>
            <w:r w:rsidRPr="00670008">
              <w:rPr>
                <w:b/>
              </w:rPr>
              <w:t xml:space="preserve">Rīcības virziens: </w:t>
            </w:r>
            <w:r w:rsidRPr="00670008">
              <w:rPr>
                <w:rFonts w:eastAsiaTheme="minorHAnsi"/>
                <w:b/>
              </w:rPr>
              <w:t>1.4. Iekļaujošās izglītības principa īstenošana un sociālās atstumtības riska mazināšana</w:t>
            </w:r>
          </w:p>
        </w:tc>
      </w:tr>
    </w:tbl>
    <w:p w:rsidR="00BF77B3" w:rsidRDefault="00BF77B3" w:rsidP="00BF77B3">
      <w:pPr>
        <w:pStyle w:val="ListParagraph"/>
        <w:ind w:left="0"/>
        <w:jc w:val="both"/>
      </w:pPr>
      <w:r>
        <w:rPr>
          <w:rFonts w:eastAsiaTheme="minorHAnsi"/>
          <w:b/>
        </w:rPr>
        <w:tab/>
      </w:r>
      <w:r>
        <w:rPr>
          <w:rFonts w:eastAsiaTheme="minorHAnsi"/>
        </w:rPr>
        <w:t xml:space="preserve">Viens no svarīgiem aspektiem iekļaujošās izglītības principa īstenošanai ir </w:t>
      </w:r>
      <w:r w:rsidRPr="00E05FA0">
        <w:rPr>
          <w:rFonts w:eastAsiaTheme="minorHAnsi"/>
          <w:b/>
        </w:rPr>
        <w:t>atbalsta personāla pieejamība</w:t>
      </w:r>
      <w:r>
        <w:rPr>
          <w:rFonts w:eastAsiaTheme="minorHAnsi"/>
        </w:rPr>
        <w:t xml:space="preserve">. </w:t>
      </w:r>
      <w:r w:rsidRPr="005C0211">
        <w:t>MK 2016.gada 5.jūlija noteikum</w:t>
      </w:r>
      <w:r>
        <w:t>i Nr.447 “Par v</w:t>
      </w:r>
      <w:r w:rsidRPr="005C0211">
        <w:t xml:space="preserve">alsts budžeta mērķdotāciju pedagogu darba samaksai pašvaldību vispārējās izglītības iestādēs un valsts augstskolu vispārējās vidējās izglītības iestādēs” </w:t>
      </w:r>
      <w:r>
        <w:t xml:space="preserve">nosaka, ka </w:t>
      </w:r>
      <w:r w:rsidRPr="00BF77B3">
        <w:t>papildu finansējumu izglītības iestādes vadītāja, viņa vietnieku un atbalsta personāla (bibliotekārs, logopēds, psihologs, speciālais pedagogs, pedagogs karjeras konsultants, pedagoga palīgs) darba samaksai piešķir 20,43 % apmērā no IZM mērķdotācijas.</w:t>
      </w:r>
      <w:r>
        <w:t xml:space="preserve"> Vienlaikus s</w:t>
      </w:r>
      <w:r w:rsidRPr="005C0211">
        <w:t xml:space="preserve">askaņā ar </w:t>
      </w:r>
      <w:r>
        <w:t>MK</w:t>
      </w:r>
      <w:r w:rsidRPr="005C0211">
        <w:t xml:space="preserve"> 2012.gada 9.oktobra noteikumiem Nr.695 „Kārtība, kādā piešķir un finansē asistenta pakalpojumu izglītības iestādē”  ir nodrošināts finansējums asistenta pakalpojumu saņemšanai izglītojamiem ar speciālajām vajadzībām, kur ir integrēti vispārējās izglītības iestādēs</w:t>
      </w:r>
      <w:r>
        <w:t>.</w:t>
      </w:r>
    </w:p>
    <w:p w:rsidR="00A474C2" w:rsidRDefault="00957484" w:rsidP="00BF77B3">
      <w:pPr>
        <w:pStyle w:val="ListParagraph"/>
        <w:ind w:left="0"/>
        <w:jc w:val="both"/>
      </w:pPr>
      <w:r>
        <w:tab/>
      </w:r>
      <w:r w:rsidR="00A25737">
        <w:t xml:space="preserve">Pakāpeniski pieaugot pārskata perioda laikā, </w:t>
      </w:r>
      <w:r>
        <w:t>201</w:t>
      </w:r>
      <w:r w:rsidR="0026354F">
        <w:t>7</w:t>
      </w:r>
      <w:r>
        <w:t>./201</w:t>
      </w:r>
      <w:r w:rsidR="0026354F">
        <w:t>8</w:t>
      </w:r>
      <w:r>
        <w:t xml:space="preserve">.mācību gadā </w:t>
      </w:r>
      <w:r w:rsidR="00D305D5" w:rsidRPr="00E05FA0">
        <w:rPr>
          <w:b/>
        </w:rPr>
        <w:t xml:space="preserve">integrēto izglītojamo </w:t>
      </w:r>
      <w:r w:rsidRPr="00E05FA0">
        <w:rPr>
          <w:b/>
        </w:rPr>
        <w:t>ar speciālām vajadzībām</w:t>
      </w:r>
      <w:r w:rsidRPr="000B6662">
        <w:t xml:space="preserve"> īpatsvars vispārizglītojošās izglītības iestādēs </w:t>
      </w:r>
      <w:r>
        <w:t>(</w:t>
      </w:r>
      <w:r w:rsidRPr="000B6662">
        <w:t>ISCED 1-3</w:t>
      </w:r>
      <w:r w:rsidR="00D305D5">
        <w:t xml:space="preserve">) </w:t>
      </w:r>
      <w:r>
        <w:t>sasniedza 4</w:t>
      </w:r>
      <w:r w:rsidR="0026354F">
        <w:t>2</w:t>
      </w:r>
      <w:r>
        <w:t>,</w:t>
      </w:r>
      <w:r w:rsidR="0026354F">
        <w:t>14</w:t>
      </w:r>
      <w:r>
        <w:t>%.</w:t>
      </w:r>
      <w:r w:rsidR="00D305D5">
        <w:t xml:space="preserve"> </w:t>
      </w:r>
    </w:p>
    <w:p w:rsidR="00124BFC" w:rsidRDefault="00124BFC" w:rsidP="00124BFC">
      <w:pPr>
        <w:pStyle w:val="ListParagraph"/>
        <w:ind w:left="0"/>
        <w:jc w:val="right"/>
      </w:pPr>
      <w:r>
        <w:t>4.attēls</w:t>
      </w:r>
    </w:p>
    <w:p w:rsidR="00124BFC" w:rsidRDefault="00124BFC" w:rsidP="00124BFC">
      <w:pPr>
        <w:pStyle w:val="ListParagraph"/>
        <w:ind w:left="0"/>
        <w:jc w:val="center"/>
        <w:rPr>
          <w:b/>
        </w:rPr>
      </w:pPr>
      <w:r w:rsidRPr="00CE6498">
        <w:rPr>
          <w:b/>
        </w:rPr>
        <w:t>In</w:t>
      </w:r>
      <w:r w:rsidR="00761ADC">
        <w:rPr>
          <w:b/>
        </w:rPr>
        <w:t>tegrēto izglītojamo ar speciālām</w:t>
      </w:r>
      <w:r w:rsidRPr="00CE6498">
        <w:rPr>
          <w:b/>
        </w:rPr>
        <w:t xml:space="preserve"> vajadzībām īpatsvars (% no kopējā izglītojamo ar speciālām vajadzībām skaita)</w:t>
      </w:r>
    </w:p>
    <w:p w:rsidR="00CE6498" w:rsidRPr="00CE6498" w:rsidRDefault="00CE6498" w:rsidP="00124BFC">
      <w:pPr>
        <w:pStyle w:val="ListParagraph"/>
        <w:ind w:left="0"/>
        <w:jc w:val="center"/>
        <w:rPr>
          <w:b/>
        </w:rPr>
      </w:pPr>
    </w:p>
    <w:p w:rsidR="00124BFC" w:rsidRDefault="00124BFC" w:rsidP="00124BFC">
      <w:pPr>
        <w:pStyle w:val="ListParagraph"/>
        <w:ind w:left="0"/>
        <w:jc w:val="center"/>
      </w:pPr>
      <w:r>
        <w:rPr>
          <w:noProof/>
        </w:rPr>
        <w:drawing>
          <wp:inline distT="0" distB="0" distL="0" distR="0">
            <wp:extent cx="5448300" cy="22193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6498" w:rsidRPr="00CE6498" w:rsidRDefault="00CE6498" w:rsidP="00CE6498">
      <w:pPr>
        <w:pStyle w:val="ListParagraph"/>
        <w:ind w:left="0"/>
        <w:rPr>
          <w:i/>
          <w:sz w:val="22"/>
          <w:szCs w:val="22"/>
        </w:rPr>
      </w:pPr>
      <w:r>
        <w:tab/>
      </w:r>
      <w:r w:rsidRPr="00CE6498">
        <w:rPr>
          <w:i/>
          <w:sz w:val="22"/>
          <w:szCs w:val="22"/>
        </w:rPr>
        <w:t>* IZM dati</w:t>
      </w:r>
    </w:p>
    <w:p w:rsidR="00124BFC" w:rsidRPr="00340DE1" w:rsidRDefault="00124BFC" w:rsidP="00BF77B3">
      <w:pPr>
        <w:pStyle w:val="ListParagraph"/>
        <w:ind w:left="0"/>
        <w:jc w:val="both"/>
      </w:pPr>
    </w:p>
    <w:p w:rsidR="00D305D5" w:rsidRDefault="00D305D5" w:rsidP="00D305D5">
      <w:pPr>
        <w:pStyle w:val="ListParagraph"/>
        <w:ind w:left="0" w:firstLine="720"/>
        <w:jc w:val="both"/>
      </w:pPr>
      <w:r w:rsidRPr="005C0211">
        <w:t>SAM 8.3.2 "</w:t>
      </w:r>
      <w:r w:rsidRPr="00E029CD">
        <w:rPr>
          <w:b/>
        </w:rPr>
        <w:t>Palielināt atbalstu vispārējās izglītības iestādēm izglītojamo individuālo kompetenču attīstībai</w:t>
      </w:r>
      <w:r w:rsidRPr="005C0211">
        <w:t>"</w:t>
      </w:r>
      <w:r>
        <w:t xml:space="preserve"> projekta ietvaros </w:t>
      </w:r>
      <w:r w:rsidR="00F72FF5">
        <w:t>ir noslēgti s</w:t>
      </w:r>
      <w:r w:rsidRPr="005C0211">
        <w:t>adarbības līgumi ar 11</w:t>
      </w:r>
      <w:r w:rsidR="00855322">
        <w:t>3</w:t>
      </w:r>
      <w:r w:rsidRPr="005C0211">
        <w:t xml:space="preserve"> pašvaldībām, atbilstoši pašvaldību izstrādātajiem atbalsta pasākuma plāniem 338 izglītības iestādēs notiek individuālā atbalsta nodrošināšana skolēniem</w:t>
      </w:r>
      <w:r w:rsidR="00855322">
        <w:t xml:space="preserve">, tajā skaitā, </w:t>
      </w:r>
      <w:r w:rsidRPr="005C0211">
        <w:t>ar mācīšanas traucējumiem</w:t>
      </w:r>
      <w:r>
        <w:t xml:space="preserve">. </w:t>
      </w:r>
      <w:r w:rsidR="00F72FF5">
        <w:t xml:space="preserve">Vienlaikus ir organizētas vasaras </w:t>
      </w:r>
      <w:r w:rsidR="00F72FF5" w:rsidRPr="005C0211">
        <w:t>nometnes, kurās piedalījās arī skolēni ar speciālajām vajadzībām</w:t>
      </w:r>
      <w:r w:rsidR="00F72FF5">
        <w:t xml:space="preserve">. </w:t>
      </w:r>
      <w:r>
        <w:t>Projekta īstenošana ir plānota līdz 2021.gadam.</w:t>
      </w:r>
    </w:p>
    <w:p w:rsidR="00A22413" w:rsidRDefault="00277EF3" w:rsidP="00892509">
      <w:pPr>
        <w:pStyle w:val="ListParagraph"/>
        <w:ind w:left="0" w:firstLine="720"/>
        <w:jc w:val="both"/>
      </w:pPr>
      <w:r>
        <w:t xml:space="preserve">Vienlaikus sniedzot </w:t>
      </w:r>
      <w:r w:rsidRPr="00E029CD">
        <w:rPr>
          <w:b/>
        </w:rPr>
        <w:t>atbalstu personālam izglītojamo spēju un attīstības līmeņa noteikšanā</w:t>
      </w:r>
      <w:r>
        <w:t xml:space="preserve">, </w:t>
      </w:r>
      <w:r w:rsidRPr="005C0211">
        <w:t>lai pēc iespējas objektīvāk varētu noteikt izglītojamo izglītības vajadzības</w:t>
      </w:r>
      <w:r>
        <w:t xml:space="preserve">, </w:t>
      </w:r>
      <w:r w:rsidRPr="005C0211">
        <w:t>SAM 8.3.2 "Palielināt atbalstu vispārējās izglītības iestādēm izglītojamo individuālo kompetenču attīstībai"</w:t>
      </w:r>
      <w:r w:rsidRPr="005C0211">
        <w:rPr>
          <w:rFonts w:ascii="Arial" w:hAnsi="Arial" w:cs="Arial"/>
          <w:b/>
          <w:bCs/>
          <w:sz w:val="35"/>
          <w:szCs w:val="35"/>
        </w:rPr>
        <w:t xml:space="preserve"> </w:t>
      </w:r>
      <w:r w:rsidRPr="005C0211">
        <w:t>projekta ietvaros</w:t>
      </w:r>
      <w:r>
        <w:t xml:space="preserve"> </w:t>
      </w:r>
      <w:r w:rsidRPr="005C0211">
        <w:t>plānots, ka atbilstoši pašvaldību izstrādātājiem atbalsta pasākumu plāniem pedagogiem tiks nodrošināta pedagogu profesionālo kompetenču pilnveide darbam ar skolēniem ar uzvedības traucējumiem</w:t>
      </w:r>
      <w:r w:rsidR="00892509">
        <w:t>.</w:t>
      </w:r>
      <w:r w:rsidR="00892509" w:rsidRPr="00892509">
        <w:t xml:space="preserve"> </w:t>
      </w:r>
      <w:r w:rsidR="00892509">
        <w:t>P</w:t>
      </w:r>
      <w:r w:rsidR="00892509" w:rsidRPr="005C0211">
        <w:t>edagogu profesionālās kompetences pilnveides pasākum</w:t>
      </w:r>
      <w:r w:rsidR="00892509">
        <w:t xml:space="preserve">us ir plānots turpināt līdz 2021.gadam. Papildus, pedagogu profesionālās kompetences pilnveides kursos </w:t>
      </w:r>
      <w:r w:rsidR="00892509">
        <w:lastRenderedPageBreak/>
        <w:t>p</w:t>
      </w:r>
      <w:r w:rsidR="00892509" w:rsidRPr="005C0211">
        <w:t>ilnveidotas vispārējās izglītības iestāžu pedagogu profesionālās kompetences, nodrošinot iespēju īstenot speciālās izglītības programmas iekļaujošās izglītības principa nodrošināšana</w:t>
      </w:r>
      <w:r w:rsidR="009017A5">
        <w:t>i</w:t>
      </w:r>
      <w:r w:rsidR="00892509">
        <w:t>.</w:t>
      </w:r>
    </w:p>
    <w:p w:rsidR="00892509" w:rsidRDefault="00E74AE1" w:rsidP="00E029CD">
      <w:pPr>
        <w:pStyle w:val="ListParagraph"/>
        <w:ind w:left="0" w:firstLine="720"/>
        <w:jc w:val="both"/>
      </w:pPr>
      <w:r>
        <w:t xml:space="preserve">Lai efektīvāk plānotu </w:t>
      </w:r>
      <w:r w:rsidRPr="00E029CD">
        <w:rPr>
          <w:b/>
        </w:rPr>
        <w:t>preventīvus pasākumus agrīnas skolas pamešanas mazināšanai</w:t>
      </w:r>
      <w:r w:rsidRPr="005C0211">
        <w:t>,</w:t>
      </w:r>
      <w:r>
        <w:t xml:space="preserve"> pārskata periodā tika veikti vairāki pētījumi, tajā skaitā, par </w:t>
      </w:r>
      <w:r w:rsidRPr="005C0211">
        <w:t>priekšlaicīgas mācību p</w:t>
      </w:r>
      <w:r w:rsidR="00855322">
        <w:t>ārtraukšanas</w:t>
      </w:r>
      <w:r w:rsidRPr="005C0211">
        <w:t xml:space="preserve"> iemesliem un riskiem</w:t>
      </w:r>
      <w:r>
        <w:t xml:space="preserve"> jauniešiem, izaicinājumiem, kas ietekmē </w:t>
      </w:r>
      <w:r w:rsidRPr="005C0211">
        <w:t>pieaugušo</w:t>
      </w:r>
      <w:r>
        <w:t xml:space="preserve"> </w:t>
      </w:r>
      <w:r w:rsidRPr="005C0211">
        <w:t>iesaistīšanos</w:t>
      </w:r>
      <w:r>
        <w:t xml:space="preserve"> mūžizglītības procesā, kā arī par</w:t>
      </w:r>
      <w:r w:rsidRPr="005C0211">
        <w:t xml:space="preserve"> politikas alternatīvu veidošanu priekšlaicīgas mācību pārtraukšanas problēmas risināšanai</w:t>
      </w:r>
      <w:r>
        <w:t xml:space="preserve"> (skat.</w:t>
      </w:r>
      <w:r w:rsidR="00A37938">
        <w:t xml:space="preserve"> 2.2.</w:t>
      </w:r>
      <w:r w:rsidR="00C07872">
        <w:t>rīcības virzienu</w:t>
      </w:r>
      <w:r w:rsidR="00A37938">
        <w:t>).</w:t>
      </w:r>
    </w:p>
    <w:p w:rsidR="00966130" w:rsidRDefault="00966130" w:rsidP="00892509">
      <w:pPr>
        <w:pStyle w:val="ListParagraph"/>
        <w:ind w:left="0" w:firstLine="720"/>
        <w:jc w:val="both"/>
      </w:pPr>
      <w:r>
        <w:t xml:space="preserve">Lai veicinātu </w:t>
      </w:r>
      <w:r w:rsidRPr="005C0211">
        <w:t xml:space="preserve">agrīnu, savlaicīgu </w:t>
      </w:r>
      <w:r w:rsidRPr="00E029CD">
        <w:rPr>
          <w:b/>
        </w:rPr>
        <w:t>speciālo izglītības vajadzību diagnostiku</w:t>
      </w:r>
      <w:r>
        <w:t xml:space="preserve">, katru gadu ir organizētas </w:t>
      </w:r>
      <w:r w:rsidRPr="005C0211">
        <w:t xml:space="preserve">Valsts pedagoģiski medicīniskās komisijas sēdes, kurās tiek veikta psihologa, speciālā pedagoga, logopēda un ārsta speciālista izpēte </w:t>
      </w:r>
      <w:r>
        <w:t>700-800</w:t>
      </w:r>
      <w:r w:rsidRPr="005C0211">
        <w:t xml:space="preserve"> izglītojamiem</w:t>
      </w:r>
      <w:r>
        <w:t xml:space="preserve"> gadā</w:t>
      </w:r>
      <w:r w:rsidRPr="005C0211">
        <w:t>, lai noteiktu viņu spējas, attīstības līmeni un ieteiktu atbilstošus atbalsta pasākumus kvalitatīva mācību procesa nodrošināšanai</w:t>
      </w:r>
      <w:r>
        <w:t xml:space="preserve">. Vienlaikus tiek sniegta </w:t>
      </w:r>
      <w:r w:rsidRPr="005C0211">
        <w:t>metodiskā palīdzība pašvaldību pedagoģiski medicīnisko komisiju speciālistiem izglītojamo spēju un attīstības līmeņa izvērtēšanā un atbilstošu atbalsta pasākumu ieteikšanā</w:t>
      </w:r>
      <w:r>
        <w:t xml:space="preserve">, organizējot seminārus un konsultācijas, kā arī nodrošinot metodisko atbalstu. Tāpat tiek organizēti semināri </w:t>
      </w:r>
      <w:r w:rsidRPr="005C0211">
        <w:t>izglītības iestāžu atbalsta komandu speciālisti</w:t>
      </w:r>
      <w:r>
        <w:t>em</w:t>
      </w:r>
      <w:r w:rsidRPr="005C0211">
        <w:t xml:space="preserve"> un pedagogi</w:t>
      </w:r>
      <w:r>
        <w:t>em</w:t>
      </w:r>
      <w:r w:rsidRPr="005C0211">
        <w:t>, kuri strādā ar izglītojamiem ar speciālām vajadzībām</w:t>
      </w:r>
      <w:r>
        <w:t>.</w:t>
      </w:r>
    </w:p>
    <w:p w:rsidR="003E1C04" w:rsidRDefault="00551C01" w:rsidP="003E1C0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Pr="005C0211">
        <w:rPr>
          <w:rFonts w:ascii="Times New Roman" w:hAnsi="Times New Roman" w:cs="Times New Roman"/>
          <w:sz w:val="24"/>
          <w:szCs w:val="24"/>
        </w:rPr>
        <w:t>ai atkārtoti varētu vērtēt izglītojamo mācību sasniegumus un savlaicīgi sniegtu nepi</w:t>
      </w:r>
      <w:r>
        <w:rPr>
          <w:rFonts w:ascii="Times New Roman" w:hAnsi="Times New Roman" w:cs="Times New Roman"/>
          <w:sz w:val="24"/>
          <w:szCs w:val="24"/>
        </w:rPr>
        <w:t>eciešamo atbalstu mācību procesā, i</w:t>
      </w:r>
      <w:r w:rsidR="006B00F4" w:rsidRPr="005C0211">
        <w:rPr>
          <w:rFonts w:ascii="Times New Roman" w:hAnsi="Times New Roman" w:cs="Times New Roman"/>
          <w:sz w:val="24"/>
          <w:szCs w:val="24"/>
        </w:rPr>
        <w:t>zstrādāts un psihologiem, logopēdiem un speciālajiem pedagogiem pieejams izmantošanai DIBELS Next agrīnās lasītprasmes novērtēšanas tests</w:t>
      </w:r>
      <w:r w:rsidR="001C0C57">
        <w:rPr>
          <w:rFonts w:ascii="Times New Roman" w:hAnsi="Times New Roman" w:cs="Times New Roman"/>
          <w:sz w:val="24"/>
          <w:szCs w:val="24"/>
        </w:rPr>
        <w:t>, kur</w:t>
      </w:r>
      <w:r w:rsidR="004A03CB">
        <w:rPr>
          <w:rFonts w:ascii="Times New Roman" w:hAnsi="Times New Roman" w:cs="Times New Roman"/>
          <w:sz w:val="24"/>
          <w:szCs w:val="24"/>
        </w:rPr>
        <w:t>a</w:t>
      </w:r>
      <w:r w:rsidR="001C0C57">
        <w:rPr>
          <w:rFonts w:ascii="Times New Roman" w:hAnsi="Times New Roman" w:cs="Times New Roman"/>
          <w:sz w:val="24"/>
          <w:szCs w:val="24"/>
        </w:rPr>
        <w:t xml:space="preserve"> pilnveide turpināsies</w:t>
      </w:r>
      <w:r w:rsidR="006B00F4" w:rsidRPr="005C0211">
        <w:rPr>
          <w:rFonts w:ascii="Times New Roman" w:hAnsi="Times New Roman" w:cs="Times New Roman"/>
          <w:sz w:val="24"/>
          <w:szCs w:val="24"/>
        </w:rPr>
        <w:t>. SAM 8.3.1. projekta “Kompetenču pieeja mācību saturā” ietvaros.</w:t>
      </w:r>
    </w:p>
    <w:p w:rsidR="00C4487E" w:rsidRDefault="003E1C04" w:rsidP="00E029CD">
      <w:pPr>
        <w:shd w:val="clear" w:color="auto" w:fill="FFFFFF" w:themeFill="background1"/>
        <w:spacing w:after="0" w:line="240" w:lineRule="auto"/>
        <w:ind w:firstLine="720"/>
        <w:jc w:val="both"/>
        <w:rPr>
          <w:rFonts w:ascii="Times New Roman" w:hAnsi="Times New Roman"/>
          <w:sz w:val="24"/>
          <w:szCs w:val="24"/>
        </w:rPr>
      </w:pPr>
      <w:r w:rsidRPr="005C0211">
        <w:rPr>
          <w:rFonts w:ascii="Times New Roman" w:hAnsi="Times New Roman" w:cs="Times New Roman"/>
          <w:sz w:val="24"/>
          <w:szCs w:val="24"/>
        </w:rPr>
        <w:t>Sociālās atstumtības riskam pakļauto jauniešu iesaiste</w:t>
      </w:r>
      <w:r w:rsidR="00C4487E">
        <w:rPr>
          <w:rFonts w:ascii="Times New Roman" w:hAnsi="Times New Roman" w:cs="Times New Roman"/>
          <w:sz w:val="24"/>
          <w:szCs w:val="24"/>
        </w:rPr>
        <w:t>i</w:t>
      </w:r>
      <w:r w:rsidRPr="005C0211">
        <w:rPr>
          <w:rFonts w:ascii="Times New Roman" w:hAnsi="Times New Roman" w:cs="Times New Roman"/>
          <w:sz w:val="24"/>
          <w:szCs w:val="24"/>
        </w:rPr>
        <w:t xml:space="preserve"> </w:t>
      </w:r>
      <w:r w:rsidRPr="00E029CD">
        <w:rPr>
          <w:rFonts w:ascii="Times New Roman" w:hAnsi="Times New Roman" w:cs="Times New Roman"/>
          <w:b/>
          <w:sz w:val="24"/>
          <w:szCs w:val="24"/>
        </w:rPr>
        <w:t>neformālās izglītības programmās</w:t>
      </w:r>
      <w:r w:rsidR="00C4487E">
        <w:rPr>
          <w:rFonts w:ascii="Times New Roman" w:hAnsi="Times New Roman" w:cs="Times New Roman"/>
          <w:sz w:val="24"/>
          <w:szCs w:val="24"/>
        </w:rPr>
        <w:t xml:space="preserve"> nodrošināts atbalsts viņu </w:t>
      </w:r>
      <w:r w:rsidR="00C4487E" w:rsidRPr="005C0211">
        <w:rPr>
          <w:rFonts w:ascii="Times New Roman" w:hAnsi="Times New Roman" w:cs="Times New Roman"/>
          <w:sz w:val="24"/>
          <w:szCs w:val="24"/>
        </w:rPr>
        <w:t>iesaistīšanai ilgtermiņa apmācībās, papildus nodrošinot apmācības sociālajiem darbiniekiem un darbā ar jaunatni iesaistītām personām</w:t>
      </w:r>
      <w:r w:rsidR="00C4487E">
        <w:rPr>
          <w:rFonts w:ascii="Times New Roman" w:hAnsi="Times New Roman" w:cs="Times New Roman"/>
          <w:sz w:val="24"/>
          <w:szCs w:val="24"/>
        </w:rPr>
        <w:t xml:space="preserve">, kā arī </w:t>
      </w:r>
      <w:r w:rsidR="00C4487E" w:rsidRPr="005C0211">
        <w:rPr>
          <w:rFonts w:ascii="Times New Roman" w:hAnsi="Times New Roman" w:cs="Times New Roman"/>
          <w:sz w:val="24"/>
          <w:szCs w:val="24"/>
        </w:rPr>
        <w:t>organizēto projektu - iniciatīvu īstenošanai, kas nodrošina gan šo jauniešu iesaistīšanos dažādās pašiniciētās aktivitātēs, gan līdzdalību vietējos un reģiona līmeņa demokrātijas procesos</w:t>
      </w:r>
      <w:r w:rsidR="00C4487E">
        <w:rPr>
          <w:rFonts w:ascii="Times New Roman" w:hAnsi="Times New Roman" w:cs="Times New Roman"/>
          <w:sz w:val="24"/>
          <w:szCs w:val="24"/>
        </w:rPr>
        <w:t xml:space="preserve">. </w:t>
      </w:r>
      <w:r w:rsidR="00C4487E" w:rsidRPr="005C0211">
        <w:rPr>
          <w:rFonts w:ascii="Times New Roman" w:hAnsi="Times New Roman" w:cs="Times New Roman"/>
          <w:sz w:val="24"/>
          <w:szCs w:val="24"/>
        </w:rPr>
        <w:t>IZM Jaunatnes politikas valsts programmas ietvaros tika īstenoti divi i</w:t>
      </w:r>
      <w:r w:rsidR="000C3310">
        <w:rPr>
          <w:rFonts w:ascii="Times New Roman" w:hAnsi="Times New Roman" w:cs="Times New Roman"/>
          <w:sz w:val="24"/>
          <w:szCs w:val="24"/>
        </w:rPr>
        <w:t>lgtermiņa apmācību kursi. 2014.</w:t>
      </w:r>
      <w:r w:rsidR="00C4487E" w:rsidRPr="005C0211">
        <w:rPr>
          <w:rFonts w:ascii="Times New Roman" w:hAnsi="Times New Roman" w:cs="Times New Roman"/>
          <w:sz w:val="24"/>
          <w:szCs w:val="24"/>
        </w:rPr>
        <w:t>gadā kursā “Šķeļot viļņus” tika iesaistīti 45 ieslodzījumu vietu, Valsts probācijas dienesta darbinieki, pašvaldību un nevalstisko organizāciju pārstāvji un darbinieki un 43 jaunieši, kuri atr</w:t>
      </w:r>
      <w:r w:rsidR="000C3310">
        <w:rPr>
          <w:rFonts w:ascii="Times New Roman" w:hAnsi="Times New Roman" w:cs="Times New Roman"/>
          <w:sz w:val="24"/>
          <w:szCs w:val="24"/>
        </w:rPr>
        <w:t>odas ieslodzījumu vietās. 2015.</w:t>
      </w:r>
      <w:r w:rsidR="00C4487E" w:rsidRPr="005C0211">
        <w:rPr>
          <w:rFonts w:ascii="Times New Roman" w:hAnsi="Times New Roman" w:cs="Times New Roman"/>
          <w:sz w:val="24"/>
          <w:szCs w:val="24"/>
        </w:rPr>
        <w:t xml:space="preserve">gadā īstenots ilgtermiņa apmācību kurss “Augšup!” par neformālo izglītību jauniešu mājās. Šis apmācību kurss sastāvēja no 7 posmiem, kuru laikā tika apmācīti 24 sociālie darbinieki un personas, kuras strādā ar sociālās atstumtības riskam pakļautajiem jauniešiem. Tika īstenotas 4 dažādas apmācību programmas 57 jauniešiem no 8 jauniešu mājām dažādos Latvijas reģionos. Laika posmā no 2014. līdz 2016. gadam kopumā tika apstiprināti 44 iniciatīvu projekti. </w:t>
      </w:r>
      <w:r w:rsidR="00C4487E" w:rsidRPr="005C0211">
        <w:rPr>
          <w:rFonts w:ascii="Times New Roman" w:hAnsi="Times New Roman"/>
          <w:sz w:val="24"/>
          <w:szCs w:val="24"/>
        </w:rPr>
        <w:t xml:space="preserve">Projekti sekmēja šo jauniešu līdzdalību, jaunu iemaņu un prasmju apgūšanu, kas ir nepieciešamas darba tirgū un veicina šo jauniešu personīgo izaugsmi. </w:t>
      </w:r>
    </w:p>
    <w:p w:rsidR="00BC3CBE" w:rsidRPr="00BC3CBE" w:rsidRDefault="00BC3CBE" w:rsidP="00C4487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sz w:val="24"/>
          <w:szCs w:val="24"/>
        </w:rPr>
        <w:tab/>
        <w:t xml:space="preserve">Sniedzot </w:t>
      </w:r>
      <w:r w:rsidRPr="00E029CD">
        <w:rPr>
          <w:rFonts w:ascii="Times New Roman" w:hAnsi="Times New Roman"/>
          <w:b/>
          <w:sz w:val="24"/>
          <w:szCs w:val="24"/>
        </w:rPr>
        <w:t>atbalstu pedagogiem</w:t>
      </w:r>
      <w:r>
        <w:rPr>
          <w:rFonts w:ascii="Times New Roman" w:hAnsi="Times New Roman"/>
          <w:sz w:val="24"/>
          <w:szCs w:val="24"/>
        </w:rPr>
        <w:t xml:space="preserve">, tika nodrošināta profesionālās kompetences pilnveide dažādos jautājumos, tajā skaitā, STEM, digitālā pratība, robotika, </w:t>
      </w:r>
      <w:r w:rsidRPr="005C0211">
        <w:rPr>
          <w:rFonts w:ascii="Times New Roman" w:hAnsi="Times New Roman" w:cs="Times New Roman"/>
          <w:sz w:val="24"/>
          <w:szCs w:val="24"/>
        </w:rPr>
        <w:t>finanšu pratība</w:t>
      </w:r>
      <w:r>
        <w:rPr>
          <w:rFonts w:ascii="Times New Roman" w:hAnsi="Times New Roman"/>
          <w:sz w:val="24"/>
          <w:szCs w:val="24"/>
        </w:rPr>
        <w:t xml:space="preserve">, </w:t>
      </w:r>
      <w:r>
        <w:rPr>
          <w:rFonts w:ascii="Times New Roman" w:hAnsi="Times New Roman" w:cs="Times New Roman"/>
          <w:sz w:val="24"/>
          <w:szCs w:val="24"/>
        </w:rPr>
        <w:t>p</w:t>
      </w:r>
      <w:r w:rsidRPr="005C0211">
        <w:rPr>
          <w:rFonts w:ascii="Times New Roman" w:hAnsi="Times New Roman" w:cs="Times New Roman"/>
          <w:sz w:val="24"/>
          <w:szCs w:val="24"/>
        </w:rPr>
        <w:t>irmsskolas izglītības saturs un didaktika</w:t>
      </w:r>
      <w:r>
        <w:rPr>
          <w:rFonts w:ascii="Times New Roman" w:hAnsi="Times New Roman"/>
          <w:sz w:val="24"/>
          <w:szCs w:val="24"/>
        </w:rPr>
        <w:t xml:space="preserve">, </w:t>
      </w:r>
      <w:r>
        <w:rPr>
          <w:rFonts w:ascii="Times New Roman" w:hAnsi="Times New Roman" w:cs="Times New Roman"/>
          <w:sz w:val="24"/>
          <w:szCs w:val="24"/>
        </w:rPr>
        <w:t>p</w:t>
      </w:r>
      <w:r w:rsidRPr="005C0211">
        <w:rPr>
          <w:rFonts w:ascii="Times New Roman" w:hAnsi="Times New Roman" w:cs="Times New Roman"/>
          <w:sz w:val="24"/>
          <w:szCs w:val="24"/>
        </w:rPr>
        <w:t>amatizglītības pirmā posma saturs un didaktika</w:t>
      </w:r>
      <w:r>
        <w:rPr>
          <w:rFonts w:ascii="Times New Roman" w:hAnsi="Times New Roman" w:cs="Times New Roman"/>
          <w:sz w:val="24"/>
          <w:szCs w:val="24"/>
        </w:rPr>
        <w:t>,</w:t>
      </w:r>
      <w:r>
        <w:rPr>
          <w:rFonts w:ascii="Times New Roman" w:hAnsi="Times New Roman"/>
          <w:sz w:val="24"/>
          <w:szCs w:val="24"/>
        </w:rPr>
        <w:t xml:space="preserve"> </w:t>
      </w:r>
      <w:r w:rsidRPr="005C0211">
        <w:rPr>
          <w:rFonts w:ascii="Times New Roman" w:hAnsi="Times New Roman" w:cs="Times New Roman"/>
          <w:sz w:val="24"/>
          <w:szCs w:val="24"/>
        </w:rPr>
        <w:t>bērnu tie</w:t>
      </w:r>
      <w:r>
        <w:rPr>
          <w:rFonts w:ascii="Times New Roman" w:hAnsi="Times New Roman" w:cs="Times New Roman"/>
          <w:sz w:val="24"/>
          <w:szCs w:val="24"/>
        </w:rPr>
        <w:t>sību aizsardzība</w:t>
      </w:r>
      <w:r w:rsidRPr="005C0211">
        <w:rPr>
          <w:rFonts w:ascii="Times New Roman" w:hAnsi="Times New Roman" w:cs="Times New Roman"/>
          <w:sz w:val="24"/>
          <w:szCs w:val="24"/>
        </w:rPr>
        <w:t xml:space="preserve"> (t</w:t>
      </w:r>
      <w:r>
        <w:rPr>
          <w:rFonts w:ascii="Times New Roman" w:hAnsi="Times New Roman" w:cs="Times New Roman"/>
          <w:sz w:val="24"/>
          <w:szCs w:val="24"/>
        </w:rPr>
        <w:t xml:space="preserve">.sk. vardarbības jautājumi), </w:t>
      </w:r>
      <w:r w:rsidRPr="005C0211">
        <w:rPr>
          <w:rFonts w:ascii="Times New Roman" w:hAnsi="Times New Roman" w:cs="Times New Roman"/>
          <w:sz w:val="24"/>
          <w:szCs w:val="24"/>
        </w:rPr>
        <w:t>asistīvo IKT izmantošan</w:t>
      </w:r>
      <w:r>
        <w:rPr>
          <w:rFonts w:ascii="Times New Roman" w:hAnsi="Times New Roman" w:cs="Times New Roman"/>
          <w:sz w:val="24"/>
          <w:szCs w:val="24"/>
        </w:rPr>
        <w:t>a</w:t>
      </w:r>
      <w:r w:rsidRPr="005C0211">
        <w:rPr>
          <w:rFonts w:ascii="Times New Roman" w:hAnsi="Times New Roman" w:cs="Times New Roman"/>
          <w:sz w:val="24"/>
          <w:szCs w:val="24"/>
        </w:rPr>
        <w:t xml:space="preserve"> darbā ar izglītojama</w:t>
      </w:r>
      <w:r>
        <w:rPr>
          <w:rFonts w:ascii="Times New Roman" w:hAnsi="Times New Roman" w:cs="Times New Roman"/>
          <w:sz w:val="24"/>
          <w:szCs w:val="24"/>
        </w:rPr>
        <w:t xml:space="preserve">jiem ar speciālajām vajadzībām u.c. </w:t>
      </w:r>
    </w:p>
    <w:p w:rsidR="001E5592" w:rsidRPr="00F7552C" w:rsidRDefault="001E5592" w:rsidP="00F755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Savukārt, </w:t>
      </w:r>
      <w:r w:rsidR="00922FE4" w:rsidRPr="005C0211">
        <w:rPr>
          <w:rFonts w:ascii="Times New Roman" w:hAnsi="Times New Roman" w:cs="Times New Roman"/>
          <w:sz w:val="24"/>
          <w:szCs w:val="24"/>
        </w:rPr>
        <w:t>pedagogu profesionālās kompetences pilnveide</w:t>
      </w:r>
      <w:r w:rsidR="00922FE4">
        <w:rPr>
          <w:rFonts w:ascii="Times New Roman" w:hAnsi="Times New Roman" w:cs="Times New Roman"/>
          <w:sz w:val="24"/>
          <w:szCs w:val="24"/>
        </w:rPr>
        <w:t>i</w:t>
      </w:r>
      <w:r w:rsidR="00922FE4" w:rsidRPr="005C0211">
        <w:rPr>
          <w:rFonts w:ascii="Times New Roman" w:hAnsi="Times New Roman" w:cs="Times New Roman"/>
          <w:sz w:val="24"/>
          <w:szCs w:val="24"/>
        </w:rPr>
        <w:t xml:space="preserve"> </w:t>
      </w:r>
      <w:r w:rsidR="00922FE4" w:rsidRPr="00E029CD">
        <w:rPr>
          <w:rFonts w:ascii="Times New Roman" w:hAnsi="Times New Roman" w:cs="Times New Roman"/>
          <w:b/>
          <w:sz w:val="24"/>
          <w:szCs w:val="24"/>
        </w:rPr>
        <w:t xml:space="preserve">mūsdienīgai latviešu valodas apguvei un bilingvālo mācību īstenošanai </w:t>
      </w:r>
      <w:r w:rsidR="00922FE4">
        <w:rPr>
          <w:rFonts w:ascii="Times New Roman" w:hAnsi="Times New Roman" w:cs="Times New Roman"/>
          <w:sz w:val="24"/>
          <w:szCs w:val="24"/>
        </w:rPr>
        <w:t xml:space="preserve">īstenoti </w:t>
      </w:r>
      <w:r w:rsidR="00922FE4" w:rsidRPr="005C0211">
        <w:rPr>
          <w:rFonts w:ascii="Times New Roman" w:hAnsi="Times New Roman" w:cs="Times New Roman"/>
          <w:sz w:val="24"/>
          <w:szCs w:val="24"/>
        </w:rPr>
        <w:t>profesionālās pilnveides kursi</w:t>
      </w:r>
      <w:r w:rsidR="00922FE4">
        <w:rPr>
          <w:rFonts w:ascii="Times New Roman" w:hAnsi="Times New Roman" w:cs="Times New Roman"/>
          <w:sz w:val="24"/>
          <w:szCs w:val="24"/>
        </w:rPr>
        <w:t xml:space="preserve"> par bilingvālo pedagoģisko procesu pirmsskolā, </w:t>
      </w:r>
      <w:r w:rsidR="00922FE4" w:rsidRPr="005C0211">
        <w:rPr>
          <w:rFonts w:ascii="Times New Roman" w:hAnsi="Times New Roman" w:cs="Times New Roman"/>
          <w:sz w:val="24"/>
          <w:szCs w:val="24"/>
        </w:rPr>
        <w:t>bilingvālās metodikas kursi pirmsskolas</w:t>
      </w:r>
      <w:r w:rsidR="00922FE4">
        <w:rPr>
          <w:rFonts w:ascii="Times New Roman" w:hAnsi="Times New Roman" w:cs="Times New Roman"/>
          <w:sz w:val="24"/>
          <w:szCs w:val="24"/>
        </w:rPr>
        <w:t xml:space="preserve"> un sākumskolas</w:t>
      </w:r>
      <w:r w:rsidR="00922FE4" w:rsidRPr="005C0211">
        <w:rPr>
          <w:rFonts w:ascii="Times New Roman" w:hAnsi="Times New Roman" w:cs="Times New Roman"/>
          <w:sz w:val="24"/>
          <w:szCs w:val="24"/>
        </w:rPr>
        <w:t xml:space="preserve"> skolotājiem</w:t>
      </w:r>
      <w:r w:rsidR="00922FE4">
        <w:rPr>
          <w:rFonts w:ascii="Times New Roman" w:hAnsi="Times New Roman" w:cs="Times New Roman"/>
          <w:sz w:val="24"/>
          <w:szCs w:val="24"/>
        </w:rPr>
        <w:t>,</w:t>
      </w:r>
      <w:r w:rsidR="00922FE4" w:rsidRPr="00922FE4">
        <w:rPr>
          <w:rFonts w:ascii="Times New Roman" w:hAnsi="Times New Roman" w:cs="Times New Roman"/>
          <w:sz w:val="24"/>
          <w:szCs w:val="24"/>
        </w:rPr>
        <w:t xml:space="preserve"> </w:t>
      </w:r>
      <w:r w:rsidR="00922FE4" w:rsidRPr="005C0211">
        <w:rPr>
          <w:rFonts w:ascii="Times New Roman" w:hAnsi="Times New Roman" w:cs="Times New Roman"/>
          <w:sz w:val="24"/>
          <w:szCs w:val="24"/>
        </w:rPr>
        <w:t>latviešu valodas un literatūras pedagogu pr</w:t>
      </w:r>
      <w:r w:rsidR="00922FE4">
        <w:rPr>
          <w:rFonts w:ascii="Times New Roman" w:hAnsi="Times New Roman" w:cs="Times New Roman"/>
          <w:sz w:val="24"/>
          <w:szCs w:val="24"/>
        </w:rPr>
        <w:t xml:space="preserve">ofesionālās pilnveides </w:t>
      </w:r>
      <w:r w:rsidR="00922FE4" w:rsidRPr="005C0211">
        <w:rPr>
          <w:rFonts w:ascii="Times New Roman" w:hAnsi="Times New Roman" w:cs="Times New Roman"/>
          <w:sz w:val="24"/>
          <w:szCs w:val="24"/>
        </w:rPr>
        <w:t>kursi</w:t>
      </w:r>
      <w:r w:rsidR="00922FE4">
        <w:rPr>
          <w:rFonts w:ascii="Times New Roman" w:hAnsi="Times New Roman" w:cs="Times New Roman"/>
          <w:sz w:val="24"/>
          <w:szCs w:val="24"/>
        </w:rPr>
        <w:t xml:space="preserve">, kā arī kursi </w:t>
      </w:r>
      <w:r w:rsidR="00922FE4" w:rsidRPr="005C0211">
        <w:rPr>
          <w:rFonts w:ascii="Times New Roman" w:hAnsi="Times New Roman" w:cs="Times New Roman"/>
          <w:sz w:val="24"/>
          <w:szCs w:val="24"/>
        </w:rPr>
        <w:t>pedagogu latviešu valodas prasmes pilnveidei profesionālo pienākumu veikšanai pirmsskolas izglītības iestādēs</w:t>
      </w:r>
      <w:r w:rsidR="00922FE4">
        <w:rPr>
          <w:rFonts w:ascii="Times New Roman" w:hAnsi="Times New Roman" w:cs="Times New Roman"/>
          <w:sz w:val="24"/>
          <w:szCs w:val="24"/>
        </w:rPr>
        <w:t xml:space="preserve">. </w:t>
      </w:r>
    </w:p>
    <w:p w:rsidR="001E5592" w:rsidRDefault="001E5592" w:rsidP="001E5592">
      <w:pPr>
        <w:pStyle w:val="ListParagraph"/>
        <w:ind w:left="0" w:firstLine="720"/>
        <w:jc w:val="both"/>
      </w:pPr>
    </w:p>
    <w:p w:rsidR="00892509" w:rsidRDefault="00892509" w:rsidP="00892509">
      <w:pPr>
        <w:pStyle w:val="ListParagraph"/>
        <w:ind w:left="0" w:firstLine="720"/>
        <w:jc w:val="both"/>
      </w:pPr>
    </w:p>
    <w:p w:rsidR="003B3C4E" w:rsidRDefault="003B3C4E" w:rsidP="00892509">
      <w:pPr>
        <w:pStyle w:val="ListParagraph"/>
        <w:ind w:left="0" w:firstLine="720"/>
        <w:jc w:val="both"/>
      </w:pPr>
    </w:p>
    <w:p w:rsidR="003B3C4E" w:rsidRDefault="003B3C4E" w:rsidP="009A5456">
      <w:pPr>
        <w:jc w:val="both"/>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A22413" w:rsidRPr="00F67B51" w:rsidTr="00C30ACE">
        <w:tc>
          <w:tcPr>
            <w:tcW w:w="9351" w:type="dxa"/>
            <w:shd w:val="clear" w:color="auto" w:fill="D9D9D9" w:themeFill="background1" w:themeFillShade="D9"/>
          </w:tcPr>
          <w:p w:rsidR="00B109BD" w:rsidRDefault="00A22413" w:rsidP="00B109BD">
            <w:pPr>
              <w:jc w:val="center"/>
              <w:rPr>
                <w:rFonts w:ascii="Times New Roman" w:hAnsi="Times New Roman" w:cs="Times New Roman"/>
                <w:b/>
                <w:sz w:val="24"/>
                <w:szCs w:val="24"/>
              </w:rPr>
            </w:pPr>
            <w:r w:rsidRPr="00F67B51">
              <w:rPr>
                <w:rFonts w:ascii="Times New Roman" w:hAnsi="Times New Roman" w:cs="Times New Roman"/>
                <w:b/>
                <w:sz w:val="24"/>
                <w:szCs w:val="24"/>
              </w:rPr>
              <w:lastRenderedPageBreak/>
              <w:t xml:space="preserve">2.apakšmērķis. </w:t>
            </w:r>
          </w:p>
          <w:p w:rsidR="00B109BD" w:rsidRDefault="00A22413" w:rsidP="00B109BD">
            <w:pPr>
              <w:jc w:val="center"/>
              <w:rPr>
                <w:rFonts w:ascii="Times New Roman" w:hAnsi="Times New Roman" w:cs="Times New Roman"/>
                <w:b/>
                <w:sz w:val="24"/>
                <w:szCs w:val="24"/>
              </w:rPr>
            </w:pPr>
            <w:r w:rsidRPr="00F67B51">
              <w:rPr>
                <w:rFonts w:ascii="Times New Roman" w:hAnsi="Times New Roman" w:cs="Times New Roman"/>
                <w:b/>
                <w:sz w:val="24"/>
                <w:szCs w:val="24"/>
              </w:rPr>
              <w:t xml:space="preserve">INDIVĪDU PRASMES: </w:t>
            </w:r>
          </w:p>
          <w:p w:rsidR="00A22413" w:rsidRPr="00F67B51" w:rsidRDefault="00A22413" w:rsidP="00B109BD">
            <w:pPr>
              <w:jc w:val="center"/>
              <w:rPr>
                <w:rFonts w:ascii="Times New Roman" w:hAnsi="Times New Roman" w:cs="Times New Roman"/>
                <w:b/>
                <w:sz w:val="24"/>
                <w:szCs w:val="24"/>
              </w:rPr>
            </w:pPr>
            <w:r w:rsidRPr="00F67B51">
              <w:rPr>
                <w:rFonts w:ascii="Times New Roman" w:hAnsi="Times New Roman" w:cs="Times New Roman"/>
                <w:b/>
                <w:sz w:val="24"/>
                <w:szCs w:val="24"/>
              </w:rPr>
              <w:t>veicināt vērtībizglītībā balstītu indivīda profesionālo un sociālo prasmju attīstību dzīvei un konkurējošai darba videi.</w:t>
            </w:r>
          </w:p>
        </w:tc>
      </w:tr>
    </w:tbl>
    <w:p w:rsidR="00FD39DA" w:rsidRDefault="00FD39DA" w:rsidP="00FD39DA">
      <w:pPr>
        <w:spacing w:after="0"/>
        <w:jc w:val="both"/>
        <w:rPr>
          <w:rFonts w:ascii="Times New Roman" w:hAnsi="Times New Roman" w:cs="Times New Roman"/>
          <w:sz w:val="24"/>
          <w:szCs w:val="24"/>
        </w:rPr>
      </w:pPr>
    </w:p>
    <w:p w:rsidR="006668E7" w:rsidRDefault="00FD39DA" w:rsidP="00A43819">
      <w:pPr>
        <w:spacing w:after="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Šis apakšmērķis ir vērsts uz</w:t>
      </w:r>
      <w:r>
        <w:rPr>
          <w:rFonts w:ascii="Times New Roman" w:hAnsi="Times New Roman" w:cs="Times New Roman"/>
          <w:sz w:val="24"/>
          <w:szCs w:val="24"/>
        </w:rPr>
        <w:t xml:space="preserve"> profesionālo un sociālo prasmju pilnveidošanu, indivīdam izvēloties atbilstošu turpmākās profesionālās attīstības ceļu, vienlaikus paredzot atbalsta mehānismus mācības pametušajiem un izglītību neieguvušajiem, tādējādi paaugstinot vispārējo Latvijas sabiedrības izglītības līmeni un sekmējot nodarbinātību, vienlaikus ar ārpus formālās izglītības pasākumiem sekmējot izglītojamo pilsonisko līdzatbildību un sabiedrisko aktivitāti, kā arī stiprinot mūžizglītības principu.</w:t>
      </w:r>
    </w:p>
    <w:p w:rsidR="00FD39DA" w:rsidRDefault="00FD39DA" w:rsidP="00D06931">
      <w:pPr>
        <w:spacing w:after="0" w:line="240" w:lineRule="auto"/>
        <w:jc w:val="both"/>
        <w:rPr>
          <w:rFonts w:ascii="Times New Roman" w:hAnsi="Times New Roman" w:cs="Times New Roman"/>
          <w:bCs/>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345"/>
      </w:tblGrid>
      <w:tr w:rsidR="00670008" w:rsidRPr="00670008" w:rsidTr="00670008">
        <w:trPr>
          <w:trHeight w:val="463"/>
        </w:trPr>
        <w:tc>
          <w:tcPr>
            <w:tcW w:w="9345" w:type="dxa"/>
            <w:shd w:val="clear" w:color="auto" w:fill="DEEAF6" w:themeFill="accent1" w:themeFillTint="33"/>
            <w:vAlign w:val="center"/>
          </w:tcPr>
          <w:p w:rsidR="00670008" w:rsidRPr="00670008" w:rsidRDefault="00670008" w:rsidP="00670008">
            <w:pPr>
              <w:pStyle w:val="ListParagraph"/>
              <w:ind w:left="0"/>
              <w:jc w:val="both"/>
              <w:rPr>
                <w:rFonts w:eastAsiaTheme="minorHAnsi"/>
                <w:b/>
              </w:rPr>
            </w:pPr>
            <w:r w:rsidRPr="00670008">
              <w:rPr>
                <w:b/>
              </w:rPr>
              <w:t xml:space="preserve">Rīcības virziens: </w:t>
            </w:r>
            <w:r w:rsidRPr="00670008">
              <w:rPr>
                <w:rFonts w:eastAsiaTheme="minorHAnsi"/>
                <w:b/>
              </w:rPr>
              <w:t>2.1. Karjeras izglītības sistēmas attīstība un pakalpojumu pieejamība</w:t>
            </w:r>
          </w:p>
        </w:tc>
      </w:tr>
    </w:tbl>
    <w:p w:rsidR="00CC4BD3" w:rsidRDefault="00CC4BD3" w:rsidP="00A43819">
      <w:pPr>
        <w:spacing w:after="0" w:line="240" w:lineRule="auto"/>
        <w:ind w:firstLine="567"/>
        <w:jc w:val="both"/>
        <w:rPr>
          <w:rFonts w:ascii="Times New Roman" w:hAnsi="Times New Roman" w:cs="Times New Roman"/>
          <w:sz w:val="24"/>
          <w:szCs w:val="24"/>
        </w:rPr>
      </w:pPr>
      <w:r w:rsidRPr="000F220B">
        <w:rPr>
          <w:rFonts w:ascii="Times New Roman" w:hAnsi="Times New Roman" w:cs="Times New Roman"/>
          <w:sz w:val="24"/>
          <w:szCs w:val="24"/>
        </w:rPr>
        <w:t xml:space="preserve">Karjeras attīstības atbalsts, kas ietver informācijas, karjeras izglītības un individuālo konsultāciju pieejamību izglītojamajiem karjeras mērķu noteikšanai un plānošanai, izdarot izvēli </w:t>
      </w:r>
      <w:r w:rsidRPr="00AD0BD5">
        <w:rPr>
          <w:rFonts w:ascii="Times New Roman" w:hAnsi="Times New Roman" w:cs="Times New Roman"/>
          <w:sz w:val="24"/>
          <w:szCs w:val="24"/>
        </w:rPr>
        <w:t xml:space="preserve">saistībā ar izglītību un darbu, </w:t>
      </w:r>
      <w:r w:rsidR="0070356E">
        <w:rPr>
          <w:rFonts w:ascii="Times New Roman" w:hAnsi="Times New Roman" w:cs="Times New Roman"/>
          <w:sz w:val="24"/>
          <w:szCs w:val="24"/>
        </w:rPr>
        <w:t>sekmē arī</w:t>
      </w:r>
      <w:r w:rsidRPr="00AD0BD5">
        <w:rPr>
          <w:rFonts w:ascii="Times New Roman" w:hAnsi="Times New Roman" w:cs="Times New Roman"/>
          <w:sz w:val="24"/>
          <w:szCs w:val="24"/>
        </w:rPr>
        <w:t xml:space="preserve"> izglītīb</w:t>
      </w:r>
      <w:r w:rsidR="00EE0CF2">
        <w:rPr>
          <w:rFonts w:ascii="Times New Roman" w:hAnsi="Times New Roman" w:cs="Times New Roman"/>
          <w:sz w:val="24"/>
          <w:szCs w:val="24"/>
        </w:rPr>
        <w:t>as</w:t>
      </w:r>
      <w:r w:rsidRPr="00AD0BD5">
        <w:rPr>
          <w:rFonts w:ascii="Times New Roman" w:hAnsi="Times New Roman" w:cs="Times New Roman"/>
          <w:sz w:val="24"/>
          <w:szCs w:val="24"/>
        </w:rPr>
        <w:t xml:space="preserve"> priekšlaicīgas pārtraukšanas mazināšanu.  </w:t>
      </w:r>
    </w:p>
    <w:p w:rsidR="00BA0999" w:rsidRPr="000F220B" w:rsidRDefault="00BA0999" w:rsidP="00A43819">
      <w:pPr>
        <w:spacing w:after="0" w:line="240" w:lineRule="auto"/>
        <w:ind w:firstLine="567"/>
        <w:jc w:val="both"/>
        <w:rPr>
          <w:rFonts w:ascii="Times New Roman" w:hAnsi="Times New Roman" w:cs="Times New Roman"/>
          <w:sz w:val="24"/>
          <w:szCs w:val="24"/>
        </w:rPr>
      </w:pPr>
      <w:r w:rsidRPr="000F220B">
        <w:rPr>
          <w:rFonts w:ascii="Times New Roman" w:hAnsi="Times New Roman" w:cs="Times New Roman"/>
          <w:sz w:val="24"/>
          <w:szCs w:val="24"/>
        </w:rPr>
        <w:t xml:space="preserve">2015.gada 30.decembrī MK tika apstiprināts </w:t>
      </w:r>
      <w:r w:rsidRPr="00D01DE7">
        <w:rPr>
          <w:rFonts w:ascii="Times New Roman" w:hAnsi="Times New Roman" w:cs="Times New Roman"/>
          <w:b/>
          <w:sz w:val="24"/>
          <w:szCs w:val="24"/>
        </w:rPr>
        <w:t>Karjeras izglītības īstenošanas plāns valsts un pašvaldību vispārējās un profesionālās izglī</w:t>
      </w:r>
      <w:r w:rsidR="00D558F1" w:rsidRPr="00D01DE7">
        <w:rPr>
          <w:rFonts w:ascii="Times New Roman" w:hAnsi="Times New Roman" w:cs="Times New Roman"/>
          <w:b/>
          <w:sz w:val="24"/>
          <w:szCs w:val="24"/>
        </w:rPr>
        <w:t>tības iestādēs 2015.-2020.gadam</w:t>
      </w:r>
      <w:r w:rsidR="00D558F1">
        <w:rPr>
          <w:rFonts w:ascii="Times New Roman" w:hAnsi="Times New Roman" w:cs="Times New Roman"/>
          <w:sz w:val="24"/>
          <w:szCs w:val="24"/>
        </w:rPr>
        <w:t>, kas nosaka</w:t>
      </w:r>
      <w:r w:rsidRPr="000F220B">
        <w:rPr>
          <w:rFonts w:ascii="Times New Roman" w:hAnsi="Times New Roman" w:cs="Times New Roman"/>
          <w:sz w:val="24"/>
          <w:szCs w:val="24"/>
        </w:rPr>
        <w:t xml:space="preserve"> karjeras izglītības at</w:t>
      </w:r>
      <w:r w:rsidR="00C7092D">
        <w:rPr>
          <w:rFonts w:ascii="Times New Roman" w:hAnsi="Times New Roman" w:cs="Times New Roman"/>
          <w:sz w:val="24"/>
          <w:szCs w:val="24"/>
        </w:rPr>
        <w:t>tīstības politikas pamatprincipus, mērķus un rīcības virzienus</w:t>
      </w:r>
      <w:r w:rsidRPr="000F220B">
        <w:rPr>
          <w:rFonts w:ascii="Times New Roman" w:hAnsi="Times New Roman" w:cs="Times New Roman"/>
          <w:sz w:val="24"/>
          <w:szCs w:val="24"/>
        </w:rPr>
        <w:t>. Plāns paredz izstrādāt un aprobēt karjeras attīstības atbalsta ieviešanas modeļus valsts un pašvaldību dibinātajās vispārējās un profesionālās izglītības iestādēs, nodrošināt pedagogiem</w:t>
      </w:r>
      <w:r w:rsidR="00E42C97">
        <w:rPr>
          <w:rFonts w:ascii="Times New Roman" w:hAnsi="Times New Roman" w:cs="Times New Roman"/>
          <w:sz w:val="24"/>
          <w:szCs w:val="24"/>
        </w:rPr>
        <w:t xml:space="preserve"> -</w:t>
      </w:r>
      <w:r w:rsidRPr="000F220B">
        <w:rPr>
          <w:rFonts w:ascii="Times New Roman" w:hAnsi="Times New Roman" w:cs="Times New Roman"/>
          <w:sz w:val="24"/>
          <w:szCs w:val="24"/>
        </w:rPr>
        <w:t xml:space="preserve"> karjeras konsultantiem un iesaistītajiem speciālistiem profesionālās kompetences pilnveidi, izstrādāt mūsdienīgus metodisko un informatīvo materiālu resursus, paredzot nodrošināt pieeju karjeras attīstības atbalsta pakalpojumiem vispārējās un profesionālās izglītības iestādēs. Savukārt profesionālās izglītības pievilcības veicināšanai plānoti ikgadējie jauno profesionāļu meistarības konkursi profesionālās izglītības iestāžu audzēkņiem un absolventiem līdz 25 gadu vecumam. Vienlaikus, sadarbībā ar nozaru profesionālajām apvienībām un darba devējiem, plānots organizēt dažādu profesiju paraugdemonstrējumus, meistardarbnīcas, informatīvos se</w:t>
      </w:r>
      <w:r w:rsidR="006E47F4">
        <w:rPr>
          <w:rFonts w:ascii="Times New Roman" w:hAnsi="Times New Roman" w:cs="Times New Roman"/>
          <w:sz w:val="24"/>
          <w:szCs w:val="24"/>
        </w:rPr>
        <w:t>minārus  konkursa apmeklētājiem.</w:t>
      </w:r>
    </w:p>
    <w:p w:rsidR="00BA0999" w:rsidRDefault="00BA0999" w:rsidP="00635FBB">
      <w:pPr>
        <w:spacing w:after="0" w:line="240" w:lineRule="auto"/>
        <w:ind w:firstLine="567"/>
        <w:jc w:val="both"/>
        <w:rPr>
          <w:rFonts w:ascii="Times New Roman" w:hAnsi="Times New Roman" w:cs="Times New Roman"/>
          <w:sz w:val="24"/>
          <w:szCs w:val="24"/>
        </w:rPr>
      </w:pPr>
      <w:r w:rsidRPr="00AD0BD5">
        <w:rPr>
          <w:rFonts w:ascii="Times New Roman" w:hAnsi="Times New Roman" w:cs="Times New Roman"/>
          <w:sz w:val="24"/>
          <w:szCs w:val="24"/>
        </w:rPr>
        <w:t>Karjeras atbalsta pieejamības uzlabošanai 2016.gadā Valsts izglītības attīstības aģentūra</w:t>
      </w:r>
      <w:r w:rsidR="00AB3747">
        <w:rPr>
          <w:rFonts w:ascii="Times New Roman" w:hAnsi="Times New Roman" w:cs="Times New Roman"/>
          <w:sz w:val="24"/>
          <w:szCs w:val="24"/>
        </w:rPr>
        <w:t xml:space="preserve"> (VIAA)</w:t>
      </w:r>
      <w:r w:rsidRPr="00AD0BD5">
        <w:rPr>
          <w:rFonts w:ascii="Times New Roman" w:hAnsi="Times New Roman" w:cs="Times New Roman"/>
          <w:sz w:val="24"/>
          <w:szCs w:val="24"/>
        </w:rPr>
        <w:t xml:space="preserve"> sadarbībā ar pašvaldībām un valsts profesionālās izglītības kompetenču centriem uzsāka </w:t>
      </w:r>
      <w:r w:rsidRPr="00D01DE7">
        <w:rPr>
          <w:rFonts w:ascii="Times New Roman" w:hAnsi="Times New Roman" w:cs="Times New Roman"/>
          <w:b/>
          <w:sz w:val="24"/>
          <w:szCs w:val="24"/>
        </w:rPr>
        <w:t>ESF projekta īstenošanu 8.3.5.specifiskā atbalsta mērķa “Uzlabot pieeju karjeras atbalstam izglītojamajiem vispārējās un profesionālās izglītības iestādēs” ietvaros</w:t>
      </w:r>
      <w:r w:rsidRPr="00AD0BD5">
        <w:rPr>
          <w:rFonts w:ascii="Times New Roman" w:hAnsi="Times New Roman" w:cs="Times New Roman"/>
          <w:sz w:val="24"/>
          <w:szCs w:val="24"/>
        </w:rPr>
        <w:t>. Projekta ietvaros plānota informatīvo un metodisko materiālu komplekta izstrāde karjeras atbalsta īstenošanai vispārējās un profesionālās izglītības iestādēs, karjeras attīstības atbalsta pasākumu plāna paraugu izstrāde un aprobācija, projekta īstenošanā iesaistīto vispārējās un profesionālās izglītības iestāžu pedagogu karjeras konsultantu un karjeras atbalsta īstenošanā iesaistīto speciālistu papildizglītība karjeras atbalsta pasākumu īstenošanas jautājumos, nacionālo profesionālās meistarības konkursu organizēšana profesionālās izglītības iestāžu izglītojamiem, ta</w:t>
      </w:r>
      <w:r w:rsidR="00AB3747">
        <w:rPr>
          <w:rFonts w:ascii="Times New Roman" w:hAnsi="Times New Roman" w:cs="Times New Roman"/>
          <w:sz w:val="24"/>
          <w:szCs w:val="24"/>
        </w:rPr>
        <w:t>jā</w:t>
      </w:r>
      <w:r w:rsidRPr="00AD0BD5">
        <w:rPr>
          <w:rFonts w:ascii="Times New Roman" w:hAnsi="Times New Roman" w:cs="Times New Roman"/>
          <w:sz w:val="24"/>
          <w:szCs w:val="24"/>
        </w:rPr>
        <w:t xml:space="preserve"> skaitā</w:t>
      </w:r>
      <w:r w:rsidR="00AB3747">
        <w:rPr>
          <w:rFonts w:ascii="Times New Roman" w:hAnsi="Times New Roman" w:cs="Times New Roman"/>
          <w:sz w:val="24"/>
          <w:szCs w:val="24"/>
        </w:rPr>
        <w:t>,</w:t>
      </w:r>
      <w:r w:rsidRPr="00AD0BD5">
        <w:rPr>
          <w:rFonts w:ascii="Times New Roman" w:hAnsi="Times New Roman" w:cs="Times New Roman"/>
          <w:sz w:val="24"/>
          <w:szCs w:val="24"/>
        </w:rPr>
        <w:t xml:space="preserve"> profesionālo prasmju demonstrācijas pasākumu organizēšana profesionālās izglītības pievilcības celšanai, konkursantu – godalgotu vietu ieguvēju nacionālajos profesionālās meistarības konkursos (tai skaitā profesionālās izglītības iestāžu beidzēju vecumā līdz 25 gadiem) – sagatavošana dalībai starptautiskajos jauno profesionāļu meistarības konkursos un dalības nodrošināšana, karjeras atbalsta pasākumu (ta</w:t>
      </w:r>
      <w:r w:rsidR="00AB3747">
        <w:rPr>
          <w:rFonts w:ascii="Times New Roman" w:hAnsi="Times New Roman" w:cs="Times New Roman"/>
          <w:sz w:val="24"/>
          <w:szCs w:val="24"/>
        </w:rPr>
        <w:t>jā</w:t>
      </w:r>
      <w:r w:rsidRPr="00AD0BD5">
        <w:rPr>
          <w:rFonts w:ascii="Times New Roman" w:hAnsi="Times New Roman" w:cs="Times New Roman"/>
          <w:sz w:val="24"/>
          <w:szCs w:val="24"/>
        </w:rPr>
        <w:t xml:space="preserve"> skaitā</w:t>
      </w:r>
      <w:r w:rsidR="00AB3747">
        <w:rPr>
          <w:rFonts w:ascii="Times New Roman" w:hAnsi="Times New Roman" w:cs="Times New Roman"/>
          <w:sz w:val="24"/>
          <w:szCs w:val="24"/>
        </w:rPr>
        <w:t>,</w:t>
      </w:r>
      <w:r w:rsidRPr="00AD0BD5">
        <w:rPr>
          <w:rFonts w:ascii="Times New Roman" w:hAnsi="Times New Roman" w:cs="Times New Roman"/>
          <w:sz w:val="24"/>
          <w:szCs w:val="24"/>
        </w:rPr>
        <w:t xml:space="preserve"> karjeras informācijas, karjeras izglītības un karjeras konsultāciju) īstenošana projekta īstenošanā iesaistīto izglītības iestāžu izglītojamiem visos Latvijas novados un republikas pilsētās. Projekta rezultātā </w:t>
      </w:r>
      <w:r w:rsidR="005D2AD6">
        <w:rPr>
          <w:rFonts w:ascii="Times New Roman" w:hAnsi="Times New Roman" w:cs="Times New Roman"/>
          <w:sz w:val="24"/>
          <w:szCs w:val="24"/>
        </w:rPr>
        <w:t xml:space="preserve">ir </w:t>
      </w:r>
      <w:r w:rsidRPr="00AD0BD5">
        <w:rPr>
          <w:rFonts w:ascii="Times New Roman" w:hAnsi="Times New Roman" w:cs="Times New Roman"/>
          <w:sz w:val="24"/>
          <w:szCs w:val="24"/>
        </w:rPr>
        <w:t xml:space="preserve">plānots, ka līdz 2020.gadam 328 vispārējās un profesionālās izglītības iestādes nodrošinās karjeras atbalstu izglītojamiem. </w:t>
      </w:r>
    </w:p>
    <w:p w:rsidR="00C357F3" w:rsidRDefault="00C357F3" w:rsidP="00635FBB">
      <w:pPr>
        <w:spacing w:after="0" w:line="240" w:lineRule="auto"/>
        <w:ind w:firstLine="567"/>
        <w:jc w:val="both"/>
        <w:rPr>
          <w:rFonts w:ascii="Times New Roman" w:hAnsi="Times New Roman" w:cs="Times New Roman"/>
          <w:sz w:val="24"/>
          <w:szCs w:val="24"/>
        </w:rPr>
      </w:pPr>
      <w:r w:rsidRPr="00F37D11">
        <w:rPr>
          <w:rFonts w:ascii="Times New Roman" w:hAnsi="Times New Roman" w:cs="Times New Roman"/>
          <w:sz w:val="24"/>
          <w:szCs w:val="24"/>
        </w:rPr>
        <w:t>8.3.5</w:t>
      </w:r>
      <w:r>
        <w:rPr>
          <w:rFonts w:ascii="Times New Roman" w:hAnsi="Times New Roman" w:cs="Times New Roman"/>
          <w:sz w:val="24"/>
          <w:szCs w:val="24"/>
        </w:rPr>
        <w:t>.</w:t>
      </w:r>
      <w:r w:rsidRPr="00F37D11">
        <w:rPr>
          <w:rFonts w:ascii="Times New Roman" w:hAnsi="Times New Roman" w:cs="Times New Roman"/>
          <w:sz w:val="24"/>
          <w:szCs w:val="24"/>
        </w:rPr>
        <w:t xml:space="preserve"> SAM projekta ietvaros ir noslēgti s</w:t>
      </w:r>
      <w:r w:rsidRPr="00FB2126">
        <w:rPr>
          <w:rFonts w:ascii="Times New Roman" w:hAnsi="Times New Roman" w:cs="Times New Roman"/>
          <w:sz w:val="24"/>
          <w:szCs w:val="24"/>
        </w:rPr>
        <w:t>adarbības līgumi ar 74</w:t>
      </w:r>
      <w:r w:rsidRPr="00F37D11">
        <w:rPr>
          <w:rFonts w:ascii="Times New Roman" w:hAnsi="Times New Roman" w:cs="Times New Roman"/>
          <w:sz w:val="24"/>
          <w:szCs w:val="24"/>
        </w:rPr>
        <w:t xml:space="preserve"> pašvaldībām</w:t>
      </w:r>
      <w:r>
        <w:rPr>
          <w:rFonts w:ascii="Times New Roman" w:hAnsi="Times New Roman" w:cs="Times New Roman"/>
          <w:sz w:val="24"/>
          <w:szCs w:val="24"/>
        </w:rPr>
        <w:t xml:space="preserve"> un to apvienībām, kā arī 15 PIKC</w:t>
      </w:r>
      <w:r w:rsidRPr="00F37D11">
        <w:rPr>
          <w:rFonts w:ascii="Times New Roman" w:hAnsi="Times New Roman" w:cs="Times New Roman"/>
          <w:sz w:val="24"/>
          <w:szCs w:val="24"/>
        </w:rPr>
        <w:t xml:space="preserve">, </w:t>
      </w:r>
      <w:r>
        <w:rPr>
          <w:rFonts w:ascii="Times New Roman" w:hAnsi="Times New Roman" w:cs="Times New Roman"/>
          <w:sz w:val="24"/>
          <w:szCs w:val="24"/>
        </w:rPr>
        <w:t xml:space="preserve">paredzot 410 izmēģinājumskolu iesaisti </w:t>
      </w:r>
      <w:r w:rsidRPr="00F37D11">
        <w:rPr>
          <w:rFonts w:ascii="Times New Roman" w:hAnsi="Times New Roman" w:cs="Times New Roman"/>
          <w:sz w:val="24"/>
          <w:szCs w:val="24"/>
        </w:rPr>
        <w:t xml:space="preserve">atbilstoši </w:t>
      </w:r>
      <w:r>
        <w:rPr>
          <w:rFonts w:ascii="Times New Roman" w:hAnsi="Times New Roman" w:cs="Times New Roman"/>
          <w:sz w:val="24"/>
          <w:szCs w:val="24"/>
        </w:rPr>
        <w:t xml:space="preserve">to </w:t>
      </w:r>
      <w:r w:rsidRPr="00F37D11">
        <w:rPr>
          <w:rFonts w:ascii="Times New Roman" w:hAnsi="Times New Roman" w:cs="Times New Roman"/>
          <w:sz w:val="24"/>
          <w:szCs w:val="24"/>
        </w:rPr>
        <w:t xml:space="preserve">izstrādātajiem </w:t>
      </w:r>
      <w:r>
        <w:rPr>
          <w:rFonts w:ascii="Times New Roman" w:hAnsi="Times New Roman" w:cs="Times New Roman"/>
          <w:sz w:val="24"/>
          <w:szCs w:val="24"/>
        </w:rPr>
        <w:t xml:space="preserve">karjeras </w:t>
      </w:r>
      <w:r w:rsidRPr="00F37D11">
        <w:rPr>
          <w:rFonts w:ascii="Times New Roman" w:hAnsi="Times New Roman" w:cs="Times New Roman"/>
          <w:sz w:val="24"/>
          <w:szCs w:val="24"/>
        </w:rPr>
        <w:t>atbalsta pasākuma plāniem</w:t>
      </w:r>
      <w:r>
        <w:rPr>
          <w:rFonts w:ascii="Times New Roman" w:hAnsi="Times New Roman" w:cs="Times New Roman"/>
          <w:sz w:val="24"/>
          <w:szCs w:val="24"/>
        </w:rPr>
        <w:t>.</w:t>
      </w:r>
    </w:p>
    <w:p w:rsidR="00635FBB" w:rsidRDefault="00635FBB" w:rsidP="00635F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2017.gadā projekta ietvaros notika </w:t>
      </w:r>
      <w:r w:rsidRPr="00D01DE7">
        <w:rPr>
          <w:rFonts w:ascii="Times New Roman" w:hAnsi="Times New Roman" w:cs="Times New Roman"/>
          <w:b/>
          <w:sz w:val="24"/>
          <w:szCs w:val="24"/>
        </w:rPr>
        <w:t>karjeras attīstības atbalsta pasākumu plāna paraugu izstrāde</w:t>
      </w:r>
      <w:r w:rsidRPr="005C0211">
        <w:rPr>
          <w:rFonts w:ascii="Times New Roman" w:hAnsi="Times New Roman" w:cs="Times New Roman"/>
          <w:sz w:val="24"/>
          <w:szCs w:val="24"/>
        </w:rPr>
        <w:t xml:space="preserve">, karjeras atbalsta metodisko materiālu izstrāde, </w:t>
      </w:r>
      <w:r>
        <w:rPr>
          <w:rFonts w:ascii="Times New Roman" w:hAnsi="Times New Roman" w:cs="Times New Roman"/>
          <w:sz w:val="24"/>
          <w:szCs w:val="24"/>
        </w:rPr>
        <w:t xml:space="preserve">savukārt, </w:t>
      </w:r>
      <w:r w:rsidRPr="005C0211">
        <w:rPr>
          <w:rFonts w:ascii="Times New Roman" w:hAnsi="Times New Roman" w:cs="Times New Roman"/>
          <w:sz w:val="24"/>
          <w:szCs w:val="24"/>
        </w:rPr>
        <w:t xml:space="preserve">līdz 2019.gada 30.decembrim </w:t>
      </w:r>
      <w:r>
        <w:rPr>
          <w:rFonts w:ascii="Times New Roman" w:hAnsi="Times New Roman" w:cs="Times New Roman"/>
          <w:sz w:val="24"/>
          <w:szCs w:val="24"/>
        </w:rPr>
        <w:t>ir plānots veikt</w:t>
      </w:r>
      <w:r w:rsidRPr="005C0211">
        <w:rPr>
          <w:rFonts w:ascii="Times New Roman" w:hAnsi="Times New Roman" w:cs="Times New Roman"/>
          <w:sz w:val="24"/>
          <w:szCs w:val="24"/>
        </w:rPr>
        <w:t xml:space="preserve"> izstrādāto plānu paraugu un karjeras atbalsta metodisko materiālu aprobācij</w:t>
      </w:r>
      <w:r>
        <w:rPr>
          <w:rFonts w:ascii="Times New Roman" w:hAnsi="Times New Roman" w:cs="Times New Roman"/>
          <w:sz w:val="24"/>
          <w:szCs w:val="24"/>
        </w:rPr>
        <w:t>u</w:t>
      </w:r>
      <w:r w:rsidRPr="005C0211">
        <w:rPr>
          <w:rFonts w:ascii="Times New Roman" w:hAnsi="Times New Roman" w:cs="Times New Roman"/>
          <w:sz w:val="24"/>
          <w:szCs w:val="24"/>
        </w:rPr>
        <w:t xml:space="preserve"> un pilnveidošan</w:t>
      </w:r>
      <w:r>
        <w:rPr>
          <w:rFonts w:ascii="Times New Roman" w:hAnsi="Times New Roman" w:cs="Times New Roman"/>
          <w:sz w:val="24"/>
          <w:szCs w:val="24"/>
        </w:rPr>
        <w:t xml:space="preserve">u, kā arī </w:t>
      </w:r>
      <w:r w:rsidRPr="005C0211">
        <w:rPr>
          <w:rFonts w:ascii="Times New Roman" w:hAnsi="Times New Roman" w:cs="Times New Roman"/>
          <w:sz w:val="24"/>
          <w:szCs w:val="24"/>
        </w:rPr>
        <w:t>izstrādā</w:t>
      </w:r>
      <w:r>
        <w:rPr>
          <w:rFonts w:ascii="Times New Roman" w:hAnsi="Times New Roman" w:cs="Times New Roman"/>
          <w:sz w:val="24"/>
          <w:szCs w:val="24"/>
        </w:rPr>
        <w:t>t</w:t>
      </w:r>
      <w:r w:rsidRPr="005C0211">
        <w:rPr>
          <w:rFonts w:ascii="Times New Roman" w:hAnsi="Times New Roman" w:cs="Times New Roman"/>
          <w:sz w:val="24"/>
          <w:szCs w:val="24"/>
        </w:rPr>
        <w:t xml:space="preserve"> metodikas individuālo karjeras konsultāciju īstenošanai.</w:t>
      </w:r>
    </w:p>
    <w:p w:rsidR="00A43819" w:rsidRPr="00AD0BD5" w:rsidRDefault="00635FBB" w:rsidP="00D211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Vienlaikus tika veikta </w:t>
      </w:r>
      <w:r w:rsidRPr="005C0211">
        <w:rPr>
          <w:rFonts w:ascii="Times New Roman" w:hAnsi="Times New Roman" w:cs="Times New Roman"/>
          <w:sz w:val="24"/>
          <w:szCs w:val="24"/>
        </w:rPr>
        <w:t>papildizglītības satura plānošana</w:t>
      </w:r>
      <w:r>
        <w:rPr>
          <w:rFonts w:ascii="Times New Roman" w:hAnsi="Times New Roman" w:cs="Times New Roman"/>
          <w:sz w:val="24"/>
          <w:szCs w:val="24"/>
        </w:rPr>
        <w:t>,</w:t>
      </w:r>
      <w:r w:rsidRPr="00635FBB">
        <w:rPr>
          <w:rFonts w:ascii="Times New Roman" w:hAnsi="Times New Roman" w:cs="Times New Roman"/>
          <w:sz w:val="24"/>
          <w:szCs w:val="24"/>
        </w:rPr>
        <w:t xml:space="preserve"> </w:t>
      </w:r>
      <w:r w:rsidRPr="005C0211">
        <w:rPr>
          <w:rFonts w:ascii="Times New Roman" w:hAnsi="Times New Roman" w:cs="Times New Roman"/>
          <w:sz w:val="24"/>
          <w:szCs w:val="24"/>
        </w:rPr>
        <w:t xml:space="preserve">līdz 2019.gada 30.decembrim </w:t>
      </w:r>
      <w:r>
        <w:rPr>
          <w:rFonts w:ascii="Times New Roman" w:hAnsi="Times New Roman" w:cs="Times New Roman"/>
          <w:sz w:val="24"/>
          <w:szCs w:val="24"/>
        </w:rPr>
        <w:t>plānojot veikt</w:t>
      </w:r>
      <w:r w:rsidRPr="005C0211">
        <w:rPr>
          <w:rFonts w:ascii="Times New Roman" w:hAnsi="Times New Roman" w:cs="Times New Roman"/>
          <w:sz w:val="24"/>
          <w:szCs w:val="24"/>
        </w:rPr>
        <w:t xml:space="preserve"> </w:t>
      </w:r>
      <w:r w:rsidRPr="00D01DE7">
        <w:rPr>
          <w:rFonts w:ascii="Times New Roman" w:hAnsi="Times New Roman" w:cs="Times New Roman"/>
          <w:b/>
          <w:sz w:val="24"/>
          <w:szCs w:val="24"/>
        </w:rPr>
        <w:t>vispārējās un profesionālās izglītības iestādēs strādājošo pedagogu un karjeras atbalsta pasākumu īstenošanā iesaistīto speciālistu papildizglītību</w:t>
      </w:r>
      <w:r w:rsidRPr="005C0211">
        <w:rPr>
          <w:rFonts w:ascii="Times New Roman" w:hAnsi="Times New Roman" w:cs="Times New Roman"/>
          <w:sz w:val="24"/>
          <w:szCs w:val="24"/>
        </w:rPr>
        <w:t xml:space="preserve"> par darbu ar </w:t>
      </w:r>
      <w:r w:rsidR="00E53708">
        <w:rPr>
          <w:rFonts w:ascii="Times New Roman" w:hAnsi="Times New Roman" w:cs="Times New Roman"/>
          <w:sz w:val="24"/>
          <w:szCs w:val="24"/>
        </w:rPr>
        <w:t>k</w:t>
      </w:r>
      <w:r w:rsidRPr="005C0211">
        <w:rPr>
          <w:rFonts w:ascii="Times New Roman" w:hAnsi="Times New Roman" w:cs="Times New Roman"/>
          <w:sz w:val="24"/>
          <w:szCs w:val="24"/>
        </w:rPr>
        <w:t xml:space="preserve">arjeras attīstības atbalsta pasākumu plāna paraugiem un karjeras atbalsta metodiskajiem materiālu, </w:t>
      </w:r>
      <w:r w:rsidR="00E53708">
        <w:rPr>
          <w:rFonts w:ascii="Times New Roman" w:hAnsi="Times New Roman" w:cs="Times New Roman"/>
          <w:sz w:val="24"/>
          <w:szCs w:val="24"/>
        </w:rPr>
        <w:t>kā arī</w:t>
      </w:r>
      <w:r w:rsidRPr="005C0211">
        <w:rPr>
          <w:rFonts w:ascii="Times New Roman" w:hAnsi="Times New Roman" w:cs="Times New Roman"/>
          <w:sz w:val="24"/>
          <w:szCs w:val="24"/>
        </w:rPr>
        <w:t xml:space="preserve"> par darbu ar metodikām individuālo karjeras konsultāciju īstenošanai.</w:t>
      </w:r>
    </w:p>
    <w:p w:rsidR="000B4CDB" w:rsidRDefault="00BA0999" w:rsidP="004929E5">
      <w:pPr>
        <w:pStyle w:val="ListParagraph"/>
        <w:ind w:left="0" w:firstLine="567"/>
        <w:jc w:val="both"/>
      </w:pPr>
      <w:r w:rsidRPr="00D01DE7">
        <w:rPr>
          <w:b/>
        </w:rPr>
        <w:t>Pedagogu – karjeras konsultantu</w:t>
      </w:r>
      <w:r w:rsidRPr="00AD0BD5">
        <w:t xml:space="preserve"> skaits vispārējās un profesionālās izglītības iestādēs </w:t>
      </w:r>
      <w:r w:rsidR="0097161F">
        <w:t xml:space="preserve">pārskata periodā </w:t>
      </w:r>
      <w:r w:rsidRPr="003F690A">
        <w:t>p</w:t>
      </w:r>
      <w:r w:rsidR="003C64F5">
        <w:t>alielinājies no 54 (2012./2013.</w:t>
      </w:r>
      <w:r w:rsidRPr="003F690A">
        <w:t>mā</w:t>
      </w:r>
      <w:r w:rsidR="003C64F5">
        <w:t>cību gadā) līdz 93 (2015./2016.</w:t>
      </w:r>
      <w:r w:rsidRPr="003F690A">
        <w:t>mācību gad</w:t>
      </w:r>
      <w:r w:rsidR="003C64F5">
        <w:t>ā</w:t>
      </w:r>
      <w:r w:rsidRPr="003F690A">
        <w:t>), kuri pārsvarā strādā ar nepilnu slodzi.</w:t>
      </w:r>
      <w:r w:rsidR="00C357F3">
        <w:t xml:space="preserve"> Vienlaikus 8.3.5.SAM projektā līdz 2017.gada beigām n</w:t>
      </w:r>
      <w:r w:rsidR="00C357F3" w:rsidRPr="00712577">
        <w:t xml:space="preserve">odarbināti 368 </w:t>
      </w:r>
      <w:r w:rsidR="00C357F3">
        <w:t>pedagogi – karjeras konsultanti</w:t>
      </w:r>
      <w:r w:rsidR="00C357F3" w:rsidRPr="00712577">
        <w:t xml:space="preserve">  ar kopējo slodzi 198,20</w:t>
      </w:r>
      <w:r w:rsidR="00C357F3">
        <w:t>.</w:t>
      </w:r>
    </w:p>
    <w:p w:rsidR="00216EA0" w:rsidRDefault="00D211F8" w:rsidP="00216EA0">
      <w:pPr>
        <w:pStyle w:val="ListParagraph"/>
        <w:ind w:left="0" w:firstLine="567"/>
        <w:jc w:val="both"/>
      </w:pPr>
      <w:r>
        <w:t>Visa pārskata perioda ietvaros tika</w:t>
      </w:r>
      <w:r w:rsidR="0009381D">
        <w:t xml:space="preserve"> veikti </w:t>
      </w:r>
      <w:r w:rsidR="0009381D" w:rsidRPr="00D01DE7">
        <w:rPr>
          <w:b/>
        </w:rPr>
        <w:t>karjeras attīstības atbalsta un informēšanas pasākumi</w:t>
      </w:r>
      <w:r w:rsidR="0009381D">
        <w:t xml:space="preserve">, tajā skaitā, </w:t>
      </w:r>
      <w:r w:rsidR="0009381D" w:rsidRPr="002E75CA">
        <w:rPr>
          <w:i/>
        </w:rPr>
        <w:t>Karjeras nedēļa,</w:t>
      </w:r>
      <w:r w:rsidR="0009381D">
        <w:t xml:space="preserve"> kurā katru gadu piedalījās vairāk kā 100 000 bērnu un jaunie</w:t>
      </w:r>
      <w:r w:rsidR="00216EA0">
        <w:t xml:space="preserve">šu. </w:t>
      </w:r>
      <w:r w:rsidR="00216EA0" w:rsidRPr="005C0211">
        <w:t xml:space="preserve">Ik gadu </w:t>
      </w:r>
      <w:r w:rsidR="00216EA0">
        <w:t>EK</w:t>
      </w:r>
      <w:r w:rsidR="00216EA0" w:rsidRPr="005C0211">
        <w:t xml:space="preserve"> konsultāciju un informācijas apmaiņas tīkla </w:t>
      </w:r>
      <w:r w:rsidR="00216EA0" w:rsidRPr="00216EA0">
        <w:rPr>
          <w:i/>
        </w:rPr>
        <w:t>Euroguidance</w:t>
      </w:r>
      <w:r w:rsidR="00216EA0" w:rsidRPr="005C0211">
        <w:t xml:space="preserve"> ietvaros tik</w:t>
      </w:r>
      <w:r w:rsidR="00216EA0">
        <w:t>a</w:t>
      </w:r>
      <w:r w:rsidR="00216EA0" w:rsidRPr="005C0211">
        <w:t xml:space="preserve"> rīkoti pasākumi karjeras atbalsta speciālistu profesionālo kompetenču pilnveidei.</w:t>
      </w:r>
    </w:p>
    <w:p w:rsidR="00216EA0" w:rsidRPr="00216EA0" w:rsidRDefault="00216EA0" w:rsidP="00216EA0">
      <w:pPr>
        <w:spacing w:after="0" w:line="240" w:lineRule="auto"/>
        <w:ind w:firstLine="567"/>
        <w:jc w:val="both"/>
        <w:rPr>
          <w:rFonts w:ascii="Times New Roman" w:hAnsi="Times New Roman" w:cs="Times New Roman"/>
          <w:sz w:val="24"/>
          <w:szCs w:val="24"/>
        </w:rPr>
      </w:pPr>
      <w:r w:rsidRPr="00216EA0">
        <w:rPr>
          <w:rFonts w:ascii="Times New Roman" w:hAnsi="Times New Roman" w:cs="Times New Roman"/>
          <w:sz w:val="24"/>
          <w:szCs w:val="24"/>
        </w:rPr>
        <w:t xml:space="preserve">Tika regulāri aktualizēta informācija </w:t>
      </w:r>
      <w:r w:rsidRPr="00D01DE7">
        <w:rPr>
          <w:rFonts w:ascii="Times New Roman" w:hAnsi="Times New Roman" w:cs="Times New Roman"/>
          <w:b/>
          <w:sz w:val="24"/>
          <w:szCs w:val="24"/>
        </w:rPr>
        <w:t>nacionālajā izglītības iespēju datu bāzē</w:t>
      </w:r>
      <w:r w:rsidRPr="00216EA0">
        <w:rPr>
          <w:rFonts w:ascii="Times New Roman" w:hAnsi="Times New Roman" w:cs="Times New Roman"/>
          <w:sz w:val="24"/>
          <w:szCs w:val="24"/>
        </w:rPr>
        <w:t xml:space="preserve"> NIID.LV, šobrīd tajā ir publiski pieejama informācija par 14 090 izglītības programmām 1918 izglītības iestādēs. Vienlaikus ir paplašināts informācijas apjoms interneta vietnē </w:t>
      </w:r>
      <w:r w:rsidRPr="00D01DE7">
        <w:rPr>
          <w:rFonts w:ascii="Times New Roman" w:hAnsi="Times New Roman" w:cs="Times New Roman"/>
          <w:b/>
          <w:sz w:val="24"/>
          <w:szCs w:val="24"/>
        </w:rPr>
        <w:t>Profesiju pasaule</w:t>
      </w:r>
      <w:r w:rsidRPr="00216EA0">
        <w:rPr>
          <w:rFonts w:ascii="Times New Roman" w:hAnsi="Times New Roman" w:cs="Times New Roman"/>
          <w:i/>
          <w:sz w:val="24"/>
          <w:szCs w:val="24"/>
        </w:rPr>
        <w:t xml:space="preserve">, </w:t>
      </w:r>
      <w:r>
        <w:rPr>
          <w:rFonts w:ascii="Times New Roman" w:hAnsi="Times New Roman" w:cs="Times New Roman"/>
          <w:sz w:val="24"/>
          <w:szCs w:val="24"/>
        </w:rPr>
        <w:t>kurā ir</w:t>
      </w:r>
      <w:r w:rsidRPr="00216EA0">
        <w:rPr>
          <w:rFonts w:ascii="Times New Roman" w:hAnsi="Times New Roman" w:cs="Times New Roman"/>
          <w:sz w:val="24"/>
          <w:szCs w:val="24"/>
        </w:rPr>
        <w:t xml:space="preserve"> pieejama informācija par 29 uzņēmumu</w:t>
      </w:r>
      <w:r>
        <w:rPr>
          <w:rFonts w:ascii="Times New Roman" w:hAnsi="Times New Roman" w:cs="Times New Roman"/>
          <w:sz w:val="24"/>
          <w:szCs w:val="24"/>
        </w:rPr>
        <w:t xml:space="preserve"> veidiem un 166 profesijām, kā arī divi</w:t>
      </w:r>
      <w:r w:rsidRPr="00216EA0">
        <w:rPr>
          <w:rFonts w:ascii="Times New Roman" w:hAnsi="Times New Roman" w:cs="Times New Roman"/>
          <w:sz w:val="24"/>
          <w:szCs w:val="24"/>
        </w:rPr>
        <w:t xml:space="preserve"> informatīvi metodiskie palīglīdzekļi "Kļūsti uzņēmējs" un "Izpēti profesiju pats”.</w:t>
      </w:r>
    </w:p>
    <w:p w:rsidR="00216EA0" w:rsidRPr="00216EA0" w:rsidRDefault="00216EA0" w:rsidP="00216EA0">
      <w:pPr>
        <w:pStyle w:val="ListParagraph"/>
        <w:ind w:left="0" w:firstLine="567"/>
        <w:jc w:val="both"/>
        <w:rPr>
          <w:rFonts w:eastAsiaTheme="minorHAnsi"/>
        </w:rPr>
      </w:pPr>
      <w:r w:rsidRPr="002E75CA">
        <w:t xml:space="preserve">Tiek īstenotas arī pašvaldību, privātas un citas iniciatīvas, lai veicinātu jauniešu informētību par darba tirgu, piemēram, </w:t>
      </w:r>
      <w:r w:rsidRPr="00D01DE7">
        <w:rPr>
          <w:b/>
        </w:rPr>
        <w:t>jauniešu karjeras portāls</w:t>
      </w:r>
      <w:r w:rsidRPr="002E75CA">
        <w:t xml:space="preserve"> </w:t>
      </w:r>
      <w:r w:rsidRPr="002E75CA">
        <w:rPr>
          <w:u w:val="single"/>
        </w:rPr>
        <w:t>www.prakse.lv</w:t>
      </w:r>
      <w:r w:rsidRPr="002E75CA">
        <w:t xml:space="preserve"> sadarbībā ar L</w:t>
      </w:r>
      <w:r w:rsidR="00D01DE7">
        <w:t>atvijas Darba devēju konfederāciju</w:t>
      </w:r>
      <w:r w:rsidRPr="002E75CA">
        <w:t xml:space="preserve"> īstenoja projektu </w:t>
      </w:r>
      <w:r w:rsidRPr="002E75CA">
        <w:rPr>
          <w:i/>
        </w:rPr>
        <w:t>Virtuālā prakse</w:t>
      </w:r>
      <w:r w:rsidRPr="002E75CA">
        <w:t>.</w:t>
      </w:r>
    </w:p>
    <w:p w:rsidR="00216EA0" w:rsidRPr="005C0211" w:rsidRDefault="00216EA0" w:rsidP="00216E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Sekmējot jauniešu dalību </w:t>
      </w:r>
      <w:r w:rsidRPr="00D01DE7">
        <w:rPr>
          <w:rFonts w:ascii="Times New Roman" w:hAnsi="Times New Roman" w:cs="Times New Roman"/>
          <w:b/>
          <w:sz w:val="24"/>
          <w:szCs w:val="24"/>
        </w:rPr>
        <w:t>profesionālās meistarības konkursos</w:t>
      </w:r>
      <w:r>
        <w:rPr>
          <w:rFonts w:ascii="Times New Roman" w:hAnsi="Times New Roman" w:cs="Times New Roman"/>
          <w:sz w:val="24"/>
          <w:szCs w:val="24"/>
        </w:rPr>
        <w:t xml:space="preserve">, </w:t>
      </w:r>
      <w:r w:rsidRPr="005C0211">
        <w:rPr>
          <w:rFonts w:ascii="Times New Roman" w:hAnsi="Times New Roman" w:cs="Times New Roman"/>
          <w:sz w:val="24"/>
          <w:szCs w:val="24"/>
        </w:rPr>
        <w:t xml:space="preserve">2016.-2017.gadā ir noticis nacionālais jauno profesionāļu meistarības konkurss </w:t>
      </w:r>
      <w:r w:rsidRPr="005C0211">
        <w:rPr>
          <w:rFonts w:ascii="Times New Roman" w:hAnsi="Times New Roman" w:cs="Times New Roman"/>
          <w:i/>
          <w:sz w:val="24"/>
          <w:szCs w:val="24"/>
        </w:rPr>
        <w:t>SkillsLatvia</w:t>
      </w:r>
      <w:r w:rsidRPr="005C0211">
        <w:rPr>
          <w:rFonts w:ascii="Times New Roman" w:hAnsi="Times New Roman" w:cs="Times New Roman"/>
          <w:sz w:val="24"/>
          <w:szCs w:val="24"/>
        </w:rPr>
        <w:t xml:space="preserve"> 2017, kurā piedalījās 96 konkursanti no 30 profesionālās izglītības iestādēm. </w:t>
      </w:r>
    </w:p>
    <w:p w:rsidR="00216EA0" w:rsidRPr="005C0211" w:rsidRDefault="00216EA0" w:rsidP="00216EA0">
      <w:pPr>
        <w:spacing w:after="0" w:line="240" w:lineRule="auto"/>
        <w:ind w:firstLine="567"/>
        <w:jc w:val="both"/>
        <w:rPr>
          <w:rFonts w:ascii="Times New Roman" w:hAnsi="Times New Roman" w:cs="Times New Roman"/>
          <w:sz w:val="24"/>
          <w:szCs w:val="24"/>
        </w:rPr>
      </w:pPr>
      <w:r w:rsidRPr="005C0211">
        <w:rPr>
          <w:rFonts w:ascii="Times New Roman" w:hAnsi="Times New Roman" w:cs="Times New Roman"/>
          <w:sz w:val="24"/>
          <w:szCs w:val="24"/>
        </w:rPr>
        <w:t xml:space="preserve">2016.gadā Latvijas komanda 12 konkursantu un 10 ekspertu sastāvā piedalījās starptautiskajā jauno profesionāļu meistarības konkursā </w:t>
      </w:r>
      <w:r w:rsidRPr="005C0211">
        <w:rPr>
          <w:rFonts w:ascii="Times New Roman" w:hAnsi="Times New Roman" w:cs="Times New Roman"/>
          <w:i/>
          <w:sz w:val="24"/>
          <w:szCs w:val="24"/>
        </w:rPr>
        <w:t xml:space="preserve">EuroSkills 2016, </w:t>
      </w:r>
      <w:r w:rsidR="00C63F07">
        <w:rPr>
          <w:rFonts w:ascii="Times New Roman" w:hAnsi="Times New Roman" w:cs="Times New Roman"/>
          <w:sz w:val="24"/>
          <w:szCs w:val="24"/>
        </w:rPr>
        <w:t>kas norisinājās Gēteborgā (</w:t>
      </w:r>
      <w:r w:rsidRPr="005C0211">
        <w:rPr>
          <w:rFonts w:ascii="Times New Roman" w:hAnsi="Times New Roman" w:cs="Times New Roman"/>
          <w:sz w:val="24"/>
          <w:szCs w:val="24"/>
        </w:rPr>
        <w:t>Zviedrijā</w:t>
      </w:r>
      <w:r w:rsidR="00C63F07">
        <w:rPr>
          <w:rFonts w:ascii="Times New Roman" w:hAnsi="Times New Roman" w:cs="Times New Roman"/>
          <w:sz w:val="24"/>
          <w:szCs w:val="24"/>
        </w:rPr>
        <w:t>), iegūstot</w:t>
      </w:r>
      <w:r w:rsidRPr="005C0211">
        <w:rPr>
          <w:rFonts w:ascii="Times New Roman" w:hAnsi="Times New Roman" w:cs="Times New Roman"/>
          <w:sz w:val="24"/>
          <w:szCs w:val="24"/>
        </w:rPr>
        <w:t xml:space="preserve"> 2 sudraba medaļas, 3 bronzas medaļas un 4 izcilības medaļas.</w:t>
      </w:r>
    </w:p>
    <w:p w:rsidR="00216EA0" w:rsidRPr="005C0211" w:rsidRDefault="00216EA0" w:rsidP="00216EA0">
      <w:pPr>
        <w:spacing w:after="0" w:line="240" w:lineRule="auto"/>
        <w:ind w:firstLine="567"/>
        <w:jc w:val="both"/>
        <w:rPr>
          <w:rFonts w:ascii="Times New Roman" w:hAnsi="Times New Roman" w:cs="Times New Roman"/>
          <w:sz w:val="24"/>
          <w:szCs w:val="24"/>
        </w:rPr>
      </w:pPr>
      <w:r w:rsidRPr="005C0211">
        <w:rPr>
          <w:rFonts w:ascii="Times New Roman" w:hAnsi="Times New Roman" w:cs="Times New Roman"/>
          <w:sz w:val="24"/>
          <w:szCs w:val="24"/>
        </w:rPr>
        <w:t xml:space="preserve">2017.gadā Latvijas komanda 8 konkursantu un 8 ekspertu sastāvā piedalījās starptautiskajā jauno profesionāļu meistarības konkursā </w:t>
      </w:r>
      <w:r w:rsidRPr="005C0211">
        <w:rPr>
          <w:rFonts w:ascii="Times New Roman" w:hAnsi="Times New Roman" w:cs="Times New Roman"/>
          <w:i/>
          <w:sz w:val="24"/>
          <w:szCs w:val="24"/>
        </w:rPr>
        <w:t>WorldSkills 2017</w:t>
      </w:r>
      <w:r w:rsidR="00C63F07">
        <w:rPr>
          <w:rFonts w:ascii="Times New Roman" w:hAnsi="Times New Roman" w:cs="Times New Roman"/>
          <w:sz w:val="24"/>
          <w:szCs w:val="24"/>
        </w:rPr>
        <w:t>, kas norisinājās Abū Dabi,</w:t>
      </w:r>
      <w:r w:rsidRPr="005C0211">
        <w:rPr>
          <w:rFonts w:ascii="Times New Roman" w:hAnsi="Times New Roman" w:cs="Times New Roman"/>
          <w:sz w:val="24"/>
          <w:szCs w:val="24"/>
        </w:rPr>
        <w:t xml:space="preserve"> 3 no konkursantiem ieg</w:t>
      </w:r>
      <w:r w:rsidR="00C63F07">
        <w:rPr>
          <w:rFonts w:ascii="Times New Roman" w:hAnsi="Times New Roman" w:cs="Times New Roman"/>
          <w:sz w:val="24"/>
          <w:szCs w:val="24"/>
        </w:rPr>
        <w:t>ūstot</w:t>
      </w:r>
      <w:r w:rsidRPr="005C0211">
        <w:rPr>
          <w:rFonts w:ascii="Times New Roman" w:hAnsi="Times New Roman" w:cs="Times New Roman"/>
          <w:sz w:val="24"/>
          <w:szCs w:val="24"/>
        </w:rPr>
        <w:t xml:space="preserve"> izcilības medaļas. </w:t>
      </w:r>
    </w:p>
    <w:p w:rsidR="00216EA0" w:rsidRDefault="00C63F07" w:rsidP="00216EA0">
      <w:pPr>
        <w:pStyle w:val="ListParagraph"/>
        <w:ind w:left="0" w:firstLine="567"/>
        <w:jc w:val="both"/>
      </w:pPr>
      <w:r>
        <w:t>Arī turpmāk ir p</w:t>
      </w:r>
      <w:r w:rsidR="00216EA0" w:rsidRPr="005C0211">
        <w:t xml:space="preserve">lānots turpināt nodrošināt nacionālā jauno profesionāļu meistarības konkursu </w:t>
      </w:r>
      <w:r w:rsidR="00216EA0" w:rsidRPr="005C0211">
        <w:rPr>
          <w:i/>
        </w:rPr>
        <w:t xml:space="preserve">SkillsLatvia </w:t>
      </w:r>
      <w:r w:rsidR="00216EA0" w:rsidRPr="005C0211">
        <w:t>org</w:t>
      </w:r>
      <w:r w:rsidR="00760548">
        <w:t>anizēšanu 2018., 2019. un 2020.</w:t>
      </w:r>
      <w:r w:rsidR="00216EA0" w:rsidRPr="005C0211">
        <w:t>gadā; nodrošināt nozaru jauno profesionāļu meistarības konkursu organizēšanu 4 nozarēs, kā arī sagatavot Latvijas komandas dalību un nodrošināt pārstāvību starptautiskajos jauno profesi</w:t>
      </w:r>
      <w:r w:rsidR="00760548">
        <w:t>o</w:t>
      </w:r>
      <w:r w:rsidR="00216EA0" w:rsidRPr="005C0211">
        <w:t xml:space="preserve">nāļu meistarības konkursos </w:t>
      </w:r>
      <w:r w:rsidR="00216EA0" w:rsidRPr="005C0211">
        <w:rPr>
          <w:i/>
        </w:rPr>
        <w:t>Euroskills 2018, WorldSkills 2019, EuroSkills 2020.</w:t>
      </w:r>
    </w:p>
    <w:p w:rsidR="00216EA0" w:rsidRDefault="00216EA0" w:rsidP="00D06931">
      <w:pPr>
        <w:pStyle w:val="ListParagraph"/>
        <w:ind w:left="0"/>
        <w:jc w:val="both"/>
      </w:pPr>
    </w:p>
    <w:p w:rsidR="000B4CDB" w:rsidRDefault="000B4CDB" w:rsidP="00FD39DA">
      <w:pPr>
        <w:pStyle w:val="ListParagraph"/>
        <w:ind w:left="0"/>
        <w:jc w:val="both"/>
        <w:rPr>
          <w:rFonts w:eastAsiaTheme="minorHAnsi"/>
        </w:rPr>
      </w:pPr>
    </w:p>
    <w:p w:rsidR="00760548" w:rsidRDefault="00760548" w:rsidP="00FD39DA">
      <w:pPr>
        <w:pStyle w:val="ListParagraph"/>
        <w:ind w:left="0"/>
        <w:jc w:val="both"/>
        <w:rPr>
          <w:rFonts w:eastAsiaTheme="minorHAnsi"/>
        </w:rPr>
      </w:pPr>
    </w:p>
    <w:tbl>
      <w:tblPr>
        <w:tblStyle w:val="TableGrid"/>
        <w:tblW w:w="0" w:type="auto"/>
        <w:tblLook w:val="04A0" w:firstRow="1" w:lastRow="0" w:firstColumn="1" w:lastColumn="0" w:noHBand="0" w:noVBand="1"/>
      </w:tblPr>
      <w:tblGrid>
        <w:gridCol w:w="9345"/>
      </w:tblGrid>
      <w:tr w:rsidR="00670008" w:rsidTr="00670008">
        <w:tc>
          <w:tcPr>
            <w:tcW w:w="9345" w:type="dxa"/>
            <w:shd w:val="clear" w:color="auto" w:fill="DEEAF6" w:themeFill="accent1" w:themeFillTint="33"/>
          </w:tcPr>
          <w:p w:rsidR="00670008" w:rsidRPr="00670008" w:rsidRDefault="00670008" w:rsidP="00FD39DA">
            <w:pPr>
              <w:pStyle w:val="ListParagraph"/>
              <w:ind w:left="0"/>
              <w:jc w:val="both"/>
              <w:rPr>
                <w:rFonts w:eastAsiaTheme="minorHAnsi"/>
                <w:b/>
              </w:rPr>
            </w:pPr>
            <w:r w:rsidRPr="00670008">
              <w:rPr>
                <w:b/>
              </w:rPr>
              <w:t xml:space="preserve">Rīcības virziens: </w:t>
            </w:r>
            <w:r w:rsidRPr="00670008">
              <w:rPr>
                <w:rFonts w:eastAsiaTheme="minorHAnsi"/>
                <w:b/>
              </w:rPr>
              <w:t>2.2. Priekšlaicīgi mācības pametušo un izglītību neieguvušo skaita samazināšana</w:t>
            </w:r>
          </w:p>
        </w:tc>
      </w:tr>
    </w:tbl>
    <w:p w:rsidR="003D6979" w:rsidRPr="00760548" w:rsidRDefault="00892509" w:rsidP="00892509">
      <w:pPr>
        <w:pStyle w:val="ListParagraph"/>
        <w:ind w:left="0" w:firstLine="720"/>
        <w:jc w:val="both"/>
        <w:rPr>
          <w:color w:val="000000"/>
          <w:spacing w:val="-2"/>
        </w:rPr>
      </w:pPr>
      <w:r w:rsidRPr="00760548">
        <w:rPr>
          <w:color w:val="000000"/>
          <w:spacing w:val="-2"/>
        </w:rPr>
        <w:t xml:space="preserve">Analizējot datus par </w:t>
      </w:r>
      <w:r w:rsidRPr="00760548">
        <w:rPr>
          <w:b/>
          <w:color w:val="000000"/>
          <w:spacing w:val="-2"/>
        </w:rPr>
        <w:t>izglītību priekšlaicīgi pametušajiem</w:t>
      </w:r>
      <w:r w:rsidRPr="00760548">
        <w:rPr>
          <w:color w:val="000000"/>
          <w:spacing w:val="-2"/>
        </w:rPr>
        <w:t xml:space="preserve">, </w:t>
      </w:r>
      <w:r w:rsidR="00C5690E" w:rsidRPr="00760548">
        <w:rPr>
          <w:color w:val="000000"/>
          <w:spacing w:val="-2"/>
        </w:rPr>
        <w:t xml:space="preserve">pārskata periodā </w:t>
      </w:r>
      <w:r w:rsidR="00760548">
        <w:rPr>
          <w:color w:val="000000"/>
          <w:spacing w:val="-2"/>
        </w:rPr>
        <w:t>ir no</w:t>
      </w:r>
      <w:r w:rsidRPr="00760548">
        <w:rPr>
          <w:color w:val="000000"/>
          <w:spacing w:val="-2"/>
        </w:rPr>
        <w:t>vērojam</w:t>
      </w:r>
      <w:r w:rsidR="00C5690E" w:rsidRPr="00760548">
        <w:rPr>
          <w:color w:val="000000"/>
          <w:spacing w:val="-2"/>
        </w:rPr>
        <w:t>a</w:t>
      </w:r>
      <w:r w:rsidRPr="00760548">
        <w:rPr>
          <w:color w:val="000000"/>
          <w:spacing w:val="-2"/>
        </w:rPr>
        <w:t xml:space="preserve">s to īpatsvara </w:t>
      </w:r>
      <w:r w:rsidR="00C5690E" w:rsidRPr="00760548">
        <w:rPr>
          <w:color w:val="000000"/>
          <w:spacing w:val="-2"/>
        </w:rPr>
        <w:t>izmaiņas: sākot ar nelielu pieaugumu no 8,5% (2014.) līdz 10% (2016.), pēc tam sekojot samazinājumam līdz 8,6% (2017.)</w:t>
      </w:r>
      <w:r w:rsidR="00FB468C" w:rsidRPr="00760548">
        <w:rPr>
          <w:color w:val="000000"/>
          <w:spacing w:val="-2"/>
        </w:rPr>
        <w:t xml:space="preserve">. </w:t>
      </w:r>
      <w:r w:rsidR="001949A4" w:rsidRPr="00760548">
        <w:rPr>
          <w:color w:val="000000"/>
          <w:spacing w:val="-2"/>
        </w:rPr>
        <w:t xml:space="preserve">Īpatsvara samazināšanās tendence ir novērojama </w:t>
      </w:r>
      <w:r w:rsidR="00760548" w:rsidRPr="00760548">
        <w:rPr>
          <w:color w:val="000000"/>
          <w:spacing w:val="-2"/>
        </w:rPr>
        <w:t xml:space="preserve">arī </w:t>
      </w:r>
      <w:r w:rsidR="001949A4" w:rsidRPr="00760548">
        <w:rPr>
          <w:color w:val="000000"/>
          <w:spacing w:val="-2"/>
        </w:rPr>
        <w:t xml:space="preserve">vidēji ES, kas </w:t>
      </w:r>
      <w:r w:rsidR="00B32194" w:rsidRPr="00760548">
        <w:rPr>
          <w:color w:val="000000"/>
          <w:spacing w:val="-2"/>
        </w:rPr>
        <w:t>pārskata periodā</w:t>
      </w:r>
      <w:r w:rsidR="001949A4" w:rsidRPr="00760548">
        <w:rPr>
          <w:color w:val="000000"/>
          <w:spacing w:val="-2"/>
        </w:rPr>
        <w:t xml:space="preserve"> pārsniedz</w:t>
      </w:r>
      <w:r w:rsidR="00B32194" w:rsidRPr="00760548">
        <w:rPr>
          <w:color w:val="000000"/>
          <w:spacing w:val="-2"/>
        </w:rPr>
        <w:t>a</w:t>
      </w:r>
      <w:r w:rsidR="001949A4" w:rsidRPr="00760548">
        <w:rPr>
          <w:color w:val="000000"/>
          <w:spacing w:val="-2"/>
        </w:rPr>
        <w:t xml:space="preserve"> Latvijas rādītāju.</w:t>
      </w:r>
    </w:p>
    <w:p w:rsidR="00957E4C" w:rsidRDefault="00957E4C" w:rsidP="00892509">
      <w:pPr>
        <w:pStyle w:val="ListParagraph"/>
        <w:ind w:left="0" w:firstLine="720"/>
        <w:jc w:val="both"/>
        <w:rPr>
          <w:color w:val="000000"/>
          <w:spacing w:val="-2"/>
        </w:rPr>
      </w:pPr>
    </w:p>
    <w:p w:rsidR="00957E4C" w:rsidRDefault="00957E4C" w:rsidP="00892509">
      <w:pPr>
        <w:pStyle w:val="ListParagraph"/>
        <w:ind w:left="0" w:firstLine="720"/>
        <w:jc w:val="both"/>
        <w:rPr>
          <w:color w:val="000000"/>
          <w:spacing w:val="-2"/>
        </w:rPr>
      </w:pPr>
    </w:p>
    <w:p w:rsidR="00760548" w:rsidRDefault="00760548" w:rsidP="00892509">
      <w:pPr>
        <w:pStyle w:val="ListParagraph"/>
        <w:ind w:left="0" w:firstLine="720"/>
        <w:jc w:val="both"/>
        <w:rPr>
          <w:color w:val="000000"/>
          <w:spacing w:val="-2"/>
        </w:rPr>
      </w:pPr>
    </w:p>
    <w:p w:rsidR="00B908F3" w:rsidRDefault="00B908F3" w:rsidP="00B908F3">
      <w:pPr>
        <w:pStyle w:val="ListParagraph"/>
        <w:ind w:left="0" w:firstLine="720"/>
        <w:jc w:val="right"/>
        <w:rPr>
          <w:color w:val="000000"/>
          <w:spacing w:val="-2"/>
        </w:rPr>
      </w:pPr>
      <w:r>
        <w:rPr>
          <w:color w:val="000000"/>
          <w:spacing w:val="-2"/>
        </w:rPr>
        <w:lastRenderedPageBreak/>
        <w:t>5.attēls</w:t>
      </w:r>
    </w:p>
    <w:p w:rsidR="00B908F3" w:rsidRPr="00AB714E" w:rsidRDefault="00B908F3" w:rsidP="00B908F3">
      <w:pPr>
        <w:pStyle w:val="ListParagraph"/>
        <w:ind w:left="0" w:firstLine="720"/>
        <w:jc w:val="center"/>
        <w:rPr>
          <w:b/>
          <w:spacing w:val="-2"/>
        </w:rPr>
      </w:pPr>
      <w:r w:rsidRPr="00AB714E">
        <w:rPr>
          <w:b/>
          <w:spacing w:val="-2"/>
        </w:rPr>
        <w:t>Izglītību priekšlaicīgi pametušo īpatsvars (vecuma grupā 18-24 gadi)</w:t>
      </w:r>
    </w:p>
    <w:p w:rsidR="00B908F3" w:rsidRDefault="007E4FDA" w:rsidP="007E4FDA">
      <w:pPr>
        <w:pStyle w:val="ListParagraph"/>
        <w:ind w:left="0"/>
        <w:jc w:val="center"/>
        <w:rPr>
          <w:color w:val="000000"/>
          <w:spacing w:val="-2"/>
        </w:rPr>
      </w:pPr>
      <w:r>
        <w:rPr>
          <w:noProof/>
          <w:color w:val="000000"/>
          <w:spacing w:val="-2"/>
        </w:rPr>
        <w:drawing>
          <wp:inline distT="0" distB="0" distL="0" distR="0">
            <wp:extent cx="5629275" cy="24098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08F3" w:rsidRPr="007E4FDA" w:rsidRDefault="007E4FDA" w:rsidP="00892509">
      <w:pPr>
        <w:pStyle w:val="ListParagraph"/>
        <w:ind w:left="0" w:firstLine="720"/>
        <w:jc w:val="both"/>
        <w:rPr>
          <w:i/>
          <w:color w:val="000000"/>
          <w:spacing w:val="-2"/>
          <w:sz w:val="22"/>
          <w:szCs w:val="22"/>
        </w:rPr>
      </w:pPr>
      <w:r w:rsidRPr="007E4FDA">
        <w:rPr>
          <w:i/>
          <w:color w:val="000000"/>
          <w:spacing w:val="-2"/>
          <w:sz w:val="22"/>
          <w:szCs w:val="22"/>
        </w:rPr>
        <w:t>* Eurostat dati</w:t>
      </w:r>
    </w:p>
    <w:p w:rsidR="007E4FDA" w:rsidRDefault="007E4FDA" w:rsidP="00892509">
      <w:pPr>
        <w:pStyle w:val="ListParagraph"/>
        <w:ind w:left="0" w:firstLine="720"/>
        <w:jc w:val="both"/>
        <w:rPr>
          <w:color w:val="000000"/>
          <w:spacing w:val="-2"/>
        </w:rPr>
      </w:pPr>
    </w:p>
    <w:p w:rsidR="00D91954" w:rsidRDefault="005D5BB6" w:rsidP="006442DA">
      <w:pPr>
        <w:pStyle w:val="ListParagraph"/>
        <w:ind w:left="0" w:firstLine="720"/>
        <w:jc w:val="both"/>
      </w:pPr>
      <w:r>
        <w:t xml:space="preserve">Lai </w:t>
      </w:r>
      <w:r w:rsidR="00193E58">
        <w:t xml:space="preserve">saprastu </w:t>
      </w:r>
      <w:r w:rsidR="00792463">
        <w:t>priekšlaicīgas</w:t>
      </w:r>
      <w:r w:rsidR="00193E58">
        <w:t xml:space="preserve"> skolas </w:t>
      </w:r>
      <w:r w:rsidR="00C357F3">
        <w:t>pamešanas</w:t>
      </w:r>
      <w:r w:rsidR="00193E58">
        <w:t xml:space="preserve"> cēloņus, kā arī atgriešanas iespējas</w:t>
      </w:r>
      <w:r w:rsidRPr="005C0211">
        <w:t>,</w:t>
      </w:r>
      <w:r>
        <w:t xml:space="preserve"> pārskata periodā tika veikti vairāki </w:t>
      </w:r>
      <w:r w:rsidRPr="005F584B">
        <w:rPr>
          <w:b/>
        </w:rPr>
        <w:t>pētījumi</w:t>
      </w:r>
      <w:r>
        <w:t xml:space="preserve">, tajā skaitā, par </w:t>
      </w:r>
      <w:r w:rsidRPr="005C0211">
        <w:t xml:space="preserve">priekšlaicīgas mācību </w:t>
      </w:r>
      <w:r w:rsidR="00C357F3">
        <w:t>pārtraukšanas</w:t>
      </w:r>
      <w:r w:rsidRPr="005C0211">
        <w:t xml:space="preserve"> iemesliem un riskiem</w:t>
      </w:r>
      <w:r>
        <w:t xml:space="preserve"> jauniešiem, izaicinājumiem, kas ietekmē </w:t>
      </w:r>
      <w:r w:rsidRPr="005C0211">
        <w:t>pieaugušo</w:t>
      </w:r>
      <w:r>
        <w:t xml:space="preserve"> </w:t>
      </w:r>
      <w:r w:rsidRPr="005C0211">
        <w:t>iesaistīšanos</w:t>
      </w:r>
      <w:r>
        <w:t xml:space="preserve"> mūžizglītības procesā, kā arī par</w:t>
      </w:r>
      <w:r w:rsidRPr="005C0211">
        <w:t xml:space="preserve"> politikas alternatīvu veidošanu priekšlaicīgas mācību pārtraukšanas problēmas risināšanai</w:t>
      </w:r>
      <w:r w:rsidR="00333366">
        <w:t>.</w:t>
      </w:r>
    </w:p>
    <w:p w:rsidR="00FA0319" w:rsidRPr="00FA0319" w:rsidRDefault="00D91954" w:rsidP="00FA0319">
      <w:pPr>
        <w:pStyle w:val="ListParagraph"/>
        <w:ind w:left="0" w:firstLine="720"/>
        <w:jc w:val="both"/>
        <w:rPr>
          <w:color w:val="000000" w:themeColor="text1"/>
        </w:rPr>
      </w:pPr>
      <w:r w:rsidRPr="0031259D">
        <w:rPr>
          <w:color w:val="000000" w:themeColor="text1"/>
        </w:rPr>
        <w:t>Pamatojoties uz veiktajiem pētījumiem</w:t>
      </w:r>
      <w:r w:rsidR="006442DA">
        <w:rPr>
          <w:color w:val="000000" w:themeColor="text1"/>
        </w:rPr>
        <w:t>,</w:t>
      </w:r>
      <w:r w:rsidRPr="0031259D">
        <w:rPr>
          <w:color w:val="000000" w:themeColor="text1"/>
        </w:rPr>
        <w:t xml:space="preserve"> tika izstrādāts </w:t>
      </w:r>
      <w:r w:rsidRPr="005F584B">
        <w:rPr>
          <w:b/>
          <w:color w:val="000000" w:themeColor="text1"/>
        </w:rPr>
        <w:t>konceptuāls ziņojums</w:t>
      </w:r>
      <w:r w:rsidRPr="005F584B">
        <w:rPr>
          <w:b/>
          <w:i/>
          <w:color w:val="000000" w:themeColor="text1"/>
        </w:rPr>
        <w:t xml:space="preserve"> </w:t>
      </w:r>
      <w:r w:rsidR="006442DA" w:rsidRPr="005F584B">
        <w:rPr>
          <w:b/>
          <w:color w:val="000000" w:themeColor="text1"/>
        </w:rPr>
        <w:t>“</w:t>
      </w:r>
      <w:r w:rsidRPr="005F584B">
        <w:rPr>
          <w:b/>
          <w:color w:val="000000" w:themeColor="text1"/>
        </w:rPr>
        <w:t>Par politikas alternatīvu veidošanu priekšlaicīgas mācību pārtraukšanas problēmas risināšanai</w:t>
      </w:r>
      <w:r w:rsidR="00CD5F07" w:rsidRPr="005F584B">
        <w:rPr>
          <w:b/>
          <w:color w:val="000000" w:themeColor="text1"/>
        </w:rPr>
        <w:t>”</w:t>
      </w:r>
      <w:r w:rsidRPr="00CD5F07">
        <w:rPr>
          <w:color w:val="000000" w:themeColor="text1"/>
        </w:rPr>
        <w:t>.</w:t>
      </w:r>
      <w:r w:rsidRPr="0031259D">
        <w:rPr>
          <w:color w:val="000000" w:themeColor="text1"/>
        </w:rPr>
        <w:t xml:space="preserve"> </w:t>
      </w:r>
      <w:r w:rsidR="00C357F3">
        <w:rPr>
          <w:color w:val="000000" w:themeColor="text1"/>
        </w:rPr>
        <w:t>2017.gadā tika uzsākta</w:t>
      </w:r>
      <w:r w:rsidR="00C357F3" w:rsidRPr="0031259D">
        <w:rPr>
          <w:bCs/>
          <w:color w:val="000000" w:themeColor="text1"/>
        </w:rPr>
        <w:t xml:space="preserve"> </w:t>
      </w:r>
      <w:r w:rsidRPr="0031259D">
        <w:rPr>
          <w:bCs/>
          <w:color w:val="000000" w:themeColor="text1"/>
        </w:rPr>
        <w:t>8.3.4.</w:t>
      </w:r>
      <w:r w:rsidR="00FA0319">
        <w:rPr>
          <w:bCs/>
          <w:color w:val="000000" w:themeColor="text1"/>
        </w:rPr>
        <w:t>SAM</w:t>
      </w:r>
      <w:r w:rsidRPr="0031259D">
        <w:rPr>
          <w:bCs/>
          <w:color w:val="000000" w:themeColor="text1"/>
        </w:rPr>
        <w:t xml:space="preserve"> “Samazināt priekšlaicīgu mācību pārtraukšanu, īstenojot preventīvus un intervences pasākumus” </w:t>
      </w:r>
      <w:r w:rsidRPr="0031259D">
        <w:rPr>
          <w:color w:val="000000" w:themeColor="text1"/>
        </w:rPr>
        <w:t xml:space="preserve">projekta </w:t>
      </w:r>
      <w:r w:rsidR="00C357F3">
        <w:rPr>
          <w:color w:val="000000" w:themeColor="text1"/>
        </w:rPr>
        <w:t>„Atbalsts priekšlaicīgas mācību pārtraukšanas samazināšanai”</w:t>
      </w:r>
      <w:r w:rsidR="00C357F3" w:rsidRPr="0031259D">
        <w:rPr>
          <w:color w:val="000000" w:themeColor="text1"/>
        </w:rPr>
        <w:t xml:space="preserve"> </w:t>
      </w:r>
      <w:r w:rsidR="00C357F3">
        <w:rPr>
          <w:color w:val="000000" w:themeColor="text1"/>
        </w:rPr>
        <w:t>īstenošana, kura</w:t>
      </w:r>
      <w:r w:rsidR="00C357F3" w:rsidRPr="0031259D">
        <w:rPr>
          <w:color w:val="000000" w:themeColor="text1"/>
        </w:rPr>
        <w:t xml:space="preserve"> </w:t>
      </w:r>
      <w:r w:rsidRPr="0031259D">
        <w:rPr>
          <w:color w:val="000000" w:themeColor="text1"/>
        </w:rPr>
        <w:t>ietvaros paredzēts sniegt atbalstu vispārējās izglītības iestāžu izglītojamiem no 5. līdz 12.klasei, kā arī profesionālās izglītības iestāžu izglītojamiem un vispārējās izglītības iestāžu, kuras īsteno profesionālās izglītības programmas, izglītojamiem no 1.kursa līdz 4.kursam. Projekt</w:t>
      </w:r>
      <w:r w:rsidR="00FA0319">
        <w:rPr>
          <w:color w:val="000000" w:themeColor="text1"/>
        </w:rPr>
        <w:t>s</w:t>
      </w:r>
      <w:r w:rsidRPr="0031259D">
        <w:rPr>
          <w:color w:val="000000" w:themeColor="text1"/>
        </w:rPr>
        <w:t xml:space="preserve"> </w:t>
      </w:r>
      <w:r w:rsidR="00FA0319">
        <w:rPr>
          <w:color w:val="000000" w:themeColor="text1"/>
        </w:rPr>
        <w:t>ietver</w:t>
      </w:r>
      <w:r w:rsidRPr="0031259D">
        <w:rPr>
          <w:color w:val="000000" w:themeColor="text1"/>
        </w:rPr>
        <w:t xml:space="preserve"> individuāl</w:t>
      </w:r>
      <w:r w:rsidR="00FA0319">
        <w:rPr>
          <w:color w:val="000000" w:themeColor="text1"/>
        </w:rPr>
        <w:t>o</w:t>
      </w:r>
      <w:r w:rsidRPr="0031259D">
        <w:rPr>
          <w:color w:val="000000" w:themeColor="text1"/>
        </w:rPr>
        <w:t xml:space="preserve"> atbalst</w:t>
      </w:r>
      <w:r w:rsidR="00FA0319">
        <w:rPr>
          <w:color w:val="000000" w:themeColor="text1"/>
        </w:rPr>
        <w:t>u</w:t>
      </w:r>
      <w:r w:rsidRPr="0031259D">
        <w:rPr>
          <w:color w:val="000000" w:themeColor="text1"/>
        </w:rPr>
        <w:t xml:space="preserve"> priekšlaicīgas mācību pārtraukšanas riska grupas izglītojamiem</w:t>
      </w:r>
      <w:r w:rsidR="00C357F3">
        <w:rPr>
          <w:color w:val="000000" w:themeColor="text1"/>
        </w:rPr>
        <w:t>,</w:t>
      </w:r>
      <w:r w:rsidRPr="0031259D">
        <w:rPr>
          <w:color w:val="000000" w:themeColor="text1"/>
        </w:rPr>
        <w:t xml:space="preserve"> t</w:t>
      </w:r>
      <w:r w:rsidR="00C357F3">
        <w:rPr>
          <w:color w:val="000000" w:themeColor="text1"/>
        </w:rPr>
        <w:t>ajā skaitā,</w:t>
      </w:r>
      <w:r w:rsidRPr="0031259D">
        <w:rPr>
          <w:color w:val="000000" w:themeColor="text1"/>
        </w:rPr>
        <w:t xml:space="preserve"> sabiedriskā transporta pakalpojuma izdevumu kompensācij</w:t>
      </w:r>
      <w:r w:rsidR="00FA0319">
        <w:rPr>
          <w:color w:val="000000" w:themeColor="text1"/>
        </w:rPr>
        <w:t>u</w:t>
      </w:r>
      <w:r w:rsidRPr="0031259D">
        <w:rPr>
          <w:color w:val="000000" w:themeColor="text1"/>
        </w:rPr>
        <w:t>, naktsmītnes nodrošināšan</w:t>
      </w:r>
      <w:r w:rsidR="00FA0319">
        <w:rPr>
          <w:color w:val="000000" w:themeColor="text1"/>
        </w:rPr>
        <w:t>u</w:t>
      </w:r>
      <w:r w:rsidRPr="0031259D">
        <w:rPr>
          <w:color w:val="000000" w:themeColor="text1"/>
        </w:rPr>
        <w:t xml:space="preserve"> dienesta viesnīcā vai internātā, ēdināšan</w:t>
      </w:r>
      <w:r w:rsidR="00FA0319">
        <w:rPr>
          <w:color w:val="000000" w:themeColor="text1"/>
        </w:rPr>
        <w:t>u</w:t>
      </w:r>
      <w:r w:rsidRPr="0031259D">
        <w:rPr>
          <w:color w:val="000000" w:themeColor="text1"/>
        </w:rPr>
        <w:t>, individuālo mācību līdzekļu nodrošināšan</w:t>
      </w:r>
      <w:r w:rsidR="00FA0319">
        <w:rPr>
          <w:color w:val="000000" w:themeColor="text1"/>
        </w:rPr>
        <w:t>u</w:t>
      </w:r>
      <w:r w:rsidRPr="0031259D">
        <w:rPr>
          <w:color w:val="000000" w:themeColor="text1"/>
        </w:rPr>
        <w:t>, individuālo lietošanas priekšmetu nodrošināšan</w:t>
      </w:r>
      <w:r w:rsidR="00FA0319">
        <w:rPr>
          <w:color w:val="000000" w:themeColor="text1"/>
        </w:rPr>
        <w:t>u</w:t>
      </w:r>
      <w:r w:rsidRPr="0031259D">
        <w:rPr>
          <w:color w:val="000000" w:themeColor="text1"/>
        </w:rPr>
        <w:t>, speciālā transporta nodrošināšan</w:t>
      </w:r>
      <w:r w:rsidR="00FA0319">
        <w:rPr>
          <w:color w:val="000000" w:themeColor="text1"/>
        </w:rPr>
        <w:t>u</w:t>
      </w:r>
      <w:r w:rsidRPr="0031259D">
        <w:rPr>
          <w:color w:val="000000" w:themeColor="text1"/>
        </w:rPr>
        <w:t xml:space="preserve"> izglītojamiem ar invaliditāti, speciālistu (pedagoga, psihologa, sociālā pedagoga, pedagoga palīga, speciālās izglītības pedagoga, surdotulka, asistenta, logopēda, ergoterapeita) konsultācijas un atbalst</w:t>
      </w:r>
      <w:r w:rsidR="00FA0319">
        <w:rPr>
          <w:color w:val="000000" w:themeColor="text1"/>
        </w:rPr>
        <w:t>u</w:t>
      </w:r>
      <w:r w:rsidRPr="0031259D">
        <w:rPr>
          <w:color w:val="000000" w:themeColor="text1"/>
        </w:rPr>
        <w:t xml:space="preserve">, kā arī projekta ietvaros </w:t>
      </w:r>
      <w:r w:rsidR="00FA0319">
        <w:rPr>
          <w:color w:val="000000" w:themeColor="text1"/>
        </w:rPr>
        <w:t>plānots</w:t>
      </w:r>
      <w:r w:rsidRPr="0031259D">
        <w:rPr>
          <w:color w:val="000000" w:themeColor="text1"/>
        </w:rPr>
        <w:t xml:space="preserve"> izveidot priekšlaicīgas mācību pārtraukšanas prevencijas sistēmu. </w:t>
      </w:r>
      <w:r w:rsidR="00C357F3">
        <w:rPr>
          <w:color w:val="000000" w:themeColor="text1"/>
        </w:rPr>
        <w:t xml:space="preserve">2017.gadā tika izstrādātas „Metodoloģiskās vadlīnijas darbam projektā „Atbalsts priekšlaicīgās mācību pārtraukšanas mazināšanai” </w:t>
      </w:r>
      <w:r w:rsidR="00C357F3" w:rsidRPr="009B2C68">
        <w:rPr>
          <w:color w:val="000000" w:themeColor="text1"/>
        </w:rPr>
        <w:t xml:space="preserve">koordinētai </w:t>
      </w:r>
      <w:r w:rsidR="00C357F3">
        <w:rPr>
          <w:color w:val="000000" w:themeColor="text1"/>
        </w:rPr>
        <w:t>priekšlaicīgas mācību pārtraukšanas</w:t>
      </w:r>
      <w:r w:rsidR="00C357F3" w:rsidRPr="009B2C68">
        <w:rPr>
          <w:color w:val="000000" w:themeColor="text1"/>
        </w:rPr>
        <w:t xml:space="preserve"> risku identificēšanai, individuālā atbalsta pasākumu plānošanai un īstenošanai, risku samazināšanai vai novēršanai, sniedzot ieteikumus izglītības iestādēm, pašvaldībām un to sadarbības partneriem par viņiem deleģēto funkciju veikšanu projektā un tādējādi ieviešot ilgtermiņa atbalsta komunikācijas modeli, ko sadarbības un stratēģiskie partneri, kā arī projektā iesaistītā mērķauditorija un pedagogi var izmantot arī pēc projekta noslēguma.</w:t>
      </w:r>
      <w:r w:rsidR="00C357F3">
        <w:rPr>
          <w:color w:val="000000" w:themeColor="text1"/>
        </w:rPr>
        <w:t xml:space="preserve"> </w:t>
      </w:r>
      <w:r w:rsidRPr="0031259D">
        <w:rPr>
          <w:color w:val="000000" w:themeColor="text1"/>
        </w:rPr>
        <w:t xml:space="preserve">Projekta rezultātā līdz 2022.gadam 665 izglītības iestādes būs </w:t>
      </w:r>
      <w:r w:rsidR="00760548">
        <w:rPr>
          <w:color w:val="000000" w:themeColor="text1"/>
        </w:rPr>
        <w:t xml:space="preserve">to </w:t>
      </w:r>
      <w:r w:rsidRPr="0031259D">
        <w:rPr>
          <w:color w:val="000000" w:themeColor="text1"/>
        </w:rPr>
        <w:t xml:space="preserve">ieviesušas un nodrošinās sistemātisku atbalstu priekšlaicīgas mācību pārtraukšanas riska mazināšanai. </w:t>
      </w:r>
    </w:p>
    <w:p w:rsidR="00792463" w:rsidRDefault="00792463" w:rsidP="00792463">
      <w:pPr>
        <w:pStyle w:val="ListParagraph"/>
        <w:ind w:left="0" w:firstLine="720"/>
        <w:jc w:val="both"/>
      </w:pPr>
      <w:r>
        <w:t xml:space="preserve">Viena no agrīnas skolu priekšlaicīgas skolas </w:t>
      </w:r>
      <w:r w:rsidR="00C357F3">
        <w:t>pārrtraukšanas</w:t>
      </w:r>
      <w:r>
        <w:t xml:space="preserve"> riska grupām ir </w:t>
      </w:r>
      <w:r w:rsidRPr="005F584B">
        <w:rPr>
          <w:b/>
        </w:rPr>
        <w:t>romu tautības izglītojamie</w:t>
      </w:r>
      <w:r>
        <w:t xml:space="preserve">. </w:t>
      </w:r>
      <w:r w:rsidRPr="005C0211">
        <w:t>Veicot regulāru romu tautības skolēnu monitoringu, IZM 2016.gad</w:t>
      </w:r>
      <w:r>
        <w:t>ā</w:t>
      </w:r>
      <w:r w:rsidR="008E22F7">
        <w:t xml:space="preserve"> </w:t>
      </w:r>
      <w:r w:rsidRPr="005C0211">
        <w:t>ir sagatavojusi anketu par romu skolēnu i</w:t>
      </w:r>
      <w:r>
        <w:t>zglītības ieguves nodrošināšanu un</w:t>
      </w:r>
      <w:r w:rsidRPr="005C0211">
        <w:t xml:space="preserve"> nosūtījusi to republikas pilsētu un novadu izglītības pārvaldēm. </w:t>
      </w:r>
      <w:r w:rsidR="0003157C">
        <w:t>Rezultātā tika</w:t>
      </w:r>
      <w:r w:rsidRPr="005C0211">
        <w:t xml:space="preserve"> secināts, ka trīs romu tautības palīgi strādā Daugavpilī, Jelgavā un Limbažos. Sadarbībā ar Kultūras ministriju ir nodrošināti atbalsta pasākumi romu </w:t>
      </w:r>
      <w:r w:rsidRPr="005C0211">
        <w:lastRenderedPageBreak/>
        <w:t>tautības skolotāju palīgiem, ko veic romu mediatori, organizējot regulāras tikšanās ar izglītības pārvalžu pārstāvjiem un romu bērnu vecākiem.</w:t>
      </w:r>
      <w:r w:rsidR="0003157C">
        <w:t xml:space="preserve"> Attiecīgi samazinājies i</w:t>
      </w:r>
      <w:r w:rsidR="0003157C" w:rsidRPr="000B6662">
        <w:t>zglītību agrīni pametušo romu īpatsvars</w:t>
      </w:r>
      <w:r w:rsidR="0003157C">
        <w:t xml:space="preserve"> no 10% 2012.gadā līdz 7,5% 2017.gadā.</w:t>
      </w:r>
    </w:p>
    <w:p w:rsidR="002E05FF" w:rsidRDefault="002E05FF" w:rsidP="00792463">
      <w:pPr>
        <w:pStyle w:val="ListParagraph"/>
        <w:ind w:left="0" w:firstLine="720"/>
        <w:jc w:val="both"/>
      </w:pPr>
      <w:r>
        <w:t xml:space="preserve">Veicinot </w:t>
      </w:r>
      <w:r w:rsidRPr="005F584B">
        <w:rPr>
          <w:b/>
        </w:rPr>
        <w:t>atbalsta personāla iesaisti</w:t>
      </w:r>
      <w:r>
        <w:t xml:space="preserve">, </w:t>
      </w:r>
      <w:r w:rsidRPr="005C0211">
        <w:t>MK 2016.gada 5.jūlija noteikumos Nr.447 “Par valsts budžeta mērķdotāciju pedagogu darba samaksai pašvaldību vispārējās izglītības iestādēs un valsts augstskolu vispārējās vidējās izglītības iestādēs”</w:t>
      </w:r>
      <w:r>
        <w:t xml:space="preserve"> tika</w:t>
      </w:r>
      <w:r w:rsidRPr="005C0211">
        <w:t xml:space="preserve"> palielināti koeficienti, ar kuriem aprēķina finansējumu atbalsta personāla (skolotāja logopēda, izglītības psihologa, pedagoga palīga u.c.) darba samaksai.</w:t>
      </w:r>
    </w:p>
    <w:p w:rsidR="00D91954" w:rsidRDefault="001F5F5F" w:rsidP="001F5F5F">
      <w:pPr>
        <w:spacing w:after="0" w:line="240" w:lineRule="auto"/>
        <w:jc w:val="both"/>
        <w:rPr>
          <w:rFonts w:ascii="Times New Roman" w:hAnsi="Times New Roman" w:cs="Times New Roman"/>
          <w:sz w:val="24"/>
          <w:szCs w:val="24"/>
        </w:rPr>
      </w:pPr>
      <w:r>
        <w:rPr>
          <w:color w:val="000000"/>
          <w:spacing w:val="-2"/>
        </w:rPr>
        <w:tab/>
      </w:r>
      <w:r w:rsidRPr="001F5F5F">
        <w:rPr>
          <w:rFonts w:ascii="Times New Roman" w:eastAsia="Times New Roman" w:hAnsi="Times New Roman" w:cs="Times New Roman"/>
          <w:sz w:val="24"/>
          <w:szCs w:val="24"/>
          <w:lang w:eastAsia="lv-LV"/>
        </w:rPr>
        <w:t xml:space="preserve">Sekmējot </w:t>
      </w:r>
      <w:r w:rsidRPr="005F584B">
        <w:rPr>
          <w:rFonts w:ascii="Times New Roman" w:eastAsia="Times New Roman" w:hAnsi="Times New Roman" w:cs="Times New Roman"/>
          <w:b/>
          <w:sz w:val="24"/>
          <w:szCs w:val="24"/>
          <w:lang w:eastAsia="lv-LV"/>
        </w:rPr>
        <w:t>pedagogu profesionālās kompetences paaugstināšanu</w:t>
      </w:r>
      <w:r>
        <w:rPr>
          <w:rFonts w:ascii="Times New Roman" w:eastAsia="Times New Roman" w:hAnsi="Times New Roman" w:cs="Times New Roman"/>
          <w:sz w:val="24"/>
          <w:szCs w:val="24"/>
          <w:lang w:eastAsia="lv-LV"/>
        </w:rPr>
        <w:t xml:space="preserve">, </w:t>
      </w:r>
      <w:r w:rsidRPr="005C0211">
        <w:rPr>
          <w:rFonts w:ascii="Times New Roman" w:hAnsi="Times New Roman" w:cs="Times New Roman"/>
          <w:sz w:val="24"/>
          <w:szCs w:val="24"/>
        </w:rPr>
        <w:t>Latviešu valodas aģentūra</w:t>
      </w:r>
      <w:r>
        <w:rPr>
          <w:rFonts w:ascii="Times New Roman" w:hAnsi="Times New Roman" w:cs="Times New Roman"/>
          <w:sz w:val="24"/>
          <w:szCs w:val="24"/>
        </w:rPr>
        <w:t xml:space="preserve"> (LVA)</w:t>
      </w:r>
      <w:r w:rsidRPr="005C0211">
        <w:rPr>
          <w:rFonts w:ascii="Times New Roman" w:hAnsi="Times New Roman" w:cs="Times New Roman"/>
          <w:sz w:val="24"/>
          <w:szCs w:val="24"/>
        </w:rPr>
        <w:t xml:space="preserve"> sniedz atbalstu pedagogiem, kuri strādā ar bērniem, kuriem jāpalīdz iekļauties Latvijas izglītības sistēmā (reemigrantu, bēgļu, patvēruma meklētāju, trešo v</w:t>
      </w:r>
      <w:r w:rsidR="00650561">
        <w:rPr>
          <w:rFonts w:ascii="Times New Roman" w:hAnsi="Times New Roman" w:cs="Times New Roman"/>
          <w:sz w:val="24"/>
          <w:szCs w:val="24"/>
        </w:rPr>
        <w:t xml:space="preserve">alsts piederīgo ģimeņu bērniem), kad </w:t>
      </w:r>
      <w:r w:rsidRPr="005C0211">
        <w:rPr>
          <w:rFonts w:ascii="Times New Roman" w:hAnsi="Times New Roman" w:cs="Times New Roman"/>
          <w:sz w:val="24"/>
          <w:szCs w:val="24"/>
        </w:rPr>
        <w:t>skolotājam ir jāmāk strādāt lingvistiski neviendabīgā vidē, kā arī sniegt individuālu atbalstu, lai u</w:t>
      </w:r>
      <w:r w:rsidR="00650561">
        <w:rPr>
          <w:rFonts w:ascii="Times New Roman" w:hAnsi="Times New Roman" w:cs="Times New Roman"/>
          <w:sz w:val="24"/>
          <w:szCs w:val="24"/>
        </w:rPr>
        <w:t>zlabotu latviešu valodas prasmi</w:t>
      </w:r>
      <w:r w:rsidRPr="005C0211">
        <w:rPr>
          <w:rFonts w:ascii="Times New Roman" w:hAnsi="Times New Roman" w:cs="Times New Roman"/>
          <w:sz w:val="24"/>
          <w:szCs w:val="24"/>
        </w:rPr>
        <w:t xml:space="preserve">. </w:t>
      </w:r>
      <w:r>
        <w:rPr>
          <w:rFonts w:ascii="Times New Roman" w:hAnsi="Times New Roman" w:cs="Times New Roman"/>
          <w:sz w:val="24"/>
          <w:szCs w:val="24"/>
        </w:rPr>
        <w:t>2014.</w:t>
      </w:r>
      <w:r w:rsidR="00D91954" w:rsidRPr="005C0211">
        <w:rPr>
          <w:rFonts w:ascii="Times New Roman" w:hAnsi="Times New Roman" w:cs="Times New Roman"/>
          <w:sz w:val="24"/>
          <w:szCs w:val="24"/>
        </w:rPr>
        <w:t xml:space="preserve">gadā LVA izstrādāja pedagogu profesionālās pilnveides programmu „Pedagogu profesionālās kompetences pilnveide darbā </w:t>
      </w:r>
      <w:r>
        <w:rPr>
          <w:rFonts w:ascii="Times New Roman" w:hAnsi="Times New Roman" w:cs="Times New Roman"/>
          <w:sz w:val="24"/>
          <w:szCs w:val="24"/>
        </w:rPr>
        <w:t>ar reemigrējušiem bērniem” (36 stundas</w:t>
      </w:r>
      <w:r w:rsidR="00D91954" w:rsidRPr="005C0211">
        <w:rPr>
          <w:rFonts w:ascii="Times New Roman" w:hAnsi="Times New Roman" w:cs="Times New Roman"/>
          <w:sz w:val="24"/>
          <w:szCs w:val="24"/>
        </w:rPr>
        <w:t>)</w:t>
      </w:r>
      <w:r>
        <w:rPr>
          <w:rFonts w:ascii="Times New Roman" w:hAnsi="Times New Roman" w:cs="Times New Roman"/>
          <w:sz w:val="24"/>
          <w:szCs w:val="24"/>
        </w:rPr>
        <w:t xml:space="preserve">, kā arī ir pieejami </w:t>
      </w:r>
      <w:r w:rsidRPr="005C0211">
        <w:rPr>
          <w:rFonts w:ascii="Times New Roman" w:hAnsi="Times New Roman" w:cs="Times New Roman"/>
          <w:sz w:val="24"/>
          <w:szCs w:val="24"/>
        </w:rPr>
        <w:t>mācību un metodiskie materiāli</w:t>
      </w:r>
      <w:r>
        <w:rPr>
          <w:rFonts w:ascii="Times New Roman" w:hAnsi="Times New Roman" w:cs="Times New Roman"/>
          <w:sz w:val="24"/>
          <w:szCs w:val="24"/>
        </w:rPr>
        <w:t>.</w:t>
      </w:r>
    </w:p>
    <w:p w:rsidR="00D91954" w:rsidRDefault="00D91954" w:rsidP="001F5F5F">
      <w:pPr>
        <w:spacing w:after="0" w:line="240" w:lineRule="auto"/>
        <w:ind w:firstLine="720"/>
        <w:jc w:val="both"/>
        <w:rPr>
          <w:rFonts w:ascii="Times New Roman" w:hAnsi="Times New Roman" w:cs="Times New Roman"/>
          <w:sz w:val="24"/>
          <w:szCs w:val="24"/>
        </w:rPr>
      </w:pPr>
      <w:r w:rsidRPr="005C0211">
        <w:rPr>
          <w:rFonts w:ascii="Times New Roman" w:hAnsi="Times New Roman" w:cs="Times New Roman"/>
          <w:sz w:val="24"/>
          <w:szCs w:val="24"/>
        </w:rPr>
        <w:t>Pedagogu profesionālās kompetences pilnveides pasākumi attiecībā uz sociālās atstumtības riskam pakļautaj</w:t>
      </w:r>
      <w:r w:rsidR="001F5F5F">
        <w:rPr>
          <w:rFonts w:ascii="Times New Roman" w:hAnsi="Times New Roman" w:cs="Times New Roman"/>
          <w:sz w:val="24"/>
          <w:szCs w:val="24"/>
        </w:rPr>
        <w:t xml:space="preserve">iem izglītojamajiem ir paredzēti arī </w:t>
      </w:r>
      <w:r w:rsidRPr="005C0211">
        <w:rPr>
          <w:rFonts w:ascii="Times New Roman" w:hAnsi="Times New Roman" w:cs="Times New Roman"/>
          <w:sz w:val="24"/>
          <w:szCs w:val="24"/>
        </w:rPr>
        <w:t xml:space="preserve">SAM 8.3.4. "Samazināt priekšlaicīgu mācību pārtraukšanu, īstenojot preventīvus un intervences pasākumus" </w:t>
      </w:r>
      <w:r w:rsidR="00890E35">
        <w:rPr>
          <w:rFonts w:ascii="Times New Roman" w:hAnsi="Times New Roman" w:cs="Times New Roman"/>
          <w:sz w:val="24"/>
          <w:szCs w:val="24"/>
        </w:rPr>
        <w:t xml:space="preserve">projekta </w:t>
      </w:r>
      <w:r w:rsidRPr="005C0211">
        <w:rPr>
          <w:rFonts w:ascii="Times New Roman" w:hAnsi="Times New Roman" w:cs="Times New Roman"/>
          <w:sz w:val="24"/>
          <w:szCs w:val="24"/>
        </w:rPr>
        <w:t>ietvaros.</w:t>
      </w:r>
    </w:p>
    <w:p w:rsidR="00E75BA3" w:rsidRPr="00434EA8" w:rsidRDefault="00E75BA3" w:rsidP="00434E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Viens no aspektiem, kas jāņem vērā, </w:t>
      </w:r>
      <w:r w:rsidR="00434EA8">
        <w:rPr>
          <w:rFonts w:ascii="Times New Roman" w:hAnsi="Times New Roman" w:cs="Times New Roman"/>
          <w:sz w:val="24"/>
          <w:szCs w:val="24"/>
        </w:rPr>
        <w:t xml:space="preserve">analizējot datus par bērnu iesaisti izglītībā, ir </w:t>
      </w:r>
      <w:r w:rsidR="00434EA8" w:rsidRPr="005F584B">
        <w:rPr>
          <w:rFonts w:ascii="Times New Roman" w:hAnsi="Times New Roman" w:cs="Times New Roman"/>
          <w:b/>
          <w:sz w:val="24"/>
          <w:szCs w:val="24"/>
        </w:rPr>
        <w:t>o</w:t>
      </w:r>
      <w:r w:rsidRPr="005F584B">
        <w:rPr>
          <w:rFonts w:ascii="Times New Roman" w:hAnsi="Times New Roman" w:cs="Times New Roman"/>
          <w:b/>
          <w:sz w:val="24"/>
          <w:szCs w:val="24"/>
        </w:rPr>
        <w:t>bligātā izglītības vecumā esošo bērnu, kuri nav reģistrēti nevienas izglītības iestādes sarakstā, uzskaites sistēmas pilnveide</w:t>
      </w:r>
      <w:r w:rsidR="00434EA8">
        <w:rPr>
          <w:rFonts w:ascii="Times New Roman" w:hAnsi="Times New Roman" w:cs="Times New Roman"/>
          <w:sz w:val="24"/>
          <w:szCs w:val="24"/>
        </w:rPr>
        <w:t>. Latvijā</w:t>
      </w:r>
      <w:r w:rsidRPr="00434EA8">
        <w:rPr>
          <w:rFonts w:ascii="Times New Roman" w:hAnsi="Times New Roman" w:cs="Times New Roman"/>
          <w:sz w:val="24"/>
          <w:szCs w:val="24"/>
        </w:rPr>
        <w:t xml:space="preserve"> ir noteikta vienota kārtība, kādā izglītības iestāde informē izglītojamo vecākus, pašvaldības vai valsts iestādes, ja izglītojamais bez attaisnojoša iemesla neapmeklē izglītības iestādi, kā arī uzlabota obligātā izglītības vecumā esošo bērnu uzskaite, kuri nav reģistrēti nevien</w:t>
      </w:r>
      <w:r w:rsidR="00890E35">
        <w:rPr>
          <w:rFonts w:ascii="Times New Roman" w:hAnsi="Times New Roman" w:cs="Times New Roman"/>
          <w:sz w:val="24"/>
          <w:szCs w:val="24"/>
        </w:rPr>
        <w:t>ā</w:t>
      </w:r>
      <w:r w:rsidRPr="00434EA8">
        <w:rPr>
          <w:rFonts w:ascii="Times New Roman" w:hAnsi="Times New Roman" w:cs="Times New Roman"/>
          <w:sz w:val="24"/>
          <w:szCs w:val="24"/>
        </w:rPr>
        <w:t xml:space="preserve"> izglītības iestādē. Nereģistrēto bērnu</w:t>
      </w:r>
      <w:r w:rsidR="00434EA8">
        <w:rPr>
          <w:rFonts w:ascii="Times New Roman" w:hAnsi="Times New Roman" w:cs="Times New Roman"/>
          <w:sz w:val="24"/>
          <w:szCs w:val="24"/>
        </w:rPr>
        <w:t xml:space="preserve"> īpatsvars</w:t>
      </w:r>
      <w:r w:rsidRPr="00434EA8">
        <w:rPr>
          <w:rFonts w:ascii="Times New Roman" w:hAnsi="Times New Roman" w:cs="Times New Roman"/>
          <w:sz w:val="24"/>
          <w:szCs w:val="24"/>
        </w:rPr>
        <w:t xml:space="preserve"> ir palielinājies no </w:t>
      </w:r>
      <w:r w:rsidR="00434EA8">
        <w:rPr>
          <w:rFonts w:ascii="Times New Roman" w:hAnsi="Times New Roman" w:cs="Times New Roman"/>
          <w:sz w:val="24"/>
          <w:szCs w:val="24"/>
        </w:rPr>
        <w:t xml:space="preserve">5,4% 2013.gadā līdz 6,6% 2017.gadā. </w:t>
      </w:r>
      <w:r w:rsidRPr="00434EA8">
        <w:rPr>
          <w:rFonts w:ascii="Times New Roman" w:hAnsi="Times New Roman" w:cs="Times New Roman"/>
          <w:sz w:val="24"/>
          <w:szCs w:val="24"/>
        </w:rPr>
        <w:t>Lielāko daļu no tiem veido bērni, kuri pēc pašvaldību rīcībā esošās informācijas izbraukuši no valsts.</w:t>
      </w:r>
    </w:p>
    <w:p w:rsidR="004B5B4D" w:rsidRPr="005C0211" w:rsidRDefault="004B5B4D" w:rsidP="004B5B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Vienlaikus n</w:t>
      </w:r>
      <w:r w:rsidRPr="005C0211">
        <w:rPr>
          <w:rFonts w:ascii="Times New Roman" w:hAnsi="Times New Roman" w:cs="Times New Roman"/>
          <w:sz w:val="24"/>
          <w:szCs w:val="24"/>
        </w:rPr>
        <w:t xml:space="preserve">o 2014.gada </w:t>
      </w:r>
      <w:r>
        <w:rPr>
          <w:rFonts w:ascii="Times New Roman" w:hAnsi="Times New Roman" w:cs="Times New Roman"/>
          <w:sz w:val="24"/>
          <w:szCs w:val="24"/>
        </w:rPr>
        <w:t>regulāri</w:t>
      </w:r>
      <w:r w:rsidRPr="005C0211">
        <w:rPr>
          <w:rFonts w:ascii="Times New Roman" w:hAnsi="Times New Roman" w:cs="Times New Roman"/>
          <w:sz w:val="24"/>
          <w:szCs w:val="24"/>
        </w:rPr>
        <w:t xml:space="preserve"> tiek apkop</w:t>
      </w:r>
      <w:r w:rsidR="00650561">
        <w:rPr>
          <w:rFonts w:ascii="Times New Roman" w:hAnsi="Times New Roman" w:cs="Times New Roman"/>
          <w:sz w:val="24"/>
          <w:szCs w:val="24"/>
        </w:rPr>
        <w:t>o</w:t>
      </w:r>
      <w:r w:rsidRPr="005C0211">
        <w:rPr>
          <w:rFonts w:ascii="Times New Roman" w:hAnsi="Times New Roman" w:cs="Times New Roman"/>
          <w:sz w:val="24"/>
          <w:szCs w:val="24"/>
        </w:rPr>
        <w:t xml:space="preserve">ta izglītības iestāžu un pašvaldību sniegtā informācija par </w:t>
      </w:r>
      <w:r w:rsidRPr="005F584B">
        <w:rPr>
          <w:rFonts w:ascii="Times New Roman" w:hAnsi="Times New Roman" w:cs="Times New Roman"/>
          <w:b/>
          <w:sz w:val="24"/>
          <w:szCs w:val="24"/>
        </w:rPr>
        <w:t>ilgstošiem neattaisnotiem kavējumiem</w:t>
      </w:r>
      <w:r w:rsidRPr="005C0211">
        <w:rPr>
          <w:rFonts w:ascii="Times New Roman" w:hAnsi="Times New Roman" w:cs="Times New Roman"/>
          <w:sz w:val="24"/>
          <w:szCs w:val="24"/>
        </w:rPr>
        <w:t xml:space="preserve"> vispārējās izglītības un profesionālās izglītības iestādēs, to cēloņiem, kā arī</w:t>
      </w:r>
      <w:r w:rsidR="00F966DF">
        <w:rPr>
          <w:rFonts w:ascii="Times New Roman" w:hAnsi="Times New Roman" w:cs="Times New Roman"/>
          <w:sz w:val="24"/>
          <w:szCs w:val="24"/>
        </w:rPr>
        <w:t xml:space="preserve"> par</w:t>
      </w:r>
      <w:r w:rsidRPr="005C0211">
        <w:rPr>
          <w:rFonts w:ascii="Times New Roman" w:hAnsi="Times New Roman" w:cs="Times New Roman"/>
          <w:sz w:val="24"/>
          <w:szCs w:val="24"/>
        </w:rPr>
        <w:t xml:space="preserve"> izglītības iestāžu un pašvaldību rīcību neattaisnoto kavējumu novēršanā. 2016.gadā īstenota prakses izpēte “Otrgadniecība izglītības iestādēs, kas īsteno vispārējās pamatizglītības programmas Latvijā” un </w:t>
      </w:r>
      <w:r w:rsidR="0037448A">
        <w:rPr>
          <w:rFonts w:ascii="Times New Roman" w:hAnsi="Times New Roman" w:cs="Times New Roman"/>
          <w:sz w:val="24"/>
          <w:szCs w:val="24"/>
        </w:rPr>
        <w:t>sagatavots</w:t>
      </w:r>
      <w:r w:rsidRPr="005C0211">
        <w:rPr>
          <w:rFonts w:ascii="Times New Roman" w:hAnsi="Times New Roman" w:cs="Times New Roman"/>
          <w:sz w:val="24"/>
          <w:szCs w:val="24"/>
        </w:rPr>
        <w:t xml:space="preserve"> ziņ</w:t>
      </w:r>
      <w:r>
        <w:rPr>
          <w:rFonts w:ascii="Times New Roman" w:hAnsi="Times New Roman" w:cs="Times New Roman"/>
          <w:sz w:val="24"/>
          <w:szCs w:val="24"/>
        </w:rPr>
        <w:t xml:space="preserve">ojums par </w:t>
      </w:r>
      <w:r w:rsidR="0037448A">
        <w:rPr>
          <w:rFonts w:ascii="Times New Roman" w:hAnsi="Times New Roman" w:cs="Times New Roman"/>
          <w:sz w:val="24"/>
          <w:szCs w:val="24"/>
        </w:rPr>
        <w:t>tās</w:t>
      </w:r>
      <w:r>
        <w:rPr>
          <w:rFonts w:ascii="Times New Roman" w:hAnsi="Times New Roman" w:cs="Times New Roman"/>
          <w:sz w:val="24"/>
          <w:szCs w:val="24"/>
        </w:rPr>
        <w:t xml:space="preserve"> rezultātiem. </w:t>
      </w:r>
      <w:r w:rsidRPr="005C0211">
        <w:rPr>
          <w:rFonts w:ascii="Times New Roman" w:hAnsi="Times New Roman" w:cs="Times New Roman"/>
          <w:sz w:val="24"/>
          <w:szCs w:val="24"/>
        </w:rPr>
        <w:t xml:space="preserve">Turpmāk </w:t>
      </w:r>
      <w:r>
        <w:rPr>
          <w:rFonts w:ascii="Times New Roman" w:hAnsi="Times New Roman" w:cs="Times New Roman"/>
          <w:sz w:val="24"/>
          <w:szCs w:val="24"/>
        </w:rPr>
        <w:t xml:space="preserve">ir </w:t>
      </w:r>
      <w:r w:rsidRPr="005C0211">
        <w:rPr>
          <w:rFonts w:ascii="Times New Roman" w:hAnsi="Times New Roman" w:cs="Times New Roman"/>
          <w:sz w:val="24"/>
          <w:szCs w:val="24"/>
        </w:rPr>
        <w:t xml:space="preserve">plānota informācijas par ilgstošiem neattaisnotiem kavējumiem apkopošana un ziņojumu </w:t>
      </w:r>
      <w:r w:rsidR="00776BA7">
        <w:rPr>
          <w:rFonts w:ascii="Times New Roman" w:hAnsi="Times New Roman" w:cs="Times New Roman"/>
          <w:sz w:val="24"/>
          <w:szCs w:val="24"/>
        </w:rPr>
        <w:t>sagatavošana</w:t>
      </w:r>
      <w:r w:rsidRPr="005C0211">
        <w:rPr>
          <w:rFonts w:ascii="Times New Roman" w:hAnsi="Times New Roman" w:cs="Times New Roman"/>
          <w:sz w:val="24"/>
          <w:szCs w:val="24"/>
        </w:rPr>
        <w:t xml:space="preserve"> pēc katra mācību semestra.</w:t>
      </w:r>
    </w:p>
    <w:p w:rsidR="0019080A" w:rsidRDefault="0019080A" w:rsidP="0019080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Atbalstot </w:t>
      </w:r>
      <w:r w:rsidRPr="005C0211">
        <w:rPr>
          <w:rFonts w:ascii="Times New Roman" w:hAnsi="Times New Roman" w:cs="Times New Roman"/>
          <w:sz w:val="24"/>
          <w:szCs w:val="24"/>
        </w:rPr>
        <w:t>priekšlaicīgi izglītības sistēmu atstāšanas riskam pakļaut</w:t>
      </w:r>
      <w:r>
        <w:rPr>
          <w:rFonts w:ascii="Times New Roman" w:hAnsi="Times New Roman" w:cs="Times New Roman"/>
          <w:sz w:val="24"/>
          <w:szCs w:val="24"/>
        </w:rPr>
        <w:t>os</w:t>
      </w:r>
      <w:r w:rsidRPr="005C0211">
        <w:rPr>
          <w:rFonts w:ascii="Times New Roman" w:hAnsi="Times New Roman" w:cs="Times New Roman"/>
          <w:sz w:val="24"/>
          <w:szCs w:val="24"/>
        </w:rPr>
        <w:t xml:space="preserve"> jaunieš</w:t>
      </w:r>
      <w:r>
        <w:rPr>
          <w:rFonts w:ascii="Times New Roman" w:hAnsi="Times New Roman" w:cs="Times New Roman"/>
          <w:sz w:val="24"/>
          <w:szCs w:val="24"/>
        </w:rPr>
        <w:t xml:space="preserve">us un veicinot profesionālās izglītības pievilcību, </w:t>
      </w:r>
      <w:r w:rsidRPr="005C0211">
        <w:rPr>
          <w:rFonts w:ascii="Times New Roman" w:hAnsi="Times New Roman" w:cs="Times New Roman"/>
          <w:sz w:val="24"/>
          <w:szCs w:val="24"/>
        </w:rPr>
        <w:t>piešķir</w:t>
      </w:r>
      <w:r>
        <w:rPr>
          <w:rFonts w:ascii="Times New Roman" w:hAnsi="Times New Roman" w:cs="Times New Roman"/>
          <w:sz w:val="24"/>
          <w:szCs w:val="24"/>
        </w:rPr>
        <w:t>tas</w:t>
      </w:r>
      <w:r w:rsidRPr="005C0211">
        <w:rPr>
          <w:rFonts w:ascii="Times New Roman" w:hAnsi="Times New Roman" w:cs="Times New Roman"/>
          <w:sz w:val="24"/>
          <w:szCs w:val="24"/>
        </w:rPr>
        <w:t xml:space="preserve"> </w:t>
      </w:r>
      <w:r w:rsidRPr="005F584B">
        <w:rPr>
          <w:rFonts w:ascii="Times New Roman" w:hAnsi="Times New Roman" w:cs="Times New Roman"/>
          <w:b/>
          <w:sz w:val="24"/>
          <w:szCs w:val="24"/>
        </w:rPr>
        <w:t>stipendijas sākotnējās profesionālās izglītības un kvalifikācijas ieguvei</w:t>
      </w:r>
      <w:r>
        <w:rPr>
          <w:rFonts w:ascii="Times New Roman" w:hAnsi="Times New Roman" w:cs="Times New Roman"/>
          <w:sz w:val="24"/>
          <w:szCs w:val="24"/>
        </w:rPr>
        <w:t xml:space="preserve">. </w:t>
      </w:r>
      <w:r w:rsidRPr="005C0211">
        <w:rPr>
          <w:rFonts w:ascii="Times New Roman" w:hAnsi="Times New Roman" w:cs="Times New Roman"/>
          <w:sz w:val="24"/>
          <w:szCs w:val="24"/>
        </w:rPr>
        <w:t>Saskaņā ar MK noteikum</w:t>
      </w:r>
      <w:r w:rsidR="0088346B">
        <w:rPr>
          <w:rFonts w:ascii="Times New Roman" w:hAnsi="Times New Roman" w:cs="Times New Roman"/>
          <w:sz w:val="24"/>
          <w:szCs w:val="24"/>
        </w:rPr>
        <w:t>iem</w:t>
      </w:r>
      <w:r w:rsidRPr="005C0211">
        <w:rPr>
          <w:rFonts w:ascii="Times New Roman" w:hAnsi="Times New Roman" w:cs="Times New Roman"/>
          <w:sz w:val="24"/>
          <w:szCs w:val="24"/>
        </w:rPr>
        <w:t xml:space="preserve"> Nr.740</w:t>
      </w:r>
      <w:r>
        <w:rPr>
          <w:rFonts w:ascii="Times New Roman" w:hAnsi="Times New Roman" w:cs="Times New Roman"/>
          <w:sz w:val="24"/>
          <w:szCs w:val="24"/>
        </w:rPr>
        <w:t xml:space="preserve"> “Noteikumi par stipendijām”</w:t>
      </w:r>
      <w:r w:rsidRPr="005C0211">
        <w:rPr>
          <w:rFonts w:ascii="Times New Roman" w:hAnsi="Times New Roman" w:cs="Times New Roman"/>
          <w:sz w:val="24"/>
          <w:szCs w:val="24"/>
        </w:rPr>
        <w:t xml:space="preserve"> </w:t>
      </w:r>
      <w:r w:rsidR="0088346B">
        <w:rPr>
          <w:rFonts w:ascii="Times New Roman" w:hAnsi="Times New Roman" w:cs="Times New Roman"/>
          <w:sz w:val="24"/>
          <w:szCs w:val="24"/>
        </w:rPr>
        <w:t>stipendiju fonda izveide</w:t>
      </w:r>
      <w:r w:rsidRPr="005C0211">
        <w:rPr>
          <w:rFonts w:ascii="Times New Roman" w:hAnsi="Times New Roman" w:cs="Times New Roman"/>
          <w:sz w:val="24"/>
          <w:szCs w:val="24"/>
        </w:rPr>
        <w:t xml:space="preserve"> paredz katram izglītojamam vidēji ne </w:t>
      </w:r>
      <w:r>
        <w:rPr>
          <w:rFonts w:ascii="Times New Roman" w:hAnsi="Times New Roman" w:cs="Times New Roman"/>
          <w:sz w:val="24"/>
          <w:szCs w:val="24"/>
        </w:rPr>
        <w:t xml:space="preserve">mazāk kā 14,23 </w:t>
      </w:r>
      <w:r w:rsidR="0088346B">
        <w:rPr>
          <w:rFonts w:ascii="Times New Roman" w:hAnsi="Times New Roman" w:cs="Times New Roman"/>
          <w:sz w:val="24"/>
          <w:szCs w:val="24"/>
        </w:rPr>
        <w:t>EUR</w:t>
      </w:r>
      <w:r>
        <w:rPr>
          <w:rFonts w:ascii="Times New Roman" w:hAnsi="Times New Roman" w:cs="Times New Roman"/>
          <w:sz w:val="24"/>
          <w:szCs w:val="24"/>
        </w:rPr>
        <w:t xml:space="preserve"> mēnesī, savukārt</w:t>
      </w:r>
      <w:r w:rsidRPr="005C0211">
        <w:rPr>
          <w:rFonts w:ascii="Times New Roman" w:hAnsi="Times New Roman" w:cs="Times New Roman"/>
          <w:sz w:val="24"/>
          <w:szCs w:val="24"/>
        </w:rPr>
        <w:t xml:space="preserve"> IZM piešķirtā budžeta ietvaros varēja nodrošināt stipendiju vidēji uz vienu izglītojamo gadā</w:t>
      </w:r>
      <w:r>
        <w:rPr>
          <w:rFonts w:ascii="Times New Roman" w:hAnsi="Times New Roman" w:cs="Times New Roman"/>
          <w:sz w:val="24"/>
          <w:szCs w:val="24"/>
        </w:rPr>
        <w:t xml:space="preserve">: </w:t>
      </w:r>
      <w:r w:rsidR="00894B5B">
        <w:rPr>
          <w:rFonts w:ascii="Times New Roman" w:hAnsi="Times New Roman" w:cs="Times New Roman"/>
          <w:sz w:val="24"/>
          <w:szCs w:val="24"/>
        </w:rPr>
        <w:t>2015.gadā</w:t>
      </w:r>
      <w:r w:rsidRPr="005C0211">
        <w:rPr>
          <w:rFonts w:ascii="Times New Roman" w:hAnsi="Times New Roman" w:cs="Times New Roman"/>
          <w:sz w:val="24"/>
          <w:szCs w:val="24"/>
        </w:rPr>
        <w:t xml:space="preserve"> – 27,43 </w:t>
      </w:r>
      <w:r>
        <w:rPr>
          <w:rFonts w:ascii="Times New Roman" w:hAnsi="Times New Roman" w:cs="Times New Roman"/>
          <w:sz w:val="24"/>
          <w:szCs w:val="24"/>
        </w:rPr>
        <w:t>EUR</w:t>
      </w:r>
      <w:r w:rsidRPr="005C0211">
        <w:rPr>
          <w:rFonts w:ascii="Times New Roman" w:hAnsi="Times New Roman" w:cs="Times New Roman"/>
          <w:sz w:val="24"/>
          <w:szCs w:val="24"/>
        </w:rPr>
        <w:t>;</w:t>
      </w:r>
      <w:r>
        <w:rPr>
          <w:rFonts w:ascii="Times New Roman" w:hAnsi="Times New Roman" w:cs="Times New Roman"/>
          <w:sz w:val="24"/>
          <w:szCs w:val="24"/>
        </w:rPr>
        <w:t xml:space="preserve"> </w:t>
      </w:r>
      <w:r w:rsidR="00894B5B">
        <w:rPr>
          <w:rFonts w:ascii="Times New Roman" w:hAnsi="Times New Roman" w:cs="Times New Roman"/>
          <w:sz w:val="24"/>
          <w:szCs w:val="24"/>
        </w:rPr>
        <w:t>2016.gadā</w:t>
      </w:r>
      <w:r w:rsidRPr="005C0211">
        <w:rPr>
          <w:rFonts w:ascii="Times New Roman" w:hAnsi="Times New Roman" w:cs="Times New Roman"/>
          <w:sz w:val="24"/>
          <w:szCs w:val="24"/>
        </w:rPr>
        <w:t xml:space="preserve"> – 52, 23 </w:t>
      </w:r>
      <w:r>
        <w:rPr>
          <w:rFonts w:ascii="Times New Roman" w:hAnsi="Times New Roman" w:cs="Times New Roman"/>
          <w:sz w:val="24"/>
          <w:szCs w:val="24"/>
        </w:rPr>
        <w:t>EUR</w:t>
      </w:r>
      <w:r w:rsidRPr="005C0211">
        <w:rPr>
          <w:rFonts w:ascii="Times New Roman" w:hAnsi="Times New Roman" w:cs="Times New Roman"/>
          <w:sz w:val="24"/>
          <w:szCs w:val="24"/>
        </w:rPr>
        <w:t>;</w:t>
      </w:r>
      <w:r>
        <w:rPr>
          <w:rFonts w:ascii="Times New Roman" w:hAnsi="Times New Roman" w:cs="Times New Roman"/>
          <w:sz w:val="24"/>
          <w:szCs w:val="24"/>
        </w:rPr>
        <w:t xml:space="preserve"> </w:t>
      </w:r>
      <w:r w:rsidR="00894B5B">
        <w:rPr>
          <w:rFonts w:ascii="Times New Roman" w:hAnsi="Times New Roman" w:cs="Times New Roman"/>
          <w:sz w:val="24"/>
          <w:szCs w:val="24"/>
        </w:rPr>
        <w:t>2017.gadā</w:t>
      </w:r>
      <w:r w:rsidRPr="005C0211">
        <w:rPr>
          <w:rFonts w:ascii="Times New Roman" w:hAnsi="Times New Roman" w:cs="Times New Roman"/>
          <w:sz w:val="24"/>
          <w:szCs w:val="24"/>
        </w:rPr>
        <w:t xml:space="preserve"> – 50,65 </w:t>
      </w:r>
      <w:r>
        <w:rPr>
          <w:rFonts w:ascii="Times New Roman" w:hAnsi="Times New Roman" w:cs="Times New Roman"/>
          <w:sz w:val="24"/>
          <w:szCs w:val="24"/>
        </w:rPr>
        <w:t>EUR</w:t>
      </w:r>
      <w:r w:rsidRPr="005C0211">
        <w:rPr>
          <w:rFonts w:ascii="Times New Roman" w:hAnsi="Times New Roman" w:cs="Times New Roman"/>
          <w:sz w:val="24"/>
          <w:szCs w:val="24"/>
        </w:rPr>
        <w:t>.</w:t>
      </w:r>
    </w:p>
    <w:p w:rsidR="00894B5B" w:rsidRDefault="00894B5B" w:rsidP="00894B5B">
      <w:pPr>
        <w:pStyle w:val="ListParagraph"/>
        <w:ind w:left="0" w:firstLine="720"/>
        <w:jc w:val="both"/>
      </w:pPr>
      <w:r>
        <w:t xml:space="preserve">Ar mērķi attīstīt jauniešu praktiskās iemaņas un veicināt viņu sekmīgu iekļaušanos darba tirgū, tiek īstenoti pasākumi Jauniešu garantijas ietvaros. 2014.gadā tika uzsākts </w:t>
      </w:r>
      <w:r w:rsidR="0088346B">
        <w:t>VIAA</w:t>
      </w:r>
      <w:r>
        <w:t xml:space="preserve"> projekts </w:t>
      </w:r>
      <w:r w:rsidRPr="005F584B">
        <w:rPr>
          <w:b/>
        </w:rPr>
        <w:t>“Sākotnējās profesionālās izglītības programmu īstenošana Jauniešu garantijas ietvaros”,</w:t>
      </w:r>
      <w:r>
        <w:t xml:space="preserve"> kur</w:t>
      </w:r>
      <w:r w:rsidR="0088346B">
        <w:t xml:space="preserve">ā </w:t>
      </w:r>
      <w:r>
        <w:t xml:space="preserve">sadarbībā ar profesionālās izglītības iestādēm notiek </w:t>
      </w:r>
      <w:r w:rsidRPr="00894B5B">
        <w:t>profesionālās izglītības programmu īstenošana</w:t>
      </w:r>
      <w:r w:rsidR="0088346B">
        <w:t>, kur</w:t>
      </w:r>
      <w:r w:rsidRPr="005565F8">
        <w:t xml:space="preserve"> jaunieši vecumā no 17 līdz 29 gadiem (ieskaitot) </w:t>
      </w:r>
      <w:r w:rsidRPr="005F584B">
        <w:t>gada vai pusotra gada laikā var iegūt profesionālo kvalifikāciju</w:t>
      </w:r>
      <w:r w:rsidRPr="005565F8">
        <w:t xml:space="preserve"> kādā no 83 profesijām</w:t>
      </w:r>
      <w:r>
        <w:t xml:space="preserve">. Līdz 2017.gada beigām </w:t>
      </w:r>
      <w:r w:rsidRPr="005C0211">
        <w:t>profesionālo kvalifikāciju ir ieguvuši 4609 jaunieši.</w:t>
      </w:r>
    </w:p>
    <w:p w:rsidR="00DA5B7F" w:rsidRDefault="00DA5B7F" w:rsidP="00894B5B">
      <w:pPr>
        <w:pStyle w:val="ListParagraph"/>
        <w:ind w:left="0" w:firstLine="720"/>
        <w:jc w:val="both"/>
      </w:pPr>
      <w:r>
        <w:t xml:space="preserve">Vienlaikus VIAA nodrošina </w:t>
      </w:r>
      <w:r w:rsidRPr="005F584B">
        <w:rPr>
          <w:b/>
        </w:rPr>
        <w:t>pamatprasmju un kompetenču apguves iespējas ieslodzījuma vietās</w:t>
      </w:r>
      <w:r>
        <w:t xml:space="preserve">, līdz 2017.gada beigām iesaistot 505 personas </w:t>
      </w:r>
      <w:r w:rsidRPr="005C0211">
        <w:t>izglītojošos pasākumos ieslodzījuma vietās</w:t>
      </w:r>
      <w:r>
        <w:t>. Papildus ir sniegtas karjeras konsultācijas, līdz 2017.gada beigām iesaistot 7874 jauniešus.</w:t>
      </w:r>
    </w:p>
    <w:p w:rsidR="00DA5B7F" w:rsidRDefault="00DA5B7F" w:rsidP="00DA5B7F">
      <w:pPr>
        <w:pStyle w:val="ListParagraph"/>
        <w:ind w:left="0" w:firstLine="720"/>
        <w:jc w:val="both"/>
      </w:pPr>
      <w:r>
        <w:lastRenderedPageBreak/>
        <w:t xml:space="preserve">2014.gadā tika uzsākts </w:t>
      </w:r>
      <w:r w:rsidR="00962FB3">
        <w:t>ESF</w:t>
      </w:r>
      <w:r w:rsidR="00D80F64">
        <w:t xml:space="preserve"> līdzfinansēts </w:t>
      </w:r>
      <w:r w:rsidRPr="005565F8">
        <w:t>Jaunatnes Starptautisko programmu aģentūras</w:t>
      </w:r>
      <w:r>
        <w:t xml:space="preserve"> (JSPA) projekts </w:t>
      </w:r>
      <w:r w:rsidRPr="005F584B">
        <w:rPr>
          <w:b/>
        </w:rPr>
        <w:t>“PROTI un DARI!”</w:t>
      </w:r>
      <w:r w:rsidR="00D80F64">
        <w:rPr>
          <w:b/>
        </w:rPr>
        <w:t xml:space="preserve"> </w:t>
      </w:r>
      <w:r w:rsidR="00D80F64" w:rsidRPr="00962FB3">
        <w:t>(SAM 8.3.3.)</w:t>
      </w:r>
      <w:r w:rsidRPr="00962FB3">
        <w:t>,</w:t>
      </w:r>
      <w:r>
        <w:t xml:space="preserve"> kura mērķis ir </w:t>
      </w:r>
      <w:r w:rsidRPr="005565F8">
        <w:t xml:space="preserve">attīstīt sociālās atstumtības riskam pakļauto jauniešu prasmes un veicināt viņu iesaisti izglītībā, </w:t>
      </w:r>
      <w:r w:rsidR="00E52709">
        <w:t>nodarbinātībā,</w:t>
      </w:r>
      <w:r w:rsidR="00E52709" w:rsidRPr="005565F8">
        <w:t xml:space="preserve"> </w:t>
      </w:r>
      <w:r w:rsidRPr="005565F8">
        <w:t xml:space="preserve">aroda apguvē pie amata meistara, </w:t>
      </w:r>
      <w:r w:rsidRPr="00DA5B7F">
        <w:t xml:space="preserve">Jauniešu garantijas </w:t>
      </w:r>
      <w:r w:rsidRPr="005565F8">
        <w:t>pasākumos, N</w:t>
      </w:r>
      <w:r>
        <w:t>odarbinātības valsts aģentūras</w:t>
      </w:r>
      <w:r w:rsidR="002258D2">
        <w:t xml:space="preserve"> (NVA)</w:t>
      </w:r>
      <w:r w:rsidRPr="005565F8">
        <w:t xml:space="preserve"> īstenotajos aktīvajos nodarbinātības vai preventīvajos bezdarba mazināšanas pasākumos, kā arī nevalstisko organizāciju vai jaun</w:t>
      </w:r>
      <w:r>
        <w:t>iešu centru darbībā. Līdz 2018.</w:t>
      </w:r>
      <w:r w:rsidRPr="005565F8">
        <w:t>gadam ir noslēgti sadarbības līgumi par projekta īstenošanu</w:t>
      </w:r>
      <w:r w:rsidR="00E52709">
        <w:t xml:space="preserve"> </w:t>
      </w:r>
      <w:r w:rsidR="00E52709" w:rsidRPr="005565F8">
        <w:t>ar 76 pašvaldībām</w:t>
      </w:r>
      <w:r w:rsidRPr="005565F8">
        <w:t xml:space="preserve"> (papildus projektā ir iesaistīti jaunieši no 10 pašvaldībām, ar  kurām vēl nav noslēgti sadarbības līgumi). Kopumā ir organizētas 24 tiešsaistes mācības un īstenoti 27 klātienes neformālās izglītības pasākumi pašvaldību deleģētajiem 409 mentoriem, kā arī organizēti 10 četru dienu mācību moduļi pašvaldību deleģētajiem 185 programmu vadītājiem. Līdz 2017. gada beigām projektā ir iesaistījušies 873 jaunieši. </w:t>
      </w:r>
    </w:p>
    <w:p w:rsidR="006909B1" w:rsidRPr="005C0211" w:rsidRDefault="006909B1" w:rsidP="00DA5B7F">
      <w:pPr>
        <w:pStyle w:val="ListParagraph"/>
        <w:ind w:left="0" w:firstLine="720"/>
        <w:jc w:val="both"/>
      </w:pPr>
    </w:p>
    <w:p w:rsidR="00892509" w:rsidRDefault="00892509" w:rsidP="00FD39DA">
      <w:pPr>
        <w:pStyle w:val="ListParagraph"/>
        <w:ind w:left="0"/>
        <w:jc w:val="both"/>
        <w:rPr>
          <w:rFonts w:eastAsiaTheme="minorHAnsi"/>
          <w:b/>
        </w:rPr>
      </w:pPr>
    </w:p>
    <w:tbl>
      <w:tblPr>
        <w:tblStyle w:val="TableGrid"/>
        <w:tblW w:w="0" w:type="auto"/>
        <w:shd w:val="clear" w:color="auto" w:fill="DEEAF6" w:themeFill="accent1" w:themeFillTint="33"/>
        <w:tblLook w:val="04A0" w:firstRow="1" w:lastRow="0" w:firstColumn="1" w:lastColumn="0" w:noHBand="0" w:noVBand="1"/>
      </w:tblPr>
      <w:tblGrid>
        <w:gridCol w:w="9345"/>
      </w:tblGrid>
      <w:tr w:rsidR="00670008" w:rsidRPr="00670008" w:rsidTr="00670008">
        <w:tc>
          <w:tcPr>
            <w:tcW w:w="9345" w:type="dxa"/>
            <w:shd w:val="clear" w:color="auto" w:fill="DEEAF6" w:themeFill="accent1" w:themeFillTint="33"/>
          </w:tcPr>
          <w:p w:rsidR="00670008" w:rsidRPr="00670008" w:rsidRDefault="00670008" w:rsidP="00FD39DA">
            <w:pPr>
              <w:pStyle w:val="ListParagraph"/>
              <w:ind w:left="0"/>
              <w:jc w:val="both"/>
              <w:rPr>
                <w:rFonts w:eastAsiaTheme="minorHAnsi"/>
                <w:b/>
              </w:rPr>
            </w:pPr>
            <w:r w:rsidRPr="00670008">
              <w:rPr>
                <w:b/>
              </w:rPr>
              <w:t xml:space="preserve">Rīcības virziens: </w:t>
            </w:r>
            <w:r w:rsidRPr="00670008">
              <w:rPr>
                <w:rFonts w:eastAsiaTheme="minorHAnsi"/>
                <w:b/>
              </w:rPr>
              <w:t>2.3. Ārpus formālās izglītības iespēju un pieejamības bērniem un jauniešiem paplašināšana</w:t>
            </w:r>
          </w:p>
        </w:tc>
      </w:tr>
    </w:tbl>
    <w:p w:rsidR="00C77E5B" w:rsidRDefault="00612571" w:rsidP="00C77E5B">
      <w:pPr>
        <w:spacing w:after="0" w:line="240" w:lineRule="auto"/>
        <w:ind w:firstLine="720"/>
        <w:jc w:val="both"/>
        <w:rPr>
          <w:rFonts w:ascii="Times New Roman" w:hAnsi="Times New Roman" w:cs="Times New Roman"/>
          <w:sz w:val="24"/>
          <w:szCs w:val="24"/>
        </w:rPr>
      </w:pPr>
      <w:r w:rsidRPr="00C77E5B">
        <w:rPr>
          <w:rFonts w:ascii="Times New Roman" w:hAnsi="Times New Roman" w:cs="Times New Roman"/>
          <w:sz w:val="24"/>
          <w:szCs w:val="24"/>
        </w:rPr>
        <w:t xml:space="preserve">Motivējot bērnus un jauniešus līdzdalībai </w:t>
      </w:r>
      <w:r w:rsidRPr="005C0211">
        <w:rPr>
          <w:rFonts w:ascii="Times New Roman" w:hAnsi="Times New Roman" w:cs="Times New Roman"/>
          <w:sz w:val="24"/>
          <w:szCs w:val="24"/>
        </w:rPr>
        <w:t>neformālās</w:t>
      </w:r>
      <w:r w:rsidR="00C77E5B" w:rsidRPr="00C77E5B">
        <w:rPr>
          <w:rFonts w:ascii="Times New Roman" w:hAnsi="Times New Roman" w:cs="Times New Roman"/>
          <w:sz w:val="24"/>
          <w:szCs w:val="24"/>
        </w:rPr>
        <w:t>,</w:t>
      </w:r>
      <w:r w:rsidRPr="005C0211">
        <w:rPr>
          <w:rFonts w:ascii="Times New Roman" w:hAnsi="Times New Roman" w:cs="Times New Roman"/>
          <w:sz w:val="24"/>
          <w:szCs w:val="24"/>
        </w:rPr>
        <w:t xml:space="preserve"> </w:t>
      </w:r>
      <w:r w:rsidR="00C77E5B" w:rsidRPr="00C77E5B">
        <w:rPr>
          <w:rFonts w:ascii="Times New Roman" w:hAnsi="Times New Roman" w:cs="Times New Roman"/>
          <w:sz w:val="24"/>
          <w:szCs w:val="24"/>
        </w:rPr>
        <w:t>tajā skaitā,</w:t>
      </w:r>
      <w:r w:rsidRPr="005C0211">
        <w:rPr>
          <w:rFonts w:ascii="Times New Roman" w:hAnsi="Times New Roman" w:cs="Times New Roman"/>
          <w:sz w:val="24"/>
          <w:szCs w:val="24"/>
        </w:rPr>
        <w:t xml:space="preserve"> </w:t>
      </w:r>
      <w:r w:rsidRPr="005263F1">
        <w:rPr>
          <w:rFonts w:ascii="Times New Roman" w:hAnsi="Times New Roman" w:cs="Times New Roman"/>
          <w:b/>
          <w:sz w:val="24"/>
          <w:szCs w:val="24"/>
        </w:rPr>
        <w:t>interešu izglītības pasākumos</w:t>
      </w:r>
      <w:r w:rsidR="00C77E5B" w:rsidRPr="00C77E5B">
        <w:rPr>
          <w:rFonts w:ascii="Times New Roman" w:hAnsi="Times New Roman" w:cs="Times New Roman"/>
          <w:sz w:val="24"/>
          <w:szCs w:val="24"/>
        </w:rPr>
        <w:t>, tiek nodrošināta i</w:t>
      </w:r>
      <w:r w:rsidR="00C77E5B" w:rsidRPr="005C0211">
        <w:rPr>
          <w:rFonts w:ascii="Times New Roman" w:hAnsi="Times New Roman" w:cs="Times New Roman"/>
          <w:sz w:val="24"/>
          <w:szCs w:val="24"/>
        </w:rPr>
        <w:t>nterešu izglītības satura piedāvājuma daudzveidība</w:t>
      </w:r>
      <w:r w:rsidR="00C77E5B" w:rsidRPr="00C77E5B">
        <w:rPr>
          <w:rFonts w:ascii="Times New Roman" w:hAnsi="Times New Roman" w:cs="Times New Roman"/>
          <w:sz w:val="24"/>
          <w:szCs w:val="24"/>
        </w:rPr>
        <w:t xml:space="preserve">. </w:t>
      </w:r>
      <w:r w:rsidR="00C77E5B" w:rsidRPr="005C0211">
        <w:rPr>
          <w:rFonts w:ascii="Times New Roman" w:hAnsi="Times New Roman" w:cs="Times New Roman"/>
          <w:sz w:val="24"/>
          <w:szCs w:val="24"/>
        </w:rPr>
        <w:t>Katru gadu organizēti gan informatīvi izglītojoši, gan profesionālās kompetences pilnveides semināri un kursi tautas deju, mūsdienu deju, folkloras skolotājiem, pūtēju orķestru un skolēnu koru diriģentu, vides interešu izglītības skolotājiem.</w:t>
      </w:r>
      <w:r w:rsidR="00C77E5B">
        <w:rPr>
          <w:rFonts w:ascii="Times New Roman" w:hAnsi="Times New Roman" w:cs="Times New Roman"/>
          <w:sz w:val="24"/>
          <w:szCs w:val="24"/>
        </w:rPr>
        <w:t xml:space="preserve"> </w:t>
      </w:r>
    </w:p>
    <w:p w:rsidR="00DC7175" w:rsidRDefault="00C77E5B" w:rsidP="00DC7175">
      <w:pPr>
        <w:pStyle w:val="ListParagraph"/>
        <w:ind w:left="0" w:firstLine="720"/>
        <w:jc w:val="both"/>
      </w:pPr>
      <w:r w:rsidRPr="005C0211">
        <w:t xml:space="preserve">VISC mājaslapā </w:t>
      </w:r>
      <w:hyperlink r:id="rId13" w:history="1">
        <w:r w:rsidRPr="005C0211">
          <w:rPr>
            <w:rStyle w:val="Hyperlink"/>
          </w:rPr>
          <w:t>www.visc.gov.lv</w:t>
        </w:r>
      </w:hyperlink>
      <w:r w:rsidRPr="005C0211">
        <w:t xml:space="preserve"> Interešu izglītības sadaļā </w:t>
      </w:r>
      <w:r>
        <w:t xml:space="preserve">ir </w:t>
      </w:r>
      <w:r w:rsidRPr="005C0211">
        <w:t>pieejami metodiskie ieteikumi interešu izglītības programmu īstenotājiem.</w:t>
      </w:r>
      <w:r>
        <w:t xml:space="preserve"> </w:t>
      </w:r>
      <w:r w:rsidR="00612571" w:rsidRPr="005C0211">
        <w:t>Katru gadu izstrādāti 5 metodiskie materiāli, t</w:t>
      </w:r>
      <w:r w:rsidR="00E46565">
        <w:t>ajā skaitā,</w:t>
      </w:r>
      <w:r w:rsidR="00612571" w:rsidRPr="005C0211">
        <w:t xml:space="preserve"> repertuāra krājumi kultūrizglītības pedagogiem. </w:t>
      </w:r>
      <w:r w:rsidR="00DC7175" w:rsidRPr="005C0211">
        <w:t>Katru gadu organizēti 30 valsts nozīmes pasākum</w:t>
      </w:r>
      <w:r w:rsidR="00E46565">
        <w:t>i</w:t>
      </w:r>
      <w:r w:rsidR="00DC7175" w:rsidRPr="005C0211">
        <w:t xml:space="preserve"> kultūrizglītībā, vides interešu izglītībā un tehniskajā jaunradē.</w:t>
      </w:r>
      <w:r w:rsidR="00DC7175">
        <w:t xml:space="preserve"> </w:t>
      </w:r>
    </w:p>
    <w:p w:rsidR="00DC7175" w:rsidRDefault="0002506D" w:rsidP="0002506D">
      <w:pPr>
        <w:pStyle w:val="ListParagraph"/>
        <w:ind w:left="0" w:firstLine="720"/>
        <w:jc w:val="both"/>
      </w:pPr>
      <w:r>
        <w:t>Lai s</w:t>
      </w:r>
      <w:r w:rsidR="00DC7175" w:rsidRPr="005C0211">
        <w:t>tiprināt</w:t>
      </w:r>
      <w:r>
        <w:t>u</w:t>
      </w:r>
      <w:r w:rsidR="00DC7175" w:rsidRPr="005C0211">
        <w:t xml:space="preserve"> </w:t>
      </w:r>
      <w:r w:rsidR="00DC7175" w:rsidRPr="005263F1">
        <w:rPr>
          <w:b/>
        </w:rPr>
        <w:t>skolēnu pilsonisko apziņu</w:t>
      </w:r>
      <w:r w:rsidR="00E46565" w:rsidRPr="00E46565">
        <w:t>,</w:t>
      </w:r>
      <w:r w:rsidR="00DC7175" w:rsidRPr="005C0211">
        <w:t xml:space="preserve"> sabiedriskās līdzdalības prasmes un patriotismu, </w:t>
      </w:r>
      <w:r>
        <w:t xml:space="preserve">kā arī </w:t>
      </w:r>
      <w:r w:rsidR="00DC7175" w:rsidRPr="005C0211">
        <w:t>valstisko identitāti</w:t>
      </w:r>
      <w:r>
        <w:t xml:space="preserve">, </w:t>
      </w:r>
      <w:r w:rsidR="00DC7175" w:rsidRPr="005C0211">
        <w:t>2017.gadā VISC uzsāka īstenot pasākumu ciklu “Pilsoniskās līdzdalības un labo darbu maratons” (2017.-2020</w:t>
      </w:r>
      <w:r>
        <w:t>.) ar mērķi</w:t>
      </w:r>
      <w:r w:rsidR="00DC7175" w:rsidRPr="005C0211">
        <w:t xml:space="preserve"> iesaistīt skolēnus </w:t>
      </w:r>
      <w:r>
        <w:t>Latvijas</w:t>
      </w:r>
      <w:r w:rsidR="00DC7175" w:rsidRPr="005C0211">
        <w:t xml:space="preserve"> </w:t>
      </w:r>
      <w:r>
        <w:t>simt</w:t>
      </w:r>
      <w:r w:rsidR="00DC7175" w:rsidRPr="005C0211">
        <w:t xml:space="preserve">gades svinēšanā. Katru gadu ir </w:t>
      </w:r>
      <w:r>
        <w:t>īstenots viens pasākums: 2014.gadā s</w:t>
      </w:r>
      <w:r w:rsidR="00DC7175" w:rsidRPr="005C0211">
        <w:t>adarbībā ar UNESCO L</w:t>
      </w:r>
      <w:r>
        <w:t>atvijas Nacionālo komisiju norisinājās</w:t>
      </w:r>
      <w:r w:rsidR="00DC7175" w:rsidRPr="005C0211">
        <w:t xml:space="preserve"> projekts „Baltijas ceļa stāsti” un </w:t>
      </w:r>
      <w:r>
        <w:t>Baltijas ceļa stunda</w:t>
      </w:r>
      <w:r w:rsidR="00345251" w:rsidRPr="00345251">
        <w:t xml:space="preserve"> </w:t>
      </w:r>
      <w:r w:rsidR="00345251" w:rsidRPr="005C0211">
        <w:t>izglītība</w:t>
      </w:r>
      <w:r w:rsidR="00345251">
        <w:t>s iestādēs</w:t>
      </w:r>
      <w:r>
        <w:t>; 2015.gadā</w:t>
      </w:r>
      <w:r w:rsidR="00DC7175" w:rsidRPr="005C0211">
        <w:t xml:space="preserve"> </w:t>
      </w:r>
      <w:r>
        <w:t xml:space="preserve">notika </w:t>
      </w:r>
      <w:r w:rsidR="00DC7175" w:rsidRPr="005C0211">
        <w:t>2.Cēsu pulka Skolnieku rotas ceļojošā piemiņas karoga tradīcijas atjaunoša</w:t>
      </w:r>
      <w:r>
        <w:t xml:space="preserve">na Vidzemes izglītības iestādēm; 2016.gadā notika Jauniešu talka Likteņdārzā; savukārt 2017.gadā tika organizēts </w:t>
      </w:r>
      <w:r w:rsidR="00DC7175" w:rsidRPr="005C0211">
        <w:t>Latvijas bērnu un jauniešu vizuālās mākslas konkurss “Latvijas toņi un pustoņi”</w:t>
      </w:r>
      <w:r>
        <w:t>.</w:t>
      </w:r>
    </w:p>
    <w:p w:rsidR="00DC7175" w:rsidRDefault="004541D3" w:rsidP="004541D3">
      <w:pPr>
        <w:pStyle w:val="ListParagraph"/>
        <w:ind w:left="0" w:firstLine="720"/>
        <w:jc w:val="both"/>
      </w:pPr>
      <w:r>
        <w:t xml:space="preserve">Vienlaikus ir nodrošināts metodiskais atbalsts </w:t>
      </w:r>
      <w:r w:rsidRPr="005263F1">
        <w:rPr>
          <w:b/>
        </w:rPr>
        <w:t>skolēnu pašpārvalžu</w:t>
      </w:r>
      <w:r w:rsidRPr="005C0211">
        <w:t xml:space="preserve"> līderiem un viņu konsultantiem, organizējot pieredzes apmaiņas un izglītojošus pasākumus</w:t>
      </w:r>
      <w:r>
        <w:t xml:space="preserve">. </w:t>
      </w:r>
      <w:r w:rsidR="00DC7175" w:rsidRPr="005C0211">
        <w:t xml:space="preserve">2014.gadā </w:t>
      </w:r>
      <w:r>
        <w:t xml:space="preserve">tika </w:t>
      </w:r>
      <w:r w:rsidR="00DC7175" w:rsidRPr="005C0211">
        <w:t xml:space="preserve">organizēts Baltijas valstu skolēnu pašpārvalžu forums „Ejam tālāk pa Baltijas ceļu”, </w:t>
      </w:r>
      <w:r>
        <w:t xml:space="preserve">bet </w:t>
      </w:r>
      <w:r w:rsidR="00DC7175" w:rsidRPr="005C0211">
        <w:t>2017.gadā notikušas 12 radošās darbnīcas pedagogiem un izglītojamajiem/pašpārvalžu līderiem un diskusija “Kāpēc ir vērts būt un dzīvot Latvijā?”</w:t>
      </w:r>
      <w:r>
        <w:t>.</w:t>
      </w:r>
    </w:p>
    <w:p w:rsidR="00890E35" w:rsidRDefault="00890E35" w:rsidP="004541D3">
      <w:pPr>
        <w:pStyle w:val="ListParagraph"/>
        <w:ind w:left="0" w:firstLine="720"/>
        <w:jc w:val="both"/>
      </w:pPr>
      <w:r>
        <w:t xml:space="preserve">Ar ESF atbalstu tiek </w:t>
      </w:r>
      <w:r w:rsidRPr="00890E35">
        <w:rPr>
          <w:b/>
        </w:rPr>
        <w:t>paplašināts interešu izglītības programmu piedāvājums</w:t>
      </w:r>
      <w:r>
        <w:t xml:space="preserve"> vispārējās izglītības iestādēs. </w:t>
      </w:r>
      <w:r w:rsidRPr="005C0211">
        <w:t xml:space="preserve">8.3.2 SAM </w:t>
      </w:r>
      <w:r>
        <w:t>„</w:t>
      </w:r>
      <w:r w:rsidRPr="005C0211">
        <w:t>Palielināt atbalstu vispārējās izglītības iestādēm izglītojamo individuālo kompetenču attīstīb</w:t>
      </w:r>
      <w:r>
        <w:t>ai” projekta „</w:t>
      </w:r>
      <w:r w:rsidRPr="008F7F61">
        <w:t>Atbalsts izglītojamo individuālo kompetenču attīstībai” </w:t>
      </w:r>
      <w:r>
        <w:t xml:space="preserve"> ietvaros 338 vispārējās izglītības iestādēs atbalsts tiek sniegts jaunu mācību formu ieviešanai, lai attīstītu individuālu pieeju kā mācību satura apguvei, tā arī ārpusstundu pasākumu veidā, šādās jomās: </w:t>
      </w:r>
      <w:r w:rsidRPr="00890E35">
        <w:t>STEM, tajā skaitā tehniskās jaunrades un vides, kā arī valodas, kultūrizglītības un radošās industrijas, multidisciplinārā un sporta jomā.</w:t>
      </w:r>
    </w:p>
    <w:p w:rsidR="00260C31" w:rsidRPr="00B41B01" w:rsidRDefault="00260C31" w:rsidP="009534E3">
      <w:pPr>
        <w:spacing w:after="0" w:line="240" w:lineRule="auto"/>
        <w:ind w:firstLine="720"/>
        <w:jc w:val="both"/>
        <w:rPr>
          <w:rFonts w:ascii="Times New Roman" w:hAnsi="Times New Roman" w:cs="Times New Roman"/>
          <w:sz w:val="24"/>
          <w:szCs w:val="24"/>
        </w:rPr>
      </w:pPr>
      <w:r w:rsidRPr="005C0211">
        <w:rPr>
          <w:rFonts w:ascii="Times New Roman" w:hAnsi="Times New Roman" w:cs="Times New Roman"/>
          <w:sz w:val="24"/>
          <w:szCs w:val="24"/>
        </w:rPr>
        <w:t>Veicin</w:t>
      </w:r>
      <w:r w:rsidR="009534E3">
        <w:rPr>
          <w:rFonts w:ascii="Times New Roman" w:hAnsi="Times New Roman" w:cs="Times New Roman"/>
          <w:sz w:val="24"/>
          <w:szCs w:val="24"/>
        </w:rPr>
        <w:t>ot</w:t>
      </w:r>
      <w:r w:rsidRPr="005C0211">
        <w:rPr>
          <w:rFonts w:ascii="Times New Roman" w:hAnsi="Times New Roman" w:cs="Times New Roman"/>
          <w:sz w:val="24"/>
          <w:szCs w:val="24"/>
        </w:rPr>
        <w:t xml:space="preserve"> </w:t>
      </w:r>
      <w:r w:rsidRPr="005263F1">
        <w:rPr>
          <w:rFonts w:ascii="Times New Roman" w:hAnsi="Times New Roman" w:cs="Times New Roman"/>
          <w:b/>
          <w:sz w:val="24"/>
          <w:szCs w:val="24"/>
        </w:rPr>
        <w:t>bērnu un jauniešu nacionālās identitātes veidošanos</w:t>
      </w:r>
      <w:r w:rsidR="009534E3">
        <w:rPr>
          <w:rFonts w:ascii="Times New Roman" w:hAnsi="Times New Roman" w:cs="Times New Roman"/>
          <w:sz w:val="24"/>
          <w:szCs w:val="24"/>
        </w:rPr>
        <w:t xml:space="preserve">, </w:t>
      </w:r>
      <w:r w:rsidR="008B1EFB">
        <w:rPr>
          <w:rFonts w:ascii="Times New Roman" w:hAnsi="Times New Roman" w:cs="Times New Roman"/>
          <w:sz w:val="24"/>
          <w:szCs w:val="24"/>
        </w:rPr>
        <w:t xml:space="preserve">2015.gada 5.-12.jūlijā Rīgā notika </w:t>
      </w:r>
      <w:r w:rsidR="008B1EFB" w:rsidRPr="005C0211">
        <w:rPr>
          <w:rFonts w:ascii="Times New Roman" w:hAnsi="Times New Roman" w:cs="Times New Roman"/>
          <w:sz w:val="24"/>
          <w:szCs w:val="24"/>
        </w:rPr>
        <w:t>XI Latvijas skolu jaunatnes dziesmu un deju svētki</w:t>
      </w:r>
      <w:r w:rsidR="008B1EFB">
        <w:rPr>
          <w:rFonts w:ascii="Times New Roman" w:hAnsi="Times New Roman" w:cs="Times New Roman"/>
          <w:sz w:val="24"/>
          <w:szCs w:val="24"/>
        </w:rPr>
        <w:t xml:space="preserve">, kas vairāk kā 78 pasākumos pulcēja </w:t>
      </w:r>
      <w:r w:rsidR="008B1EFB" w:rsidRPr="005C0211">
        <w:rPr>
          <w:rFonts w:ascii="Times New Roman" w:hAnsi="Times New Roman" w:cs="Times New Roman"/>
          <w:sz w:val="24"/>
          <w:szCs w:val="24"/>
        </w:rPr>
        <w:t>37</w:t>
      </w:r>
      <w:r w:rsidR="008B1EFB">
        <w:rPr>
          <w:rFonts w:ascii="Times New Roman" w:hAnsi="Times New Roman" w:cs="Times New Roman"/>
          <w:sz w:val="24"/>
          <w:szCs w:val="24"/>
        </w:rPr>
        <w:t> </w:t>
      </w:r>
      <w:r w:rsidR="008B1EFB" w:rsidRPr="005C0211">
        <w:rPr>
          <w:rFonts w:ascii="Times New Roman" w:hAnsi="Times New Roman" w:cs="Times New Roman"/>
          <w:sz w:val="24"/>
          <w:szCs w:val="24"/>
        </w:rPr>
        <w:t>890</w:t>
      </w:r>
      <w:r w:rsidR="008B1EFB">
        <w:rPr>
          <w:rFonts w:ascii="Times New Roman" w:hAnsi="Times New Roman" w:cs="Times New Roman"/>
          <w:sz w:val="24"/>
          <w:szCs w:val="24"/>
        </w:rPr>
        <w:t xml:space="preserve"> dalībniekus. Ir uzsākts 2020.gada </w:t>
      </w:r>
      <w:r w:rsidR="008B1EFB" w:rsidRPr="005C0211">
        <w:rPr>
          <w:rFonts w:ascii="Times New Roman" w:hAnsi="Times New Roman" w:cs="Times New Roman"/>
          <w:sz w:val="24"/>
          <w:szCs w:val="24"/>
        </w:rPr>
        <w:t>XII Latvijas skolu jaunatnes dziesmu un deju svētk</w:t>
      </w:r>
      <w:r w:rsidR="008B1EFB">
        <w:rPr>
          <w:rFonts w:ascii="Times New Roman" w:hAnsi="Times New Roman" w:cs="Times New Roman"/>
          <w:sz w:val="24"/>
          <w:szCs w:val="24"/>
        </w:rPr>
        <w:t>u sagatavošanas process.</w:t>
      </w:r>
    </w:p>
    <w:p w:rsidR="00260C31" w:rsidRPr="005C0211" w:rsidRDefault="008B1EFB" w:rsidP="008B1E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Kopumā </w:t>
      </w:r>
      <w:r w:rsidR="00260C31" w:rsidRPr="005263F1">
        <w:rPr>
          <w:rFonts w:ascii="Times New Roman" w:hAnsi="Times New Roman" w:cs="Times New Roman"/>
          <w:b/>
          <w:sz w:val="24"/>
          <w:szCs w:val="24"/>
        </w:rPr>
        <w:t>Dziesmu un deju svētku procesā</w:t>
      </w:r>
      <w:r w:rsidR="00260C31" w:rsidRPr="005C0211">
        <w:rPr>
          <w:rFonts w:ascii="Times New Roman" w:hAnsi="Times New Roman" w:cs="Times New Roman"/>
          <w:sz w:val="24"/>
          <w:szCs w:val="24"/>
        </w:rPr>
        <w:t xml:space="preserve"> (kultūrizglītības programmās) nemainīgi iesaistījušies ap 100 000 bērnu un jauniešu. Katru gadu n</w:t>
      </w:r>
      <w:r w:rsidR="00961C1D">
        <w:rPr>
          <w:rFonts w:ascii="Times New Roman" w:hAnsi="Times New Roman" w:cs="Times New Roman"/>
          <w:sz w:val="24"/>
          <w:szCs w:val="24"/>
        </w:rPr>
        <w:t>otikuši 5–</w:t>
      </w:r>
      <w:r w:rsidR="00260C31" w:rsidRPr="005C0211">
        <w:rPr>
          <w:rFonts w:ascii="Times New Roman" w:hAnsi="Times New Roman" w:cs="Times New Roman"/>
          <w:sz w:val="24"/>
          <w:szCs w:val="24"/>
        </w:rPr>
        <w:t xml:space="preserve">7 tradicionālie starpsvētku pasākumi tautas dejā, koru un vokālajā mākslā, instrumentālajā mūzikā, vizuālajā un vizuāli </w:t>
      </w:r>
      <w:r w:rsidR="00260C31" w:rsidRPr="005C0211">
        <w:rPr>
          <w:rFonts w:ascii="Times New Roman" w:hAnsi="Times New Roman" w:cs="Times New Roman"/>
          <w:sz w:val="24"/>
          <w:szCs w:val="24"/>
        </w:rPr>
        <w:lastRenderedPageBreak/>
        <w:t>plastiskajā mākslā, teātra mākslā, nemateriālā kultūras mantojuma programmā “Pulkā e</w:t>
      </w:r>
      <w:r w:rsidR="00260C31">
        <w:rPr>
          <w:rFonts w:ascii="Times New Roman" w:hAnsi="Times New Roman" w:cs="Times New Roman"/>
          <w:sz w:val="24"/>
          <w:szCs w:val="24"/>
        </w:rPr>
        <w:t>s</w:t>
      </w:r>
      <w:r w:rsidR="00260C31" w:rsidRPr="005C0211">
        <w:rPr>
          <w:rFonts w:ascii="Times New Roman" w:hAnsi="Times New Roman" w:cs="Times New Roman"/>
          <w:sz w:val="24"/>
          <w:szCs w:val="24"/>
        </w:rPr>
        <w:t>mu, pulkā teku”.</w:t>
      </w:r>
    </w:p>
    <w:p w:rsidR="00260C31" w:rsidRDefault="008B1EFB" w:rsidP="00611F0F">
      <w:pPr>
        <w:pStyle w:val="ListParagraph"/>
        <w:ind w:left="0" w:firstLine="720"/>
        <w:jc w:val="both"/>
      </w:pPr>
      <w:r>
        <w:t xml:space="preserve">Nodrošināts gatavošanās process </w:t>
      </w:r>
      <w:r w:rsidRPr="005263F1">
        <w:rPr>
          <w:b/>
        </w:rPr>
        <w:t>Baltijas studentu dziesmu un deju svētkiem "Gaudeamus".</w:t>
      </w:r>
      <w:r w:rsidRPr="005C0211">
        <w:t xml:space="preserve"> XVIII Baltijas studentu dziesmu un deju svētki "Gaudeamus" tika pārcelti uz 2018.gada 22.-24.jūniju </w:t>
      </w:r>
      <w:r>
        <w:t>(</w:t>
      </w:r>
      <w:r w:rsidRPr="005C0211">
        <w:t>Tartu, Igaunijā</w:t>
      </w:r>
      <w:r>
        <w:t>), plānojot ap</w:t>
      </w:r>
      <w:r w:rsidRPr="005C0211">
        <w:t xml:space="preserve"> 2000 Latvijas studentu</w:t>
      </w:r>
      <w:r w:rsidR="00343149">
        <w:t xml:space="preserve"> dalību</w:t>
      </w:r>
      <w:r w:rsidRPr="005C0211">
        <w:t>.</w:t>
      </w:r>
    </w:p>
    <w:p w:rsidR="00BA50F1" w:rsidRDefault="00BB1EF2" w:rsidP="00BB1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90E35">
        <w:rPr>
          <w:rFonts w:ascii="Times New Roman" w:hAnsi="Times New Roman" w:cs="Times New Roman"/>
          <w:sz w:val="24"/>
          <w:szCs w:val="24"/>
        </w:rPr>
        <w:t xml:space="preserve">Ar ESF atbalstu </w:t>
      </w:r>
      <w:r w:rsidR="00890E35" w:rsidRPr="008F7F61">
        <w:rPr>
          <w:rFonts w:ascii="Times New Roman" w:hAnsi="Times New Roman" w:cs="Times New Roman"/>
          <w:sz w:val="24"/>
          <w:szCs w:val="24"/>
        </w:rPr>
        <w:t>8.3.2 SAM „Palielināt atbalstu vispārējās izglītības iestādēm izglītojamo individuālo kompetenču attīstībai” projekta</w:t>
      </w:r>
      <w:r w:rsidR="00890E35" w:rsidRPr="005C0211">
        <w:rPr>
          <w:rFonts w:ascii="Times New Roman" w:hAnsi="Times New Roman" w:cs="Times New Roman"/>
          <w:sz w:val="24"/>
          <w:szCs w:val="24"/>
        </w:rPr>
        <w:t xml:space="preserve"> </w:t>
      </w:r>
      <w:r w:rsidR="00890E35">
        <w:rPr>
          <w:rFonts w:ascii="Times New Roman" w:hAnsi="Times New Roman" w:cs="Times New Roman"/>
          <w:sz w:val="24"/>
          <w:szCs w:val="24"/>
        </w:rPr>
        <w:t>„</w:t>
      </w:r>
      <w:r w:rsidR="00890E35" w:rsidRPr="008F7F61">
        <w:rPr>
          <w:rFonts w:ascii="Times New Roman" w:hAnsi="Times New Roman" w:cs="Times New Roman"/>
          <w:sz w:val="24"/>
          <w:szCs w:val="24"/>
        </w:rPr>
        <w:t>Nacionāla un starptautiska mēroga pasākumu īstenošana izglītojamo talantu attīstībai”</w:t>
      </w:r>
      <w:r w:rsidR="00890E35" w:rsidRPr="005C0211">
        <w:rPr>
          <w:rFonts w:ascii="Times New Roman" w:hAnsi="Times New Roman" w:cs="Times New Roman"/>
          <w:sz w:val="24"/>
          <w:szCs w:val="24"/>
        </w:rPr>
        <w:t xml:space="preserve"> </w:t>
      </w:r>
      <w:r w:rsidR="00890E35">
        <w:rPr>
          <w:rFonts w:ascii="Times New Roman" w:hAnsi="Times New Roman" w:cs="Times New Roman"/>
          <w:sz w:val="24"/>
          <w:szCs w:val="24"/>
        </w:rPr>
        <w:t>ietvaros i</w:t>
      </w:r>
      <w:r w:rsidRPr="005C0211">
        <w:rPr>
          <w:rFonts w:ascii="Times New Roman" w:hAnsi="Times New Roman" w:cs="Times New Roman"/>
          <w:sz w:val="24"/>
          <w:szCs w:val="24"/>
        </w:rPr>
        <w:t>kgadēji tiek nodrošināta</w:t>
      </w:r>
      <w:r w:rsidR="00F07AC4">
        <w:rPr>
          <w:rFonts w:ascii="Times New Roman" w:hAnsi="Times New Roman" w:cs="Times New Roman"/>
          <w:sz w:val="24"/>
          <w:szCs w:val="24"/>
        </w:rPr>
        <w:t xml:space="preserve"> </w:t>
      </w:r>
      <w:r w:rsidR="00F07AC4" w:rsidRPr="005263F1">
        <w:rPr>
          <w:rFonts w:ascii="Times New Roman" w:hAnsi="Times New Roman" w:cs="Times New Roman"/>
          <w:b/>
          <w:sz w:val="24"/>
          <w:szCs w:val="24"/>
        </w:rPr>
        <w:t>skolēnu dalība valsts mācību olimpiādēs un starptautiskajās olimpiādēs</w:t>
      </w:r>
      <w:r w:rsidR="00F07AC4">
        <w:rPr>
          <w:rFonts w:ascii="Times New Roman" w:hAnsi="Times New Roman" w:cs="Times New Roman"/>
          <w:sz w:val="24"/>
          <w:szCs w:val="24"/>
        </w:rPr>
        <w:t>, kā arī</w:t>
      </w:r>
      <w:r w:rsidRPr="005C0211">
        <w:rPr>
          <w:rFonts w:ascii="Times New Roman" w:hAnsi="Times New Roman" w:cs="Times New Roman"/>
          <w:sz w:val="24"/>
          <w:szCs w:val="24"/>
        </w:rPr>
        <w:t xml:space="preserve"> </w:t>
      </w:r>
      <w:r w:rsidRPr="005263F1">
        <w:rPr>
          <w:rFonts w:ascii="Times New Roman" w:hAnsi="Times New Roman" w:cs="Times New Roman"/>
          <w:b/>
          <w:sz w:val="24"/>
          <w:szCs w:val="24"/>
        </w:rPr>
        <w:t>skolēnu zinātniski pētnieciskās darbības konferenču norise</w:t>
      </w:r>
      <w:r w:rsidRPr="005C0211">
        <w:rPr>
          <w:rFonts w:ascii="Times New Roman" w:hAnsi="Times New Roman" w:cs="Times New Roman"/>
          <w:sz w:val="24"/>
          <w:szCs w:val="24"/>
        </w:rPr>
        <w:t xml:space="preserve"> reģionu un valsts līmenī. 2017.gadā kopā reģionu un valsts līmenī savus zinātniski pētnieciskos darbus aizstāvēja 1200 skolēni. </w:t>
      </w:r>
      <w:r>
        <w:rPr>
          <w:rFonts w:ascii="Times New Roman" w:hAnsi="Times New Roman" w:cs="Times New Roman"/>
          <w:sz w:val="24"/>
          <w:szCs w:val="24"/>
        </w:rPr>
        <w:t>Tāpat i</w:t>
      </w:r>
      <w:r w:rsidRPr="005C0211">
        <w:rPr>
          <w:rFonts w:ascii="Times New Roman" w:hAnsi="Times New Roman" w:cs="Times New Roman"/>
          <w:sz w:val="24"/>
          <w:szCs w:val="24"/>
        </w:rPr>
        <w:t>kgadēji tiek nodrošināta vasaras skola – nometne “Alfa”, kurā piedalās 45 skolēni, kas ir valsts un starptautisko olimpiāžu un zinātnis</w:t>
      </w:r>
      <w:r>
        <w:rPr>
          <w:rFonts w:ascii="Times New Roman" w:hAnsi="Times New Roman" w:cs="Times New Roman"/>
          <w:sz w:val="24"/>
          <w:szCs w:val="24"/>
        </w:rPr>
        <w:t xml:space="preserve">ki pētniecisko darbu laureāti. </w:t>
      </w:r>
      <w:r w:rsidR="00890E35">
        <w:rPr>
          <w:rFonts w:ascii="Times New Roman" w:hAnsi="Times New Roman" w:cs="Times New Roman"/>
          <w:sz w:val="24"/>
          <w:szCs w:val="24"/>
        </w:rPr>
        <w:t>Tiek turpināts arī k</w:t>
      </w:r>
      <w:r w:rsidR="00890E35" w:rsidRPr="005C0211">
        <w:rPr>
          <w:rFonts w:ascii="Times New Roman" w:hAnsi="Times New Roman" w:cs="Times New Roman"/>
          <w:sz w:val="24"/>
          <w:szCs w:val="24"/>
        </w:rPr>
        <w:t xml:space="preserve">opš 2013.gada </w:t>
      </w:r>
      <w:r w:rsidR="00890E35">
        <w:rPr>
          <w:rFonts w:ascii="Times New Roman" w:hAnsi="Times New Roman" w:cs="Times New Roman"/>
          <w:sz w:val="24"/>
          <w:szCs w:val="24"/>
        </w:rPr>
        <w:t>uzsāktais</w:t>
      </w:r>
      <w:r w:rsidRPr="005C0211">
        <w:rPr>
          <w:rFonts w:ascii="Times New Roman" w:hAnsi="Times New Roman" w:cs="Times New Roman"/>
          <w:sz w:val="24"/>
          <w:szCs w:val="24"/>
        </w:rPr>
        <w:t xml:space="preserve"> praktiskās ievirzes semināru </w:t>
      </w:r>
      <w:r w:rsidR="00BA50F1">
        <w:rPr>
          <w:rFonts w:ascii="Times New Roman" w:hAnsi="Times New Roman" w:cs="Times New Roman"/>
          <w:sz w:val="24"/>
          <w:szCs w:val="24"/>
        </w:rPr>
        <w:t>“</w:t>
      </w:r>
      <w:r w:rsidRPr="005C0211">
        <w:rPr>
          <w:rFonts w:ascii="Times New Roman" w:hAnsi="Times New Roman" w:cs="Times New Roman"/>
          <w:sz w:val="24"/>
          <w:szCs w:val="24"/>
        </w:rPr>
        <w:t>Beta</w:t>
      </w:r>
      <w:r w:rsidR="00BA50F1">
        <w:rPr>
          <w:rFonts w:ascii="Times New Roman" w:hAnsi="Times New Roman" w:cs="Times New Roman"/>
          <w:sz w:val="24"/>
          <w:szCs w:val="24"/>
        </w:rPr>
        <w:t>”</w:t>
      </w:r>
      <w:r w:rsidRPr="005C0211">
        <w:rPr>
          <w:rFonts w:ascii="Times New Roman" w:hAnsi="Times New Roman" w:cs="Times New Roman"/>
          <w:sz w:val="24"/>
          <w:szCs w:val="24"/>
        </w:rPr>
        <w:t xml:space="preserve"> cikls talantīgiem 10.-12.klases skolēniem ar padziļinātu interesi dabaszinību, medicīnas, datorzinību, ekonomikas u.c. jomās.</w:t>
      </w:r>
    </w:p>
    <w:p w:rsidR="00B1048E" w:rsidRDefault="00BA50F1" w:rsidP="00B104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Vienlaikus</w:t>
      </w:r>
      <w:r w:rsidR="00D72275">
        <w:rPr>
          <w:rFonts w:ascii="Times New Roman" w:hAnsi="Times New Roman" w:cs="Times New Roman"/>
          <w:sz w:val="24"/>
          <w:szCs w:val="24"/>
        </w:rPr>
        <w:t xml:space="preserve"> ir nodrošināta</w:t>
      </w:r>
      <w:r w:rsidRPr="005C0211">
        <w:rPr>
          <w:rFonts w:ascii="Times New Roman" w:hAnsi="Times New Roman"/>
          <w:sz w:val="24"/>
          <w:szCs w:val="24"/>
        </w:rPr>
        <w:t xml:space="preserve"> </w:t>
      </w:r>
      <w:r w:rsidRPr="005263F1">
        <w:rPr>
          <w:rFonts w:ascii="Times New Roman" w:hAnsi="Times New Roman"/>
          <w:b/>
          <w:sz w:val="24"/>
          <w:szCs w:val="24"/>
        </w:rPr>
        <w:t>pedagogu-skolēnu zinātniski pētniecisko darbu vadītāju profesionālās kompetences pilnveide</w:t>
      </w:r>
      <w:r w:rsidRPr="005C0211">
        <w:rPr>
          <w:rFonts w:ascii="Times New Roman" w:hAnsi="Times New Roman"/>
          <w:sz w:val="24"/>
          <w:szCs w:val="24"/>
        </w:rPr>
        <w:t xml:space="preserve"> par skolēnu zinātniski pētniecisko darbību un darbu izstrādi vēsturē un kultūrvēsturiskajā mantojumā, psiholoģijā, inženierzinātnē, cittautu valodniecībā un literatūras zinātnē, </w:t>
      </w:r>
      <w:r w:rsidRPr="005C0211">
        <w:rPr>
          <w:rFonts w:ascii="Times New Roman" w:eastAsia="Calibri" w:hAnsi="Times New Roman"/>
          <w:sz w:val="24"/>
          <w:szCs w:val="24"/>
        </w:rPr>
        <w:t>komercdarbības un mārketinga aktualitātēm skolēnu zinātniski pētnieciskā darba rakstīšanas procesā un pētniecības metodēm un pētījumu datu analīzi.</w:t>
      </w:r>
      <w:r w:rsidR="00AC3F1A">
        <w:rPr>
          <w:rFonts w:ascii="Times New Roman" w:eastAsia="Calibri" w:hAnsi="Times New Roman"/>
          <w:sz w:val="24"/>
          <w:szCs w:val="24"/>
        </w:rPr>
        <w:t xml:space="preserve"> Regulāri nodrošināta</w:t>
      </w:r>
      <w:r w:rsidR="00AC3F1A">
        <w:rPr>
          <w:rFonts w:ascii="Times New Roman" w:hAnsi="Times New Roman" w:cs="Times New Roman"/>
          <w:sz w:val="24"/>
          <w:szCs w:val="24"/>
        </w:rPr>
        <w:t xml:space="preserve"> </w:t>
      </w:r>
      <w:r w:rsidRPr="005C0211">
        <w:rPr>
          <w:rFonts w:ascii="Times New Roman" w:hAnsi="Times New Roman" w:cs="Times New Roman"/>
          <w:sz w:val="24"/>
          <w:szCs w:val="24"/>
        </w:rPr>
        <w:t>pedagogu profesionālās kompetences pilnveide izglītoja</w:t>
      </w:r>
      <w:r w:rsidR="00AC3F1A">
        <w:rPr>
          <w:rFonts w:ascii="Times New Roman" w:hAnsi="Times New Roman" w:cs="Times New Roman"/>
          <w:sz w:val="24"/>
          <w:szCs w:val="24"/>
        </w:rPr>
        <w:t xml:space="preserve">mo spēju un talantu attīstīšanā. Turpmāk ir plānots izstrādāt metodisko līdzekli </w:t>
      </w:r>
      <w:r w:rsidRPr="005C0211">
        <w:rPr>
          <w:rFonts w:ascii="Times New Roman" w:hAnsi="Times New Roman" w:cs="Times New Roman"/>
          <w:sz w:val="24"/>
          <w:szCs w:val="24"/>
        </w:rPr>
        <w:t xml:space="preserve">pedagogiem talantīgu izglītojamo atpazīšanai un talantu izkopšanai no pirmsskolas līdz vidusskolas posmam. </w:t>
      </w:r>
    </w:p>
    <w:p w:rsidR="00395BD6" w:rsidRDefault="008D435C" w:rsidP="00B1048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 izveidotu </w:t>
      </w:r>
      <w:r w:rsidRPr="005263F1">
        <w:rPr>
          <w:rFonts w:ascii="Times New Roman" w:hAnsi="Times New Roman" w:cs="Times New Roman"/>
          <w:b/>
          <w:sz w:val="24"/>
          <w:szCs w:val="24"/>
        </w:rPr>
        <w:t>jauniešu neformālās izglītības atzīšanas sistēmu</w:t>
      </w:r>
      <w:r>
        <w:rPr>
          <w:rFonts w:ascii="Times New Roman" w:hAnsi="Times New Roman" w:cs="Times New Roman"/>
          <w:sz w:val="24"/>
          <w:szCs w:val="24"/>
        </w:rPr>
        <w:t xml:space="preserve">, </w:t>
      </w:r>
      <w:r w:rsidRPr="005C0211">
        <w:rPr>
          <w:rFonts w:ascii="Times New Roman" w:hAnsi="Times New Roman" w:cs="Times New Roman"/>
          <w:sz w:val="24"/>
          <w:szCs w:val="24"/>
        </w:rPr>
        <w:t xml:space="preserve">Jaunatnes Konsultatīvās padomes ietvaros </w:t>
      </w:r>
      <w:r>
        <w:rPr>
          <w:rFonts w:ascii="Times New Roman" w:hAnsi="Times New Roman" w:cs="Times New Roman"/>
          <w:sz w:val="24"/>
          <w:szCs w:val="24"/>
        </w:rPr>
        <w:t xml:space="preserve">tika izveidota </w:t>
      </w:r>
      <w:r w:rsidRPr="005C0211">
        <w:rPr>
          <w:rFonts w:ascii="Times New Roman" w:hAnsi="Times New Roman" w:cs="Times New Roman"/>
          <w:sz w:val="24"/>
          <w:szCs w:val="24"/>
        </w:rPr>
        <w:t xml:space="preserve">darba grupa “Par jauniešu neformālās izglītības vienota modeļa izstrādi” un uzsākta ziņojuma </w:t>
      </w:r>
      <w:r>
        <w:rPr>
          <w:rFonts w:ascii="Times New Roman" w:hAnsi="Times New Roman" w:cs="Times New Roman"/>
          <w:sz w:val="24"/>
          <w:szCs w:val="24"/>
        </w:rPr>
        <w:t xml:space="preserve">sagatavošana </w:t>
      </w:r>
      <w:r w:rsidRPr="005C0211">
        <w:rPr>
          <w:rFonts w:ascii="Times New Roman" w:hAnsi="Times New Roman" w:cs="Times New Roman"/>
          <w:sz w:val="24"/>
          <w:szCs w:val="24"/>
        </w:rPr>
        <w:t>par neformālās izglītības darba ar jaunatni atzīšanas sistēm</w:t>
      </w:r>
      <w:r>
        <w:rPr>
          <w:rFonts w:ascii="Times New Roman" w:hAnsi="Times New Roman" w:cs="Times New Roman"/>
          <w:sz w:val="24"/>
          <w:szCs w:val="24"/>
        </w:rPr>
        <w:t>a</w:t>
      </w:r>
      <w:r w:rsidRPr="005C0211">
        <w:rPr>
          <w:rFonts w:ascii="Times New Roman" w:hAnsi="Times New Roman" w:cs="Times New Roman"/>
          <w:sz w:val="24"/>
          <w:szCs w:val="24"/>
        </w:rPr>
        <w:t>s izveidei nepieciešamo normatīv</w:t>
      </w:r>
      <w:r>
        <w:rPr>
          <w:rFonts w:ascii="Times New Roman" w:hAnsi="Times New Roman" w:cs="Times New Roman"/>
          <w:sz w:val="24"/>
          <w:szCs w:val="24"/>
        </w:rPr>
        <w:t>o</w:t>
      </w:r>
      <w:r w:rsidRPr="005C0211">
        <w:rPr>
          <w:rFonts w:ascii="Times New Roman" w:hAnsi="Times New Roman" w:cs="Times New Roman"/>
          <w:sz w:val="24"/>
          <w:szCs w:val="24"/>
        </w:rPr>
        <w:t xml:space="preserve"> aktu grozījumiem</w:t>
      </w:r>
      <w:r>
        <w:rPr>
          <w:rFonts w:ascii="Times New Roman" w:hAnsi="Times New Roman" w:cs="Times New Roman"/>
          <w:sz w:val="24"/>
          <w:szCs w:val="24"/>
        </w:rPr>
        <w:t>.</w:t>
      </w:r>
    </w:p>
    <w:p w:rsidR="00311976" w:rsidRPr="00C9022A" w:rsidRDefault="008D435C" w:rsidP="00C9022A">
      <w:pPr>
        <w:spacing w:after="0" w:line="240" w:lineRule="auto"/>
        <w:ind w:firstLine="720"/>
        <w:jc w:val="both"/>
        <w:rPr>
          <w:rFonts w:ascii="Times New Roman" w:hAnsi="Times New Roman" w:cs="Times New Roman"/>
          <w:sz w:val="24"/>
          <w:szCs w:val="24"/>
        </w:rPr>
      </w:pPr>
      <w:r w:rsidRPr="00C9022A">
        <w:rPr>
          <w:rFonts w:ascii="Times New Roman" w:hAnsi="Times New Roman" w:cs="Times New Roman"/>
          <w:sz w:val="24"/>
          <w:szCs w:val="24"/>
        </w:rPr>
        <w:t xml:space="preserve">Veicinot </w:t>
      </w:r>
      <w:r w:rsidRPr="00C9022A">
        <w:rPr>
          <w:rFonts w:ascii="Times New Roman" w:hAnsi="Times New Roman" w:cs="Times New Roman"/>
          <w:b/>
          <w:sz w:val="24"/>
          <w:szCs w:val="24"/>
        </w:rPr>
        <w:t>jauniešu neformālās izglītības atzīšanas</w:t>
      </w:r>
      <w:r w:rsidRPr="00C9022A">
        <w:rPr>
          <w:rFonts w:ascii="Times New Roman" w:hAnsi="Times New Roman" w:cs="Times New Roman"/>
          <w:sz w:val="24"/>
          <w:szCs w:val="24"/>
        </w:rPr>
        <w:t xml:space="preserve"> </w:t>
      </w:r>
      <w:r w:rsidRPr="00C9022A">
        <w:rPr>
          <w:rFonts w:ascii="Times New Roman" w:hAnsi="Times New Roman" w:cs="Times New Roman"/>
          <w:b/>
          <w:sz w:val="24"/>
          <w:szCs w:val="24"/>
        </w:rPr>
        <w:t>sistēmu</w:t>
      </w:r>
      <w:r w:rsidRPr="00C9022A">
        <w:rPr>
          <w:rFonts w:ascii="Times New Roman" w:hAnsi="Times New Roman" w:cs="Times New Roman"/>
          <w:sz w:val="24"/>
          <w:szCs w:val="24"/>
        </w:rPr>
        <w:t xml:space="preserve"> “Erasmus+” programmas īstenoto projektu ietvaros, Jaunatnes starptautisko programmu aģentūra laika posmā no 2014. līdz 2016.gadam organizēja ilgtermiņa projektu, kura mērķis bija veicināt </w:t>
      </w:r>
      <w:r w:rsidRPr="00C9022A">
        <w:rPr>
          <w:rFonts w:ascii="Times New Roman" w:hAnsi="Times New Roman" w:cs="Times New Roman"/>
          <w:i/>
          <w:sz w:val="24"/>
          <w:szCs w:val="24"/>
        </w:rPr>
        <w:t>Youthpass</w:t>
      </w:r>
      <w:r w:rsidRPr="00C9022A">
        <w:rPr>
          <w:rFonts w:ascii="Times New Roman" w:hAnsi="Times New Roman" w:cs="Times New Roman"/>
          <w:sz w:val="24"/>
          <w:szCs w:val="24"/>
        </w:rPr>
        <w:t xml:space="preserve"> rīka ieviešanu nacionālā līmenī programmas „Erasmus+” ietvaros un izstrādāt rekomendācijas. 2016.gadā, balstoties uz projekta rezultātiem, tika organizēts nacionāla līmeņa forums</w:t>
      </w:r>
      <w:r w:rsidR="00C9022A" w:rsidRPr="00C9022A">
        <w:rPr>
          <w:rFonts w:ascii="Times New Roman" w:hAnsi="Times New Roman" w:cs="Times New Roman"/>
          <w:sz w:val="24"/>
          <w:szCs w:val="24"/>
        </w:rPr>
        <w:t xml:space="preserve"> (aptuveni 250 dalībnieki)</w:t>
      </w:r>
      <w:r w:rsidRPr="00C9022A">
        <w:rPr>
          <w:rFonts w:ascii="Times New Roman" w:hAnsi="Times New Roman" w:cs="Times New Roman"/>
          <w:sz w:val="24"/>
          <w:szCs w:val="24"/>
        </w:rPr>
        <w:t>, kura mērķis bija veicināt diskusiju par nākamajiem soļiem neformālās izglītības atzīšanai Latvijā. 2016. un 2017.gadā tika organizēti starptautiski mācību pasākumi “</w:t>
      </w:r>
      <w:r w:rsidRPr="00C9022A">
        <w:rPr>
          <w:rFonts w:ascii="Times New Roman" w:hAnsi="Times New Roman" w:cs="Times New Roman"/>
          <w:i/>
          <w:sz w:val="24"/>
          <w:szCs w:val="24"/>
        </w:rPr>
        <w:t>Passion for learning</w:t>
      </w:r>
      <w:r w:rsidRPr="00C9022A">
        <w:rPr>
          <w:rFonts w:ascii="Times New Roman" w:hAnsi="Times New Roman" w:cs="Times New Roman"/>
          <w:sz w:val="24"/>
          <w:szCs w:val="24"/>
        </w:rPr>
        <w:t>” par mācīšanās procesa nodrošināšanu “Erasmus+” projektos.</w:t>
      </w:r>
      <w:r w:rsidR="00C9022A" w:rsidRPr="00C9022A">
        <w:rPr>
          <w:rFonts w:ascii="Times New Roman" w:hAnsi="Times New Roman" w:cs="Times New Roman"/>
          <w:sz w:val="24"/>
          <w:szCs w:val="24"/>
        </w:rPr>
        <w:t xml:space="preserve"> </w:t>
      </w:r>
      <w:r w:rsidRPr="00C9022A">
        <w:rPr>
          <w:rFonts w:ascii="Times New Roman" w:hAnsi="Times New Roman" w:cs="Times New Roman"/>
          <w:sz w:val="24"/>
          <w:szCs w:val="24"/>
        </w:rPr>
        <w:t>Kopumā “Erasmus+” programmas ietvaros la</w:t>
      </w:r>
      <w:r w:rsidR="00C9022A" w:rsidRPr="00C9022A">
        <w:rPr>
          <w:rFonts w:ascii="Times New Roman" w:hAnsi="Times New Roman" w:cs="Times New Roman"/>
          <w:sz w:val="24"/>
          <w:szCs w:val="24"/>
        </w:rPr>
        <w:t>ika periodā no 2014. līdz 2017.</w:t>
      </w:r>
      <w:r w:rsidRPr="00C9022A">
        <w:rPr>
          <w:rFonts w:ascii="Times New Roman" w:hAnsi="Times New Roman" w:cs="Times New Roman"/>
          <w:sz w:val="24"/>
          <w:szCs w:val="24"/>
        </w:rPr>
        <w:t xml:space="preserve">gadam </w:t>
      </w:r>
      <w:r w:rsidRPr="00C9022A">
        <w:rPr>
          <w:rFonts w:ascii="Times New Roman" w:hAnsi="Times New Roman" w:cs="Times New Roman"/>
          <w:i/>
          <w:sz w:val="24"/>
          <w:szCs w:val="24"/>
        </w:rPr>
        <w:t>Youthpass</w:t>
      </w:r>
      <w:r w:rsidRPr="00C9022A">
        <w:rPr>
          <w:rFonts w:ascii="Times New Roman" w:hAnsi="Times New Roman" w:cs="Times New Roman"/>
          <w:sz w:val="24"/>
          <w:szCs w:val="24"/>
        </w:rPr>
        <w:t xml:space="preserve"> sertifikāti ir izsnie</w:t>
      </w:r>
      <w:r w:rsidR="00C9022A" w:rsidRPr="00C9022A">
        <w:rPr>
          <w:rFonts w:ascii="Times New Roman" w:hAnsi="Times New Roman" w:cs="Times New Roman"/>
          <w:sz w:val="24"/>
          <w:szCs w:val="24"/>
        </w:rPr>
        <w:t xml:space="preserve">gti 2364 projektu dalībniekiem. </w:t>
      </w:r>
      <w:r w:rsidRPr="00C9022A">
        <w:rPr>
          <w:rFonts w:ascii="Times New Roman" w:hAnsi="Times New Roman" w:cs="Times New Roman"/>
          <w:sz w:val="24"/>
          <w:szCs w:val="24"/>
        </w:rPr>
        <w:t>JSPA</w:t>
      </w:r>
      <w:r w:rsidRPr="00C9022A" w:rsidDel="00E35477">
        <w:rPr>
          <w:rFonts w:ascii="Times New Roman" w:hAnsi="Times New Roman" w:cs="Times New Roman"/>
          <w:sz w:val="24"/>
          <w:szCs w:val="24"/>
        </w:rPr>
        <w:t xml:space="preserve"> </w:t>
      </w:r>
      <w:r w:rsidRPr="00C9022A">
        <w:rPr>
          <w:rFonts w:ascii="Times New Roman" w:hAnsi="Times New Roman" w:cs="Times New Roman"/>
          <w:sz w:val="24"/>
          <w:szCs w:val="24"/>
        </w:rPr>
        <w:t>turpina risināt neformālās izglītības atzīšanas jautājumu, īstenojot ilgtermiņa projektus par neformālajā izglītībā ie</w:t>
      </w:r>
      <w:r w:rsidR="00C9022A" w:rsidRPr="00C9022A">
        <w:rPr>
          <w:rFonts w:ascii="Times New Roman" w:hAnsi="Times New Roman" w:cs="Times New Roman"/>
          <w:sz w:val="24"/>
          <w:szCs w:val="24"/>
        </w:rPr>
        <w:t xml:space="preserve">gūto kompetenču atzīšanu, </w:t>
      </w:r>
      <w:r w:rsidRPr="00C9022A">
        <w:rPr>
          <w:rFonts w:ascii="Times New Roman" w:hAnsi="Times New Roman" w:cs="Times New Roman"/>
          <w:sz w:val="24"/>
          <w:szCs w:val="24"/>
        </w:rPr>
        <w:t>organizējot informatīvus pasākumus par</w:t>
      </w:r>
      <w:r w:rsidRPr="00C9022A">
        <w:rPr>
          <w:rFonts w:ascii="Times New Roman" w:hAnsi="Times New Roman" w:cs="Times New Roman"/>
          <w:i/>
          <w:sz w:val="24"/>
          <w:szCs w:val="24"/>
        </w:rPr>
        <w:t xml:space="preserve"> Youthpass</w:t>
      </w:r>
      <w:r w:rsidRPr="00C9022A">
        <w:rPr>
          <w:rFonts w:ascii="Times New Roman" w:hAnsi="Times New Roman" w:cs="Times New Roman"/>
          <w:sz w:val="24"/>
          <w:szCs w:val="24"/>
        </w:rPr>
        <w:t xml:space="preserve"> izmantošanu “Erasmus+” projektu īstenošanā, kā arī nodrošinot konsultācijas projektu īstenotājiem.</w:t>
      </w:r>
    </w:p>
    <w:p w:rsidR="00B1048E" w:rsidRPr="005C0211" w:rsidRDefault="00B1048E" w:rsidP="00B1048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 atbalstītu </w:t>
      </w:r>
      <w:r w:rsidRPr="005263F1">
        <w:rPr>
          <w:rFonts w:ascii="Times New Roman" w:hAnsi="Times New Roman" w:cs="Times New Roman"/>
          <w:b/>
          <w:sz w:val="24"/>
          <w:szCs w:val="24"/>
        </w:rPr>
        <w:t xml:space="preserve">neformālās izglītības </w:t>
      </w:r>
      <w:r w:rsidR="005263F1">
        <w:rPr>
          <w:rFonts w:ascii="Times New Roman" w:hAnsi="Times New Roman" w:cs="Times New Roman"/>
          <w:b/>
          <w:sz w:val="24"/>
          <w:szCs w:val="24"/>
        </w:rPr>
        <w:t xml:space="preserve">programmu </w:t>
      </w:r>
      <w:r w:rsidR="00E522AC">
        <w:rPr>
          <w:rFonts w:ascii="Times New Roman" w:hAnsi="Times New Roman" w:cs="Times New Roman"/>
          <w:b/>
          <w:sz w:val="24"/>
          <w:szCs w:val="24"/>
        </w:rPr>
        <w:t xml:space="preserve">īstenošanu </w:t>
      </w:r>
      <w:r w:rsidR="005263F1">
        <w:rPr>
          <w:rFonts w:ascii="Times New Roman" w:hAnsi="Times New Roman" w:cs="Times New Roman"/>
          <w:b/>
          <w:sz w:val="24"/>
          <w:szCs w:val="24"/>
        </w:rPr>
        <w:t>jauniešiem</w:t>
      </w:r>
      <w:r>
        <w:rPr>
          <w:rFonts w:ascii="Times New Roman" w:hAnsi="Times New Roman" w:cs="Times New Roman"/>
          <w:sz w:val="24"/>
          <w:szCs w:val="24"/>
        </w:rPr>
        <w:t xml:space="preserve">, </w:t>
      </w:r>
      <w:r w:rsidRPr="005C0211">
        <w:rPr>
          <w:rFonts w:ascii="Times New Roman" w:hAnsi="Times New Roman" w:cs="Times New Roman"/>
          <w:sz w:val="24"/>
          <w:szCs w:val="24"/>
        </w:rPr>
        <w:t xml:space="preserve">IZM Jaunatnes politikas valsts programmas ietvaros </w:t>
      </w:r>
      <w:r>
        <w:rPr>
          <w:rFonts w:ascii="Times New Roman" w:hAnsi="Times New Roman" w:cs="Times New Roman"/>
          <w:sz w:val="24"/>
          <w:szCs w:val="24"/>
        </w:rPr>
        <w:t>laika posmā no 2014. līdz 2017.</w:t>
      </w:r>
      <w:r w:rsidRPr="005C0211">
        <w:rPr>
          <w:rFonts w:ascii="Times New Roman" w:hAnsi="Times New Roman" w:cs="Times New Roman"/>
          <w:sz w:val="24"/>
          <w:szCs w:val="24"/>
        </w:rPr>
        <w:t>gadam tika apstiprināti 1</w:t>
      </w:r>
      <w:r w:rsidR="00E522AC">
        <w:rPr>
          <w:rFonts w:ascii="Times New Roman" w:hAnsi="Times New Roman" w:cs="Times New Roman"/>
          <w:sz w:val="24"/>
          <w:szCs w:val="24"/>
        </w:rPr>
        <w:t>7</w:t>
      </w:r>
      <w:r w:rsidRPr="005C0211">
        <w:rPr>
          <w:rFonts w:ascii="Times New Roman" w:hAnsi="Times New Roman" w:cs="Times New Roman"/>
          <w:sz w:val="24"/>
          <w:szCs w:val="24"/>
        </w:rPr>
        <w:t xml:space="preserve">5 pašvaldību projekti ar mērķi stiprināt darba ar jaunatni attīstību vietējā līmenī un veicināt jauniešu līdzdalību neformālās izglītības aktivitātēs. </w:t>
      </w:r>
    </w:p>
    <w:p w:rsidR="00A12DD4" w:rsidRDefault="00A12DD4" w:rsidP="00BA5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E4DC3">
        <w:rPr>
          <w:rFonts w:ascii="Times New Roman" w:hAnsi="Times New Roman" w:cs="Times New Roman"/>
          <w:sz w:val="24"/>
          <w:szCs w:val="24"/>
        </w:rPr>
        <w:t xml:space="preserve">Vienlaikus </w:t>
      </w:r>
      <w:r w:rsidRPr="005C0211">
        <w:rPr>
          <w:rFonts w:ascii="Times New Roman" w:hAnsi="Times New Roman" w:cs="Times New Roman"/>
          <w:sz w:val="24"/>
          <w:szCs w:val="24"/>
        </w:rPr>
        <w:t xml:space="preserve">IZM Jaunatnes politikas valsts programmas ietvaros </w:t>
      </w:r>
      <w:r w:rsidR="007E4DC3">
        <w:rPr>
          <w:rFonts w:ascii="Times New Roman" w:hAnsi="Times New Roman" w:cs="Times New Roman"/>
          <w:sz w:val="24"/>
          <w:szCs w:val="24"/>
        </w:rPr>
        <w:t>laika posmā no 2014. līdz 2017.</w:t>
      </w:r>
      <w:r w:rsidRPr="005C0211">
        <w:rPr>
          <w:rFonts w:ascii="Times New Roman" w:hAnsi="Times New Roman" w:cs="Times New Roman"/>
          <w:sz w:val="24"/>
          <w:szCs w:val="24"/>
        </w:rPr>
        <w:t>gadam apstiprināti 37 jaunatnes organizāciju projekti ar mērķi sniegt atbalstu jaunatnes organizāciju darbībai un līdzdalības nodrošināšanai valsts un starptautiskajā jaunatnes politikā. Projekti ir veicinājuši jaunatnes organizāciju darbības kapacitāti, jauniešu līdzdalību un jaunu iniciatīvu īstenošanu</w:t>
      </w:r>
      <w:r w:rsidR="003111D2">
        <w:rPr>
          <w:rFonts w:ascii="Times New Roman" w:hAnsi="Times New Roman" w:cs="Times New Roman"/>
          <w:sz w:val="24"/>
          <w:szCs w:val="24"/>
        </w:rPr>
        <w:t>.</w:t>
      </w:r>
    </w:p>
    <w:p w:rsidR="006E3B5D" w:rsidRDefault="006E3B5D" w:rsidP="006E3B5D">
      <w:pPr>
        <w:spacing w:after="0" w:line="240" w:lineRule="auto"/>
        <w:ind w:firstLine="720"/>
        <w:jc w:val="both"/>
        <w:rPr>
          <w:rFonts w:ascii="Times New Roman" w:hAnsi="Times New Roman" w:cs="Times New Roman"/>
          <w:sz w:val="24"/>
          <w:szCs w:val="24"/>
        </w:rPr>
      </w:pPr>
      <w:r w:rsidRPr="00B06BAF">
        <w:rPr>
          <w:rFonts w:ascii="Times New Roman" w:hAnsi="Times New Roman" w:cs="Times New Roman"/>
          <w:sz w:val="24"/>
          <w:szCs w:val="24"/>
        </w:rPr>
        <w:t xml:space="preserve">IZM Jaunatnes politikas valsts programmas ietvaros </w:t>
      </w:r>
      <w:r w:rsidR="005C39CA">
        <w:rPr>
          <w:rFonts w:ascii="Times New Roman" w:hAnsi="Times New Roman" w:cs="Times New Roman"/>
          <w:sz w:val="24"/>
          <w:szCs w:val="24"/>
        </w:rPr>
        <w:t>laikā posmā no 2014. līdz 2017.</w:t>
      </w:r>
      <w:r w:rsidRPr="00B06BAF">
        <w:rPr>
          <w:rFonts w:ascii="Times New Roman" w:hAnsi="Times New Roman" w:cs="Times New Roman"/>
          <w:sz w:val="24"/>
          <w:szCs w:val="24"/>
        </w:rPr>
        <w:t>gadam pašvaldību un jaunatnes organizāciju projektos kopumā tika iesaistīti 25 149 projektu dalībnieki.</w:t>
      </w:r>
    </w:p>
    <w:p w:rsidR="00D54D73" w:rsidRDefault="003111D2" w:rsidP="009F611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Veicinot </w:t>
      </w:r>
      <w:r w:rsidRPr="005263F1">
        <w:rPr>
          <w:rFonts w:ascii="Times New Roman" w:hAnsi="Times New Roman" w:cs="Times New Roman"/>
          <w:b/>
          <w:sz w:val="24"/>
          <w:szCs w:val="24"/>
        </w:rPr>
        <w:t>jauniešu mācības, mobilitāti un pieredzes apmaiņu</w:t>
      </w:r>
      <w:r w:rsidRPr="005C0211">
        <w:rPr>
          <w:rFonts w:ascii="Times New Roman" w:hAnsi="Times New Roman" w:cs="Times New Roman"/>
          <w:sz w:val="24"/>
          <w:szCs w:val="24"/>
        </w:rPr>
        <w:t xml:space="preserve"> vietējā, reģionālā, nacionālā līmenī un/vai starptautiskā līmenī</w:t>
      </w:r>
      <w:r>
        <w:rPr>
          <w:rFonts w:ascii="Times New Roman" w:hAnsi="Times New Roman" w:cs="Times New Roman"/>
          <w:sz w:val="24"/>
          <w:szCs w:val="24"/>
        </w:rPr>
        <w:t xml:space="preserve">, </w:t>
      </w:r>
      <w:r w:rsidR="009F6119">
        <w:rPr>
          <w:rFonts w:ascii="Times New Roman" w:hAnsi="Times New Roman" w:cs="Times New Roman"/>
          <w:sz w:val="24"/>
          <w:szCs w:val="24"/>
        </w:rPr>
        <w:t>kā arī d</w:t>
      </w:r>
      <w:r w:rsidR="009F6119" w:rsidRPr="005C0211">
        <w:rPr>
          <w:rFonts w:ascii="Times New Roman" w:hAnsi="Times New Roman" w:cs="Times New Roman"/>
          <w:sz w:val="24"/>
          <w:szCs w:val="24"/>
        </w:rPr>
        <w:t>arbā ar jaunatni iesaistīto personu (jaunatnes lietu speciālisti, pedagogi, NVO pārstāvji, jauniešu līderi, skolēnu pašpārvaldes u.c.) profesionālās kompetences pilnveid</w:t>
      </w:r>
      <w:r w:rsidR="009F6119">
        <w:rPr>
          <w:rFonts w:ascii="Times New Roman" w:hAnsi="Times New Roman" w:cs="Times New Roman"/>
          <w:sz w:val="24"/>
          <w:szCs w:val="24"/>
        </w:rPr>
        <w:t>i</w:t>
      </w:r>
      <w:r w:rsidR="009F6119" w:rsidRPr="005C0211">
        <w:rPr>
          <w:rFonts w:ascii="Times New Roman" w:hAnsi="Times New Roman" w:cs="Times New Roman"/>
          <w:sz w:val="24"/>
          <w:szCs w:val="24"/>
        </w:rPr>
        <w:t xml:space="preserve"> neformālās izglītības un darba ar jaunatni jomā</w:t>
      </w:r>
      <w:r w:rsidR="009F6119">
        <w:rPr>
          <w:rFonts w:ascii="Times New Roman" w:hAnsi="Times New Roman" w:cs="Times New Roman"/>
          <w:sz w:val="24"/>
          <w:szCs w:val="24"/>
        </w:rPr>
        <w:t xml:space="preserve">, </w:t>
      </w:r>
      <w:r w:rsidR="009F6119" w:rsidRPr="005C0211">
        <w:rPr>
          <w:rFonts w:ascii="Times New Roman" w:hAnsi="Times New Roman" w:cs="Times New Roman"/>
          <w:sz w:val="24"/>
          <w:szCs w:val="24"/>
        </w:rPr>
        <w:t xml:space="preserve">Latvijas </w:t>
      </w:r>
      <w:r w:rsidR="00C55AFB">
        <w:rPr>
          <w:rFonts w:ascii="Times New Roman" w:hAnsi="Times New Roman" w:cs="Times New Roman"/>
          <w:sz w:val="24"/>
          <w:szCs w:val="24"/>
        </w:rPr>
        <w:t>–</w:t>
      </w:r>
      <w:r w:rsidR="009F6119" w:rsidRPr="005C0211">
        <w:rPr>
          <w:rFonts w:ascii="Times New Roman" w:hAnsi="Times New Roman" w:cs="Times New Roman"/>
          <w:sz w:val="24"/>
          <w:szCs w:val="24"/>
        </w:rPr>
        <w:t xml:space="preserve"> Šveices sadarbības programmas ietvaros</w:t>
      </w:r>
      <w:r>
        <w:rPr>
          <w:rFonts w:ascii="Times New Roman" w:hAnsi="Times New Roman" w:cs="Times New Roman"/>
          <w:sz w:val="24"/>
          <w:szCs w:val="24"/>
        </w:rPr>
        <w:t xml:space="preserve"> katru gadu tika organizēti pasākumi </w:t>
      </w:r>
      <w:r w:rsidRPr="005C0211">
        <w:rPr>
          <w:rFonts w:ascii="Times New Roman" w:hAnsi="Times New Roman" w:cs="Times New Roman"/>
          <w:sz w:val="24"/>
          <w:szCs w:val="24"/>
        </w:rPr>
        <w:t>jauniešiem un darbā ar jaunatni iesaistītajām personām</w:t>
      </w:r>
      <w:r>
        <w:rPr>
          <w:rFonts w:ascii="Times New Roman" w:hAnsi="Times New Roman" w:cs="Times New Roman"/>
          <w:sz w:val="24"/>
          <w:szCs w:val="24"/>
        </w:rPr>
        <w:t>, izstrādāti metodiskie materiāli, organizēti pieredzes apmaiņas braucieni, u.c.</w:t>
      </w:r>
      <w:r w:rsidR="00D54D73">
        <w:rPr>
          <w:rFonts w:ascii="Times New Roman" w:hAnsi="Times New Roman" w:cs="Times New Roman"/>
          <w:sz w:val="24"/>
          <w:szCs w:val="24"/>
        </w:rPr>
        <w:t xml:space="preserve"> Savukārt</w:t>
      </w:r>
      <w:r w:rsidR="000C7E31">
        <w:rPr>
          <w:rFonts w:ascii="Times New Roman" w:hAnsi="Times New Roman" w:cs="Times New Roman"/>
          <w:sz w:val="24"/>
          <w:szCs w:val="24"/>
        </w:rPr>
        <w:t xml:space="preserve">, </w:t>
      </w:r>
      <w:r w:rsidR="00D54D73">
        <w:rPr>
          <w:rFonts w:ascii="Times New Roman" w:hAnsi="Times New Roman" w:cs="Times New Roman"/>
          <w:sz w:val="24"/>
          <w:szCs w:val="24"/>
        </w:rPr>
        <w:t xml:space="preserve">Erasmus+ programmas ietvaros </w:t>
      </w:r>
      <w:r w:rsidR="00D54D73" w:rsidRPr="005C0211">
        <w:rPr>
          <w:rFonts w:ascii="Times New Roman" w:hAnsi="Times New Roman" w:cs="Times New Roman"/>
          <w:sz w:val="24"/>
          <w:szCs w:val="24"/>
        </w:rPr>
        <w:t>2014.-2017.gadā 12 atklātos projektu konkursos apstiprināti 187 jauniešu apmaiņas projekti</w:t>
      </w:r>
      <w:r w:rsidR="009F6119">
        <w:rPr>
          <w:rFonts w:ascii="Times New Roman" w:hAnsi="Times New Roman" w:cs="Times New Roman"/>
          <w:sz w:val="24"/>
          <w:szCs w:val="24"/>
        </w:rPr>
        <w:t xml:space="preserve"> un </w:t>
      </w:r>
      <w:r w:rsidR="009F6119" w:rsidRPr="005C0211">
        <w:rPr>
          <w:rFonts w:ascii="Times New Roman" w:hAnsi="Times New Roman" w:cs="Times New Roman"/>
          <w:sz w:val="24"/>
          <w:szCs w:val="24"/>
        </w:rPr>
        <w:t>86 jaunatnes darbinieku mobilitātes projekti</w:t>
      </w:r>
      <w:r w:rsidR="00D54D73" w:rsidRPr="005C0211">
        <w:rPr>
          <w:rFonts w:ascii="Times New Roman" w:hAnsi="Times New Roman" w:cs="Times New Roman"/>
          <w:sz w:val="24"/>
          <w:szCs w:val="24"/>
        </w:rPr>
        <w:t>.</w:t>
      </w:r>
    </w:p>
    <w:p w:rsidR="002C068C" w:rsidRDefault="000540C4" w:rsidP="009A3992">
      <w:pPr>
        <w:pStyle w:val="ListParagraph"/>
        <w:ind w:left="0" w:firstLine="720"/>
        <w:jc w:val="both"/>
      </w:pPr>
      <w:r w:rsidRPr="005C0211">
        <w:t>Atbalst</w:t>
      </w:r>
      <w:r w:rsidR="009A3992">
        <w:t>o</w:t>
      </w:r>
      <w:r w:rsidRPr="005C0211">
        <w:t xml:space="preserve">t pasākumus </w:t>
      </w:r>
      <w:r w:rsidRPr="005263F1">
        <w:rPr>
          <w:b/>
        </w:rPr>
        <w:t>jauniešu brīvprātīgā darba</w:t>
      </w:r>
      <w:r w:rsidRPr="005C0211">
        <w:t xml:space="preserve"> veicināšanai</w:t>
      </w:r>
      <w:r w:rsidR="009A3992">
        <w:t xml:space="preserve">, Erasmus+ programmas ietvaros </w:t>
      </w:r>
      <w:r w:rsidR="002C068C" w:rsidRPr="005C0211">
        <w:t xml:space="preserve">2014.-2017.gadā 12 atklātos projektu konkursos, apstiprināti 209 Eiropas Brīvprātīgā darba projekti (vidēji 52 projekti gadā), kuros piedalījās 632 brīvprātīgie. </w:t>
      </w:r>
      <w:r w:rsidR="009A3992">
        <w:t>A</w:t>
      </w:r>
      <w:r w:rsidR="002C068C" w:rsidRPr="005C0211">
        <w:t>kreditētas 196 Eiropas Brīvprātīgā darba uzņēmējorganizācijas, nosūtītājorganizācijas, koordinējošās organizācijas.</w:t>
      </w:r>
      <w:r w:rsidR="009A3992">
        <w:t xml:space="preserve"> Saskaņā ar EK datubāzes </w:t>
      </w:r>
      <w:r w:rsidR="00244D67">
        <w:t xml:space="preserve">2018.gada sākuma </w:t>
      </w:r>
      <w:r w:rsidR="009A3992">
        <w:t xml:space="preserve">datiem, </w:t>
      </w:r>
      <w:r w:rsidR="002C068C" w:rsidRPr="005C0211">
        <w:t>brīvprātīgajā darbā piedalījušies 360 Latvijas jaunieši.</w:t>
      </w:r>
    </w:p>
    <w:p w:rsidR="008339ED" w:rsidRPr="00640F47" w:rsidRDefault="008339ED" w:rsidP="00395B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sniegtu a</w:t>
      </w:r>
      <w:r w:rsidRPr="008339ED">
        <w:rPr>
          <w:rFonts w:ascii="Times New Roman" w:eastAsia="Times New Roman" w:hAnsi="Times New Roman" w:cs="Times New Roman"/>
          <w:sz w:val="24"/>
          <w:szCs w:val="24"/>
          <w:lang w:eastAsia="lv-LV"/>
        </w:rPr>
        <w:t>tbalst</w:t>
      </w:r>
      <w:r w:rsidR="00890E35">
        <w:rPr>
          <w:rFonts w:ascii="Times New Roman" w:eastAsia="Times New Roman" w:hAnsi="Times New Roman" w:cs="Times New Roman"/>
          <w:sz w:val="24"/>
          <w:szCs w:val="24"/>
          <w:lang w:eastAsia="lv-LV"/>
        </w:rPr>
        <w:t>u</w:t>
      </w:r>
      <w:r w:rsidRPr="008339ED">
        <w:rPr>
          <w:rFonts w:ascii="Times New Roman" w:eastAsia="Times New Roman" w:hAnsi="Times New Roman" w:cs="Times New Roman"/>
          <w:sz w:val="24"/>
          <w:szCs w:val="24"/>
          <w:lang w:eastAsia="lv-LV"/>
        </w:rPr>
        <w:t xml:space="preserve"> </w:t>
      </w:r>
      <w:r w:rsidRPr="005263F1">
        <w:rPr>
          <w:rFonts w:ascii="Times New Roman" w:eastAsia="Times New Roman" w:hAnsi="Times New Roman" w:cs="Times New Roman"/>
          <w:b/>
          <w:sz w:val="24"/>
          <w:szCs w:val="24"/>
          <w:lang w:eastAsia="lv-LV"/>
        </w:rPr>
        <w:t>diasporai latviešu valodas un kultūras apguvei</w:t>
      </w:r>
      <w:r>
        <w:rPr>
          <w:rFonts w:ascii="Times New Roman" w:eastAsia="Times New Roman" w:hAnsi="Times New Roman" w:cs="Times New Roman"/>
          <w:sz w:val="24"/>
          <w:szCs w:val="24"/>
          <w:lang w:eastAsia="lv-LV"/>
        </w:rPr>
        <w:t xml:space="preserve">, nodrošināti mācību un metodiskie materiāli, tajā skaitā, izveidoti testu komplekti un nodrošinātas pārbaudes diasporā. </w:t>
      </w:r>
      <w:r w:rsidR="00160F34">
        <w:rPr>
          <w:rFonts w:ascii="Times New Roman" w:eastAsia="Times New Roman" w:hAnsi="Times New Roman" w:cs="Times New Roman"/>
          <w:sz w:val="24"/>
          <w:szCs w:val="24"/>
          <w:lang w:eastAsia="lv-LV"/>
        </w:rPr>
        <w:t>Veikta p</w:t>
      </w:r>
      <w:r w:rsidR="00160F34" w:rsidRPr="005C0211">
        <w:rPr>
          <w:rFonts w:ascii="Times New Roman" w:hAnsi="Times New Roman" w:cs="Times New Roman"/>
          <w:sz w:val="24"/>
          <w:szCs w:val="24"/>
        </w:rPr>
        <w:t>ašmācības rīka E-lapa (A1-B2</w:t>
      </w:r>
      <w:r w:rsidR="00906A80">
        <w:rPr>
          <w:rFonts w:ascii="Times New Roman" w:hAnsi="Times New Roman" w:cs="Times New Roman"/>
          <w:sz w:val="24"/>
          <w:szCs w:val="24"/>
        </w:rPr>
        <w:t xml:space="preserve"> līmeņiem) izstrāde un attīstība</w:t>
      </w:r>
      <w:r w:rsidR="00640F47">
        <w:rPr>
          <w:rFonts w:ascii="Times New Roman" w:hAnsi="Times New Roman" w:cs="Times New Roman"/>
          <w:sz w:val="24"/>
          <w:szCs w:val="24"/>
        </w:rPr>
        <w:t xml:space="preserve">, kā arī izstrādāts </w:t>
      </w:r>
      <w:r w:rsidR="00640F47" w:rsidRPr="005C0211">
        <w:rPr>
          <w:rFonts w:ascii="Times New Roman" w:hAnsi="Times New Roman" w:cs="Times New Roman"/>
          <w:sz w:val="24"/>
          <w:szCs w:val="24"/>
        </w:rPr>
        <w:t>Latviešu valodas rokasgrāmatas saturs 26 latv</w:t>
      </w:r>
      <w:r w:rsidR="00640F47">
        <w:rPr>
          <w:rFonts w:ascii="Times New Roman" w:hAnsi="Times New Roman" w:cs="Times New Roman"/>
          <w:sz w:val="24"/>
          <w:szCs w:val="24"/>
        </w:rPr>
        <w:t>iešu valodniecības apakšnozarēs un</w:t>
      </w:r>
      <w:r w:rsidR="00640F47" w:rsidRPr="005C0211">
        <w:rPr>
          <w:rFonts w:ascii="Times New Roman" w:hAnsi="Times New Roman" w:cs="Times New Roman"/>
          <w:sz w:val="24"/>
          <w:szCs w:val="24"/>
        </w:rPr>
        <w:t xml:space="preserve"> izveidota lietotne </w:t>
      </w:r>
      <w:hyperlink r:id="rId14" w:history="1">
        <w:r w:rsidR="00640F47" w:rsidRPr="005C0211">
          <w:rPr>
            <w:rStyle w:val="Hyperlink"/>
            <w:rFonts w:ascii="Times New Roman" w:hAnsi="Times New Roman" w:cs="Times New Roman"/>
            <w:sz w:val="24"/>
            <w:szCs w:val="24"/>
          </w:rPr>
          <w:t>www.valodasrokasgramata.lv</w:t>
        </w:r>
      </w:hyperlink>
      <w:r w:rsidR="00640F47">
        <w:t>.</w:t>
      </w:r>
    </w:p>
    <w:p w:rsidR="008339ED" w:rsidRDefault="00B4089F" w:rsidP="00CF25EF">
      <w:pPr>
        <w:pStyle w:val="ListParagraph"/>
        <w:ind w:left="0" w:firstLine="720"/>
        <w:jc w:val="both"/>
      </w:pPr>
      <w:r>
        <w:t xml:space="preserve">Pedagogu profesionālās kompetences paaugstināšanai nodrošināti kursi </w:t>
      </w:r>
      <w:r w:rsidRPr="005C0211">
        <w:t>diasporas izglītības darbinieki</w:t>
      </w:r>
      <w:r>
        <w:t xml:space="preserve">em, kā arī </w:t>
      </w:r>
      <w:r w:rsidRPr="005C0211">
        <w:t>metodiskās konsultācijas</w:t>
      </w:r>
      <w:r>
        <w:t xml:space="preserve"> un semināri </w:t>
      </w:r>
      <w:r w:rsidR="00987236">
        <w:t xml:space="preserve">nedēļas nogales skolu pedagogiem </w:t>
      </w:r>
      <w:r>
        <w:t>gan Latvijā, gan ārzemēs</w:t>
      </w:r>
      <w:r w:rsidR="00987236">
        <w:t xml:space="preserve"> (Krievijā, Islandē, Lielbritānijā, Īrijā, Centrāleiropā, Ziemeļeiropā, ASV un Austrālijā)</w:t>
      </w:r>
      <w:r>
        <w:t>.</w:t>
      </w:r>
    </w:p>
    <w:p w:rsidR="008339ED" w:rsidRDefault="00CF25EF" w:rsidP="008339ED">
      <w:pPr>
        <w:pStyle w:val="ListParagraph"/>
        <w:ind w:left="0" w:firstLine="720"/>
        <w:jc w:val="both"/>
      </w:pPr>
      <w:r>
        <w:t>Nodrošinot m</w:t>
      </w:r>
      <w:r w:rsidRPr="005C0211">
        <w:t>ācību līdzekļu</w:t>
      </w:r>
      <w:r>
        <w:t>s</w:t>
      </w:r>
      <w:r w:rsidRPr="005C0211">
        <w:t xml:space="preserve"> latviešu valodas apguvei diaspora</w:t>
      </w:r>
      <w:r>
        <w:t xml:space="preserve">s bērniem un jauniešiem, izstrādāti </w:t>
      </w:r>
      <w:r w:rsidRPr="005C0211">
        <w:t>mācību un metodisk</w:t>
      </w:r>
      <w:r>
        <w:t xml:space="preserve">ie materiāli diasporas nedēļas nogales skolām, </w:t>
      </w:r>
      <w:r w:rsidRPr="005C0211">
        <w:t>mācību nodarbību konspekti</w:t>
      </w:r>
      <w:r>
        <w:t xml:space="preserve"> un mācību materiāli; </w:t>
      </w:r>
      <w:r w:rsidRPr="005C0211">
        <w:t>izveidotas skolēnu animētas filmas</w:t>
      </w:r>
      <w:r>
        <w:t xml:space="preserve">, videostundas un videolekcijas, u.c. Materiāli ir pieejami mājaslapā </w:t>
      </w:r>
      <w:hyperlink r:id="rId15" w:history="1">
        <w:r w:rsidRPr="00C35FB0">
          <w:rPr>
            <w:rStyle w:val="Hyperlink"/>
          </w:rPr>
          <w:t>http://maciunmacies.valoda.lv</w:t>
        </w:r>
      </w:hyperlink>
      <w:r>
        <w:t>.</w:t>
      </w:r>
    </w:p>
    <w:p w:rsidR="002005CD" w:rsidRDefault="002005CD" w:rsidP="002005CD">
      <w:pPr>
        <w:pStyle w:val="ListParagraph"/>
        <w:ind w:left="0" w:firstLine="720"/>
        <w:jc w:val="both"/>
      </w:pPr>
      <w:r>
        <w:t xml:space="preserve">Veikti </w:t>
      </w:r>
      <w:r w:rsidRPr="005263F1">
        <w:rPr>
          <w:b/>
        </w:rPr>
        <w:t xml:space="preserve">adaptācijas pasākumi skolēniem, kuri ir atgriezušies no mācībām citā valstī </w:t>
      </w:r>
      <w:r w:rsidRPr="005263F1">
        <w:t>(reemigrējuši)</w:t>
      </w:r>
      <w:r w:rsidRPr="005C0211">
        <w:t>, lai palīdzētu integrēties Latvijas izglītības sistēmā</w:t>
      </w:r>
      <w:r>
        <w:t xml:space="preserve">, tajā skaitā, 2014.gadā veikts pētījums </w:t>
      </w:r>
      <w:r w:rsidRPr="005C0211">
        <w:t>par bērnu reemigrāciju</w:t>
      </w:r>
      <w:r>
        <w:t xml:space="preserve">. </w:t>
      </w:r>
      <w:r w:rsidRPr="005C0211">
        <w:t>IZM sadarbībā ar pilsētu un novadu izglītības pārvaldēm 2014.gada jūlijā veica aptauju</w:t>
      </w:r>
      <w:r w:rsidRPr="005C0211">
        <w:rPr>
          <w:b/>
        </w:rPr>
        <w:t xml:space="preserve"> </w:t>
      </w:r>
      <w:r w:rsidRPr="005C0211">
        <w:t>par skolēnu skaitu, kuri 2013./2014.mācību gadā ir atgriezušies no mācībām citā valstī un par atbalsta pasāku</w:t>
      </w:r>
      <w:r>
        <w:t>miem, kuri ir sniegti skolēniem</w:t>
      </w:r>
      <w:r w:rsidRPr="005C0211">
        <w:t xml:space="preserve"> vispārējās izglītības iestādēs.</w:t>
      </w:r>
      <w:r w:rsidR="002718A8">
        <w:t xml:space="preserve"> Lai palīdzētu reemigrējušiem skolēniem ātrāk adaptēties un uzlabotu mācību sekmes, ir nodrošinātas </w:t>
      </w:r>
      <w:r w:rsidR="002718A8" w:rsidRPr="005C0211">
        <w:t>individuālas nodarbības mācību priekšmetu apguvē</w:t>
      </w:r>
      <w:r w:rsidR="002718A8">
        <w:t>.</w:t>
      </w:r>
    </w:p>
    <w:p w:rsidR="00D3187C" w:rsidRDefault="00395BD6" w:rsidP="00FD39DA">
      <w:pPr>
        <w:pStyle w:val="ListParagraph"/>
        <w:ind w:left="0"/>
        <w:jc w:val="both"/>
      </w:pPr>
      <w:r>
        <w:tab/>
        <w:t xml:space="preserve">Izpildot </w:t>
      </w:r>
      <w:r w:rsidR="00D3187C" w:rsidRPr="005C0211">
        <w:t>Latvijas Republikas valdības un Eiropas skolu Konvencijā noteikt</w:t>
      </w:r>
      <w:r>
        <w:t>ās</w:t>
      </w:r>
      <w:r w:rsidR="00D3187C" w:rsidRPr="005C0211">
        <w:t xml:space="preserve"> saistīb</w:t>
      </w:r>
      <w:r>
        <w:t>as,</w:t>
      </w:r>
      <w:r w:rsidR="00D3187C" w:rsidRPr="005C0211">
        <w:t xml:space="preserve"> 2017.gada 1.septembrī </w:t>
      </w:r>
      <w:r w:rsidR="00D3187C" w:rsidRPr="005263F1">
        <w:rPr>
          <w:b/>
        </w:rPr>
        <w:t>Eiropas skolā</w:t>
      </w:r>
      <w:r w:rsidR="00D3187C" w:rsidRPr="005C0211">
        <w:t xml:space="preserve"> Brisele I ir izveidota latviešu valodas plūsma, sākot no pirmsskolas posma, un ir nodrošināts atalgojums latviešu valodas skolotājiem Eiropas skolās Brisele I, Brisele II un Luksemburga I.</w:t>
      </w:r>
    </w:p>
    <w:p w:rsidR="00395BD6" w:rsidRDefault="00395BD6" w:rsidP="00FD39DA">
      <w:pPr>
        <w:pStyle w:val="ListParagraph"/>
        <w:ind w:left="0"/>
        <w:jc w:val="both"/>
      </w:pPr>
    </w:p>
    <w:p w:rsidR="00D3187C" w:rsidRDefault="00D3187C" w:rsidP="00FD39DA">
      <w:pPr>
        <w:pStyle w:val="ListParagraph"/>
        <w:ind w:left="0"/>
        <w:jc w:val="both"/>
        <w:rPr>
          <w:rFonts w:eastAsiaTheme="minorHAnsi"/>
          <w:b/>
        </w:rPr>
      </w:pPr>
    </w:p>
    <w:tbl>
      <w:tblPr>
        <w:tblStyle w:val="TableGrid"/>
        <w:tblW w:w="0" w:type="auto"/>
        <w:shd w:val="clear" w:color="auto" w:fill="DEEAF6" w:themeFill="accent1" w:themeFillTint="33"/>
        <w:tblLook w:val="04A0" w:firstRow="1" w:lastRow="0" w:firstColumn="1" w:lastColumn="0" w:noHBand="0" w:noVBand="1"/>
      </w:tblPr>
      <w:tblGrid>
        <w:gridCol w:w="9345"/>
      </w:tblGrid>
      <w:tr w:rsidR="00670008" w:rsidTr="00670008">
        <w:trPr>
          <w:trHeight w:val="476"/>
        </w:trPr>
        <w:tc>
          <w:tcPr>
            <w:tcW w:w="9345" w:type="dxa"/>
            <w:shd w:val="clear" w:color="auto" w:fill="DEEAF6" w:themeFill="accent1" w:themeFillTint="33"/>
            <w:vAlign w:val="center"/>
          </w:tcPr>
          <w:p w:rsidR="00670008" w:rsidRPr="004B5D40" w:rsidRDefault="00670008" w:rsidP="00FD39DA">
            <w:pPr>
              <w:pStyle w:val="ListParagraph"/>
              <w:ind w:left="0"/>
              <w:jc w:val="both"/>
              <w:rPr>
                <w:rFonts w:eastAsiaTheme="minorHAnsi"/>
                <w:b/>
              </w:rPr>
            </w:pPr>
            <w:r w:rsidRPr="004B5D40">
              <w:rPr>
                <w:b/>
              </w:rPr>
              <w:t xml:space="preserve">Rīcības virziens: </w:t>
            </w:r>
            <w:r w:rsidRPr="004B5D40">
              <w:rPr>
                <w:rFonts w:eastAsiaTheme="minorHAnsi"/>
                <w:b/>
              </w:rPr>
              <w:t>2.4. Izglītības iespēju paplašināšana pieaugušajiem</w:t>
            </w:r>
          </w:p>
        </w:tc>
      </w:tr>
    </w:tbl>
    <w:p w:rsidR="00D62764" w:rsidRDefault="00880710" w:rsidP="00D62764">
      <w:pPr>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bCs/>
          <w:sz w:val="24"/>
          <w:szCs w:val="24"/>
        </w:rPr>
        <w:t xml:space="preserve">Dati par </w:t>
      </w:r>
      <w:r w:rsidRPr="00F42323">
        <w:rPr>
          <w:rFonts w:ascii="Times New Roman" w:eastAsia="Times New Roman" w:hAnsi="Times New Roman" w:cs="Times New Roman"/>
          <w:b/>
          <w:sz w:val="24"/>
          <w:szCs w:val="24"/>
          <w:lang w:eastAsia="lv-LV"/>
        </w:rPr>
        <w:t>pieaugušo izglītībā iesaistīto personu īpatsvaru 25-64 gadu vecumā</w:t>
      </w:r>
      <w:r>
        <w:rPr>
          <w:rFonts w:ascii="Times New Roman" w:eastAsia="Times New Roman" w:hAnsi="Times New Roman" w:cs="Times New Roman"/>
          <w:sz w:val="24"/>
          <w:szCs w:val="24"/>
          <w:lang w:eastAsia="lv-LV"/>
        </w:rPr>
        <w:t xml:space="preserve"> liecina, ka pēdējos gados ir novērojams neliels pieaugums: no 5,6% 2014.gadā līdz 7,5% 2017.gadā</w:t>
      </w:r>
      <w:r w:rsidR="00D62764">
        <w:rPr>
          <w:rFonts w:ascii="Times New Roman" w:eastAsia="Times New Roman" w:hAnsi="Times New Roman" w:cs="Times New Roman"/>
          <w:sz w:val="24"/>
          <w:szCs w:val="24"/>
          <w:lang w:eastAsia="lv-LV"/>
        </w:rPr>
        <w:t>, kas</w:t>
      </w:r>
      <w:r w:rsidR="009F2651">
        <w:rPr>
          <w:rFonts w:ascii="Times New Roman" w:eastAsia="Times New Roman" w:hAnsi="Times New Roman" w:cs="Times New Roman"/>
          <w:sz w:val="24"/>
          <w:szCs w:val="24"/>
          <w:lang w:eastAsia="lv-LV"/>
        </w:rPr>
        <w:t xml:space="preserve"> i</w:t>
      </w:r>
      <w:r w:rsidR="00D62764">
        <w:rPr>
          <w:rFonts w:ascii="Times New Roman" w:eastAsia="Times New Roman" w:hAnsi="Times New Roman" w:cs="Times New Roman"/>
          <w:sz w:val="24"/>
          <w:szCs w:val="24"/>
          <w:lang w:eastAsia="lv-LV"/>
        </w:rPr>
        <w:t xml:space="preserve">r mazāk, nekā vidējais ES rādītājs, kurš pārskata periodā nav ievērojami mainījies. </w:t>
      </w:r>
    </w:p>
    <w:p w:rsidR="00890E35" w:rsidRDefault="00890E35" w:rsidP="003576B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2016.gadā tika apstiprināts </w:t>
      </w:r>
      <w:r w:rsidRPr="00F42323">
        <w:rPr>
          <w:rFonts w:ascii="Times New Roman" w:eastAsia="Times New Roman" w:hAnsi="Times New Roman" w:cs="Times New Roman"/>
          <w:b/>
          <w:sz w:val="24"/>
          <w:szCs w:val="24"/>
          <w:lang w:eastAsia="lv-LV"/>
        </w:rPr>
        <w:t>Pieaugušo izglītības pārvaldības modeļa ieviešanas plāns 2016.-2020.gadam</w:t>
      </w:r>
      <w:r>
        <w:rPr>
          <w:rFonts w:ascii="Times New Roman" w:eastAsia="Times New Roman" w:hAnsi="Times New Roman" w:cs="Times New Roman"/>
          <w:sz w:val="24"/>
          <w:szCs w:val="24"/>
          <w:lang w:eastAsia="lv-LV"/>
        </w:rPr>
        <w:t xml:space="preserve">, kura mērķis ir </w:t>
      </w:r>
      <w:r w:rsidRPr="00956CA3">
        <w:rPr>
          <w:rFonts w:ascii="Times New Roman" w:eastAsia="Times New Roman" w:hAnsi="Times New Roman" w:cs="Times New Roman"/>
          <w:sz w:val="24"/>
          <w:szCs w:val="24"/>
          <w:lang w:eastAsia="lv-LV"/>
        </w:rPr>
        <w:t>izglītības pieejamības un kvalitātes nodrošināšana iedzīvotājiem neatkarīgi no viņu vecuma, dzimuma, iepriekšējās izglītības, dzīves vietas, ienākumu līmeņa, etniskās piederības, funkcionāliem traucējumiem un citiem faktoriem</w:t>
      </w:r>
      <w:r>
        <w:rPr>
          <w:rFonts w:ascii="Times New Roman" w:eastAsia="Times New Roman" w:hAnsi="Times New Roman" w:cs="Times New Roman"/>
          <w:sz w:val="24"/>
          <w:szCs w:val="24"/>
          <w:lang w:eastAsia="lv-LV"/>
        </w:rPr>
        <w:t>.</w:t>
      </w:r>
    </w:p>
    <w:p w:rsidR="00890E35" w:rsidRDefault="00890E35" w:rsidP="00890E3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t xml:space="preserve">Šī plāna ieviešanas koordinācijai un uzraudzībai tika izveidota </w:t>
      </w:r>
      <w:r w:rsidRPr="005E69CC">
        <w:rPr>
          <w:rFonts w:ascii="Times New Roman" w:eastAsia="Times New Roman" w:hAnsi="Times New Roman" w:cs="Times New Roman"/>
          <w:sz w:val="24"/>
          <w:szCs w:val="24"/>
          <w:lang w:eastAsia="lv-LV"/>
        </w:rPr>
        <w:t xml:space="preserve">starpnozaru konsultatīva institūcija </w:t>
      </w:r>
      <w:r w:rsidRPr="00F42323">
        <w:rPr>
          <w:rFonts w:ascii="Times New Roman" w:eastAsia="Times New Roman" w:hAnsi="Times New Roman" w:cs="Times New Roman"/>
          <w:b/>
          <w:sz w:val="24"/>
          <w:szCs w:val="24"/>
          <w:lang w:eastAsia="lv-LV"/>
        </w:rPr>
        <w:t>Pieaugušo izglītības pārvaldības padome</w:t>
      </w:r>
      <w:r w:rsidRPr="005E69CC">
        <w:rPr>
          <w:rFonts w:ascii="Times New Roman" w:eastAsia="Times New Roman" w:hAnsi="Times New Roman" w:cs="Times New Roman"/>
          <w:sz w:val="24"/>
          <w:szCs w:val="24"/>
          <w:lang w:eastAsia="lv-LV"/>
        </w:rPr>
        <w:t>, kurā sastāvā ir pieaugušo izglītībā iesaistīto ministriju un citu organizāciju pārstāvji, kā arī sociālo un sadarbības partneru pārstāvji.</w:t>
      </w:r>
      <w:r w:rsidRPr="005565F8">
        <w:rPr>
          <w:rFonts w:eastAsia="MS Mincho"/>
          <w:color w:val="000000" w:themeColor="text1"/>
          <w:lang w:eastAsia="ja-JP" w:bidi="lo-LA"/>
        </w:rPr>
        <w:t xml:space="preserve"> </w:t>
      </w:r>
      <w:r>
        <w:rPr>
          <w:rFonts w:ascii="Times New Roman" w:eastAsia="Times New Roman" w:hAnsi="Times New Roman" w:cs="Times New Roman"/>
          <w:sz w:val="24"/>
          <w:szCs w:val="24"/>
          <w:lang w:eastAsia="lv-LV"/>
        </w:rPr>
        <w:t xml:space="preserve"> </w:t>
      </w:r>
    </w:p>
    <w:p w:rsidR="001F605D" w:rsidRDefault="001F605D" w:rsidP="001F605D">
      <w:pPr>
        <w:spacing w:after="0" w:line="240" w:lineRule="auto"/>
        <w:ind w:firstLine="720"/>
        <w:jc w:val="both"/>
        <w:rPr>
          <w:rFonts w:ascii="Times New Roman" w:eastAsia="Times New Roman" w:hAnsi="Times New Roman" w:cs="Times New Roman"/>
          <w:sz w:val="24"/>
          <w:szCs w:val="24"/>
          <w:lang w:eastAsia="lv-LV"/>
        </w:rPr>
      </w:pPr>
      <w:r w:rsidRPr="005E69CC">
        <w:rPr>
          <w:rFonts w:ascii="Times New Roman" w:eastAsia="Times New Roman" w:hAnsi="Times New Roman" w:cs="Times New Roman"/>
          <w:sz w:val="24"/>
          <w:szCs w:val="24"/>
          <w:lang w:eastAsia="lv-LV"/>
        </w:rPr>
        <w:t xml:space="preserve">2017.gadā ir izstrādātas </w:t>
      </w:r>
      <w:r w:rsidRPr="00F42323">
        <w:rPr>
          <w:rFonts w:ascii="Times New Roman" w:eastAsia="Times New Roman" w:hAnsi="Times New Roman" w:cs="Times New Roman"/>
          <w:b/>
          <w:sz w:val="24"/>
          <w:szCs w:val="24"/>
          <w:lang w:eastAsia="lv-LV"/>
        </w:rPr>
        <w:t>Vadlīnijas pieaugušo neformālās izglītības kvalitātes nodrošināšanas politikas ieviešanai</w:t>
      </w:r>
      <w:r w:rsidRPr="005E69CC">
        <w:rPr>
          <w:rFonts w:ascii="Times New Roman" w:eastAsia="Times New Roman" w:hAnsi="Times New Roman" w:cs="Times New Roman"/>
          <w:sz w:val="24"/>
          <w:szCs w:val="24"/>
          <w:lang w:eastAsia="lv-LV"/>
        </w:rPr>
        <w:t>. Lai  motivētu profesionālās izglītības iestādes, darba devējus un iedzīvotājus vairāk iesaistīties pieaugušo izglītībā, sagatavoti priekšlikumi veicamajiem pasākumiem un izmaiņām normatīvajā regulējumā</w:t>
      </w:r>
      <w:r>
        <w:rPr>
          <w:rFonts w:ascii="Times New Roman" w:eastAsia="Times New Roman" w:hAnsi="Times New Roman" w:cs="Times New Roman"/>
          <w:sz w:val="24"/>
          <w:szCs w:val="24"/>
          <w:lang w:eastAsia="lv-LV"/>
        </w:rPr>
        <w:t>.</w:t>
      </w:r>
    </w:p>
    <w:p w:rsidR="001F605D" w:rsidRDefault="001F605D" w:rsidP="001F605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Svarīgs aspekts pieaugušo izglītības procesā ir </w:t>
      </w:r>
      <w:r w:rsidRPr="00F42323">
        <w:rPr>
          <w:rFonts w:ascii="Times New Roman" w:hAnsi="Times New Roman" w:cs="Times New Roman"/>
          <w:b/>
          <w:sz w:val="24"/>
          <w:szCs w:val="24"/>
        </w:rPr>
        <w:t>ārpus formālās izglītības sistēmas apgūto profesionālo kompetenču pielīdzināšanas nodrošināšana</w:t>
      </w:r>
      <w:r>
        <w:rPr>
          <w:rFonts w:ascii="Times New Roman" w:hAnsi="Times New Roman" w:cs="Times New Roman"/>
          <w:sz w:val="24"/>
          <w:szCs w:val="24"/>
        </w:rPr>
        <w:t xml:space="preserve">, kas tiek nodrošināta atbilstoši MK 2011.gada 22.februāra noteikumiem Nr.146 “Kārtība, kādā novērtē ārpus formālās izglītības sistēmas apgūto profesionālo kompetenci”. </w:t>
      </w:r>
      <w:r w:rsidRPr="00FC4E9B">
        <w:rPr>
          <w:rFonts w:ascii="Times New Roman" w:hAnsi="Times New Roman" w:cs="Times New Roman"/>
          <w:sz w:val="24"/>
          <w:szCs w:val="24"/>
        </w:rPr>
        <w:t xml:space="preserve">2017.gadā jau 21 izglītības iestādei piešķirts deleģējums veikt ārpus formālās izglītības sistēmas apgūtās profesionālās kompetences novērtēšanu. </w:t>
      </w:r>
      <w:r w:rsidRPr="005C0211">
        <w:rPr>
          <w:rFonts w:ascii="Times New Roman" w:hAnsi="Times New Roman" w:cs="Times New Roman"/>
          <w:sz w:val="24"/>
          <w:szCs w:val="24"/>
        </w:rPr>
        <w:t>No 2014.gada līdz 201</w:t>
      </w:r>
      <w:r>
        <w:rPr>
          <w:rFonts w:ascii="Times New Roman" w:hAnsi="Times New Roman" w:cs="Times New Roman"/>
          <w:sz w:val="24"/>
          <w:szCs w:val="24"/>
        </w:rPr>
        <w:t>7</w:t>
      </w:r>
      <w:r w:rsidRPr="005C0211">
        <w:rPr>
          <w:rFonts w:ascii="Times New Roman" w:hAnsi="Times New Roman" w:cs="Times New Roman"/>
          <w:sz w:val="24"/>
          <w:szCs w:val="24"/>
        </w:rPr>
        <w:t xml:space="preserve">.gadam profesionālo kompetenci novērtējušas </w:t>
      </w:r>
      <w:r>
        <w:rPr>
          <w:rFonts w:ascii="Times New Roman" w:hAnsi="Times New Roman" w:cs="Times New Roman"/>
          <w:sz w:val="24"/>
          <w:szCs w:val="24"/>
        </w:rPr>
        <w:t>4193</w:t>
      </w:r>
      <w:r w:rsidRPr="005C0211">
        <w:rPr>
          <w:rFonts w:ascii="Times New Roman" w:hAnsi="Times New Roman" w:cs="Times New Roman"/>
          <w:sz w:val="24"/>
          <w:szCs w:val="24"/>
        </w:rPr>
        <w:t xml:space="preserve"> personas</w:t>
      </w:r>
      <w:r>
        <w:rPr>
          <w:rFonts w:ascii="Times New Roman" w:hAnsi="Times New Roman" w:cs="Times New Roman"/>
          <w:sz w:val="24"/>
          <w:szCs w:val="24"/>
        </w:rPr>
        <w:t>.</w:t>
      </w:r>
      <w:r>
        <w:rPr>
          <w:rFonts w:ascii="Times New Roman" w:eastAsia="Times New Roman" w:hAnsi="Times New Roman" w:cs="Times New Roman"/>
          <w:sz w:val="24"/>
          <w:szCs w:val="24"/>
          <w:lang w:eastAsia="lv-LV"/>
        </w:rPr>
        <w:t xml:space="preserve"> </w:t>
      </w:r>
      <w:r w:rsidRPr="005C0211">
        <w:rPr>
          <w:rFonts w:ascii="Times New Roman" w:hAnsi="Times New Roman" w:cs="Times New Roman"/>
          <w:sz w:val="24"/>
          <w:szCs w:val="24"/>
        </w:rPr>
        <w:t>Vidēji gadā tiek veikti 1000 ieraksti Reģistrā par personām, kuras saņēmušas valsts atzītu profesionālo kvalifikāciju apliecinošu dokumentu</w:t>
      </w:r>
      <w:r>
        <w:rPr>
          <w:rFonts w:ascii="Times New Roman" w:hAnsi="Times New Roman" w:cs="Times New Roman"/>
          <w:sz w:val="24"/>
          <w:szCs w:val="24"/>
        </w:rPr>
        <w:t xml:space="preserve">, kā arī </w:t>
      </w:r>
      <w:r w:rsidRPr="005C0211">
        <w:rPr>
          <w:rFonts w:ascii="Times New Roman" w:hAnsi="Times New Roman" w:cs="Times New Roman"/>
          <w:sz w:val="24"/>
          <w:szCs w:val="24"/>
        </w:rPr>
        <w:t xml:space="preserve">sagatavoti un noslēgti </w:t>
      </w:r>
      <w:r>
        <w:rPr>
          <w:rFonts w:ascii="Times New Roman" w:hAnsi="Times New Roman" w:cs="Times New Roman"/>
          <w:sz w:val="24"/>
          <w:szCs w:val="24"/>
        </w:rPr>
        <w:t xml:space="preserve">vidēji </w:t>
      </w:r>
      <w:r w:rsidRPr="005C0211">
        <w:rPr>
          <w:rFonts w:ascii="Times New Roman" w:hAnsi="Times New Roman" w:cs="Times New Roman"/>
          <w:sz w:val="24"/>
          <w:szCs w:val="24"/>
        </w:rPr>
        <w:t>100 līgumi.</w:t>
      </w:r>
      <w:r>
        <w:rPr>
          <w:rFonts w:ascii="Times New Roman" w:hAnsi="Times New Roman" w:cs="Times New Roman"/>
          <w:sz w:val="24"/>
          <w:szCs w:val="24"/>
        </w:rPr>
        <w:t xml:space="preserve"> Tiek nodrošināta informācija (buklets, informatīvais seminārs) </w:t>
      </w:r>
      <w:r w:rsidRPr="005C0211">
        <w:rPr>
          <w:rFonts w:ascii="Times New Roman" w:hAnsi="Times New Roman" w:cs="Times New Roman"/>
          <w:sz w:val="24"/>
          <w:szCs w:val="24"/>
        </w:rPr>
        <w:t>par ārpus formālās izglītības sistēmas apgūtās profesionālās kompetences novērtēšanu</w:t>
      </w:r>
      <w:r>
        <w:rPr>
          <w:rFonts w:ascii="Times New Roman" w:hAnsi="Times New Roman" w:cs="Times New Roman"/>
          <w:sz w:val="24"/>
          <w:szCs w:val="24"/>
        </w:rPr>
        <w:t>.</w:t>
      </w:r>
    </w:p>
    <w:p w:rsidR="004B5D40" w:rsidRDefault="004B5D40" w:rsidP="004B5D40">
      <w:pPr>
        <w:spacing w:after="0" w:line="240" w:lineRule="auto"/>
        <w:ind w:firstLine="72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6.attēls</w:t>
      </w:r>
    </w:p>
    <w:p w:rsidR="004B5D40" w:rsidRDefault="004B5D40" w:rsidP="004B5D40">
      <w:pPr>
        <w:spacing w:after="0" w:line="240" w:lineRule="auto"/>
        <w:ind w:firstLine="72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Pr="00F42323">
        <w:rPr>
          <w:rFonts w:ascii="Times New Roman" w:eastAsia="Times New Roman" w:hAnsi="Times New Roman" w:cs="Times New Roman"/>
          <w:b/>
          <w:sz w:val="24"/>
          <w:szCs w:val="24"/>
          <w:lang w:eastAsia="lv-LV"/>
        </w:rPr>
        <w:t>ieaugušo izglītībā iesaistīto personu īpatsvar</w:t>
      </w:r>
      <w:r>
        <w:rPr>
          <w:rFonts w:ascii="Times New Roman" w:eastAsia="Times New Roman" w:hAnsi="Times New Roman" w:cs="Times New Roman"/>
          <w:b/>
          <w:sz w:val="24"/>
          <w:szCs w:val="24"/>
          <w:lang w:eastAsia="lv-LV"/>
        </w:rPr>
        <w:t>s (vecuma grupa 25-64 gadi), %</w:t>
      </w:r>
    </w:p>
    <w:p w:rsidR="0093588A" w:rsidRDefault="0093588A" w:rsidP="004B5D40">
      <w:pPr>
        <w:spacing w:after="0" w:line="240" w:lineRule="auto"/>
        <w:ind w:firstLine="720"/>
        <w:jc w:val="center"/>
        <w:rPr>
          <w:rFonts w:ascii="Times New Roman" w:eastAsia="Times New Roman" w:hAnsi="Times New Roman" w:cs="Times New Roman"/>
          <w:b/>
          <w:sz w:val="24"/>
          <w:szCs w:val="24"/>
          <w:lang w:eastAsia="lv-LV"/>
        </w:rPr>
      </w:pPr>
    </w:p>
    <w:p w:rsidR="004B5D40" w:rsidRDefault="00501B90" w:rsidP="002641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5467350" cy="25812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5D40" w:rsidRPr="00E36DC8" w:rsidRDefault="00E36DC8" w:rsidP="00670008">
      <w:pPr>
        <w:spacing w:after="0" w:line="240" w:lineRule="auto"/>
        <w:ind w:firstLine="720"/>
        <w:jc w:val="both"/>
        <w:rPr>
          <w:rFonts w:ascii="Times New Roman" w:eastAsia="Times New Roman" w:hAnsi="Times New Roman" w:cs="Times New Roman"/>
          <w:i/>
          <w:lang w:eastAsia="lv-LV"/>
        </w:rPr>
      </w:pPr>
      <w:r w:rsidRPr="00E36DC8">
        <w:rPr>
          <w:rFonts w:ascii="Times New Roman" w:eastAsia="Times New Roman" w:hAnsi="Times New Roman" w:cs="Times New Roman"/>
          <w:i/>
          <w:lang w:eastAsia="lv-LV"/>
        </w:rPr>
        <w:t>* Eurostat dati</w:t>
      </w:r>
    </w:p>
    <w:p w:rsidR="005E69CC" w:rsidRPr="001F605D" w:rsidRDefault="005E69CC" w:rsidP="005E69C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rsidR="00184F4C" w:rsidRDefault="00184F4C" w:rsidP="00184F4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Pieaugušo izglītības nodrošināšanai tika veicināta </w:t>
      </w:r>
      <w:r w:rsidRPr="00F42323">
        <w:rPr>
          <w:rFonts w:ascii="Times New Roman" w:eastAsia="Times New Roman" w:hAnsi="Times New Roman" w:cs="Times New Roman"/>
          <w:b/>
          <w:sz w:val="24"/>
          <w:szCs w:val="24"/>
          <w:lang w:eastAsia="lv-LV"/>
        </w:rPr>
        <w:t>nodarbināto personu profesionālās kompetences un kvalifikācijas pilnveide</w:t>
      </w:r>
      <w:r>
        <w:rPr>
          <w:rFonts w:ascii="Times New Roman" w:eastAsia="Times New Roman" w:hAnsi="Times New Roman" w:cs="Times New Roman"/>
          <w:sz w:val="24"/>
          <w:szCs w:val="24"/>
          <w:lang w:eastAsia="lv-LV"/>
        </w:rPr>
        <w:t xml:space="preserve">. </w:t>
      </w:r>
      <w:r w:rsidR="004B2284">
        <w:rPr>
          <w:rFonts w:ascii="Times New Roman" w:eastAsia="Times New Roman" w:hAnsi="Times New Roman" w:cs="Times New Roman"/>
          <w:sz w:val="24"/>
          <w:szCs w:val="24"/>
          <w:lang w:eastAsia="lv-LV"/>
        </w:rPr>
        <w:t>2017.gadā uzsākta</w:t>
      </w:r>
      <w:r w:rsidR="00181369" w:rsidRPr="00184F4C">
        <w:rPr>
          <w:rFonts w:ascii="Times New Roman" w:eastAsia="Times New Roman" w:hAnsi="Times New Roman" w:cs="Times New Roman"/>
          <w:sz w:val="24"/>
          <w:szCs w:val="24"/>
          <w:lang w:eastAsia="lv-LV"/>
        </w:rPr>
        <w:t xml:space="preserve"> </w:t>
      </w:r>
      <w:r w:rsidR="00890E35">
        <w:rPr>
          <w:rFonts w:ascii="Times New Roman" w:eastAsia="Times New Roman" w:hAnsi="Times New Roman" w:cs="Times New Roman"/>
          <w:sz w:val="24"/>
          <w:szCs w:val="24"/>
          <w:lang w:eastAsia="lv-LV"/>
        </w:rPr>
        <w:t xml:space="preserve">8.4.1. SAM </w:t>
      </w:r>
      <w:r w:rsidR="00890E35">
        <w:rPr>
          <w:rFonts w:ascii="Times New Roman" w:hAnsi="Times New Roman" w:cs="Times New Roman"/>
          <w:sz w:val="24"/>
          <w:szCs w:val="24"/>
        </w:rPr>
        <w:t xml:space="preserve"> </w:t>
      </w:r>
      <w:r w:rsidR="00181369" w:rsidRPr="00184F4C">
        <w:rPr>
          <w:rFonts w:ascii="Times New Roman" w:eastAsia="Times New Roman" w:hAnsi="Times New Roman" w:cs="Times New Roman"/>
          <w:sz w:val="24"/>
          <w:szCs w:val="24"/>
          <w:lang w:eastAsia="lv-LV"/>
        </w:rPr>
        <w:t xml:space="preserve">projekta </w:t>
      </w:r>
      <w:r w:rsidR="00890E35" w:rsidRPr="00184F4C">
        <w:rPr>
          <w:rFonts w:ascii="Times New Roman" w:eastAsia="Times New Roman" w:hAnsi="Times New Roman" w:cs="Times New Roman"/>
          <w:sz w:val="24"/>
          <w:szCs w:val="24"/>
          <w:lang w:eastAsia="lv-LV"/>
        </w:rPr>
        <w:t xml:space="preserve"> </w:t>
      </w:r>
      <w:r w:rsidR="00181369" w:rsidRPr="00184F4C">
        <w:rPr>
          <w:rFonts w:ascii="Times New Roman" w:eastAsia="Times New Roman" w:hAnsi="Times New Roman" w:cs="Times New Roman"/>
          <w:sz w:val="24"/>
          <w:szCs w:val="24"/>
          <w:lang w:eastAsia="lv-LV"/>
        </w:rPr>
        <w:t xml:space="preserve">“Nodarbināto personu profesionālās kompetences pilnveide” īstenošana. Tā ietvaros nodarbinātām personām vecumā no </w:t>
      </w:r>
      <w:r w:rsidRPr="00184F4C">
        <w:rPr>
          <w:rFonts w:ascii="Times New Roman" w:eastAsia="Times New Roman" w:hAnsi="Times New Roman" w:cs="Times New Roman"/>
          <w:sz w:val="24"/>
          <w:szCs w:val="24"/>
          <w:lang w:eastAsia="lv-LV"/>
        </w:rPr>
        <w:t>25</w:t>
      </w:r>
      <w:r w:rsidR="00181369" w:rsidRPr="00184F4C">
        <w:rPr>
          <w:rFonts w:ascii="Times New Roman" w:eastAsia="Times New Roman" w:hAnsi="Times New Roman" w:cs="Times New Roman"/>
          <w:sz w:val="24"/>
          <w:szCs w:val="24"/>
          <w:lang w:eastAsia="lv-LV"/>
        </w:rPr>
        <w:t xml:space="preserve"> gadiem pēc indivīda iniciatīvas tiek sniegts atbalsts profesionālās kvalifikācijas un kompetences pilnveidei, t</w:t>
      </w:r>
      <w:r w:rsidR="004B2284">
        <w:rPr>
          <w:rFonts w:ascii="Times New Roman" w:eastAsia="Times New Roman" w:hAnsi="Times New Roman" w:cs="Times New Roman"/>
          <w:sz w:val="24"/>
          <w:szCs w:val="24"/>
          <w:lang w:eastAsia="lv-LV"/>
        </w:rPr>
        <w:t>ajā skaitā,</w:t>
      </w:r>
      <w:r w:rsidR="00181369" w:rsidRPr="00184F4C">
        <w:rPr>
          <w:rFonts w:ascii="Times New Roman" w:eastAsia="Times New Roman" w:hAnsi="Times New Roman" w:cs="Times New Roman"/>
          <w:sz w:val="24"/>
          <w:szCs w:val="24"/>
          <w:lang w:eastAsia="lv-LV"/>
        </w:rPr>
        <w:t xml:space="preserve"> nodrošināti karjeras konsultanta pakalpojumi. Kopumā projekts aptvers vairāk nekā 38 </w:t>
      </w:r>
      <w:r w:rsidR="00583E44">
        <w:rPr>
          <w:rFonts w:ascii="Times New Roman" w:eastAsia="Times New Roman" w:hAnsi="Times New Roman" w:cs="Times New Roman"/>
          <w:sz w:val="24"/>
          <w:szCs w:val="24"/>
          <w:lang w:eastAsia="lv-LV"/>
        </w:rPr>
        <w:t>000</w:t>
      </w:r>
      <w:r w:rsidR="00181369" w:rsidRPr="00184F4C">
        <w:rPr>
          <w:rFonts w:ascii="Times New Roman" w:eastAsia="Times New Roman" w:hAnsi="Times New Roman" w:cs="Times New Roman"/>
          <w:sz w:val="24"/>
          <w:szCs w:val="24"/>
          <w:lang w:eastAsia="lv-LV"/>
        </w:rPr>
        <w:t xml:space="preserve"> personu, prioritāri sniedzot atbalstu sociālā riska grupu nodarbinātajiem</w:t>
      </w:r>
      <w:r>
        <w:rPr>
          <w:rFonts w:ascii="Times New Roman" w:eastAsia="Times New Roman" w:hAnsi="Times New Roman" w:cs="Times New Roman"/>
          <w:sz w:val="24"/>
          <w:szCs w:val="24"/>
          <w:lang w:eastAsia="lv-LV"/>
        </w:rPr>
        <w:t xml:space="preserve">. </w:t>
      </w:r>
      <w:r w:rsidRPr="00184F4C">
        <w:rPr>
          <w:rFonts w:ascii="Times New Roman" w:eastAsia="Times New Roman" w:hAnsi="Times New Roman" w:cs="Times New Roman"/>
          <w:sz w:val="24"/>
          <w:szCs w:val="24"/>
          <w:lang w:eastAsia="lv-LV"/>
        </w:rPr>
        <w:t>2017.gada novembrī noslēdzās pirmā uzņemšanas kārta, kurā nodarbinātajām personām bija iespējams</w:t>
      </w:r>
      <w:r>
        <w:rPr>
          <w:rFonts w:ascii="Times New Roman" w:eastAsia="Times New Roman" w:hAnsi="Times New Roman" w:cs="Times New Roman"/>
          <w:sz w:val="24"/>
          <w:szCs w:val="24"/>
          <w:lang w:eastAsia="lv-LV"/>
        </w:rPr>
        <w:t xml:space="preserve"> pieteikties mācībām atbilstoši</w:t>
      </w:r>
      <w:r w:rsidRPr="00184F4C">
        <w:rPr>
          <w:rFonts w:ascii="Times New Roman" w:eastAsia="Times New Roman" w:hAnsi="Times New Roman" w:cs="Times New Roman"/>
          <w:sz w:val="24"/>
          <w:szCs w:val="24"/>
          <w:lang w:eastAsia="lv-LV"/>
        </w:rPr>
        <w:t xml:space="preserve"> tautsaimniecībai prioritāro nozaru vajadzībām. Mācībām pieteicās 5565 personas. 2018.gada 1.ceturksnī uzsākts pirmais mācību cikls nodarbinātajām personām, kopumā 193 izglītības programmu apguvē iesaistot 3695 personas. 2017.gadā uzsākta mācību piedāvājuma izveide otrajai uzņemšanas kārtai 12 nozarēs</w:t>
      </w:r>
      <w:r w:rsidR="00D80B44">
        <w:rPr>
          <w:rFonts w:ascii="Times New Roman" w:eastAsia="Times New Roman" w:hAnsi="Times New Roman" w:cs="Times New Roman"/>
          <w:sz w:val="24"/>
          <w:szCs w:val="24"/>
          <w:lang w:eastAsia="lv-LV"/>
        </w:rPr>
        <w:t xml:space="preserve">, uzsākot mācības </w:t>
      </w:r>
      <w:r w:rsidRPr="00184F4C">
        <w:rPr>
          <w:rFonts w:ascii="Times New Roman" w:eastAsia="Times New Roman" w:hAnsi="Times New Roman" w:cs="Times New Roman"/>
          <w:sz w:val="24"/>
          <w:szCs w:val="24"/>
          <w:lang w:eastAsia="lv-LV"/>
        </w:rPr>
        <w:t>2018.gad</w:t>
      </w:r>
      <w:r w:rsidR="00D80B44">
        <w:rPr>
          <w:rFonts w:ascii="Times New Roman" w:eastAsia="Times New Roman" w:hAnsi="Times New Roman" w:cs="Times New Roman"/>
          <w:sz w:val="24"/>
          <w:szCs w:val="24"/>
          <w:lang w:eastAsia="lv-LV"/>
        </w:rPr>
        <w:t>ā</w:t>
      </w:r>
      <w:r w:rsidRPr="00184F4C">
        <w:rPr>
          <w:rFonts w:ascii="Times New Roman" w:eastAsia="Times New Roman" w:hAnsi="Times New Roman" w:cs="Times New Roman"/>
          <w:sz w:val="24"/>
          <w:szCs w:val="24"/>
          <w:lang w:eastAsia="lv-LV"/>
        </w:rPr>
        <w:t xml:space="preserve">. </w:t>
      </w:r>
      <w:r w:rsidR="00980521">
        <w:rPr>
          <w:rFonts w:ascii="Times New Roman" w:eastAsia="Times New Roman" w:hAnsi="Times New Roman" w:cs="Times New Roman"/>
          <w:sz w:val="24"/>
          <w:szCs w:val="24"/>
          <w:lang w:eastAsia="lv-LV"/>
        </w:rPr>
        <w:t>O</w:t>
      </w:r>
      <w:r w:rsidRPr="00184F4C">
        <w:rPr>
          <w:rFonts w:ascii="Times New Roman" w:eastAsia="Times New Roman" w:hAnsi="Times New Roman" w:cs="Times New Roman"/>
          <w:sz w:val="24"/>
          <w:szCs w:val="24"/>
          <w:lang w:eastAsia="lv-LV"/>
        </w:rPr>
        <w:t>rganizēt</w:t>
      </w:r>
      <w:r w:rsidR="00980521">
        <w:rPr>
          <w:rFonts w:ascii="Times New Roman" w:eastAsia="Times New Roman" w:hAnsi="Times New Roman" w:cs="Times New Roman"/>
          <w:sz w:val="24"/>
          <w:szCs w:val="24"/>
          <w:lang w:eastAsia="lv-LV"/>
        </w:rPr>
        <w:t>a</w:t>
      </w:r>
      <w:r w:rsidRPr="00184F4C">
        <w:rPr>
          <w:rFonts w:ascii="Times New Roman" w:eastAsia="Times New Roman" w:hAnsi="Times New Roman" w:cs="Times New Roman"/>
          <w:sz w:val="24"/>
          <w:szCs w:val="24"/>
          <w:lang w:eastAsia="lv-LV"/>
        </w:rPr>
        <w:t xml:space="preserve"> arī treš</w:t>
      </w:r>
      <w:r w:rsidR="00980521">
        <w:rPr>
          <w:rFonts w:ascii="Times New Roman" w:eastAsia="Times New Roman" w:hAnsi="Times New Roman" w:cs="Times New Roman"/>
          <w:sz w:val="24"/>
          <w:szCs w:val="24"/>
          <w:lang w:eastAsia="lv-LV"/>
        </w:rPr>
        <w:t>ā</w:t>
      </w:r>
      <w:r w:rsidRPr="00184F4C">
        <w:rPr>
          <w:rFonts w:ascii="Times New Roman" w:eastAsia="Times New Roman" w:hAnsi="Times New Roman" w:cs="Times New Roman"/>
          <w:sz w:val="24"/>
          <w:szCs w:val="24"/>
          <w:lang w:eastAsia="lv-LV"/>
        </w:rPr>
        <w:t xml:space="preserve"> uzņemšanas kārt</w:t>
      </w:r>
      <w:r w:rsidR="00980521">
        <w:rPr>
          <w:rFonts w:ascii="Times New Roman" w:eastAsia="Times New Roman" w:hAnsi="Times New Roman" w:cs="Times New Roman"/>
          <w:sz w:val="24"/>
          <w:szCs w:val="24"/>
          <w:lang w:eastAsia="lv-LV"/>
        </w:rPr>
        <w:t>a</w:t>
      </w:r>
      <w:r w:rsidRPr="00184F4C">
        <w:rPr>
          <w:rFonts w:ascii="Times New Roman" w:eastAsia="Times New Roman" w:hAnsi="Times New Roman" w:cs="Times New Roman"/>
          <w:sz w:val="24"/>
          <w:szCs w:val="24"/>
          <w:lang w:eastAsia="lv-LV"/>
        </w:rPr>
        <w:t xml:space="preserve">, nodarbinātajām personām piedāvājot apgūt vispārējās prasmes. </w:t>
      </w:r>
    </w:p>
    <w:p w:rsidR="002258D2" w:rsidRDefault="002258D2" w:rsidP="00AB5A3C">
      <w:pPr>
        <w:spacing w:after="0" w:line="240" w:lineRule="auto"/>
        <w:ind w:firstLine="720"/>
        <w:jc w:val="both"/>
        <w:rPr>
          <w:rFonts w:ascii="Times New Roman" w:hAnsi="Times New Roman" w:cs="Times New Roman"/>
          <w:sz w:val="24"/>
          <w:szCs w:val="24"/>
        </w:rPr>
      </w:pPr>
      <w:r w:rsidRPr="005C0211">
        <w:rPr>
          <w:rFonts w:ascii="Times New Roman" w:hAnsi="Times New Roman" w:cs="Times New Roman"/>
          <w:sz w:val="24"/>
          <w:szCs w:val="24"/>
        </w:rPr>
        <w:lastRenderedPageBreak/>
        <w:t xml:space="preserve">Sadarbībā </w:t>
      </w:r>
      <w:r>
        <w:rPr>
          <w:rFonts w:ascii="Times New Roman" w:hAnsi="Times New Roman" w:cs="Times New Roman"/>
          <w:sz w:val="24"/>
          <w:szCs w:val="24"/>
        </w:rPr>
        <w:t>ar NVA</w:t>
      </w:r>
      <w:r w:rsidR="00BD0215">
        <w:rPr>
          <w:rFonts w:ascii="Times New Roman" w:hAnsi="Times New Roman" w:cs="Times New Roman"/>
          <w:sz w:val="24"/>
          <w:szCs w:val="24"/>
        </w:rPr>
        <w:t xml:space="preserve"> projekta </w:t>
      </w:r>
      <w:r w:rsidR="00367B59" w:rsidRPr="00184F4C">
        <w:rPr>
          <w:rFonts w:ascii="Times New Roman" w:eastAsia="Times New Roman" w:hAnsi="Times New Roman" w:cs="Times New Roman"/>
          <w:sz w:val="24"/>
          <w:szCs w:val="24"/>
          <w:lang w:eastAsia="lv-LV"/>
        </w:rPr>
        <w:t>“Nodarbināto personu profesionālās kompetences pilnveide”</w:t>
      </w:r>
      <w:r w:rsidR="00367B59">
        <w:rPr>
          <w:rFonts w:ascii="Times New Roman" w:eastAsia="Times New Roman" w:hAnsi="Times New Roman" w:cs="Times New Roman"/>
          <w:sz w:val="24"/>
          <w:szCs w:val="24"/>
          <w:lang w:eastAsia="lv-LV"/>
        </w:rPr>
        <w:t xml:space="preserve"> </w:t>
      </w:r>
      <w:r w:rsidR="00BD0215">
        <w:rPr>
          <w:rFonts w:ascii="Times New Roman" w:hAnsi="Times New Roman" w:cs="Times New Roman"/>
          <w:sz w:val="24"/>
          <w:szCs w:val="24"/>
        </w:rPr>
        <w:t>ietvaros</w:t>
      </w:r>
      <w:r>
        <w:rPr>
          <w:rFonts w:ascii="Times New Roman" w:hAnsi="Times New Roman" w:cs="Times New Roman"/>
          <w:sz w:val="24"/>
          <w:szCs w:val="24"/>
        </w:rPr>
        <w:t xml:space="preserve"> </w:t>
      </w:r>
      <w:r w:rsidRPr="005C0211">
        <w:rPr>
          <w:rFonts w:ascii="Times New Roman" w:hAnsi="Times New Roman" w:cs="Times New Roman"/>
          <w:sz w:val="24"/>
          <w:szCs w:val="24"/>
        </w:rPr>
        <w:t xml:space="preserve">tika nodrošināti </w:t>
      </w:r>
      <w:r w:rsidRPr="00F42323">
        <w:rPr>
          <w:rFonts w:ascii="Times New Roman" w:hAnsi="Times New Roman" w:cs="Times New Roman"/>
          <w:b/>
          <w:sz w:val="24"/>
          <w:szCs w:val="24"/>
        </w:rPr>
        <w:t>karjera konsultanta pakalpojumi</w:t>
      </w:r>
      <w:r w:rsidRPr="005C0211">
        <w:rPr>
          <w:rFonts w:ascii="Times New Roman" w:hAnsi="Times New Roman" w:cs="Times New Roman"/>
          <w:sz w:val="24"/>
          <w:szCs w:val="24"/>
        </w:rPr>
        <w:t xml:space="preserve"> visās 28 NVA filiālēs, lai savlaicīgi novērstu darbaspēka kvalifikācijas neatbilstību darba tirgus pieprasījumam, veicinātu strādājošo konkurētspēju un darba produktivitātes pieaugumu atbilstoši darba tirgus prasībām.</w:t>
      </w:r>
      <w:r w:rsidR="00AB5A3C">
        <w:rPr>
          <w:rFonts w:ascii="Times New Roman" w:hAnsi="Times New Roman" w:cs="Times New Roman"/>
          <w:sz w:val="24"/>
          <w:szCs w:val="24"/>
        </w:rPr>
        <w:t xml:space="preserve"> Līdz 2017.gada beigām </w:t>
      </w:r>
      <w:r w:rsidRPr="005C0211">
        <w:rPr>
          <w:rFonts w:ascii="Times New Roman" w:hAnsi="Times New Roman" w:cs="Times New Roman"/>
          <w:sz w:val="24"/>
          <w:szCs w:val="24"/>
        </w:rPr>
        <w:t>tika sniegtas 35 individuālās konsultācijas</w:t>
      </w:r>
      <w:r w:rsidR="00AB5A3C">
        <w:rPr>
          <w:rFonts w:ascii="Times New Roman" w:hAnsi="Times New Roman" w:cs="Times New Roman"/>
          <w:sz w:val="24"/>
          <w:szCs w:val="24"/>
        </w:rPr>
        <w:t>, tajā skaitā, divas</w:t>
      </w:r>
      <w:r w:rsidRPr="005C0211">
        <w:rPr>
          <w:rFonts w:ascii="Times New Roman" w:hAnsi="Times New Roman" w:cs="Times New Roman"/>
          <w:sz w:val="24"/>
          <w:szCs w:val="24"/>
        </w:rPr>
        <w:t xml:space="preserve"> konsultācijas nodarbinātajām personām</w:t>
      </w:r>
      <w:r w:rsidR="00AB5A3C">
        <w:rPr>
          <w:rFonts w:ascii="Times New Roman" w:hAnsi="Times New Roman" w:cs="Times New Roman"/>
          <w:sz w:val="24"/>
          <w:szCs w:val="24"/>
        </w:rPr>
        <w:t xml:space="preserve">. </w:t>
      </w:r>
      <w:r w:rsidRPr="005C0211">
        <w:rPr>
          <w:rFonts w:ascii="Times New Roman" w:hAnsi="Times New Roman" w:cs="Times New Roman"/>
          <w:sz w:val="24"/>
          <w:szCs w:val="24"/>
        </w:rPr>
        <w:t xml:space="preserve">Karjera konsultanta pakalpojumus </w:t>
      </w:r>
      <w:r w:rsidR="00BD0215">
        <w:rPr>
          <w:rFonts w:ascii="Times New Roman" w:hAnsi="Times New Roman" w:cs="Times New Roman"/>
          <w:sz w:val="24"/>
          <w:szCs w:val="24"/>
        </w:rPr>
        <w:t xml:space="preserve">projekta ietvaros </w:t>
      </w:r>
      <w:r w:rsidRPr="005C0211">
        <w:rPr>
          <w:rFonts w:ascii="Times New Roman" w:hAnsi="Times New Roman" w:cs="Times New Roman"/>
          <w:sz w:val="24"/>
          <w:szCs w:val="24"/>
        </w:rPr>
        <w:t>visās 28 NVA filiālēs plānots nodrošināt arī turpmāk</w:t>
      </w:r>
      <w:r w:rsidR="00BD0215">
        <w:rPr>
          <w:rFonts w:ascii="Times New Roman" w:hAnsi="Times New Roman" w:cs="Times New Roman"/>
          <w:sz w:val="24"/>
          <w:szCs w:val="24"/>
        </w:rPr>
        <w:t xml:space="preserve"> līdz 2022.gadam</w:t>
      </w:r>
      <w:r w:rsidRPr="005C0211">
        <w:rPr>
          <w:rFonts w:ascii="Times New Roman" w:hAnsi="Times New Roman" w:cs="Times New Roman"/>
          <w:sz w:val="24"/>
          <w:szCs w:val="24"/>
        </w:rPr>
        <w:t>.</w:t>
      </w:r>
    </w:p>
    <w:p w:rsidR="00F77C8A" w:rsidRDefault="00F73066" w:rsidP="00F77C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 nodrošinātu </w:t>
      </w:r>
      <w:r w:rsidRPr="005C0211">
        <w:rPr>
          <w:rFonts w:ascii="Times New Roman" w:hAnsi="Times New Roman" w:cs="Times New Roman"/>
          <w:sz w:val="24"/>
          <w:szCs w:val="24"/>
        </w:rPr>
        <w:t xml:space="preserve">Eiropas Kopīgajām pamatnostādnēm (EKP) atbilstošu </w:t>
      </w:r>
      <w:r w:rsidRPr="00F42323">
        <w:rPr>
          <w:rFonts w:ascii="Times New Roman" w:hAnsi="Times New Roman" w:cs="Times New Roman"/>
          <w:b/>
          <w:sz w:val="24"/>
          <w:szCs w:val="24"/>
        </w:rPr>
        <w:t>latviešu valodas kā otrās un kā svešvalodas prasmju līmeņi</w:t>
      </w:r>
      <w:r>
        <w:rPr>
          <w:rFonts w:ascii="Times New Roman" w:hAnsi="Times New Roman" w:cs="Times New Roman"/>
          <w:sz w:val="24"/>
          <w:szCs w:val="24"/>
        </w:rPr>
        <w:t xml:space="preserve"> un tādējādi uzlabotu nodarbinātības iespējas, LVA katru gadu rīko </w:t>
      </w:r>
      <w:r w:rsidRPr="005C0211">
        <w:rPr>
          <w:rFonts w:ascii="Times New Roman" w:hAnsi="Times New Roman" w:cs="Times New Roman"/>
          <w:sz w:val="24"/>
          <w:szCs w:val="24"/>
        </w:rPr>
        <w:t>profesionālās kompetences pilnveides kursus latviešu valodas kā otrās un svešvalodas skolotājiem, kuri strādā ar pieaugušajiem</w:t>
      </w:r>
      <w:r w:rsidR="009847EF">
        <w:rPr>
          <w:rFonts w:ascii="Times New Roman" w:hAnsi="Times New Roman" w:cs="Times New Roman"/>
          <w:sz w:val="24"/>
          <w:szCs w:val="24"/>
        </w:rPr>
        <w:t xml:space="preserve">. </w:t>
      </w:r>
      <w:r w:rsidR="006A772C">
        <w:rPr>
          <w:rFonts w:ascii="Times New Roman" w:hAnsi="Times New Roman" w:cs="Times New Roman"/>
          <w:sz w:val="24"/>
          <w:szCs w:val="24"/>
        </w:rPr>
        <w:t>To skaits pieaudzis no 73 dalībniekiem 2014.gadā līdz 104 dalībniekiem 2017.gadā.</w:t>
      </w:r>
      <w:r w:rsidR="00F77C8A">
        <w:rPr>
          <w:rFonts w:ascii="Times New Roman" w:hAnsi="Times New Roman" w:cs="Times New Roman"/>
          <w:sz w:val="24"/>
          <w:szCs w:val="24"/>
        </w:rPr>
        <w:t xml:space="preserve"> Vienlaikus ir</w:t>
      </w:r>
      <w:r w:rsidR="00F77C8A" w:rsidRPr="005C0211">
        <w:rPr>
          <w:rFonts w:ascii="Times New Roman" w:hAnsi="Times New Roman" w:cs="Times New Roman"/>
          <w:sz w:val="24"/>
          <w:szCs w:val="24"/>
        </w:rPr>
        <w:t xml:space="preserve"> brīvi p</w:t>
      </w:r>
      <w:r w:rsidR="00F77C8A">
        <w:rPr>
          <w:rFonts w:ascii="Times New Roman" w:hAnsi="Times New Roman" w:cs="Times New Roman"/>
          <w:sz w:val="24"/>
          <w:szCs w:val="24"/>
        </w:rPr>
        <w:t xml:space="preserve">ieejami mācību materiāli, </w:t>
      </w:r>
      <w:r w:rsidR="00F77C8A" w:rsidRPr="005C0211">
        <w:rPr>
          <w:rFonts w:ascii="Times New Roman" w:hAnsi="Times New Roman" w:cs="Times New Roman"/>
          <w:sz w:val="24"/>
          <w:szCs w:val="24"/>
        </w:rPr>
        <w:t xml:space="preserve"> izstrādāt</w:t>
      </w:r>
      <w:r w:rsidR="00F77C8A">
        <w:rPr>
          <w:rFonts w:ascii="Times New Roman" w:hAnsi="Times New Roman" w:cs="Times New Roman"/>
          <w:sz w:val="24"/>
          <w:szCs w:val="24"/>
        </w:rPr>
        <w:t>i</w:t>
      </w:r>
      <w:r w:rsidR="00F77C8A" w:rsidRPr="005C0211">
        <w:rPr>
          <w:rFonts w:ascii="Times New Roman" w:hAnsi="Times New Roman" w:cs="Times New Roman"/>
          <w:sz w:val="24"/>
          <w:szCs w:val="24"/>
        </w:rPr>
        <w:t xml:space="preserve"> mācību līdzekļu komplekti</w:t>
      </w:r>
      <w:r w:rsidR="00F77C8A">
        <w:rPr>
          <w:rFonts w:ascii="Times New Roman" w:hAnsi="Times New Roman" w:cs="Times New Roman"/>
          <w:sz w:val="24"/>
          <w:szCs w:val="24"/>
        </w:rPr>
        <w:t>, kā arī izdoti latviešu valodas prasmju līmeņi.</w:t>
      </w: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Default="003070F9" w:rsidP="00F77C8A">
      <w:pPr>
        <w:spacing w:after="0" w:line="240" w:lineRule="auto"/>
        <w:ind w:firstLine="720"/>
        <w:jc w:val="both"/>
        <w:rPr>
          <w:rFonts w:ascii="Times New Roman" w:hAnsi="Times New Roman" w:cs="Times New Roman"/>
          <w:sz w:val="24"/>
          <w:szCs w:val="24"/>
        </w:rPr>
      </w:pPr>
    </w:p>
    <w:p w:rsidR="003070F9" w:rsidRPr="005C0211" w:rsidRDefault="003070F9" w:rsidP="00F77C8A">
      <w:pPr>
        <w:spacing w:after="0" w:line="240" w:lineRule="auto"/>
        <w:ind w:firstLine="720"/>
        <w:jc w:val="both"/>
        <w:rPr>
          <w:rFonts w:ascii="Times New Roman" w:hAnsi="Times New Roman" w:cs="Times New Roman"/>
          <w:sz w:val="24"/>
          <w:szCs w:val="24"/>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A22413" w:rsidRPr="00F67B51" w:rsidTr="00C30ACE">
        <w:tc>
          <w:tcPr>
            <w:tcW w:w="9351" w:type="dxa"/>
            <w:shd w:val="clear" w:color="auto" w:fill="D9D9D9" w:themeFill="background1" w:themeFillShade="D9"/>
          </w:tcPr>
          <w:p w:rsidR="00B109BD" w:rsidRDefault="00A22413" w:rsidP="00B109BD">
            <w:pPr>
              <w:jc w:val="center"/>
              <w:rPr>
                <w:rFonts w:ascii="Times New Roman" w:hAnsi="Times New Roman" w:cs="Times New Roman"/>
                <w:b/>
                <w:sz w:val="24"/>
                <w:szCs w:val="24"/>
              </w:rPr>
            </w:pPr>
            <w:r w:rsidRPr="00F67B51">
              <w:rPr>
                <w:rFonts w:ascii="Times New Roman" w:hAnsi="Times New Roman" w:cs="Times New Roman"/>
                <w:b/>
                <w:sz w:val="24"/>
                <w:szCs w:val="24"/>
              </w:rPr>
              <w:lastRenderedPageBreak/>
              <w:t>3.apakšmērķis.</w:t>
            </w:r>
          </w:p>
          <w:p w:rsidR="00B109BD" w:rsidRDefault="00A22413" w:rsidP="00B109BD">
            <w:pPr>
              <w:jc w:val="center"/>
              <w:rPr>
                <w:rFonts w:ascii="Times New Roman" w:hAnsi="Times New Roman" w:cs="Times New Roman"/>
                <w:b/>
                <w:sz w:val="24"/>
                <w:szCs w:val="24"/>
              </w:rPr>
            </w:pPr>
            <w:r w:rsidRPr="00F67B51">
              <w:rPr>
                <w:rFonts w:ascii="Times New Roman" w:hAnsi="Times New Roman" w:cs="Times New Roman"/>
                <w:b/>
                <w:sz w:val="24"/>
                <w:szCs w:val="24"/>
              </w:rPr>
              <w:t xml:space="preserve">EFEKTĪVĀ PĀRVALDĪBA: </w:t>
            </w:r>
          </w:p>
          <w:p w:rsidR="00A22413" w:rsidRPr="00F67B51" w:rsidRDefault="00A22413" w:rsidP="00B109BD">
            <w:pPr>
              <w:jc w:val="center"/>
              <w:rPr>
                <w:rFonts w:ascii="Times New Roman" w:hAnsi="Times New Roman" w:cs="Times New Roman"/>
                <w:b/>
                <w:sz w:val="24"/>
                <w:szCs w:val="24"/>
              </w:rPr>
            </w:pPr>
            <w:r w:rsidRPr="00F67B51">
              <w:rPr>
                <w:rFonts w:ascii="Times New Roman" w:hAnsi="Times New Roman" w:cs="Times New Roman"/>
                <w:b/>
                <w:sz w:val="24"/>
                <w:szCs w:val="24"/>
              </w:rPr>
              <w:t>uzlabot resursu pārvaldības efektivitāti, attīstot izglītības iestāžu institucionālo izcilību</w:t>
            </w:r>
          </w:p>
        </w:tc>
      </w:tr>
    </w:tbl>
    <w:p w:rsidR="00FD0F9A" w:rsidRDefault="00FD0F9A" w:rsidP="00FD0F9A">
      <w:pPr>
        <w:spacing w:after="0" w:line="240" w:lineRule="auto"/>
        <w:jc w:val="both"/>
        <w:rPr>
          <w:rFonts w:ascii="Times New Roman" w:hAnsi="Times New Roman" w:cs="Times New Roman"/>
          <w:sz w:val="24"/>
          <w:szCs w:val="24"/>
        </w:rPr>
      </w:pPr>
    </w:p>
    <w:p w:rsidR="00A77EF0" w:rsidRPr="009A0A11" w:rsidRDefault="00FD0F9A" w:rsidP="009A0A11">
      <w:pPr>
        <w:spacing w:after="0" w:line="240" w:lineRule="auto"/>
        <w:ind w:firstLine="720"/>
        <w:jc w:val="both"/>
        <w:rPr>
          <w:rFonts w:ascii="Times New Roman" w:hAnsi="Times New Roman" w:cs="Times New Roman"/>
          <w:color w:val="414142"/>
          <w:sz w:val="24"/>
          <w:szCs w:val="24"/>
        </w:rPr>
      </w:pPr>
      <w:r w:rsidRPr="00F67B51">
        <w:rPr>
          <w:rFonts w:ascii="Times New Roman" w:hAnsi="Times New Roman" w:cs="Times New Roman"/>
          <w:sz w:val="24"/>
          <w:szCs w:val="24"/>
        </w:rPr>
        <w:t>Šis apakšmērķis</w:t>
      </w:r>
      <w:r w:rsidR="009A0A11">
        <w:rPr>
          <w:rFonts w:ascii="Times New Roman" w:hAnsi="Times New Roman" w:cs="Times New Roman"/>
          <w:sz w:val="24"/>
          <w:szCs w:val="24"/>
        </w:rPr>
        <w:t xml:space="preserve"> akcentē </w:t>
      </w:r>
      <w:r w:rsidR="009A0A11">
        <w:rPr>
          <w:rFonts w:ascii="Times New Roman" w:hAnsi="Times New Roman" w:cs="Times New Roman"/>
          <w:color w:val="414142"/>
          <w:sz w:val="24"/>
          <w:szCs w:val="24"/>
        </w:rPr>
        <w:t>r</w:t>
      </w:r>
      <w:r w:rsidR="004C6EAA" w:rsidRPr="009A0A11">
        <w:rPr>
          <w:rFonts w:ascii="Times New Roman" w:hAnsi="Times New Roman" w:cs="Times New Roman"/>
          <w:sz w:val="24"/>
          <w:szCs w:val="24"/>
        </w:rPr>
        <w:t>esursu pārvaldības efektivitātes uzlabošan</w:t>
      </w:r>
      <w:r w:rsidR="009A0A11">
        <w:rPr>
          <w:rFonts w:ascii="Times New Roman" w:hAnsi="Times New Roman" w:cs="Times New Roman"/>
          <w:sz w:val="24"/>
          <w:szCs w:val="24"/>
        </w:rPr>
        <w:t>u</w:t>
      </w:r>
      <w:r w:rsidR="004C6EAA" w:rsidRPr="009A0A11">
        <w:rPr>
          <w:rFonts w:ascii="Times New Roman" w:hAnsi="Times New Roman" w:cs="Times New Roman"/>
          <w:sz w:val="24"/>
          <w:szCs w:val="24"/>
        </w:rPr>
        <w:t xml:space="preserve"> nacionālajā, reģionālajā un vietējā līmenī, attīstot institucionālo izcilību, ietver sevī izglītības kvalitātes monitoringa ieviešanu, kas visām ieinteresētajām pusēm dod iespēju izsekot, novērtēt un izrietoši ietekmēt ar izglītību saistītos procesus un rezultātus, finansēšanas modeļu pilnveidi, t</w:t>
      </w:r>
      <w:r w:rsidR="008971F5">
        <w:rPr>
          <w:rFonts w:ascii="Times New Roman" w:hAnsi="Times New Roman" w:cs="Times New Roman"/>
          <w:sz w:val="24"/>
          <w:szCs w:val="24"/>
        </w:rPr>
        <w:t>ajā skaitā,</w:t>
      </w:r>
      <w:r w:rsidR="004C6EAA" w:rsidRPr="009A0A11">
        <w:rPr>
          <w:rFonts w:ascii="Times New Roman" w:hAnsi="Times New Roman" w:cs="Times New Roman"/>
          <w:sz w:val="24"/>
          <w:szCs w:val="24"/>
        </w:rPr>
        <w:t xml:space="preserve"> resursu konsolidāciju, izglītības pieejamības nodrošināšanu un izglītības starptautiskās konkurētspējas sekmēšanu</w:t>
      </w:r>
      <w:r w:rsidR="009A0A11">
        <w:rPr>
          <w:rFonts w:ascii="Times New Roman" w:hAnsi="Times New Roman" w:cs="Times New Roman"/>
          <w:sz w:val="24"/>
          <w:szCs w:val="24"/>
        </w:rPr>
        <w:t>.</w:t>
      </w:r>
    </w:p>
    <w:p w:rsidR="00694CF9" w:rsidRDefault="00694CF9" w:rsidP="004F0E9F">
      <w:pPr>
        <w:spacing w:after="0" w:line="240" w:lineRule="auto"/>
        <w:jc w:val="center"/>
        <w:rPr>
          <w:rFonts w:ascii="Times New Roman" w:hAnsi="Times New Roman" w:cs="Times New Roman"/>
          <w:b/>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345"/>
      </w:tblGrid>
      <w:tr w:rsidR="004947DC" w:rsidTr="004947DC">
        <w:trPr>
          <w:trHeight w:val="491"/>
        </w:trPr>
        <w:tc>
          <w:tcPr>
            <w:tcW w:w="9345" w:type="dxa"/>
            <w:shd w:val="clear" w:color="auto" w:fill="DEEAF6" w:themeFill="accent1" w:themeFillTint="33"/>
            <w:vAlign w:val="center"/>
          </w:tcPr>
          <w:p w:rsidR="004947DC" w:rsidRPr="004947DC" w:rsidRDefault="004947DC" w:rsidP="004947DC">
            <w:pPr>
              <w:pStyle w:val="ListParagraph"/>
              <w:ind w:left="0"/>
              <w:jc w:val="both"/>
              <w:rPr>
                <w:rFonts w:eastAsiaTheme="minorHAnsi"/>
                <w:b/>
              </w:rPr>
            </w:pPr>
            <w:r w:rsidRPr="004947DC">
              <w:rPr>
                <w:b/>
              </w:rPr>
              <w:t xml:space="preserve">Rīcības virziens: </w:t>
            </w:r>
            <w:r w:rsidRPr="004947DC">
              <w:rPr>
                <w:rFonts w:eastAsiaTheme="minorHAnsi"/>
                <w:b/>
              </w:rPr>
              <w:t>3.1. Izglītības kvalitātes monitoringa sistēmas pilnveide</w:t>
            </w:r>
          </w:p>
        </w:tc>
      </w:tr>
    </w:tbl>
    <w:p w:rsidR="00C06F0F" w:rsidRDefault="00831DF9" w:rsidP="001A5786">
      <w:pPr>
        <w:pStyle w:val="ListParagraph"/>
        <w:ind w:left="0"/>
        <w:jc w:val="both"/>
      </w:pPr>
      <w:r>
        <w:rPr>
          <w:rFonts w:eastAsiaTheme="minorHAnsi"/>
          <w:b/>
        </w:rPr>
        <w:tab/>
      </w:r>
      <w:r w:rsidRPr="00831DF9">
        <w:rPr>
          <w:rFonts w:eastAsiaTheme="minorHAnsi"/>
        </w:rPr>
        <w:t xml:space="preserve">Ievērojot </w:t>
      </w:r>
      <w:r>
        <w:rPr>
          <w:rFonts w:eastAsiaTheme="minorHAnsi"/>
        </w:rPr>
        <w:t xml:space="preserve">jaunā vispārējās izglītības satura ieviešanas procesu, uzmanība tika pievērsta arī </w:t>
      </w:r>
      <w:r w:rsidRPr="003365F6">
        <w:rPr>
          <w:rFonts w:eastAsiaTheme="minorHAnsi"/>
          <w:b/>
        </w:rPr>
        <w:t>valsts pārbaudījumu sistēmas un satura pārskatīšanai</w:t>
      </w:r>
      <w:r>
        <w:rPr>
          <w:rFonts w:eastAsiaTheme="minorHAnsi"/>
        </w:rPr>
        <w:t>. Sekmējot eksakto zinātņu apguves kvalitāti un progresa novērtēšanu, tika izstrād</w:t>
      </w:r>
      <w:r w:rsidR="00080BD8">
        <w:rPr>
          <w:rFonts w:eastAsiaTheme="minorHAnsi"/>
        </w:rPr>
        <w:t xml:space="preserve">āts piloteksāmenu saturs </w:t>
      </w:r>
      <w:r w:rsidR="00080BD8" w:rsidRPr="005C0211">
        <w:t>fizikā, ķīmijā un dabaszinībās</w:t>
      </w:r>
      <w:r w:rsidR="00080BD8">
        <w:t xml:space="preserve">. 2015./2016.mācību gadā </w:t>
      </w:r>
      <w:r w:rsidRPr="005C0211">
        <w:t xml:space="preserve">piloteksāmenos piedalījās 3200 izglītojamie no 105 izglītības iestādēm. </w:t>
      </w:r>
      <w:r w:rsidR="001A5786">
        <w:t xml:space="preserve">Savukārt, 2016./2017.mācību gadā </w:t>
      </w:r>
      <w:r w:rsidRPr="005C0211">
        <w:t>piloteksāmenos piedalījās</w:t>
      </w:r>
      <w:r w:rsidR="001A5786">
        <w:t xml:space="preserve"> jau</w:t>
      </w:r>
      <w:r w:rsidRPr="005C0211">
        <w:t xml:space="preserve"> 3610 izglītojamie no 119 izglītības iestādēm. </w:t>
      </w:r>
    </w:p>
    <w:p w:rsidR="00831DF9" w:rsidRDefault="001A5786" w:rsidP="00C06F0F">
      <w:pPr>
        <w:pStyle w:val="ListParagraph"/>
        <w:ind w:left="0" w:firstLine="720"/>
        <w:jc w:val="both"/>
        <w:rPr>
          <w:rFonts w:eastAsiaTheme="minorHAnsi"/>
        </w:rPr>
      </w:pPr>
      <w:r>
        <w:t>Vienlaikus i</w:t>
      </w:r>
      <w:r w:rsidR="00831DF9" w:rsidRPr="005C0211">
        <w:t xml:space="preserve">zstrādāts </w:t>
      </w:r>
      <w:r w:rsidR="00831DF9" w:rsidRPr="003365F6">
        <w:rPr>
          <w:b/>
        </w:rPr>
        <w:t xml:space="preserve">centralizēto eksāmenu </w:t>
      </w:r>
      <w:r w:rsidRPr="003365F6">
        <w:rPr>
          <w:b/>
        </w:rPr>
        <w:t xml:space="preserve">saturs </w:t>
      </w:r>
      <w:r w:rsidR="00831DF9" w:rsidRPr="003365F6">
        <w:rPr>
          <w:b/>
        </w:rPr>
        <w:t>fizikā un ķīmijā</w:t>
      </w:r>
      <w:r w:rsidR="00831DF9" w:rsidRPr="005C0211">
        <w:t xml:space="preserve">. </w:t>
      </w:r>
      <w:r w:rsidR="007A4F3A">
        <w:t xml:space="preserve">Lai īstenotu jaunā satura apguves monitoringu STEM mācību priekšmetos, 8.3.1. SAM </w:t>
      </w:r>
      <w:r w:rsidR="007A4F3A" w:rsidRPr="005C0211">
        <w:t>projekt</w:t>
      </w:r>
      <w:r w:rsidR="007A4F3A">
        <w:t>a „</w:t>
      </w:r>
      <w:r w:rsidR="007A4F3A" w:rsidRPr="005C0211">
        <w:t>Kompetenču pieeja mācību saturā”</w:t>
      </w:r>
      <w:r w:rsidR="007A4F3A">
        <w:t xml:space="preserve"> ietvaros</w:t>
      </w:r>
      <w:r w:rsidR="007A4F3A" w:rsidRPr="005C0211">
        <w:t xml:space="preserve"> </w:t>
      </w:r>
      <w:r w:rsidR="007A4F3A">
        <w:t>paredzēta c</w:t>
      </w:r>
      <w:r w:rsidR="007A4F3A" w:rsidRPr="005C0211">
        <w:t>entralizētā eksāmena dabaszinībās</w:t>
      </w:r>
      <w:r w:rsidR="007A4F3A">
        <w:t>, ķīmijā un fizikā</w:t>
      </w:r>
      <w:r w:rsidR="007A4F3A" w:rsidRPr="005C0211">
        <w:t xml:space="preserve"> satura izstrāde.</w:t>
      </w:r>
      <w:r w:rsidR="007A4F3A" w:rsidRPr="007C32E9">
        <w:t xml:space="preserve"> </w:t>
      </w:r>
      <w:r w:rsidR="007A4F3A">
        <w:t>Pārskata periodā projektā u</w:t>
      </w:r>
      <w:r w:rsidR="007A4F3A" w:rsidRPr="007C32E9">
        <w:t>zsākta fizikas un ķīmijas piloteksāmenu un centraliz</w:t>
      </w:r>
      <w:r w:rsidR="007A4F3A">
        <w:t>ēto eksāmenu</w:t>
      </w:r>
      <w:r w:rsidR="007A4F3A" w:rsidRPr="007C32E9">
        <w:t xml:space="preserve"> analīze</w:t>
      </w:r>
      <w:r w:rsidR="007A4F3A">
        <w:t>, p</w:t>
      </w:r>
      <w:r w:rsidR="007A4F3A" w:rsidRPr="007C32E9">
        <w:t>ievēršot uzmanību atsevišķiem izvirzītiem kritērijiem.</w:t>
      </w:r>
    </w:p>
    <w:p w:rsidR="00913273" w:rsidRDefault="00CF190E" w:rsidP="0099552C">
      <w:pPr>
        <w:pStyle w:val="ListParagraph"/>
        <w:ind w:left="0"/>
        <w:jc w:val="both"/>
      </w:pPr>
      <w:r>
        <w:rPr>
          <w:rFonts w:eastAsiaTheme="minorHAnsi"/>
        </w:rPr>
        <w:tab/>
        <w:t>Sekmējot STEM mācību priekšmetu</w:t>
      </w:r>
      <w:r w:rsidR="00CC0B1F">
        <w:rPr>
          <w:rFonts w:eastAsiaTheme="minorHAnsi"/>
        </w:rPr>
        <w:t xml:space="preserve"> apguves kvalitātes novērtēšanu, </w:t>
      </w:r>
      <w:r w:rsidR="00CC0B1F">
        <w:t>i</w:t>
      </w:r>
      <w:r w:rsidR="00CC0B1F" w:rsidRPr="005C0211">
        <w:t xml:space="preserve">zstrādāts 14 </w:t>
      </w:r>
      <w:r w:rsidR="00CC0B1F" w:rsidRPr="003365F6">
        <w:rPr>
          <w:b/>
        </w:rPr>
        <w:t>diagnosticējošo darbu saturs</w:t>
      </w:r>
      <w:r w:rsidR="00CC0B1F" w:rsidRPr="005C0211">
        <w:t xml:space="preserve"> un organizēta to norise.</w:t>
      </w:r>
      <w:r w:rsidR="00CC0B1F">
        <w:rPr>
          <w:rFonts w:eastAsiaTheme="minorHAnsi"/>
        </w:rPr>
        <w:t xml:space="preserve"> </w:t>
      </w:r>
      <w:r w:rsidR="00CC0B1F" w:rsidRPr="005C0211">
        <w:t>30904 izglītojamie piedalījās 8.</w:t>
      </w:r>
      <w:r w:rsidR="00CC0B1F">
        <w:t xml:space="preserve"> </w:t>
      </w:r>
      <w:r w:rsidR="00CC0B1F" w:rsidRPr="005C0211">
        <w:t>un 9.klases diagnosticējošajos darbos matemātikā un dabaszinātnēs, 10174 izglītojamie piedalījās 10.klases un 4809 izglītojamie 11.klases diagnosticējošajos darbos fizikā un ķīmijā. Veikta diagnosticējošo darbu rezultātu analīze, izstrādāti metodiskie ieteikumi izglītojamo mācību sasniegumu pilnveidošanai.</w:t>
      </w:r>
      <w:r w:rsidR="007A4F3A">
        <w:t xml:space="preserve"> 8.3.1. SAM </w:t>
      </w:r>
      <w:r w:rsidR="007A4F3A" w:rsidRPr="005C0211">
        <w:t>projekt</w:t>
      </w:r>
      <w:r w:rsidR="007A4F3A">
        <w:t>a „</w:t>
      </w:r>
      <w:r w:rsidR="007A4F3A" w:rsidRPr="005C0211">
        <w:t>Kompetenču pieeja mācību saturā”</w:t>
      </w:r>
      <w:r w:rsidR="007A4F3A">
        <w:t xml:space="preserve"> ietvaros uzsākta diagnosticējošo darbu satura izstrāde jaunā satura īstenošanai (kopā paredzēta 20 diagnosticējošo darbu izstrāde, no tiem 12 matemātikā un dabaszinātņu mācību priekšmetos).</w:t>
      </w:r>
    </w:p>
    <w:p w:rsidR="00913273" w:rsidRDefault="006A268E" w:rsidP="00913273">
      <w:pPr>
        <w:pStyle w:val="ListParagraph"/>
        <w:ind w:left="0" w:firstLine="720"/>
        <w:jc w:val="both"/>
      </w:pPr>
      <w:r>
        <w:t xml:space="preserve">Nodrošinot </w:t>
      </w:r>
      <w:r w:rsidRPr="003365F6">
        <w:rPr>
          <w:b/>
        </w:rPr>
        <w:t>v</w:t>
      </w:r>
      <w:r w:rsidR="00913273" w:rsidRPr="003365F6">
        <w:rPr>
          <w:b/>
        </w:rPr>
        <w:t>ispārējās un profesionālās izglītības iestāžu vadītāju novērtēšanas sistēmas izstrād</w:t>
      </w:r>
      <w:r w:rsidRPr="003365F6">
        <w:rPr>
          <w:b/>
        </w:rPr>
        <w:t>i</w:t>
      </w:r>
      <w:r w:rsidR="00913273" w:rsidRPr="003365F6">
        <w:rPr>
          <w:b/>
        </w:rPr>
        <w:t xml:space="preserve"> un aprobācij</w:t>
      </w:r>
      <w:r w:rsidRPr="003365F6">
        <w:rPr>
          <w:b/>
        </w:rPr>
        <w:t>u</w:t>
      </w:r>
      <w:r>
        <w:t>, apstiprināti</w:t>
      </w:r>
      <w:r w:rsidRPr="006A268E">
        <w:t xml:space="preserve"> </w:t>
      </w:r>
      <w:r w:rsidRPr="005C0211">
        <w:t xml:space="preserve">2016.gada 20.decembra </w:t>
      </w:r>
      <w:r>
        <w:t>MK</w:t>
      </w:r>
      <w:r w:rsidRPr="006A268E">
        <w:t xml:space="preserve"> </w:t>
      </w:r>
      <w:r w:rsidRPr="005C0211">
        <w:t>noteikumi Nr.831 ,,Kārtība,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w:t>
      </w:r>
      <w:r>
        <w:t>.</w:t>
      </w:r>
    </w:p>
    <w:p w:rsidR="006A268E" w:rsidRDefault="006A268E" w:rsidP="00913273">
      <w:pPr>
        <w:pStyle w:val="ListParagraph"/>
        <w:ind w:left="0" w:firstLine="720"/>
        <w:jc w:val="both"/>
      </w:pPr>
      <w:r>
        <w:t xml:space="preserve">Vienlaikus tika izstrādāta </w:t>
      </w:r>
      <w:r w:rsidRPr="005C0211">
        <w:t>2017.gada 15.marta metodika Nr.18 ,,Valsts augstskolu vidējās izglītības iestāžu, valsts un pašvaldību izglītības iestāžu vadītāju profesionālās darbības novērtēšanas metodika’’</w:t>
      </w:r>
      <w:r>
        <w:t>, kā arī s</w:t>
      </w:r>
      <w:r w:rsidRPr="005C0211">
        <w:t>agatavoti vispārējās, profesionālās un pirmsskolas izglītības iestāžu eksperti izglītības iestāžu vadītāju profesionālās darbības novērtēšanai.</w:t>
      </w:r>
      <w:r>
        <w:t xml:space="preserve"> Sistēmas ietvaros tika novērtēti aptuveni 10% izglītības iestāžu vadītāju, turpmāk plānojot palielināt šo skaitli.</w:t>
      </w:r>
    </w:p>
    <w:p w:rsidR="00B36CD2" w:rsidRDefault="00B36CD2" w:rsidP="00B36CD2">
      <w:pPr>
        <w:pStyle w:val="ListParagraph"/>
        <w:ind w:left="0" w:firstLine="720"/>
        <w:jc w:val="both"/>
      </w:pPr>
      <w:r>
        <w:t xml:space="preserve">Lai nodrošinātu starptautisko salīdzinošo datu iegūšanu un izglītības politikas efektivitātes novērtēšanu, tiek turpināta Latvijas dalība </w:t>
      </w:r>
      <w:r w:rsidRPr="003365F6">
        <w:rPr>
          <w:b/>
        </w:rPr>
        <w:t>starptautiskajos izglītības pētījumos</w:t>
      </w:r>
      <w:r>
        <w:t xml:space="preserve">. </w:t>
      </w:r>
      <w:r w:rsidRPr="005C0211">
        <w:t>Sākot ar 2016.gadu</w:t>
      </w:r>
      <w:r>
        <w:t>,</w:t>
      </w:r>
      <w:r w:rsidRPr="005C0211">
        <w:t xml:space="preserve"> dalība starptautiskajos pētījumos atbalstīta ESF 8.3.6.1.pasākuma "Dalība starptautiskos pētījumos” ietvaros. ESF atbalsts nodrošināts </w:t>
      </w:r>
      <w:r w:rsidR="005D1706">
        <w:t xml:space="preserve">dalībai </w:t>
      </w:r>
      <w:r w:rsidRPr="005C0211">
        <w:t xml:space="preserve">OECD Starptautiskās skolēnu novērtēšanas programmas pētījumā (PISA), Starptautiskajā mācību vides pētījumā (TALIS), Izglītības sistēmu indikatoru programmā (INES), Zinātņu doktoru karjeras apsekojumā (SCDH), Starptautiskās izglītības sasniegumu novērtēšanas asociācijas Starptautiskajā lasītprasmes novērtēšanas pētījumā (IEA PIRLS), un sadarbībā ar Starptautisko Rekonstrukcijas un attīstības </w:t>
      </w:r>
      <w:r w:rsidRPr="005C0211">
        <w:lastRenderedPageBreak/>
        <w:t>banku – pētījuma īstenošanai par augstākās izglītības pārvaldību.</w:t>
      </w:r>
      <w:r>
        <w:t xml:space="preserve"> </w:t>
      </w:r>
      <w:r w:rsidRPr="005C0211">
        <w:t>Ir paredzēta arī jaunu pētījumu veikšana – OECD Starptautiskās pieaugušo kompetenču novērtēšanas programmas pētījums (PIAAC) un pētījums par matemātikas un dabaszinātņu izglītības attīstības tendencēm 4.klašu skolēnu līmenī (IEA TIMSS)</w:t>
      </w:r>
      <w:r>
        <w:t>.</w:t>
      </w:r>
    </w:p>
    <w:p w:rsidR="00B36CD2" w:rsidRPr="005C0211" w:rsidRDefault="000C45BF" w:rsidP="00180B6A">
      <w:pPr>
        <w:pStyle w:val="ListParagraph"/>
        <w:ind w:left="0" w:firstLine="720"/>
        <w:jc w:val="both"/>
      </w:pPr>
      <w:r>
        <w:t xml:space="preserve">Lai panāktu līdz šim sadrumstaloto izglītības kvalitātes monitoringa elementu apvienošanu un efektīvas </w:t>
      </w:r>
      <w:r w:rsidRPr="003365F6">
        <w:rPr>
          <w:b/>
        </w:rPr>
        <w:t>izglītības kvalitātes monitoringa sistēmas izveidi</w:t>
      </w:r>
      <w:r>
        <w:t xml:space="preserve">, </w:t>
      </w:r>
      <w:r w:rsidR="00B36CD2" w:rsidRPr="005C0211">
        <w:t xml:space="preserve">2017.gada 22. augustā tika apstiprināti </w:t>
      </w:r>
      <w:r>
        <w:t xml:space="preserve">ESF </w:t>
      </w:r>
      <w:r w:rsidR="00B36CD2" w:rsidRPr="005C0211">
        <w:t>8.3.6.2. pasākuma "Izglītības kvalitātes monitoringa sistēmas izveide" īstenošanas noteikumi.</w:t>
      </w:r>
      <w:r w:rsidR="00847538">
        <w:t xml:space="preserve"> </w:t>
      </w:r>
      <w:r w:rsidR="00B36CD2" w:rsidRPr="005C0211">
        <w:t>Šajā sistēmā tiks apkopota un analizēta statistiskā informācija, salīdzinošo izglītības pētījumu rezultāti, centralizēto eksāmenu rezultāti, skolu akreditācijas un programmu licencēšanas un cita veida izglītības iestāžu darbu raksturojoša informācija un rādītāji. Finansējums sešu gadu periodā tiks ieguldīts izglītības kvalitātes novērtēšanas un monitoringa sistēmas un analīzes rīku izstrādē un ieviešanā, tajā skaitā</w:t>
      </w:r>
      <w:r w:rsidR="00F96B6D">
        <w:t>,</w:t>
      </w:r>
      <w:r w:rsidR="00B36CD2" w:rsidRPr="005C0211">
        <w:t xml:space="preserve"> nodrošinot tādu datu vākšanu, kuri nepieciešami monitoringa sistēmas un tās analīzes rīku aprobācijai, rezultātu analīzei un ieteikumu izstrādei, zinātniski pamatotu mācību vides kvalitātes vērtēšanas instrumentu un rādītāju izstrādei. Paralēli tam tiks veikti nacionālie pētījumi izglītības pētījumu programmas ietvaros, kā arī organizēti sadarbības un stratēģiskās komunikācijas pasākumi, kā arī mācības izglītības kvalitātes monitoringā iesaistītajiem, tostarp pedagogu profesionālo organizāciju pārstāvjiem.</w:t>
      </w:r>
    </w:p>
    <w:p w:rsidR="00B36CD2" w:rsidRDefault="00B36CD2" w:rsidP="00180B6A">
      <w:pPr>
        <w:pStyle w:val="ListParagraph"/>
        <w:ind w:left="0" w:firstLine="720"/>
        <w:jc w:val="both"/>
      </w:pPr>
      <w:r w:rsidRPr="005C0211">
        <w:t xml:space="preserve">Efektīvas, uz pierādījumiem balstītas izglītības politikas veidošanai ir būtiski veikt sistēmisku un periodisku izglītojamo mācību snieguma dinamikas novērtējumu izglītības kvalitātes rādītāju kontekstā un mācību sasniegumus ietekmējošo faktoru padziļinātu izpēti ciešā saistībā ar starptautiski salīdzinošo izglītības pētījumu un nacionālo standarta monitoringa instrumentu sniegtajiem rezultātiem. </w:t>
      </w:r>
      <w:r w:rsidR="008F00F1">
        <w:t>Ī</w:t>
      </w:r>
      <w:r w:rsidRPr="005C0211">
        <w:t>stenotie pētījumi ļaus izprast procesus, kas nodrošina virzību uz politikas mērķu sasniegšanu un precizēt rīcībpolitiku, sniedzot ieguldījumu kompetenču pieejā balstītā satura izveidei, skolēnu un studentu mācību sekmju, izglītības iestādes vides un izglītības personāla kvalifikācijas uzlabošanai, kā arī jauniešu sagatavošanai studijām un darba tirgum.</w:t>
      </w:r>
    </w:p>
    <w:p w:rsidR="00B36CD2" w:rsidRDefault="00453B28" w:rsidP="00B36CD2">
      <w:pPr>
        <w:pStyle w:val="ListParagraph"/>
        <w:ind w:left="0"/>
        <w:jc w:val="both"/>
      </w:pPr>
      <w:r>
        <w:tab/>
        <w:t xml:space="preserve">Vienlaikus </w:t>
      </w:r>
      <w:r w:rsidR="001030DF">
        <w:t xml:space="preserve">uzmanība pievērsta tādu grupu izglītības monitoringam, kā </w:t>
      </w:r>
      <w:r w:rsidR="001030DF" w:rsidRPr="003365F6">
        <w:rPr>
          <w:b/>
        </w:rPr>
        <w:t>reemigranti</w:t>
      </w:r>
      <w:r w:rsidR="001030DF">
        <w:t xml:space="preserve"> un </w:t>
      </w:r>
      <w:r w:rsidR="001030DF" w:rsidRPr="003365F6">
        <w:rPr>
          <w:b/>
        </w:rPr>
        <w:t>romi</w:t>
      </w:r>
      <w:r w:rsidR="001030DF">
        <w:t>. Ir nodrošināta informācija par</w:t>
      </w:r>
      <w:r w:rsidR="001030DF" w:rsidRPr="001030DF">
        <w:t xml:space="preserve"> </w:t>
      </w:r>
      <w:r w:rsidR="001030DF" w:rsidRPr="005C0211">
        <w:t>skolēnu (reemigrantu) skaitu, vecumu, izglītības iestāžu piedāvāto atbalsta pasākumu klāstu skolēnu iesaistīšanai izglītības iestādēs</w:t>
      </w:r>
      <w:r w:rsidR="001030DF">
        <w:t xml:space="preserve">. Savukārt, </w:t>
      </w:r>
      <w:r w:rsidR="00B36CD2" w:rsidRPr="005C0211">
        <w:t>2016.gada decembrī ir veikts monitorings par romu skolēnu izglītības ieguves nodrošināšanu vispārējās izglītības iestādēs.</w:t>
      </w:r>
    </w:p>
    <w:p w:rsidR="00437C57" w:rsidRDefault="003D10A7" w:rsidP="003D10A7">
      <w:pPr>
        <w:pStyle w:val="ListParagraph"/>
        <w:ind w:left="0"/>
        <w:jc w:val="both"/>
        <w:rPr>
          <w:rFonts w:ascii="Source Sans Pro" w:hAnsi="Source Sans Pro"/>
        </w:rPr>
      </w:pPr>
      <w:r>
        <w:tab/>
        <w:t xml:space="preserve">Sekmējot </w:t>
      </w:r>
      <w:r w:rsidR="00566873" w:rsidRPr="003365F6">
        <w:rPr>
          <w:b/>
        </w:rPr>
        <w:t>Valsts izglītības informācijas sistēmas</w:t>
      </w:r>
      <w:r w:rsidRPr="003365F6">
        <w:rPr>
          <w:b/>
        </w:rPr>
        <w:t xml:space="preserve"> (VIIS)</w:t>
      </w:r>
      <w:r w:rsidR="00566873" w:rsidRPr="003365F6">
        <w:rPr>
          <w:b/>
        </w:rPr>
        <w:t xml:space="preserve"> pilnveid</w:t>
      </w:r>
      <w:r w:rsidRPr="003365F6">
        <w:rPr>
          <w:b/>
        </w:rPr>
        <w:t>i</w:t>
      </w:r>
      <w:r w:rsidR="00566873" w:rsidRPr="005C0211">
        <w:t xml:space="preserve"> </w:t>
      </w:r>
      <w:r w:rsidR="00566873" w:rsidRPr="003365F6">
        <w:rPr>
          <w:b/>
        </w:rPr>
        <w:t>un iespēju paplašināšan</w:t>
      </w:r>
      <w:r w:rsidRPr="003365F6">
        <w:rPr>
          <w:b/>
        </w:rPr>
        <w:t>u</w:t>
      </w:r>
      <w:r>
        <w:t>, i</w:t>
      </w:r>
      <w:r w:rsidR="00566873" w:rsidRPr="005C0211">
        <w:t>zveidots studējošo reģist</w:t>
      </w:r>
      <w:r>
        <w:t xml:space="preserve">rs augstākās izglītības sektorā. Turpmāk ir plānota </w:t>
      </w:r>
      <w:r w:rsidR="00566873" w:rsidRPr="005C0211">
        <w:t xml:space="preserve"> </w:t>
      </w:r>
      <w:r w:rsidR="00566873">
        <w:rPr>
          <w:rFonts w:ascii="Source Sans Pro" w:hAnsi="Source Sans Pro"/>
        </w:rPr>
        <w:t>projekta "VIIS attīstība – izglītības monitoringa sistēma"</w:t>
      </w:r>
      <w:r>
        <w:rPr>
          <w:rFonts w:ascii="Source Sans Pro" w:hAnsi="Source Sans Pro"/>
        </w:rPr>
        <w:t xml:space="preserve"> īstenošana, kura ietvaros tiks nodrošināta </w:t>
      </w:r>
      <w:r w:rsidR="00566873" w:rsidRPr="00566873">
        <w:rPr>
          <w:rFonts w:ascii="Source Sans Pro" w:hAnsi="Source Sans Pro"/>
        </w:rPr>
        <w:t>pielāgojamu un centralizētu izglītības kvalitāti raksturojošo rādītāju apkopošan</w:t>
      </w:r>
      <w:r>
        <w:rPr>
          <w:rFonts w:ascii="Source Sans Pro" w:hAnsi="Source Sans Pro"/>
        </w:rPr>
        <w:t>a</w:t>
      </w:r>
      <w:r w:rsidR="00566873" w:rsidRPr="00566873">
        <w:rPr>
          <w:rFonts w:ascii="Source Sans Pro" w:hAnsi="Source Sans Pro"/>
        </w:rPr>
        <w:t xml:space="preserve"> un uzkrāšan</w:t>
      </w:r>
      <w:r>
        <w:rPr>
          <w:rFonts w:ascii="Source Sans Pro" w:hAnsi="Source Sans Pro"/>
        </w:rPr>
        <w:t>a</w:t>
      </w:r>
      <w:r w:rsidR="00566873" w:rsidRPr="00566873">
        <w:rPr>
          <w:rFonts w:ascii="Source Sans Pro" w:hAnsi="Source Sans Pro"/>
        </w:rPr>
        <w:t xml:space="preserve"> izglītības kv</w:t>
      </w:r>
      <w:r>
        <w:rPr>
          <w:rFonts w:ascii="Source Sans Pro" w:hAnsi="Source Sans Pro"/>
        </w:rPr>
        <w:t xml:space="preserve">alitātes monitoringa vajadzībām, </w:t>
      </w:r>
      <w:r w:rsidR="00566873" w:rsidRPr="00566873">
        <w:rPr>
          <w:rFonts w:ascii="Source Sans Pro" w:hAnsi="Source Sans Pro"/>
        </w:rPr>
        <w:t>izglītības kvalitāt</w:t>
      </w:r>
      <w:r>
        <w:rPr>
          <w:rFonts w:ascii="Source Sans Pro" w:hAnsi="Source Sans Pro"/>
        </w:rPr>
        <w:t>es</w:t>
      </w:r>
      <w:r w:rsidR="00566873" w:rsidRPr="00566873">
        <w:rPr>
          <w:rFonts w:ascii="Source Sans Pro" w:hAnsi="Source Sans Pro"/>
        </w:rPr>
        <w:t xml:space="preserve"> un tās izmaiņas raksturojošās informācijas pieejamīb</w:t>
      </w:r>
      <w:r>
        <w:rPr>
          <w:rFonts w:ascii="Source Sans Pro" w:hAnsi="Source Sans Pro"/>
        </w:rPr>
        <w:t>a</w:t>
      </w:r>
      <w:r w:rsidR="00566873" w:rsidRPr="00566873">
        <w:rPr>
          <w:rFonts w:ascii="Source Sans Pro" w:hAnsi="Source Sans Pro"/>
        </w:rPr>
        <w:t xml:space="preserve"> dažādu sabiedrības grupu vajadzībām</w:t>
      </w:r>
      <w:r>
        <w:rPr>
          <w:rFonts w:ascii="Source Sans Pro" w:hAnsi="Source Sans Pro"/>
        </w:rPr>
        <w:t xml:space="preserve">, kā arī pilnveidota </w:t>
      </w:r>
      <w:r w:rsidR="00566873" w:rsidRPr="00566873">
        <w:rPr>
          <w:rFonts w:ascii="Source Sans Pro" w:hAnsi="Source Sans Pro"/>
        </w:rPr>
        <w:t>datu apstrād</w:t>
      </w:r>
      <w:r>
        <w:rPr>
          <w:rFonts w:ascii="Source Sans Pro" w:hAnsi="Source Sans Pro"/>
        </w:rPr>
        <w:t>e</w:t>
      </w:r>
      <w:r w:rsidR="00566873" w:rsidRPr="00566873">
        <w:rPr>
          <w:rFonts w:ascii="Source Sans Pro" w:hAnsi="Source Sans Pro"/>
        </w:rPr>
        <w:t xml:space="preserve"> un </w:t>
      </w:r>
      <w:r>
        <w:rPr>
          <w:rFonts w:ascii="Source Sans Pro" w:hAnsi="Source Sans Pro"/>
        </w:rPr>
        <w:t xml:space="preserve">sistēmas </w:t>
      </w:r>
      <w:r w:rsidR="00566873" w:rsidRPr="00566873">
        <w:rPr>
          <w:rFonts w:ascii="Source Sans Pro" w:hAnsi="Source Sans Pro"/>
        </w:rPr>
        <w:t>kvalitātes nodrošināšan</w:t>
      </w:r>
      <w:r>
        <w:rPr>
          <w:rFonts w:ascii="Source Sans Pro" w:hAnsi="Source Sans Pro"/>
        </w:rPr>
        <w:t>a</w:t>
      </w:r>
      <w:r w:rsidR="00437C57">
        <w:rPr>
          <w:rFonts w:ascii="Source Sans Pro" w:hAnsi="Source Sans Pro"/>
        </w:rPr>
        <w:t>.</w:t>
      </w:r>
    </w:p>
    <w:p w:rsidR="00437C57" w:rsidRDefault="004C4C8A" w:rsidP="0099552C">
      <w:pPr>
        <w:pStyle w:val="ListParagraph"/>
        <w:ind w:left="0"/>
        <w:jc w:val="both"/>
      </w:pPr>
      <w:r>
        <w:rPr>
          <w:rFonts w:ascii="Source Sans Pro" w:hAnsi="Source Sans Pro"/>
        </w:rPr>
        <w:tab/>
        <w:t xml:space="preserve">Stiprinot </w:t>
      </w:r>
      <w:r w:rsidRPr="003365F6">
        <w:rPr>
          <w:rFonts w:ascii="Source Sans Pro" w:hAnsi="Source Sans Pro"/>
          <w:b/>
        </w:rPr>
        <w:t>profesionālās izglītības iestāžu kapacitāt</w:t>
      </w:r>
      <w:r w:rsidR="008F00F1">
        <w:rPr>
          <w:rFonts w:ascii="Source Sans Pro" w:hAnsi="Source Sans Pro"/>
          <w:b/>
        </w:rPr>
        <w:t xml:space="preserve">i </w:t>
      </w:r>
      <w:r w:rsidRPr="003365F6">
        <w:rPr>
          <w:rFonts w:ascii="Source Sans Pro" w:hAnsi="Source Sans Pro"/>
          <w:b/>
        </w:rPr>
        <w:t>pieaugušo izglītībā</w:t>
      </w:r>
      <w:r>
        <w:rPr>
          <w:rFonts w:ascii="Source Sans Pro" w:hAnsi="Source Sans Pro"/>
        </w:rPr>
        <w:t>, organizēta sadarbība ar darba devējiem</w:t>
      </w:r>
      <w:r w:rsidRPr="004C4C8A">
        <w:t xml:space="preserve"> </w:t>
      </w:r>
      <w:r w:rsidRPr="005C0211">
        <w:t>administratīvā un pedagoģiskā personāla kompetences pilnveidei mācību organizācijas, metodisko jautājumu un tehnoloģiju attīstības kontekstā.</w:t>
      </w:r>
      <w:r>
        <w:rPr>
          <w:rFonts w:ascii="Source Sans Pro" w:hAnsi="Source Sans Pro"/>
        </w:rPr>
        <w:t xml:space="preserve"> </w:t>
      </w:r>
      <w:r w:rsidR="00437C57" w:rsidRPr="005C0211">
        <w:t>Nodrošināti 39 profesionālās kompetences pilnveides semināri un kursi 1334 profesionālās izglītības iestāžu pedagogiem sadarbībā ar darba devējiem.</w:t>
      </w:r>
    </w:p>
    <w:p w:rsidR="00F561FD" w:rsidRDefault="00926F3F" w:rsidP="00926F3F">
      <w:pPr>
        <w:pStyle w:val="ListParagraph"/>
        <w:ind w:left="0" w:firstLine="720"/>
        <w:jc w:val="both"/>
      </w:pPr>
      <w:r>
        <w:t xml:space="preserve">Sekmējot </w:t>
      </w:r>
      <w:r w:rsidRPr="003365F6">
        <w:rPr>
          <w:b/>
        </w:rPr>
        <w:t>v</w:t>
      </w:r>
      <w:r w:rsidR="00F561FD" w:rsidRPr="003365F6">
        <w:rPr>
          <w:b/>
        </w:rPr>
        <w:t>ienotas augstākās izglītīb</w:t>
      </w:r>
      <w:r w:rsidRPr="003365F6">
        <w:rPr>
          <w:b/>
        </w:rPr>
        <w:t>as informatīvās sistēmas izveidi</w:t>
      </w:r>
      <w:r>
        <w:t xml:space="preserve">, veikti grozījumi Augstskolu likumā </w:t>
      </w:r>
      <w:r w:rsidR="00F561FD" w:rsidRPr="005C0211">
        <w:t xml:space="preserve">par grādu un kvalifikāciju ieguvušo personu monitoringa sistēmas izveidi pēc </w:t>
      </w:r>
      <w:r>
        <w:t>augstākās izglītības iestādes</w:t>
      </w:r>
      <w:r w:rsidR="00F561FD" w:rsidRPr="005C0211">
        <w:t xml:space="preserve"> absolvēšanas un apstiprināti grozījumi MK 2006.gada 2.maija noteikumos Nr.348 "</w:t>
      </w:r>
      <w:hyperlink r:id="rId17">
        <w:r w:rsidR="00F561FD" w:rsidRPr="005C0211">
          <w:t>Kārtība, kādā augstskola un koledža iesniedz Izglītības un zinātnes ministrijā informāciju par savu darbību</w:t>
        </w:r>
      </w:hyperlink>
      <w:r w:rsidR="00F561FD" w:rsidRPr="005C0211">
        <w:t>".</w:t>
      </w:r>
      <w:r>
        <w:t xml:space="preserve"> Ir plānots, ka d</w:t>
      </w:r>
      <w:r w:rsidR="00F561FD" w:rsidRPr="005C0211">
        <w:t xml:space="preserve">atus par grādu un kvalifikāciju ieguvušo personu nodarbinātību pēc </w:t>
      </w:r>
      <w:r>
        <w:t>augstākās izglītības iestādes</w:t>
      </w:r>
      <w:r w:rsidR="00F561FD" w:rsidRPr="005C0211">
        <w:t xml:space="preserve"> absolvēšanas sagatavos C</w:t>
      </w:r>
      <w:r>
        <w:t xml:space="preserve">entrālā statistikas pārvalde, </w:t>
      </w:r>
      <w:r w:rsidR="00F561FD" w:rsidRPr="005C0211">
        <w:t>izmantojot tās rīcīb</w:t>
      </w:r>
      <w:r>
        <w:t>ā esošos reģistrus un datus, tajā</w:t>
      </w:r>
      <w:r w:rsidR="00F561FD" w:rsidRPr="005C0211">
        <w:t xml:space="preserve"> skaitā no V</w:t>
      </w:r>
      <w:r>
        <w:t xml:space="preserve">alsts ieņēmumu dienesta un </w:t>
      </w:r>
      <w:r w:rsidR="002258D2">
        <w:t>NVA</w:t>
      </w:r>
      <w:r w:rsidR="0010379B">
        <w:t>,</w:t>
      </w:r>
      <w:r w:rsidR="00F561FD" w:rsidRPr="005C0211">
        <w:t xml:space="preserve"> un nodos tos IZM absolventu mo</w:t>
      </w:r>
      <w:r>
        <w:t>nitoringam VIIS, sākot ar 2019.</w:t>
      </w:r>
      <w:r w:rsidR="00F561FD" w:rsidRPr="005C0211">
        <w:t>gada beigām un turpmāk ik gadu.</w:t>
      </w:r>
    </w:p>
    <w:p w:rsidR="008B0987" w:rsidRDefault="008B0987" w:rsidP="008C77A5">
      <w:pPr>
        <w:pStyle w:val="ListParagraph"/>
        <w:ind w:left="0" w:firstLine="567"/>
        <w:jc w:val="both"/>
        <w:rPr>
          <w:color w:val="000000" w:themeColor="text1"/>
        </w:rPr>
      </w:pPr>
      <w:r>
        <w:lastRenderedPageBreak/>
        <w:t>Veicinot</w:t>
      </w:r>
      <w:r w:rsidRPr="005C0211">
        <w:t xml:space="preserve"> </w:t>
      </w:r>
      <w:r w:rsidRPr="003365F6">
        <w:rPr>
          <w:b/>
        </w:rPr>
        <w:t>starptautiski konkurētspējīgas nacionālās augstākās izglītības kvalitātes nodrošināšanas aģentūras</w:t>
      </w:r>
      <w:r w:rsidRPr="005C0211">
        <w:t xml:space="preserve"> darbīb</w:t>
      </w:r>
      <w:r>
        <w:t xml:space="preserve">u, </w:t>
      </w:r>
      <w:r>
        <w:rPr>
          <w:bCs/>
        </w:rPr>
        <w:t>n</w:t>
      </w:r>
      <w:r w:rsidR="00077D42" w:rsidRPr="00C61222">
        <w:rPr>
          <w:bCs/>
        </w:rPr>
        <w:t>o 2015.gada 1.jūlija</w:t>
      </w:r>
      <w:r w:rsidR="00077D42" w:rsidRPr="00C61222">
        <w:t xml:space="preserve"> augstskolu, koledžu un studiju virzienu akreditāciju, kā arī studiju programmu licencēšanas organizēšanu ir pārņēmis Akadēmiskās </w:t>
      </w:r>
      <w:r w:rsidR="00077D42" w:rsidRPr="008C77A5">
        <w:rPr>
          <w:color w:val="000000" w:themeColor="text1"/>
        </w:rPr>
        <w:t xml:space="preserve">informācijas centrs (AIC). </w:t>
      </w:r>
      <w:r w:rsidR="00077D42" w:rsidRPr="00C61222">
        <w:rPr>
          <w:color w:val="000000" w:themeColor="text1"/>
        </w:rPr>
        <w:t>2015.gada decembrī tika izveidota neatkarīga Studiju akreditācijas un Studiju programmu licencēšanas komisija, kas uzsākusi AIC iesniegto iesniegumu izskatīšanu.</w:t>
      </w:r>
      <w:r>
        <w:rPr>
          <w:color w:val="000000" w:themeColor="text1"/>
        </w:rPr>
        <w:t xml:space="preserve"> </w:t>
      </w:r>
    </w:p>
    <w:p w:rsidR="008B0987" w:rsidRPr="008C77A5" w:rsidRDefault="008B0987" w:rsidP="008C77A5">
      <w:pPr>
        <w:pStyle w:val="CommentText"/>
        <w:spacing w:after="0"/>
        <w:ind w:firstLine="567"/>
        <w:jc w:val="both"/>
        <w:rPr>
          <w:rFonts w:ascii="Times New Roman" w:eastAsia="Times New Roman" w:hAnsi="Times New Roman" w:cs="Times New Roman"/>
          <w:color w:val="000000" w:themeColor="text1"/>
          <w:sz w:val="24"/>
          <w:szCs w:val="24"/>
          <w:lang w:eastAsia="lv-LV"/>
        </w:rPr>
      </w:pPr>
      <w:r w:rsidRPr="008C77A5">
        <w:rPr>
          <w:rFonts w:ascii="Times New Roman" w:eastAsia="Times New Roman" w:hAnsi="Times New Roman" w:cs="Times New Roman"/>
          <w:color w:val="000000" w:themeColor="text1"/>
          <w:sz w:val="24"/>
          <w:szCs w:val="24"/>
          <w:lang w:eastAsia="lv-LV"/>
        </w:rPr>
        <w:t>2017.gadā AIC iesniedza pieteikumu Eiropas augstākās izglītības kvalitātes nodrošināšanas reģistram (EQAR) uzsākt starptautisko izvērtēšanu atbilstoši Eiropas Augstākās izglītības telpas kvalitātes standartiem un vadlīnijām (</w:t>
      </w:r>
      <w:r w:rsidR="00753480" w:rsidRPr="008C77A5">
        <w:rPr>
          <w:rFonts w:ascii="Times New Roman" w:eastAsia="Times New Roman" w:hAnsi="Times New Roman" w:cs="Times New Roman"/>
          <w:i/>
          <w:color w:val="000000" w:themeColor="text1"/>
          <w:sz w:val="24"/>
          <w:szCs w:val="24"/>
          <w:lang w:eastAsia="lv-LV"/>
        </w:rPr>
        <w:t>European Standards and Guidelines for Quality Assurance</w:t>
      </w:r>
      <w:r w:rsidRPr="008C77A5">
        <w:rPr>
          <w:rFonts w:ascii="Times New Roman" w:eastAsia="Times New Roman" w:hAnsi="Times New Roman" w:cs="Times New Roman"/>
          <w:color w:val="000000" w:themeColor="text1"/>
          <w:sz w:val="24"/>
          <w:szCs w:val="24"/>
          <w:lang w:eastAsia="lv-LV"/>
        </w:rPr>
        <w:t xml:space="preserve">). </w:t>
      </w:r>
      <w:r w:rsidR="008C77A5" w:rsidRPr="008C77A5">
        <w:rPr>
          <w:rFonts w:ascii="Times New Roman" w:eastAsia="Times New Roman" w:hAnsi="Times New Roman" w:cs="Times New Roman"/>
          <w:color w:val="000000" w:themeColor="text1"/>
          <w:sz w:val="24"/>
          <w:szCs w:val="24"/>
          <w:lang w:eastAsia="lv-LV"/>
        </w:rPr>
        <w:t xml:space="preserve">Lēmums par </w:t>
      </w:r>
      <w:r w:rsidR="00A72C3C">
        <w:rPr>
          <w:rFonts w:ascii="Times New Roman" w:eastAsia="Times New Roman" w:hAnsi="Times New Roman" w:cs="Times New Roman"/>
          <w:color w:val="000000" w:themeColor="text1"/>
          <w:sz w:val="24"/>
          <w:szCs w:val="24"/>
          <w:lang w:eastAsia="lv-LV"/>
        </w:rPr>
        <w:t>AIC</w:t>
      </w:r>
      <w:r w:rsidR="008C77A5" w:rsidRPr="008C77A5">
        <w:rPr>
          <w:rFonts w:ascii="Times New Roman" w:eastAsia="Times New Roman" w:hAnsi="Times New Roman" w:cs="Times New Roman"/>
          <w:color w:val="000000" w:themeColor="text1"/>
          <w:sz w:val="24"/>
          <w:szCs w:val="24"/>
          <w:lang w:eastAsia="lv-LV"/>
        </w:rPr>
        <w:t xml:space="preserve"> iekļaušanu ENQA</w:t>
      </w:r>
      <w:r w:rsidR="008C77A5">
        <w:rPr>
          <w:rFonts w:ascii="Times New Roman" w:eastAsia="Times New Roman" w:hAnsi="Times New Roman" w:cs="Times New Roman"/>
          <w:color w:val="000000" w:themeColor="text1"/>
          <w:sz w:val="24"/>
          <w:szCs w:val="24"/>
          <w:lang w:eastAsia="lv-LV"/>
        </w:rPr>
        <w:t xml:space="preserve"> (</w:t>
      </w:r>
      <w:hyperlink r:id="rId18" w:history="1">
        <w:r w:rsidR="008C77A5" w:rsidRPr="008C77A5">
          <w:rPr>
            <w:rFonts w:ascii="Times New Roman" w:eastAsia="Times New Roman" w:hAnsi="Times New Roman" w:cs="Times New Roman"/>
            <w:i/>
            <w:color w:val="000000" w:themeColor="text1"/>
            <w:sz w:val="24"/>
            <w:szCs w:val="24"/>
            <w:lang w:eastAsia="lv-LV"/>
          </w:rPr>
          <w:t>European Association for Quality Assurance in Higher Education</w:t>
        </w:r>
      </w:hyperlink>
      <w:r w:rsidR="008C77A5">
        <w:rPr>
          <w:rFonts w:ascii="Arial" w:hAnsi="Arial" w:cs="Arial"/>
          <w:color w:val="222222"/>
          <w:sz w:val="27"/>
          <w:szCs w:val="27"/>
        </w:rPr>
        <w:t>)</w:t>
      </w:r>
      <w:r w:rsidR="008C77A5" w:rsidRPr="008C77A5">
        <w:rPr>
          <w:rFonts w:ascii="Times New Roman" w:eastAsia="Times New Roman" w:hAnsi="Times New Roman" w:cs="Times New Roman"/>
          <w:color w:val="000000" w:themeColor="text1"/>
          <w:sz w:val="24"/>
          <w:szCs w:val="24"/>
          <w:lang w:eastAsia="lv-LV"/>
        </w:rPr>
        <w:t xml:space="preserve"> pilntiesīga biedra statusā </w:t>
      </w:r>
      <w:r w:rsidR="00A72C3C">
        <w:rPr>
          <w:rFonts w:ascii="Times New Roman" w:eastAsia="Times New Roman" w:hAnsi="Times New Roman" w:cs="Times New Roman"/>
          <w:color w:val="000000" w:themeColor="text1"/>
          <w:sz w:val="24"/>
          <w:szCs w:val="24"/>
          <w:lang w:eastAsia="lv-LV"/>
        </w:rPr>
        <w:t xml:space="preserve">tika </w:t>
      </w:r>
      <w:r w:rsidR="008C77A5" w:rsidRPr="008C77A5">
        <w:rPr>
          <w:rFonts w:ascii="Times New Roman" w:eastAsia="Times New Roman" w:hAnsi="Times New Roman" w:cs="Times New Roman"/>
          <w:color w:val="000000" w:themeColor="text1"/>
          <w:sz w:val="24"/>
          <w:szCs w:val="24"/>
          <w:lang w:eastAsia="lv-LV"/>
        </w:rPr>
        <w:t>pieņemts 2018.gada jūnijā</w:t>
      </w:r>
      <w:r w:rsidR="008C77A5">
        <w:rPr>
          <w:rFonts w:ascii="Times New Roman" w:eastAsia="Times New Roman" w:hAnsi="Times New Roman" w:cs="Times New Roman"/>
          <w:color w:val="000000" w:themeColor="text1"/>
          <w:sz w:val="24"/>
          <w:szCs w:val="24"/>
          <w:lang w:eastAsia="lv-LV"/>
        </w:rPr>
        <w:t>, savukārt</w:t>
      </w:r>
      <w:r w:rsidR="008C77A5" w:rsidRPr="008C77A5">
        <w:rPr>
          <w:rFonts w:ascii="Times New Roman" w:eastAsia="Times New Roman" w:hAnsi="Times New Roman" w:cs="Times New Roman"/>
          <w:color w:val="000000" w:themeColor="text1"/>
          <w:sz w:val="24"/>
          <w:szCs w:val="24"/>
          <w:lang w:eastAsia="lv-LV"/>
        </w:rPr>
        <w:t xml:space="preserve"> </w:t>
      </w:r>
      <w:r w:rsidR="008C77A5">
        <w:rPr>
          <w:rFonts w:ascii="Times New Roman" w:eastAsia="Times New Roman" w:hAnsi="Times New Roman" w:cs="Times New Roman"/>
          <w:color w:val="000000" w:themeColor="text1"/>
          <w:sz w:val="24"/>
          <w:szCs w:val="24"/>
          <w:lang w:eastAsia="lv-LV"/>
        </w:rPr>
        <w:t>l</w:t>
      </w:r>
      <w:r w:rsidR="008C77A5" w:rsidRPr="008C77A5">
        <w:rPr>
          <w:rFonts w:ascii="Times New Roman" w:eastAsia="Times New Roman" w:hAnsi="Times New Roman" w:cs="Times New Roman"/>
          <w:color w:val="000000" w:themeColor="text1"/>
          <w:sz w:val="24"/>
          <w:szCs w:val="24"/>
          <w:lang w:eastAsia="lv-LV"/>
        </w:rPr>
        <w:t xml:space="preserve">ēmums par iekļūšanu EQAR </w:t>
      </w:r>
      <w:r w:rsidR="00980521">
        <w:rPr>
          <w:rFonts w:ascii="Times New Roman" w:eastAsia="Times New Roman" w:hAnsi="Times New Roman" w:cs="Times New Roman"/>
          <w:color w:val="000000" w:themeColor="text1"/>
          <w:sz w:val="24"/>
          <w:szCs w:val="24"/>
          <w:lang w:eastAsia="lv-LV"/>
        </w:rPr>
        <w:t>tika pieņemts</w:t>
      </w:r>
      <w:r w:rsidR="008C77A5" w:rsidRPr="008C77A5">
        <w:rPr>
          <w:rFonts w:ascii="Times New Roman" w:eastAsia="Times New Roman" w:hAnsi="Times New Roman" w:cs="Times New Roman"/>
          <w:color w:val="000000" w:themeColor="text1"/>
          <w:sz w:val="24"/>
          <w:szCs w:val="24"/>
          <w:lang w:eastAsia="lv-LV"/>
        </w:rPr>
        <w:t xml:space="preserve"> 2018.gada </w:t>
      </w:r>
      <w:r w:rsidR="000D2221">
        <w:rPr>
          <w:rFonts w:ascii="Times New Roman" w:eastAsia="Times New Roman" w:hAnsi="Times New Roman" w:cs="Times New Roman"/>
          <w:color w:val="000000" w:themeColor="text1"/>
          <w:sz w:val="24"/>
          <w:szCs w:val="24"/>
          <w:lang w:eastAsia="lv-LV"/>
        </w:rPr>
        <w:t>decembrī</w:t>
      </w:r>
      <w:r w:rsidR="008C77A5" w:rsidRPr="008C77A5">
        <w:rPr>
          <w:rFonts w:ascii="Times New Roman" w:eastAsia="Times New Roman" w:hAnsi="Times New Roman" w:cs="Times New Roman"/>
          <w:color w:val="000000" w:themeColor="text1"/>
          <w:sz w:val="24"/>
          <w:szCs w:val="24"/>
          <w:lang w:eastAsia="lv-LV"/>
        </w:rPr>
        <w:t>.</w:t>
      </w:r>
    </w:p>
    <w:p w:rsidR="008B0987" w:rsidRDefault="008B0987" w:rsidP="008B0987">
      <w:pPr>
        <w:pStyle w:val="ListParagraph"/>
        <w:ind w:left="0" w:firstLine="567"/>
        <w:jc w:val="both"/>
      </w:pPr>
      <w:r>
        <w:rPr>
          <w:color w:val="000000" w:themeColor="text1"/>
        </w:rPr>
        <w:t>Kopš 2016.gada AIC īsteno</w:t>
      </w:r>
      <w:r w:rsidRPr="005565F8">
        <w:rPr>
          <w:color w:val="000000" w:themeColor="text1"/>
        </w:rPr>
        <w:t xml:space="preserve"> projektu </w:t>
      </w:r>
      <w:r w:rsidRPr="004713FF">
        <w:rPr>
          <w:color w:val="000000" w:themeColor="text1"/>
        </w:rPr>
        <w:t>“Atbalsts EQAR aģentūrai izvirzīto prasību izpildei”</w:t>
      </w:r>
      <w:r w:rsidRPr="005565F8">
        <w:rPr>
          <w:color w:val="000000" w:themeColor="text1"/>
        </w:rPr>
        <w:t>.</w:t>
      </w:r>
      <w:r w:rsidRPr="005565F8">
        <w:t xml:space="preserve"> Sagaidāms, ka </w:t>
      </w:r>
      <w:r w:rsidRPr="005565F8">
        <w:rPr>
          <w:color w:val="000000" w:themeColor="text1"/>
        </w:rPr>
        <w:t>beidzoties projektam</w:t>
      </w:r>
      <w:r w:rsidR="004713FF">
        <w:rPr>
          <w:color w:val="000000" w:themeColor="text1"/>
        </w:rPr>
        <w:t>,</w:t>
      </w:r>
      <w:r w:rsidRPr="005565F8">
        <w:rPr>
          <w:color w:val="000000" w:themeColor="text1"/>
        </w:rPr>
        <w:t xml:space="preserve"> Latvijas augstākās izglītības kvalitātes nodrošināšanas sistēma funkcionēs atbilstoši prasībām, un AIC būs EQAR dalībnieks, kas palielinās uzticamību Latvijas augstākajai izglītībai un iegūtajiem diplomiem. Projekts tiek īstenots sadarbībā ar Augstākās izglītības padomi, Lietuvas augstākās izglītības kvalitātes nodrošināšanas centru, kas ir EQAR reģistrēta aģentūra, kā arī 12 augstākās izglītības institūcijām. 2016. un 2017.gadā ir īstenotas 12 studiju virzienu pilotakreditācijas projektā iesaistītajās augstākās izglītības institūcijās, kā arī 12 kārtējās studiju virzienu akreditācijas, organizēti informatīvi semināri augstākās izglītības iestādēm gan par pilotakreditāciju īstenošanas norisi, gan par ārējās un iekšējās kvalitātes nodrošināšanas jautājumiem. Izstrādāta </w:t>
      </w:r>
      <w:r w:rsidR="004713FF" w:rsidRPr="004713FF">
        <w:rPr>
          <w:color w:val="000000" w:themeColor="text1"/>
        </w:rPr>
        <w:t>“</w:t>
      </w:r>
      <w:r w:rsidRPr="004713FF">
        <w:rPr>
          <w:color w:val="000000" w:themeColor="text1"/>
        </w:rPr>
        <w:t>Akreditācijas aģentūras attīstības stratēģija</w:t>
      </w:r>
      <w:r w:rsidR="004713FF" w:rsidRPr="004713FF">
        <w:rPr>
          <w:color w:val="000000" w:themeColor="text1"/>
        </w:rPr>
        <w:t>”</w:t>
      </w:r>
      <w:r w:rsidRPr="005565F8">
        <w:rPr>
          <w:color w:val="000000" w:themeColor="text1"/>
        </w:rPr>
        <w:t xml:space="preserve"> un visi nepieciešamie iekšējie normatīvie akti, kā arī sagatavoti priekšlikumi grozījumiem Latvijas normatīvajos aktos augstākās izglītības kvalitātes novērtēšanas jomā. 2017.gadā projekta ietvaros sagatavota </w:t>
      </w:r>
      <w:r w:rsidR="004713FF" w:rsidRPr="004713FF">
        <w:rPr>
          <w:color w:val="000000" w:themeColor="text1"/>
        </w:rPr>
        <w:t>“</w:t>
      </w:r>
      <w:r w:rsidRPr="004713FF">
        <w:rPr>
          <w:color w:val="000000" w:themeColor="text1"/>
        </w:rPr>
        <w:t>Augstākās izglītības kvalitātes monitoringa sistēmas koncepcija</w:t>
      </w:r>
      <w:r w:rsidR="004713FF" w:rsidRPr="004713FF">
        <w:rPr>
          <w:color w:val="000000" w:themeColor="text1"/>
        </w:rPr>
        <w:t>”</w:t>
      </w:r>
      <w:r w:rsidRPr="004713FF">
        <w:rPr>
          <w:color w:val="000000" w:themeColor="text1"/>
        </w:rPr>
        <w:t>,</w:t>
      </w:r>
      <w:r w:rsidRPr="005565F8">
        <w:rPr>
          <w:color w:val="000000" w:themeColor="text1"/>
        </w:rPr>
        <w:t xml:space="preserve"> kā arī uzsākta e-platformas  izveide akreditācijas un licencēšanas procesa nodrošināšanai.</w:t>
      </w:r>
    </w:p>
    <w:p w:rsidR="00F561FD" w:rsidRDefault="00F561FD" w:rsidP="0099552C">
      <w:pPr>
        <w:pStyle w:val="ListParagraph"/>
        <w:ind w:left="0"/>
        <w:jc w:val="both"/>
        <w:rPr>
          <w:rFonts w:ascii="Source Sans Pro" w:hAnsi="Source Sans Pro"/>
        </w:rPr>
      </w:pPr>
    </w:p>
    <w:p w:rsidR="005A1FBC" w:rsidRPr="004C4C8A" w:rsidRDefault="005A1FBC" w:rsidP="0099552C">
      <w:pPr>
        <w:pStyle w:val="ListParagraph"/>
        <w:ind w:left="0"/>
        <w:jc w:val="both"/>
        <w:rPr>
          <w:rFonts w:ascii="Source Sans Pro" w:hAnsi="Source Sans Pro"/>
        </w:rPr>
      </w:pPr>
    </w:p>
    <w:tbl>
      <w:tblPr>
        <w:tblStyle w:val="TableGrid"/>
        <w:tblW w:w="0" w:type="auto"/>
        <w:shd w:val="clear" w:color="auto" w:fill="DEEAF6" w:themeFill="accent1" w:themeFillTint="33"/>
        <w:tblLook w:val="04A0" w:firstRow="1" w:lastRow="0" w:firstColumn="1" w:lastColumn="0" w:noHBand="0" w:noVBand="1"/>
      </w:tblPr>
      <w:tblGrid>
        <w:gridCol w:w="9345"/>
      </w:tblGrid>
      <w:tr w:rsidR="005A1FBC" w:rsidRPr="005A1FBC" w:rsidTr="005A1FBC">
        <w:trPr>
          <w:trHeight w:val="483"/>
        </w:trPr>
        <w:tc>
          <w:tcPr>
            <w:tcW w:w="9345" w:type="dxa"/>
            <w:shd w:val="clear" w:color="auto" w:fill="DEEAF6" w:themeFill="accent1" w:themeFillTint="33"/>
            <w:vAlign w:val="center"/>
          </w:tcPr>
          <w:p w:rsidR="005A1FBC" w:rsidRPr="005A1FBC" w:rsidRDefault="005A1FBC" w:rsidP="0099552C">
            <w:pPr>
              <w:pStyle w:val="ListParagraph"/>
              <w:ind w:left="0"/>
              <w:jc w:val="both"/>
              <w:rPr>
                <w:rFonts w:eastAsiaTheme="minorHAnsi"/>
                <w:b/>
              </w:rPr>
            </w:pPr>
            <w:r w:rsidRPr="005A1FBC">
              <w:rPr>
                <w:b/>
              </w:rPr>
              <w:t xml:space="preserve">Rīcības virziens: </w:t>
            </w:r>
            <w:r w:rsidRPr="005A1FBC">
              <w:rPr>
                <w:rFonts w:eastAsiaTheme="minorHAnsi"/>
                <w:b/>
              </w:rPr>
              <w:t>3.2. Efektīva izglītības finanšu resursu pārvaldība</w:t>
            </w:r>
          </w:p>
        </w:tc>
      </w:tr>
    </w:tbl>
    <w:p w:rsidR="0055014F" w:rsidRPr="0055014F" w:rsidRDefault="0055014F" w:rsidP="007E180A">
      <w:pPr>
        <w:spacing w:after="0" w:line="240" w:lineRule="auto"/>
        <w:ind w:firstLine="720"/>
        <w:jc w:val="both"/>
        <w:rPr>
          <w:rFonts w:ascii="Times New Roman" w:eastAsia="Times New Roman" w:hAnsi="Times New Roman" w:cs="Times New Roman"/>
          <w:sz w:val="24"/>
          <w:szCs w:val="24"/>
          <w:lang w:eastAsia="lv-LV"/>
        </w:rPr>
      </w:pPr>
      <w:r w:rsidRPr="0055014F">
        <w:rPr>
          <w:rFonts w:ascii="Times New Roman" w:eastAsia="Times New Roman" w:hAnsi="Times New Roman" w:cs="Times New Roman"/>
          <w:sz w:val="24"/>
          <w:szCs w:val="24"/>
          <w:lang w:eastAsia="lv-LV"/>
        </w:rPr>
        <w:t xml:space="preserve">Pārskata periodā ir </w:t>
      </w:r>
      <w:r w:rsidR="00D43011">
        <w:rPr>
          <w:rFonts w:ascii="Times New Roman" w:eastAsia="Times New Roman" w:hAnsi="Times New Roman" w:cs="Times New Roman"/>
          <w:sz w:val="24"/>
          <w:szCs w:val="24"/>
          <w:lang w:eastAsia="lv-LV"/>
        </w:rPr>
        <w:t>nedaudz</w:t>
      </w:r>
      <w:r w:rsidRPr="0055014F">
        <w:rPr>
          <w:rFonts w:ascii="Times New Roman" w:eastAsia="Times New Roman" w:hAnsi="Times New Roman" w:cs="Times New Roman"/>
          <w:sz w:val="24"/>
          <w:szCs w:val="24"/>
          <w:lang w:eastAsia="lv-LV"/>
        </w:rPr>
        <w:t xml:space="preserve"> palielinājušies valsts izdevumi izglītībai gadā (</w:t>
      </w:r>
      <w:r w:rsidRPr="000B6662">
        <w:rPr>
          <w:rFonts w:ascii="Times New Roman" w:eastAsia="Times New Roman" w:hAnsi="Times New Roman" w:cs="Times New Roman"/>
          <w:sz w:val="24"/>
          <w:szCs w:val="24"/>
          <w:lang w:eastAsia="lv-LV"/>
        </w:rPr>
        <w:t>% no IKP</w:t>
      </w:r>
      <w:r w:rsidRPr="0055014F">
        <w:rPr>
          <w:rFonts w:ascii="Times New Roman" w:eastAsia="Times New Roman" w:hAnsi="Times New Roman" w:cs="Times New Roman"/>
          <w:sz w:val="24"/>
          <w:szCs w:val="24"/>
          <w:lang w:eastAsia="lv-LV"/>
        </w:rPr>
        <w:t>), pieaugot līdz 5,33% (</w:t>
      </w:r>
      <w:r w:rsidRPr="000B6662">
        <w:rPr>
          <w:rFonts w:ascii="Times New Roman" w:eastAsia="Times New Roman" w:hAnsi="Times New Roman" w:cs="Times New Roman"/>
          <w:sz w:val="24"/>
          <w:szCs w:val="24"/>
          <w:lang w:eastAsia="lv-LV"/>
        </w:rPr>
        <w:t>ISCED-0: 0,81%</w:t>
      </w:r>
      <w:r>
        <w:rPr>
          <w:rFonts w:ascii="Times New Roman" w:eastAsia="Times New Roman" w:hAnsi="Times New Roman" w:cs="Times New Roman"/>
          <w:sz w:val="24"/>
          <w:szCs w:val="24"/>
          <w:lang w:eastAsia="lv-LV"/>
        </w:rPr>
        <w:t xml:space="preserve">; </w:t>
      </w:r>
      <w:r w:rsidRPr="000B6662">
        <w:rPr>
          <w:rFonts w:ascii="Times New Roman" w:eastAsia="Times New Roman" w:hAnsi="Times New Roman" w:cs="Times New Roman"/>
          <w:sz w:val="24"/>
          <w:szCs w:val="24"/>
          <w:lang w:eastAsia="lv-LV"/>
        </w:rPr>
        <w:t>ISCED-1: 1,6%</w:t>
      </w:r>
      <w:r>
        <w:rPr>
          <w:rFonts w:ascii="Times New Roman" w:eastAsia="Times New Roman" w:hAnsi="Times New Roman" w:cs="Times New Roman"/>
          <w:sz w:val="24"/>
          <w:szCs w:val="24"/>
          <w:lang w:eastAsia="lv-LV"/>
        </w:rPr>
        <w:t xml:space="preserve">; </w:t>
      </w:r>
      <w:r w:rsidRPr="000B6662">
        <w:rPr>
          <w:rFonts w:ascii="Times New Roman" w:eastAsia="Times New Roman" w:hAnsi="Times New Roman" w:cs="Times New Roman"/>
          <w:sz w:val="24"/>
          <w:szCs w:val="24"/>
          <w:lang w:eastAsia="lv-LV"/>
        </w:rPr>
        <w:t>ISCED-2-4: 0,75%</w:t>
      </w:r>
      <w:r>
        <w:rPr>
          <w:rFonts w:ascii="Times New Roman" w:eastAsia="Times New Roman" w:hAnsi="Times New Roman" w:cs="Times New Roman"/>
          <w:sz w:val="24"/>
          <w:szCs w:val="24"/>
          <w:lang w:eastAsia="lv-LV"/>
        </w:rPr>
        <w:t xml:space="preserve">; </w:t>
      </w:r>
      <w:r w:rsidRPr="000B6662">
        <w:rPr>
          <w:rFonts w:ascii="Times New Roman" w:eastAsia="Times New Roman" w:hAnsi="Times New Roman" w:cs="Times New Roman"/>
          <w:sz w:val="24"/>
          <w:szCs w:val="24"/>
          <w:lang w:eastAsia="lv-LV"/>
        </w:rPr>
        <w:t>ISCED-5-8: 1,18%</w:t>
      </w:r>
      <w:r>
        <w:rPr>
          <w:rFonts w:ascii="Times New Roman" w:eastAsia="Times New Roman" w:hAnsi="Times New Roman" w:cs="Times New Roman"/>
          <w:sz w:val="24"/>
          <w:szCs w:val="24"/>
          <w:lang w:eastAsia="lv-LV"/>
        </w:rPr>
        <w:t>)</w:t>
      </w:r>
      <w:r w:rsidR="00D43011">
        <w:rPr>
          <w:rFonts w:ascii="Times New Roman" w:eastAsia="Times New Roman" w:hAnsi="Times New Roman" w:cs="Times New Roman"/>
          <w:sz w:val="24"/>
          <w:szCs w:val="24"/>
          <w:lang w:eastAsia="lv-LV"/>
        </w:rPr>
        <w:t>, iepriekš kopumā veidojot 4,7%</w:t>
      </w:r>
      <w:r w:rsidRPr="0055014F">
        <w:rPr>
          <w:rFonts w:ascii="Times New Roman" w:eastAsia="Times New Roman" w:hAnsi="Times New Roman" w:cs="Times New Roman"/>
          <w:sz w:val="24"/>
          <w:szCs w:val="24"/>
          <w:lang w:eastAsia="lv-LV"/>
        </w:rPr>
        <w:t>.</w:t>
      </w:r>
    </w:p>
    <w:p w:rsidR="00201E2E" w:rsidRPr="00397DFB" w:rsidRDefault="003365F6" w:rsidP="007E180A">
      <w:pPr>
        <w:pStyle w:val="ListParagraph"/>
        <w:ind w:left="0" w:firstLine="720"/>
        <w:jc w:val="both"/>
      </w:pPr>
      <w:r w:rsidRPr="00E24FA3">
        <w:t xml:space="preserve">Jauna pedagogu darba samaksas modeļa izstrāde un </w:t>
      </w:r>
      <w:r w:rsidR="00020414" w:rsidRPr="00E24FA3">
        <w:t>ieviešana</w:t>
      </w:r>
      <w:r w:rsidR="00140A2C">
        <w:t xml:space="preserve"> ir viena no prioritātēm un priekšnosacījumiem efektīvajai izglītības finanšu resursu pārvaldī</w:t>
      </w:r>
      <w:r w:rsidR="00397DFB">
        <w:t xml:space="preserve">bai. </w:t>
      </w:r>
      <w:r w:rsidR="00201E2E" w:rsidRPr="00397DFB">
        <w:t xml:space="preserve">2016.gada 1.septembrī tika ieviests </w:t>
      </w:r>
      <w:r w:rsidR="00201E2E" w:rsidRPr="00E24FA3">
        <w:rPr>
          <w:b/>
        </w:rPr>
        <w:t xml:space="preserve">jauns pedagogu darba samaksas aprēķināšanas </w:t>
      </w:r>
      <w:r w:rsidR="00397DFB" w:rsidRPr="00E24FA3">
        <w:rPr>
          <w:b/>
        </w:rPr>
        <w:t>modelis</w:t>
      </w:r>
      <w:r w:rsidR="00397DFB">
        <w:t>, kas paredzēja</w:t>
      </w:r>
      <w:r w:rsidR="00201E2E" w:rsidRPr="00397DFB">
        <w:t xml:space="preserve"> paaugstināt pedagogu darba samaksu, līdztekus sekmējot  pedagogu darba kvalitātes paaugstināšanu,  nodrošin</w:t>
      </w:r>
      <w:r w:rsidR="006B6DBF">
        <w:t>o</w:t>
      </w:r>
      <w:r w:rsidR="00201E2E" w:rsidRPr="00397DFB">
        <w:t xml:space="preserve">t finanšu resursu efektīvu izmantošanu. 2016.gada septembrim – decembrim pedagogu darba samaksai no valsts budžeta tika novirzīti papildu 9 milj. </w:t>
      </w:r>
      <w:r w:rsidR="00F958AF">
        <w:t>EUR</w:t>
      </w:r>
      <w:r w:rsidR="00201E2E" w:rsidRPr="00397DFB">
        <w:t xml:space="preserve">, attiecīgi 2017.gadam un turpmākiem gadiem papildu 27 milj. </w:t>
      </w:r>
      <w:r w:rsidR="00F958AF">
        <w:t>EUR</w:t>
      </w:r>
      <w:r w:rsidR="00201E2E" w:rsidRPr="00397DFB">
        <w:t xml:space="preserve">. Pedagogu darba samaksas modelis paredz pedagogu minimālās likmes paaugstinājumu par slodzi no 420 līdz 680 </w:t>
      </w:r>
      <w:r w:rsidR="00F958AF">
        <w:t>EUR</w:t>
      </w:r>
      <w:r w:rsidR="00201E2E" w:rsidRPr="00397DFB">
        <w:t xml:space="preserve"> mēnesī jeb 13,3%</w:t>
      </w:r>
      <w:r w:rsidR="00753480">
        <w:t>.</w:t>
      </w:r>
    </w:p>
    <w:p w:rsidR="00201E2E" w:rsidRPr="00F958AF" w:rsidRDefault="00F958AF" w:rsidP="007E180A">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2017.gadā tika p</w:t>
      </w:r>
      <w:r w:rsidR="00201E2E" w:rsidRPr="00F958AF">
        <w:rPr>
          <w:rFonts w:ascii="Times New Roman" w:eastAsia="Times New Roman" w:hAnsi="Times New Roman" w:cs="Times New Roman"/>
          <w:sz w:val="24"/>
          <w:szCs w:val="24"/>
          <w:lang w:eastAsia="lv-LV"/>
        </w:rPr>
        <w:t>ilnveidots 2016.gadā ieviestais pedagogu darba samaksas modelis, sakārtojot un precizējot prasības saistībā ar pedagogu algu likmēm un darba slodzi, mazinot darba samaksas nevienlīdzību starp vienādu darbu strādājošiem skolotājiem. Ir noteikta stingrāka finanšu disciplīna pašvaldībām saistībā ar valsts mērķdotācijas izlietojumu.</w:t>
      </w:r>
    </w:p>
    <w:p w:rsidR="003365F6" w:rsidRDefault="003365F6" w:rsidP="00F31560">
      <w:pPr>
        <w:pStyle w:val="ListParagraph"/>
        <w:ind w:left="0" w:firstLine="720"/>
        <w:jc w:val="both"/>
        <w:rPr>
          <w:rFonts w:eastAsiaTheme="minorHAnsi"/>
          <w:b/>
        </w:rPr>
      </w:pPr>
      <w:r w:rsidRPr="005565F8">
        <w:t>201</w:t>
      </w:r>
      <w:r w:rsidR="00725D7A">
        <w:t>8</w:t>
      </w:r>
      <w:r w:rsidRPr="005565F8">
        <w:t xml:space="preserve">.gadā </w:t>
      </w:r>
      <w:r w:rsidR="00273999">
        <w:t>MK</w:t>
      </w:r>
      <w:r w:rsidRPr="005565F8">
        <w:t xml:space="preserve"> apstiprināja </w:t>
      </w:r>
      <w:r w:rsidR="00725D7A">
        <w:t>p</w:t>
      </w:r>
      <w:r w:rsidRPr="00725D7A">
        <w:t>edagogu darba samaksas pieauguma grafiku t</w:t>
      </w:r>
      <w:r w:rsidRPr="005565F8">
        <w:t>urpmākajiem pieciem gadiem. No 2018.gada 1.septembra līdz 2022.gada 1.septembrim pedagogu zemākā mēneša darba algas likme indikatīvi varētu pakāpeniski pieaugt no 710 EUR līdz 900 EUR.</w:t>
      </w:r>
    </w:p>
    <w:p w:rsidR="00F958AF" w:rsidRDefault="00201E2E" w:rsidP="000753C4">
      <w:pPr>
        <w:pStyle w:val="ListParagraph"/>
        <w:ind w:left="0" w:firstLine="720"/>
        <w:jc w:val="both"/>
      </w:pPr>
      <w:r w:rsidRPr="005C0211">
        <w:t>Izmantojot VIIS pieejamo informāciju, veikta analīze par pedagogu darba samaksu</w:t>
      </w:r>
      <w:r w:rsidR="0045798F">
        <w:t>,</w:t>
      </w:r>
      <w:r w:rsidRPr="005C0211">
        <w:t xml:space="preserve"> salīdzinot abus mācību gadus – 2016./2017.m</w:t>
      </w:r>
      <w:r w:rsidR="009C7755">
        <w:t>ācību gadu</w:t>
      </w:r>
      <w:r w:rsidRPr="005C0211">
        <w:t xml:space="preserve"> un 2017./2018.</w:t>
      </w:r>
      <w:r w:rsidR="009C7755" w:rsidRPr="005C0211">
        <w:t>m</w:t>
      </w:r>
      <w:r w:rsidR="009C7755">
        <w:t>ācību gadu</w:t>
      </w:r>
      <w:r w:rsidRPr="005C0211">
        <w:t xml:space="preserve">. </w:t>
      </w:r>
      <w:r w:rsidR="0045798F">
        <w:t xml:space="preserve">Turpmāk ir plānota problēmu novēršana mērķdotācijas </w:t>
      </w:r>
      <w:r w:rsidRPr="005C0211">
        <w:t>sadales kārtībā.</w:t>
      </w:r>
    </w:p>
    <w:p w:rsidR="000753C4" w:rsidRPr="000753C4" w:rsidRDefault="000753C4" w:rsidP="000753C4">
      <w:pPr>
        <w:spacing w:after="0" w:line="240" w:lineRule="auto"/>
        <w:ind w:firstLine="720"/>
        <w:jc w:val="both"/>
        <w:rPr>
          <w:rFonts w:ascii="Times New Roman" w:hAnsi="Times New Roman" w:cs="Times New Roman"/>
          <w:sz w:val="24"/>
          <w:szCs w:val="24"/>
        </w:rPr>
      </w:pPr>
      <w:r w:rsidRPr="000753C4">
        <w:rPr>
          <w:rFonts w:ascii="Times New Roman" w:eastAsia="Times New Roman" w:hAnsi="Times New Roman" w:cs="Times New Roman"/>
          <w:sz w:val="24"/>
          <w:szCs w:val="24"/>
          <w:lang w:eastAsia="lv-LV"/>
        </w:rPr>
        <w:lastRenderedPageBreak/>
        <w:t xml:space="preserve">Stiprinot </w:t>
      </w:r>
      <w:r w:rsidRPr="00E24FA3">
        <w:rPr>
          <w:rFonts w:ascii="Times New Roman" w:eastAsia="Times New Roman" w:hAnsi="Times New Roman" w:cs="Times New Roman"/>
          <w:b/>
          <w:sz w:val="24"/>
          <w:szCs w:val="24"/>
          <w:lang w:eastAsia="lv-LV"/>
        </w:rPr>
        <w:t>atbalstu valsts ģimnāzijām reģionālā metodiskā centra funkciju veikšanai</w:t>
      </w:r>
      <w:r>
        <w:rPr>
          <w:rFonts w:ascii="Times New Roman" w:eastAsia="Times New Roman" w:hAnsi="Times New Roman" w:cs="Times New Roman"/>
          <w:sz w:val="24"/>
          <w:szCs w:val="24"/>
          <w:lang w:eastAsia="lv-LV"/>
        </w:rPr>
        <w:t xml:space="preserve">, tika izstrādāts </w:t>
      </w:r>
      <w:r w:rsidRPr="005C0211">
        <w:rPr>
          <w:rFonts w:ascii="Times New Roman" w:hAnsi="Times New Roman" w:cs="Times New Roman"/>
          <w:sz w:val="24"/>
          <w:szCs w:val="24"/>
        </w:rPr>
        <w:t>grozījum</w:t>
      </w:r>
      <w:r>
        <w:rPr>
          <w:rFonts w:ascii="Times New Roman" w:hAnsi="Times New Roman" w:cs="Times New Roman"/>
          <w:sz w:val="24"/>
          <w:szCs w:val="24"/>
        </w:rPr>
        <w:t>u projekts</w:t>
      </w:r>
      <w:r w:rsidRPr="005C0211">
        <w:rPr>
          <w:rFonts w:ascii="Times New Roman" w:hAnsi="Times New Roman" w:cs="Times New Roman"/>
          <w:sz w:val="24"/>
          <w:szCs w:val="24"/>
        </w:rPr>
        <w:t xml:space="preserve"> MK noteikumos Nr.129 "</w:t>
      </w:r>
      <w:hyperlink r:id="rId19" w:tgtFrame="_blank" w:history="1">
        <w:r w:rsidRPr="005C0211">
          <w:rPr>
            <w:rFonts w:ascii="Times New Roman" w:hAnsi="Times New Roman" w:cs="Times New Roman"/>
            <w:sz w:val="24"/>
            <w:szCs w:val="24"/>
          </w:rPr>
          <w:t>Ģimnāzijas un valsts ģimnāzijas statusa piešķiršanas un anulēšanas kārtība un kritēriji</w:t>
        </w:r>
      </w:hyperlink>
      <w:r w:rsidRPr="005C0211">
        <w:rPr>
          <w:rFonts w:ascii="Times New Roman" w:hAnsi="Times New Roman" w:cs="Times New Roman"/>
          <w:sz w:val="24"/>
          <w:szCs w:val="24"/>
        </w:rPr>
        <w:t>"</w:t>
      </w:r>
      <w:r>
        <w:rPr>
          <w:rFonts w:ascii="Times New Roman" w:hAnsi="Times New Roman" w:cs="Times New Roman"/>
          <w:sz w:val="24"/>
          <w:szCs w:val="24"/>
        </w:rPr>
        <w:t xml:space="preserve">, </w:t>
      </w:r>
      <w:r w:rsidRPr="005C0211">
        <w:rPr>
          <w:rFonts w:ascii="Times New Roman" w:hAnsi="Times New Roman" w:cs="Times New Roman"/>
          <w:sz w:val="24"/>
          <w:szCs w:val="24"/>
        </w:rPr>
        <w:t xml:space="preserve">paredzot izmaiņas minimāli nepieciešamā skolēnu skaita un </w:t>
      </w:r>
      <w:r>
        <w:rPr>
          <w:rFonts w:ascii="Times New Roman" w:hAnsi="Times New Roman" w:cs="Times New Roman"/>
          <w:sz w:val="24"/>
          <w:szCs w:val="24"/>
        </w:rPr>
        <w:t xml:space="preserve">centralizēto eksāmenu </w:t>
      </w:r>
      <w:r w:rsidRPr="005C0211">
        <w:rPr>
          <w:rFonts w:ascii="Times New Roman" w:hAnsi="Times New Roman" w:cs="Times New Roman"/>
          <w:sz w:val="24"/>
          <w:szCs w:val="24"/>
        </w:rPr>
        <w:t>rezultātu izpildes kritērijā</w:t>
      </w:r>
      <w:r>
        <w:rPr>
          <w:rFonts w:ascii="Times New Roman" w:hAnsi="Times New Roman" w:cs="Times New Roman"/>
          <w:sz w:val="24"/>
          <w:szCs w:val="24"/>
        </w:rPr>
        <w:t xml:space="preserve">. </w:t>
      </w:r>
    </w:p>
    <w:p w:rsidR="000753C4" w:rsidRDefault="000753C4" w:rsidP="00F86F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2017.gadā tika </w:t>
      </w:r>
      <w:r w:rsidRPr="005C0211">
        <w:rPr>
          <w:rFonts w:ascii="Times New Roman" w:hAnsi="Times New Roman" w:cs="Times New Roman"/>
          <w:sz w:val="24"/>
          <w:szCs w:val="24"/>
        </w:rPr>
        <w:t xml:space="preserve">būtiski (vairāk nekā 2 reizes) palielināts </w:t>
      </w:r>
      <w:r>
        <w:rPr>
          <w:rFonts w:ascii="Times New Roman" w:hAnsi="Times New Roman" w:cs="Times New Roman"/>
          <w:sz w:val="24"/>
          <w:szCs w:val="24"/>
        </w:rPr>
        <w:t>f</w:t>
      </w:r>
      <w:r w:rsidRPr="005C0211">
        <w:rPr>
          <w:rFonts w:ascii="Times New Roman" w:hAnsi="Times New Roman" w:cs="Times New Roman"/>
          <w:sz w:val="24"/>
          <w:szCs w:val="24"/>
        </w:rPr>
        <w:t xml:space="preserve">inansējums valsts ģimnāzijām reģionālā metodiskā centra un pedagogu tālākizglītības centra funkciju pilnvērtīgai īstenošanai. Valsts ģimnāzijām </w:t>
      </w:r>
      <w:r>
        <w:rPr>
          <w:rFonts w:ascii="Times New Roman" w:hAnsi="Times New Roman" w:cs="Times New Roman"/>
          <w:sz w:val="24"/>
          <w:szCs w:val="24"/>
        </w:rPr>
        <w:t>šī</w:t>
      </w:r>
      <w:r w:rsidRPr="005C0211">
        <w:rPr>
          <w:rFonts w:ascii="Times New Roman" w:hAnsi="Times New Roman" w:cs="Times New Roman"/>
          <w:sz w:val="24"/>
          <w:szCs w:val="24"/>
        </w:rPr>
        <w:t xml:space="preserve"> uzdevuma īstenošanai 2017.gadā tika piešķirti 231 349 </w:t>
      </w:r>
      <w:r>
        <w:rPr>
          <w:rFonts w:ascii="Times New Roman" w:hAnsi="Times New Roman" w:cs="Times New Roman"/>
          <w:sz w:val="24"/>
          <w:szCs w:val="24"/>
        </w:rPr>
        <w:t>EUR</w:t>
      </w:r>
      <w:r w:rsidRPr="005C0211">
        <w:rPr>
          <w:rFonts w:ascii="Times New Roman" w:hAnsi="Times New Roman" w:cs="Times New Roman"/>
          <w:sz w:val="24"/>
          <w:szCs w:val="24"/>
        </w:rPr>
        <w:t xml:space="preserve">. </w:t>
      </w:r>
    </w:p>
    <w:p w:rsidR="000753C4" w:rsidRPr="00F86F31" w:rsidRDefault="00F86F31" w:rsidP="003F6FB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Vienlaikus </w:t>
      </w:r>
      <w:r w:rsidR="000753C4" w:rsidRPr="005C0211">
        <w:rPr>
          <w:rFonts w:ascii="Times New Roman" w:hAnsi="Times New Roman" w:cs="Times New Roman"/>
          <w:sz w:val="24"/>
          <w:szCs w:val="24"/>
        </w:rPr>
        <w:t xml:space="preserve">8.1.2. SAM "Uzlabot vispārējās izglītības iestāžu mācību vidi" ietvaros tiek īstenoti valsts ģimnāziju infrastruktūras modernizācijas projekti, </w:t>
      </w:r>
      <w:r w:rsidR="0037022E" w:rsidRPr="005E2D8F">
        <w:rPr>
          <w:rFonts w:ascii="Times New Roman" w:hAnsi="Times New Roman" w:cs="Times New Roman"/>
          <w:sz w:val="24"/>
          <w:szCs w:val="24"/>
        </w:rPr>
        <w:t>kas ietver darbības arī reģionālo metodisko centru attīstībai</w:t>
      </w:r>
      <w:r w:rsidR="000753C4" w:rsidRPr="005C0211">
        <w:rPr>
          <w:rFonts w:ascii="Times New Roman" w:hAnsi="Times New Roman" w:cs="Times New Roman"/>
          <w:sz w:val="24"/>
          <w:szCs w:val="24"/>
        </w:rPr>
        <w:t>.</w:t>
      </w:r>
    </w:p>
    <w:p w:rsidR="00807FC0" w:rsidRDefault="00807FC0" w:rsidP="00807FC0">
      <w:pPr>
        <w:pStyle w:val="ListParagraph"/>
        <w:ind w:left="0" w:firstLine="720"/>
        <w:jc w:val="both"/>
      </w:pPr>
      <w:r>
        <w:rPr>
          <w:rFonts w:eastAsiaTheme="minorHAnsi"/>
        </w:rPr>
        <w:t>Lai n</w:t>
      </w:r>
      <w:r w:rsidRPr="00807FC0">
        <w:rPr>
          <w:rFonts w:eastAsiaTheme="minorHAnsi"/>
        </w:rPr>
        <w:t>odro</w:t>
      </w:r>
      <w:r>
        <w:rPr>
          <w:rFonts w:eastAsiaTheme="minorHAnsi"/>
        </w:rPr>
        <w:t>šinātu</w:t>
      </w:r>
      <w:r w:rsidRPr="00807FC0">
        <w:rPr>
          <w:rFonts w:eastAsiaTheme="minorHAnsi"/>
        </w:rPr>
        <w:t xml:space="preserve"> </w:t>
      </w:r>
      <w:r w:rsidRPr="00E24FA3">
        <w:rPr>
          <w:b/>
        </w:rPr>
        <w:t>s</w:t>
      </w:r>
      <w:r w:rsidR="00F709C7" w:rsidRPr="00E24FA3">
        <w:rPr>
          <w:b/>
        </w:rPr>
        <w:t>peciālās izglītības</w:t>
      </w:r>
      <w:r w:rsidRPr="00E24FA3">
        <w:rPr>
          <w:b/>
        </w:rPr>
        <w:t xml:space="preserve"> </w:t>
      </w:r>
      <w:r w:rsidR="00F709C7" w:rsidRPr="00E24FA3">
        <w:rPr>
          <w:b/>
        </w:rPr>
        <w:t>finansēšanas modeļu attīstīb</w:t>
      </w:r>
      <w:r w:rsidRPr="00E24FA3">
        <w:rPr>
          <w:b/>
        </w:rPr>
        <w:t>u</w:t>
      </w:r>
      <w:r>
        <w:t>, i</w:t>
      </w:r>
      <w:r w:rsidR="00F709C7" w:rsidRPr="005C0211">
        <w:t xml:space="preserve">eviešot jauno pedagogu darba samaksas modeli 2016.gada 1.septembrī, </w:t>
      </w:r>
      <w:r>
        <w:t xml:space="preserve">tika </w:t>
      </w:r>
      <w:r w:rsidR="00F709C7" w:rsidRPr="005C0211">
        <w:t>mainīta valsts mērķdotācijas aprēķina kārtība speciālās izglītības iestādēm, kā arī palielināts koeficients mērķdotācijas aprēķinā izglītojamiem ar speciālām vajadzībām, kas iekļauti vispārizglītojošās pašvaldības skolās.</w:t>
      </w:r>
      <w:r>
        <w:rPr>
          <w:rFonts w:eastAsiaTheme="minorHAnsi"/>
        </w:rPr>
        <w:t xml:space="preserve"> </w:t>
      </w:r>
      <w:r w:rsidRPr="005C0211">
        <w:t>Koeficientu sistēmas piemērošana uzsākta 2016.gada 1.septembrī,</w:t>
      </w:r>
      <w:r w:rsidRPr="005C0211">
        <w:rPr>
          <w:b/>
        </w:rPr>
        <w:t xml:space="preserve"> </w:t>
      </w:r>
      <w:r w:rsidRPr="005C0211">
        <w:t xml:space="preserve">stājoties spēkā </w:t>
      </w:r>
      <w:r>
        <w:t>MK</w:t>
      </w:r>
      <w:r w:rsidRPr="005C0211">
        <w:t xml:space="preserve"> 2016.gada 5.jūlija noteikumiem Nr.447 “Par valsts budžeta mērķdotāciju pedagogu darba samaksai pašvaldību vispārējās izglītības iestādēs un valsts augstskolu vispārējās vidējās izglītības iestādēs” un </w:t>
      </w:r>
      <w:r w:rsidR="00D64C0F">
        <w:t>MK</w:t>
      </w:r>
      <w:r w:rsidRPr="005C0211">
        <w:t xml:space="preserve"> 2016.gada 15.jūlija noteikumiem Nr.477 “Speciālās izglītības iestāžu, internātskolu un vispārējās izglītības iestāžu speciālās izglītības klaš</w:t>
      </w:r>
      <w:r w:rsidR="00270882">
        <w:t>u (grupu) finansēšanas kārtība”.</w:t>
      </w:r>
    </w:p>
    <w:p w:rsidR="003C7764" w:rsidRDefault="00633582" w:rsidP="008E20F3">
      <w:pPr>
        <w:pStyle w:val="ListParagraph"/>
        <w:ind w:left="0" w:firstLine="720"/>
        <w:jc w:val="both"/>
      </w:pPr>
      <w:r>
        <w:t xml:space="preserve">Pilnveidojot </w:t>
      </w:r>
      <w:r w:rsidRPr="00E24FA3">
        <w:rPr>
          <w:b/>
        </w:rPr>
        <w:t>profesionālās izglītības finansēšanu</w:t>
      </w:r>
      <w:r>
        <w:t>,</w:t>
      </w:r>
      <w:r w:rsidR="00AA254F">
        <w:t xml:space="preserve"> v</w:t>
      </w:r>
      <w:r w:rsidR="003C7764" w:rsidRPr="005C0211">
        <w:t>eikts pētījums “Par profesionālās vidējās izglītības finansēšanu Latvijā, izglītības programmu izmaksu koeficientu aktualizēšanu, starptautiskā praksē un akadēmiskajā vidē teorētiski pamatotu profesionālās izglītības programmu īstenošanas finansēšanas modeli un priekšlikumi grozījumiem normatīvajos aktos”. Pētījum</w:t>
      </w:r>
      <w:r w:rsidR="00D45408">
        <w:t>a ietvaros</w:t>
      </w:r>
      <w:r w:rsidR="003C7764" w:rsidRPr="005C0211">
        <w:t xml:space="preserve"> veikta padziļināta profesionālās vidējās izglītības finansēšan</w:t>
      </w:r>
      <w:r w:rsidR="001A201B">
        <w:t>as</w:t>
      </w:r>
      <w:r w:rsidR="003C7764" w:rsidRPr="005C0211">
        <w:t xml:space="preserve"> Latvijā</w:t>
      </w:r>
      <w:r w:rsidR="001A201B">
        <w:t xml:space="preserve"> izpēte</w:t>
      </w:r>
      <w:r w:rsidR="003C7764" w:rsidRPr="005C0211">
        <w:t>, sniegti priekšlikumi izglītības programmu izmaksu koeficientu aktualizēšanai un snieguma finansējuma ieviešanai profesionālajā izglītībā, kā arī izstrādāti priekšlikumi profesionālās izglītības programmu īstenošanas finansēšanas modeļa pilnveidei un nepieciešamajiem grozījumiem normatīvajos aktos.</w:t>
      </w:r>
    </w:p>
    <w:p w:rsidR="00C513D2" w:rsidRDefault="00095104" w:rsidP="008E20F3">
      <w:pPr>
        <w:pStyle w:val="ListParagraph"/>
        <w:ind w:left="0" w:firstLine="720"/>
        <w:jc w:val="both"/>
      </w:pPr>
      <w:r w:rsidRPr="00C61222">
        <w:t xml:space="preserve">2015.gada 29.jūnijā MK apstiprināja konceptuālo ziņojumu </w:t>
      </w:r>
      <w:r w:rsidRPr="006E46A6">
        <w:rPr>
          <w:b/>
        </w:rPr>
        <w:t>Jauna augstākās izglītības finansēšanas modeļa ieviešana Latvijā</w:t>
      </w:r>
      <w:r w:rsidRPr="00C61222">
        <w:t>,</w:t>
      </w:r>
      <w:r w:rsidR="00C513D2">
        <w:t xml:space="preserve"> kurā p</w:t>
      </w:r>
      <w:r w:rsidR="00C513D2" w:rsidRPr="00C61222">
        <w:t>ar Latvijas sociālekonomiskajai situācijai piemērotāko risinājumu ir atzīts trīs pīlāru finansēšanas mode</w:t>
      </w:r>
      <w:r w:rsidR="00D64C0F">
        <w:t>lis, kura galvenie elementi (</w:t>
      </w:r>
      <w:r w:rsidR="00C513D2" w:rsidRPr="00C61222">
        <w:t>pīlāri</w:t>
      </w:r>
      <w:r w:rsidR="00D64C0F">
        <w:t>)</w:t>
      </w:r>
      <w:r w:rsidR="00C513D2" w:rsidRPr="00C61222">
        <w:t xml:space="preserve"> ir: 1) pamata finansējums (institucionālais finansējums studiju procesa un pētniecības nodrošināšanai); 2) snieguma finansējums (finansējums, kas tiek piešķirts par studiju un pētniecības rezultātu sasniegšanu) un </w:t>
      </w:r>
      <w:r w:rsidR="0037022E">
        <w:t xml:space="preserve">3) </w:t>
      </w:r>
      <w:r w:rsidR="00C513D2" w:rsidRPr="00C61222">
        <w:t>inovāciju finansējums (uz nākotnes attīstību vērsts finansējums, kas veicina iestāžu specializāciju un profilu attīstību)</w:t>
      </w:r>
      <w:r w:rsidR="00C513D2">
        <w:t>.</w:t>
      </w:r>
      <w:r w:rsidR="00930528">
        <w:t xml:space="preserve"> Tiek nodrošināta šī modeļa īstenošanai, veicinot efektīvu līdzekļu izlietojumu un pētniecības un inovāciju attīstību.</w:t>
      </w:r>
    </w:p>
    <w:p w:rsidR="00C513D2" w:rsidRPr="001B020F" w:rsidRDefault="00C513D2" w:rsidP="008E20F3">
      <w:pPr>
        <w:spacing w:after="0" w:line="240" w:lineRule="auto"/>
        <w:ind w:firstLine="720"/>
        <w:contextualSpacing/>
        <w:jc w:val="both"/>
        <w:rPr>
          <w:rFonts w:ascii="Times New Roman" w:eastAsia="Times New Roman" w:hAnsi="Times New Roman" w:cs="Times New Roman"/>
          <w:sz w:val="24"/>
          <w:szCs w:val="24"/>
          <w:lang w:eastAsia="lv-LV"/>
        </w:rPr>
      </w:pPr>
      <w:r w:rsidRPr="001B020F">
        <w:rPr>
          <w:rFonts w:ascii="Times New Roman" w:eastAsia="Times New Roman" w:hAnsi="Times New Roman" w:cs="Times New Roman"/>
          <w:sz w:val="24"/>
          <w:szCs w:val="24"/>
          <w:lang w:eastAsia="lv-LV"/>
        </w:rPr>
        <w:t>IZM turpin</w:t>
      </w:r>
      <w:r w:rsidR="001B020F" w:rsidRPr="001B020F">
        <w:rPr>
          <w:rFonts w:ascii="Times New Roman" w:eastAsia="Times New Roman" w:hAnsi="Times New Roman" w:cs="Times New Roman"/>
          <w:sz w:val="24"/>
          <w:szCs w:val="24"/>
          <w:lang w:eastAsia="lv-LV"/>
        </w:rPr>
        <w:t>āja</w:t>
      </w:r>
      <w:r w:rsidRPr="001B020F">
        <w:rPr>
          <w:rFonts w:ascii="Times New Roman" w:eastAsia="Times New Roman" w:hAnsi="Times New Roman" w:cs="Times New Roman"/>
          <w:sz w:val="24"/>
          <w:szCs w:val="24"/>
          <w:lang w:eastAsia="lv-LV"/>
        </w:rPr>
        <w:t xml:space="preserve"> pilnveidot </w:t>
      </w:r>
      <w:r w:rsidRPr="00BE41B5">
        <w:rPr>
          <w:rFonts w:ascii="Times New Roman" w:eastAsia="Times New Roman" w:hAnsi="Times New Roman" w:cs="Times New Roman"/>
          <w:b/>
          <w:sz w:val="24"/>
          <w:szCs w:val="24"/>
          <w:lang w:eastAsia="lv-LV"/>
        </w:rPr>
        <w:t>studiju vietu piešķiršanas kārtību</w:t>
      </w:r>
      <w:r w:rsidRPr="001B020F">
        <w:rPr>
          <w:rFonts w:ascii="Times New Roman" w:eastAsia="Times New Roman" w:hAnsi="Times New Roman" w:cs="Times New Roman"/>
          <w:sz w:val="24"/>
          <w:szCs w:val="24"/>
          <w:lang w:eastAsia="lv-LV"/>
        </w:rPr>
        <w:t>, veicinot resursu efektivitāti budžeta līdzekļu plānošanā. Sākot ar 2016.gadu, budžeta vietu piešķiršanā tiek ievērots valsts budžeta līdzekļu efektīva ieguldījuma princips. IZM, piešķirot valsts budžeta studiju vietas, analizē sasniegtos rādītājus iepriekšējā periodā, pamatojoties uz IZM ikgadējo vienošanos ar katru augstskolu. Izmaiņas skar arī studiju vietu piešķīrumu pa izglītības tematiskajām grupām</w:t>
      </w:r>
      <w:r w:rsidR="00DF5269">
        <w:rPr>
          <w:rFonts w:ascii="Times New Roman" w:eastAsia="Times New Roman" w:hAnsi="Times New Roman" w:cs="Times New Roman"/>
          <w:sz w:val="24"/>
          <w:szCs w:val="24"/>
          <w:lang w:eastAsia="lv-LV"/>
        </w:rPr>
        <w:t>, prioritāri atbalstot STEM jomas</w:t>
      </w:r>
      <w:r w:rsidRPr="001B020F">
        <w:rPr>
          <w:rFonts w:ascii="Times New Roman" w:eastAsia="Times New Roman" w:hAnsi="Times New Roman" w:cs="Times New Roman"/>
          <w:sz w:val="24"/>
          <w:szCs w:val="24"/>
          <w:lang w:eastAsia="lv-LV"/>
        </w:rPr>
        <w:t xml:space="preserve">. </w:t>
      </w:r>
    </w:p>
    <w:p w:rsidR="00C513D2" w:rsidRDefault="002E0357" w:rsidP="00CF039D">
      <w:pPr>
        <w:pStyle w:val="ListParagraph"/>
        <w:ind w:left="0" w:firstLine="720"/>
        <w:jc w:val="both"/>
      </w:pPr>
      <w:r w:rsidRPr="005565F8">
        <w:rPr>
          <w:color w:val="000000"/>
        </w:rPr>
        <w:t>2017.–2018.gadā sadarbībā ar Pasaules Banku tiek veikts pētījum</w:t>
      </w:r>
      <w:r w:rsidR="00E24FA3">
        <w:rPr>
          <w:color w:val="000000"/>
        </w:rPr>
        <w:t>s</w:t>
      </w:r>
      <w:r w:rsidRPr="005565F8">
        <w:rPr>
          <w:color w:val="000000"/>
        </w:rPr>
        <w:t xml:space="preserve"> par </w:t>
      </w:r>
      <w:r w:rsidRPr="00E24FA3">
        <w:rPr>
          <w:b/>
          <w:color w:val="000000"/>
        </w:rPr>
        <w:t>augstākās izglītības pārvaldības un cilvēkresursu politikas pilnveidi</w:t>
      </w:r>
      <w:r w:rsidRPr="005565F8">
        <w:rPr>
          <w:color w:val="000000"/>
        </w:rPr>
        <w:t xml:space="preserve"> augstākās izglītības modernizācijai. Balstoties uz pētījuma pirmā posma rezultātā saņemtajiem ekspertu ieteikumiem, tika izstrādāta ES struktūrfondu programma augstskolu pārvaldības stiprināšanai</w:t>
      </w:r>
      <w:r w:rsidR="0084262E">
        <w:rPr>
          <w:color w:val="000000"/>
        </w:rPr>
        <w:t>. 2018.gadā pētījuma otrā posma rezultātā</w:t>
      </w:r>
      <w:r w:rsidRPr="005565F8">
        <w:rPr>
          <w:color w:val="000000"/>
        </w:rPr>
        <w:t xml:space="preserve"> tik</w:t>
      </w:r>
      <w:r w:rsidR="000F4403">
        <w:rPr>
          <w:color w:val="000000"/>
        </w:rPr>
        <w:t>a</w:t>
      </w:r>
      <w:r w:rsidRPr="005565F8">
        <w:rPr>
          <w:color w:val="000000"/>
        </w:rPr>
        <w:t xml:space="preserve"> saņemtas ekspertu rekomendācijas akadēmiskā personāla karjeras attīstības un nodarbinātības nosacījumu pilnveidei. </w:t>
      </w:r>
      <w:r w:rsidR="0084262E">
        <w:rPr>
          <w:color w:val="000000"/>
        </w:rPr>
        <w:t>Secinājumi un ieteikumi</w:t>
      </w:r>
      <w:r w:rsidRPr="005565F8">
        <w:rPr>
          <w:color w:val="000000"/>
        </w:rPr>
        <w:t xml:space="preserve"> ir ņemti vērā, izstrādājot ES struktūrfondu programmas studiju programmu fragmentācijas mazināšanai un akad</w:t>
      </w:r>
      <w:r>
        <w:rPr>
          <w:color w:val="000000"/>
        </w:rPr>
        <w:t>ēmiskā personāla stiprināšanai</w:t>
      </w:r>
      <w:r w:rsidRPr="005565F8">
        <w:rPr>
          <w:color w:val="000000"/>
        </w:rPr>
        <w:t>.</w:t>
      </w:r>
    </w:p>
    <w:p w:rsidR="00F670AE" w:rsidRDefault="00F670AE" w:rsidP="0099552C">
      <w:pPr>
        <w:pStyle w:val="ListParagraph"/>
        <w:ind w:left="0"/>
        <w:jc w:val="both"/>
        <w:rPr>
          <w:rFonts w:eastAsiaTheme="minorHAnsi"/>
          <w:b/>
        </w:rPr>
      </w:pPr>
    </w:p>
    <w:p w:rsidR="00F11D91" w:rsidRDefault="00F11D91" w:rsidP="0099552C">
      <w:pPr>
        <w:pStyle w:val="ListParagraph"/>
        <w:ind w:left="0"/>
        <w:jc w:val="both"/>
        <w:rPr>
          <w:rFonts w:eastAsiaTheme="minorHAnsi"/>
          <w:b/>
        </w:rPr>
      </w:pPr>
    </w:p>
    <w:tbl>
      <w:tblPr>
        <w:tblStyle w:val="TableGrid"/>
        <w:tblW w:w="0" w:type="auto"/>
        <w:shd w:val="clear" w:color="auto" w:fill="DEEAF6" w:themeFill="accent1" w:themeFillTint="33"/>
        <w:tblLook w:val="04A0" w:firstRow="1" w:lastRow="0" w:firstColumn="1" w:lastColumn="0" w:noHBand="0" w:noVBand="1"/>
      </w:tblPr>
      <w:tblGrid>
        <w:gridCol w:w="9345"/>
      </w:tblGrid>
      <w:tr w:rsidR="005A1FBC" w:rsidRPr="005A1FBC" w:rsidTr="005A1FBC">
        <w:trPr>
          <w:trHeight w:val="470"/>
        </w:trPr>
        <w:tc>
          <w:tcPr>
            <w:tcW w:w="9345" w:type="dxa"/>
            <w:shd w:val="clear" w:color="auto" w:fill="DEEAF6" w:themeFill="accent1" w:themeFillTint="33"/>
            <w:vAlign w:val="center"/>
          </w:tcPr>
          <w:p w:rsidR="005A1FBC" w:rsidRPr="005A1FBC" w:rsidRDefault="005A1FBC" w:rsidP="0099552C">
            <w:pPr>
              <w:pStyle w:val="ListParagraph"/>
              <w:ind w:left="0"/>
              <w:jc w:val="both"/>
              <w:rPr>
                <w:rFonts w:eastAsiaTheme="minorHAnsi"/>
                <w:b/>
              </w:rPr>
            </w:pPr>
            <w:r w:rsidRPr="005A1FBC">
              <w:rPr>
                <w:rFonts w:eastAsiaTheme="minorHAnsi"/>
                <w:b/>
              </w:rPr>
              <w:t>Rīcības virziens: 3.3. Izglītības iestāžu tīkla sakārtošana</w:t>
            </w:r>
          </w:p>
        </w:tc>
      </w:tr>
    </w:tbl>
    <w:p w:rsidR="000A570E" w:rsidRPr="000A570E" w:rsidRDefault="00C309C0" w:rsidP="000A570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 uzlabotu </w:t>
      </w:r>
      <w:r w:rsidRPr="0084262E">
        <w:rPr>
          <w:rFonts w:ascii="Times New Roman" w:hAnsi="Times New Roman" w:cs="Times New Roman"/>
          <w:b/>
          <w:sz w:val="24"/>
          <w:szCs w:val="24"/>
        </w:rPr>
        <w:t>pirmsskolas pieejamību</w:t>
      </w:r>
      <w:r>
        <w:rPr>
          <w:rFonts w:ascii="Times New Roman" w:hAnsi="Times New Roman" w:cs="Times New Roman"/>
          <w:sz w:val="24"/>
          <w:szCs w:val="24"/>
        </w:rPr>
        <w:t xml:space="preserve"> un mazinātu rindas bērnudārzos, tiek meklētas </w:t>
      </w:r>
      <w:r w:rsidR="000A570E" w:rsidRPr="000A570E">
        <w:rPr>
          <w:rFonts w:ascii="Times New Roman" w:hAnsi="Times New Roman" w:cs="Times New Roman"/>
          <w:sz w:val="24"/>
          <w:szCs w:val="24"/>
        </w:rPr>
        <w:t xml:space="preserve">iespējas veidot papildus grupas, renovējot pirmsskolas izglītības iestādes un izbūvējot piebūves, </w:t>
      </w:r>
      <w:r>
        <w:rPr>
          <w:rFonts w:ascii="Times New Roman" w:hAnsi="Times New Roman" w:cs="Times New Roman"/>
          <w:sz w:val="24"/>
          <w:szCs w:val="24"/>
        </w:rPr>
        <w:t xml:space="preserve">kā arī </w:t>
      </w:r>
      <w:r w:rsidR="000A570E" w:rsidRPr="000A570E">
        <w:rPr>
          <w:rFonts w:ascii="Times New Roman" w:hAnsi="Times New Roman" w:cs="Times New Roman"/>
          <w:sz w:val="24"/>
          <w:szCs w:val="24"/>
        </w:rPr>
        <w:t xml:space="preserve">optimizējot bērnu skaitu tajās izglītības iestādēs, kur ir nepieciešamā platība uz vienu bērnu un iespējams nodrošināt atbilstošu higiēnas normu ievērošanu. Vienlaikus meklētas iespējas veidot grupas pie pamatskolām, internātpamatskolām, vidusskolām un bērnu un jauniešu centriem. </w:t>
      </w:r>
    </w:p>
    <w:p w:rsidR="00784D54" w:rsidRDefault="000A570E" w:rsidP="0037327B">
      <w:pPr>
        <w:spacing w:after="0" w:line="240" w:lineRule="auto"/>
        <w:ind w:firstLine="720"/>
        <w:jc w:val="both"/>
        <w:rPr>
          <w:rFonts w:ascii="Times New Roman" w:hAnsi="Times New Roman" w:cs="Times New Roman"/>
          <w:sz w:val="24"/>
          <w:szCs w:val="24"/>
        </w:rPr>
      </w:pPr>
      <w:r w:rsidRPr="000A570E">
        <w:rPr>
          <w:rFonts w:ascii="Times New Roman" w:hAnsi="Times New Roman" w:cs="Times New Roman"/>
          <w:sz w:val="24"/>
          <w:szCs w:val="24"/>
        </w:rPr>
        <w:t>Pašvaldīb</w:t>
      </w:r>
      <w:r w:rsidR="0037327B">
        <w:rPr>
          <w:rFonts w:ascii="Times New Roman" w:hAnsi="Times New Roman" w:cs="Times New Roman"/>
          <w:sz w:val="24"/>
          <w:szCs w:val="24"/>
        </w:rPr>
        <w:t xml:space="preserve">ām ir noteikts </w:t>
      </w:r>
      <w:r w:rsidRPr="000A570E">
        <w:rPr>
          <w:rFonts w:ascii="Times New Roman" w:hAnsi="Times New Roman" w:cs="Times New Roman"/>
          <w:sz w:val="24"/>
          <w:szCs w:val="24"/>
        </w:rPr>
        <w:t>pienākums segt privātas pirmsskolas izglītības iestādes izmaksas gadījumā, ja bērnam, kurš sasniedzis pusotra gada vecumu un kura dzīvesvieta deklarēta pašvaldības administratīvajā teritorijā, netiek nodrošināta vieta pašvaldības bērnudārzā. Kop</w:t>
      </w:r>
      <w:r w:rsidR="0084262E">
        <w:rPr>
          <w:rFonts w:ascii="Times New Roman" w:hAnsi="Times New Roman" w:cs="Times New Roman"/>
          <w:sz w:val="24"/>
          <w:szCs w:val="24"/>
        </w:rPr>
        <w:t>š 2016.gada ir noteikta vienota</w:t>
      </w:r>
      <w:r w:rsidRPr="000A570E">
        <w:rPr>
          <w:rFonts w:ascii="Times New Roman" w:hAnsi="Times New Roman" w:cs="Times New Roman"/>
          <w:sz w:val="24"/>
          <w:szCs w:val="24"/>
        </w:rPr>
        <w:t xml:space="preserve"> izmaksu noteikšanas metodika un kārtība, lai nodrošinātu caurskatāmu un līdzīgu pieeju pašvaldību aprēķinos. </w:t>
      </w:r>
      <w:r w:rsidR="00683C9B">
        <w:rPr>
          <w:rFonts w:ascii="Times New Roman" w:hAnsi="Times New Roman" w:cs="Times New Roman"/>
          <w:sz w:val="24"/>
          <w:szCs w:val="24"/>
        </w:rPr>
        <w:t xml:space="preserve">Papildus, </w:t>
      </w:r>
      <w:r w:rsidRPr="0037327B">
        <w:rPr>
          <w:rFonts w:ascii="Times New Roman" w:hAnsi="Times New Roman" w:cs="Times New Roman"/>
          <w:sz w:val="24"/>
          <w:szCs w:val="24"/>
        </w:rPr>
        <w:t>20 pašvaldības atbilstoši savām budžeta iespējām 2017.gadā bija noteikušas arī atbalsta apmēru bērniem, kuri izmanto bērnu uzraudzības pakalpojumus (aukles).</w:t>
      </w:r>
    </w:p>
    <w:p w:rsidR="0037327B" w:rsidRPr="0037327B" w:rsidRDefault="002C07AF" w:rsidP="003732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Kā liecina Eurostat dati</w:t>
      </w:r>
      <w:r w:rsidR="00CC3395">
        <w:rPr>
          <w:rFonts w:ascii="Times New Roman" w:hAnsi="Times New Roman" w:cs="Times New Roman"/>
          <w:sz w:val="24"/>
          <w:szCs w:val="24"/>
        </w:rPr>
        <w:t>, bērnu skaita īpatsvars, k</w:t>
      </w:r>
      <w:r w:rsidR="0084262E">
        <w:rPr>
          <w:rFonts w:ascii="Times New Roman" w:hAnsi="Times New Roman" w:cs="Times New Roman"/>
          <w:sz w:val="24"/>
          <w:szCs w:val="24"/>
        </w:rPr>
        <w:t>uri</w:t>
      </w:r>
      <w:r w:rsidR="00CC3395">
        <w:rPr>
          <w:rFonts w:ascii="Times New Roman" w:hAnsi="Times New Roman" w:cs="Times New Roman"/>
          <w:sz w:val="24"/>
          <w:szCs w:val="24"/>
        </w:rPr>
        <w:t xml:space="preserve"> ir iesaistīti pirmsskolas izglītībā vecumā no 4 gadiem līdz obligātās pamatizglītības (1.klase) uzsākšanas vecumam</w:t>
      </w:r>
      <w:r>
        <w:rPr>
          <w:rFonts w:ascii="Times New Roman" w:hAnsi="Times New Roman" w:cs="Times New Roman"/>
          <w:sz w:val="24"/>
          <w:szCs w:val="24"/>
        </w:rPr>
        <w:t xml:space="preserve"> Latvijā pārskata periodā ir nedaudz pieaudzis, kopumā 2016.gadā sasniedzot 95,5%, kas </w:t>
      </w:r>
      <w:r w:rsidR="00F34F95">
        <w:rPr>
          <w:rFonts w:ascii="Times New Roman" w:hAnsi="Times New Roman" w:cs="Times New Roman"/>
          <w:sz w:val="24"/>
          <w:szCs w:val="24"/>
        </w:rPr>
        <w:t>atbilst</w:t>
      </w:r>
      <w:r w:rsidR="00C76712">
        <w:rPr>
          <w:rFonts w:ascii="Times New Roman" w:hAnsi="Times New Roman" w:cs="Times New Roman"/>
          <w:sz w:val="24"/>
          <w:szCs w:val="24"/>
        </w:rPr>
        <w:t xml:space="preserve"> ar </w:t>
      </w:r>
      <w:r>
        <w:rPr>
          <w:rFonts w:ascii="Times New Roman" w:hAnsi="Times New Roman" w:cs="Times New Roman"/>
          <w:sz w:val="24"/>
          <w:szCs w:val="24"/>
        </w:rPr>
        <w:t>ES vidējā rādītāja līmen</w:t>
      </w:r>
      <w:r w:rsidR="00C76712">
        <w:rPr>
          <w:rFonts w:ascii="Times New Roman" w:hAnsi="Times New Roman" w:cs="Times New Roman"/>
          <w:sz w:val="24"/>
          <w:szCs w:val="24"/>
        </w:rPr>
        <w:t>i</w:t>
      </w:r>
      <w:r w:rsidR="00F34F95">
        <w:rPr>
          <w:rFonts w:ascii="Times New Roman" w:hAnsi="Times New Roman" w:cs="Times New Roman"/>
          <w:sz w:val="24"/>
          <w:szCs w:val="24"/>
        </w:rPr>
        <w:t>m</w:t>
      </w:r>
      <w:r>
        <w:rPr>
          <w:rFonts w:ascii="Times New Roman" w:hAnsi="Times New Roman" w:cs="Times New Roman"/>
          <w:sz w:val="24"/>
          <w:szCs w:val="24"/>
        </w:rPr>
        <w:t>.</w:t>
      </w:r>
    </w:p>
    <w:p w:rsidR="00641C0C" w:rsidRDefault="00641C0C" w:rsidP="00641C0C">
      <w:pPr>
        <w:pStyle w:val="NormalWeb"/>
        <w:spacing w:before="0" w:beforeAutospacing="0" w:after="0" w:afterAutospacing="0"/>
        <w:ind w:firstLine="720"/>
        <w:jc w:val="right"/>
      </w:pPr>
      <w:r>
        <w:t>7.attēls</w:t>
      </w:r>
    </w:p>
    <w:p w:rsidR="00641C0C" w:rsidRDefault="00641C0C" w:rsidP="00641C0C">
      <w:pPr>
        <w:pStyle w:val="NormalWeb"/>
        <w:spacing w:before="0" w:beforeAutospacing="0" w:after="0" w:afterAutospacing="0"/>
        <w:ind w:firstLine="720"/>
        <w:jc w:val="center"/>
        <w:rPr>
          <w:b/>
        </w:rPr>
      </w:pPr>
      <w:r w:rsidRPr="00641C0C">
        <w:rPr>
          <w:b/>
        </w:rPr>
        <w:t>Bērnu skaita īpatsvars, k</w:t>
      </w:r>
      <w:r w:rsidR="0084262E">
        <w:rPr>
          <w:b/>
        </w:rPr>
        <w:t>uri</w:t>
      </w:r>
      <w:r w:rsidRPr="00641C0C">
        <w:rPr>
          <w:b/>
        </w:rPr>
        <w:t xml:space="preserve"> iesaistīti pirmsskolas izglītībā vecumā no 4 gadiem līdz obligātās pamatizglītības (1.klase) </w:t>
      </w:r>
      <w:r w:rsidR="00CC3395">
        <w:rPr>
          <w:b/>
        </w:rPr>
        <w:t>uz</w:t>
      </w:r>
      <w:r w:rsidRPr="00641C0C">
        <w:rPr>
          <w:b/>
        </w:rPr>
        <w:t>sākšanas vecumam, %</w:t>
      </w:r>
    </w:p>
    <w:p w:rsidR="00641C0C" w:rsidRPr="00641C0C" w:rsidRDefault="00641C0C" w:rsidP="00641C0C">
      <w:pPr>
        <w:pStyle w:val="NormalWeb"/>
        <w:spacing w:before="0" w:beforeAutospacing="0" w:after="0" w:afterAutospacing="0"/>
        <w:ind w:firstLine="720"/>
        <w:jc w:val="center"/>
        <w:rPr>
          <w:b/>
          <w:sz w:val="12"/>
          <w:szCs w:val="12"/>
        </w:rPr>
      </w:pPr>
    </w:p>
    <w:p w:rsidR="00641C0C" w:rsidRPr="00641C0C" w:rsidRDefault="00641C0C" w:rsidP="00CC3395">
      <w:pPr>
        <w:pStyle w:val="NormalWeb"/>
        <w:spacing w:before="0" w:beforeAutospacing="0" w:after="0" w:afterAutospacing="0"/>
        <w:jc w:val="center"/>
        <w:rPr>
          <w:b/>
        </w:rPr>
      </w:pPr>
      <w:r>
        <w:rPr>
          <w:b/>
          <w:noProof/>
        </w:rPr>
        <w:drawing>
          <wp:inline distT="0" distB="0" distL="0" distR="0">
            <wp:extent cx="5314950" cy="24288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41C0C" w:rsidRPr="0037327B" w:rsidRDefault="0037327B" w:rsidP="0037327B">
      <w:pPr>
        <w:pStyle w:val="NormalWeb"/>
        <w:spacing w:before="0" w:beforeAutospacing="0" w:after="0" w:afterAutospacing="0"/>
        <w:ind w:firstLine="720"/>
        <w:rPr>
          <w:i/>
          <w:sz w:val="22"/>
          <w:szCs w:val="22"/>
        </w:rPr>
      </w:pPr>
      <w:r w:rsidRPr="0037327B">
        <w:rPr>
          <w:i/>
          <w:sz w:val="22"/>
          <w:szCs w:val="22"/>
        </w:rPr>
        <w:t>* Eurostat dati</w:t>
      </w:r>
    </w:p>
    <w:p w:rsidR="0037327B" w:rsidRDefault="0037327B" w:rsidP="0037327B">
      <w:pPr>
        <w:pStyle w:val="NormalWeb"/>
        <w:spacing w:before="0" w:beforeAutospacing="0" w:after="0" w:afterAutospacing="0"/>
        <w:ind w:firstLine="720"/>
      </w:pPr>
    </w:p>
    <w:p w:rsidR="00421831" w:rsidRDefault="00874799" w:rsidP="00DD338A">
      <w:pPr>
        <w:pStyle w:val="NormalWeb"/>
        <w:spacing w:before="0" w:beforeAutospacing="0" w:after="0" w:afterAutospacing="0"/>
        <w:ind w:firstLine="720"/>
        <w:jc w:val="both"/>
      </w:pPr>
      <w:r>
        <w:t xml:space="preserve">Lai nodrošinātu </w:t>
      </w:r>
      <w:r w:rsidRPr="007C4372">
        <w:rPr>
          <w:b/>
        </w:rPr>
        <w:t>izglītības iestāžu tīkla sakārtošanu</w:t>
      </w:r>
      <w:r w:rsidR="00DD338A">
        <w:t xml:space="preserve"> un </w:t>
      </w:r>
      <w:r w:rsidR="000D4E52" w:rsidRPr="005565F8">
        <w:rPr>
          <w:color w:val="000000" w:themeColor="text1"/>
        </w:rPr>
        <w:t xml:space="preserve">iespēju katram skolēnam iegūt kvalitatīvu izglītību, </w:t>
      </w:r>
      <w:r w:rsidR="00DD338A">
        <w:t>ekonomģeogrāfa Jāņa Turlaja vadītā eksperta grupa</w:t>
      </w:r>
      <w:r w:rsidR="00DD338A">
        <w:rPr>
          <w:color w:val="000000" w:themeColor="text1"/>
        </w:rPr>
        <w:t xml:space="preserve"> veica </w:t>
      </w:r>
      <w:r w:rsidR="00DD338A" w:rsidRPr="007C4372">
        <w:rPr>
          <w:b/>
        </w:rPr>
        <w:t>pētījumu</w:t>
      </w:r>
      <w:r w:rsidR="000D4E52" w:rsidRPr="007C4372">
        <w:rPr>
          <w:b/>
        </w:rPr>
        <w:t xml:space="preserve"> </w:t>
      </w:r>
      <w:r w:rsidR="000D4E52" w:rsidRPr="007C4372">
        <w:rPr>
          <w:b/>
          <w:i/>
        </w:rPr>
        <w:t>“Optimāla vispārējās izglītības iestāžu tīkla modeļa izveide”</w:t>
      </w:r>
      <w:r w:rsidR="000D4E52" w:rsidRPr="005565F8">
        <w:t>, kura ietvaros</w:t>
      </w:r>
      <w:r w:rsidR="00DD338A">
        <w:t xml:space="preserve"> tika vispusīgi analizēti demogrāfiskie dati un procesi, ekonomiskā aktivitāte, nākotnes potenciāls, izglītības kvalitātes rādītāji, publiskās infrastruktūras pieejamība, kā arī citu attīstīto valstu pieredze izglītī</w:t>
      </w:r>
      <w:r w:rsidR="006B7DF4">
        <w:t>bas un mobilitātes aspektos, tajā</w:t>
      </w:r>
      <w:r w:rsidR="00DD338A">
        <w:t xml:space="preserve"> skaitā</w:t>
      </w:r>
      <w:r w:rsidR="006B7DF4">
        <w:t>,</w:t>
      </w:r>
      <w:r w:rsidR="00DD338A">
        <w:t xml:space="preserve"> veids kā valsts nodrošina izglītības pakalpojumu pieejamību iedzīvotājiem. </w:t>
      </w:r>
    </w:p>
    <w:p w:rsidR="00DF70F5" w:rsidRDefault="00DD338A" w:rsidP="00DF70F5">
      <w:pPr>
        <w:pStyle w:val="NormalWeb"/>
        <w:spacing w:before="0" w:beforeAutospacing="0" w:after="0" w:afterAutospacing="0"/>
        <w:ind w:firstLine="720"/>
        <w:jc w:val="both"/>
      </w:pPr>
      <w:r>
        <w:t xml:space="preserve">Pētījuma rezultātā </w:t>
      </w:r>
      <w:r w:rsidR="000D4E52" w:rsidRPr="005565F8">
        <w:t xml:space="preserve">ir izveidota vispārējās izglītības iestāžu tīkla ģeotelpiskās plānošanas platforma </w:t>
      </w:r>
      <w:r w:rsidR="000D4E52" w:rsidRPr="007C4372">
        <w:rPr>
          <w:b/>
          <w:i/>
        </w:rPr>
        <w:t>Skolu karte</w:t>
      </w:r>
      <w:r w:rsidR="000D4E52" w:rsidRPr="005565F8">
        <w:t xml:space="preserve">, kā arī izstrādāts pašreizējiem apstākļiem piemērots vispārējās vidējās izglītības iestāžu tīkla modelis. Balstoties uz pētījuma rekomendācijām, </w:t>
      </w:r>
      <w:r w:rsidR="00DF70F5" w:rsidRPr="005C0211">
        <w:t>IZM turpinās iesāktās diskusijas par kompleksiem risinājumiem efektīva vispārējās izglītības iestāžu tīkla attīstībai, vērtējot izglītības iestāžu kvalitatīvos un kvantitatīvos rādītājus. Vienlaikus ti</w:t>
      </w:r>
      <w:r w:rsidR="00DF70F5">
        <w:t>ks</w:t>
      </w:r>
      <w:r w:rsidR="00DF70F5" w:rsidRPr="005C0211">
        <w:t xml:space="preserve"> turpināta pētījuma rezultātu aktualizēšana</w:t>
      </w:r>
      <w:r w:rsidR="00DF70F5">
        <w:t>.</w:t>
      </w:r>
    </w:p>
    <w:p w:rsidR="00DF70F5" w:rsidRPr="007A4889" w:rsidRDefault="00DF70F5" w:rsidP="007A488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2017.gadā tika pieņemti grozījumi Izglītības likumā, </w:t>
      </w:r>
      <w:r w:rsidRPr="005C0211">
        <w:rPr>
          <w:rFonts w:ascii="Times New Roman" w:hAnsi="Times New Roman" w:cs="Times New Roman"/>
          <w:sz w:val="24"/>
          <w:szCs w:val="24"/>
        </w:rPr>
        <w:t xml:space="preserve">paredzot deleģējumu MK noteikt minimāli pieļaujamo izglītojamo skaitu un kritērijus maksimāli pieļaujamā izglītojamo skaita noteikšanai klasē un klašu grupā vidējās izglītības pakāpē. Līdztekus </w:t>
      </w:r>
      <w:r>
        <w:rPr>
          <w:rFonts w:ascii="Times New Roman" w:hAnsi="Times New Roman" w:cs="Times New Roman"/>
          <w:sz w:val="24"/>
          <w:szCs w:val="24"/>
        </w:rPr>
        <w:t>grozījumi</w:t>
      </w:r>
      <w:r w:rsidRPr="005C0211">
        <w:rPr>
          <w:rFonts w:ascii="Times New Roman" w:hAnsi="Times New Roman" w:cs="Times New Roman"/>
          <w:sz w:val="24"/>
          <w:szCs w:val="24"/>
        </w:rPr>
        <w:t xml:space="preserve"> paredz, ka MK noteikt</w:t>
      </w:r>
      <w:r w:rsidR="002F0EE4">
        <w:rPr>
          <w:rFonts w:ascii="Times New Roman" w:hAnsi="Times New Roman" w:cs="Times New Roman"/>
          <w:sz w:val="24"/>
          <w:szCs w:val="24"/>
        </w:rPr>
        <w:t>s</w:t>
      </w:r>
      <w:r w:rsidRPr="005C0211">
        <w:rPr>
          <w:rFonts w:ascii="Times New Roman" w:hAnsi="Times New Roman" w:cs="Times New Roman"/>
          <w:sz w:val="24"/>
          <w:szCs w:val="24"/>
        </w:rPr>
        <w:t xml:space="preserve"> arī kārtīb</w:t>
      </w:r>
      <w:r w:rsidR="002F0EE4">
        <w:rPr>
          <w:rFonts w:ascii="Times New Roman" w:hAnsi="Times New Roman" w:cs="Times New Roman"/>
          <w:sz w:val="24"/>
          <w:szCs w:val="24"/>
        </w:rPr>
        <w:t>u</w:t>
      </w:r>
      <w:r w:rsidRPr="005C0211">
        <w:rPr>
          <w:rFonts w:ascii="Times New Roman" w:hAnsi="Times New Roman" w:cs="Times New Roman"/>
          <w:sz w:val="24"/>
          <w:szCs w:val="24"/>
        </w:rPr>
        <w:t>, kādā valsts piedalās skolotāju darba samaksas finansēšanā, nosakot, ka gadījumā, ja izglītojamo skaits attiecīgajā klasē vai klašu grupā neatbilst MK noteiktajam minimāli pieļaujamam izglītojamo skaitam, pedagogu darba samaksa tiek nodrošināta no izglītības iestāžu dibinātāja budžeta, un valsts, ievērojot MK noteiktos kritērijus, tai skaitā izglītības iestādē iegūtās izglītības kvalitātes rādītājus, piedalās šo pedagogu darba samaksas finansēšanā.</w:t>
      </w:r>
    </w:p>
    <w:p w:rsidR="00DF70F5" w:rsidRDefault="0037022E" w:rsidP="007A4889">
      <w:pPr>
        <w:pStyle w:val="ListParagraph"/>
        <w:ind w:left="0" w:firstLine="720"/>
        <w:jc w:val="both"/>
        <w:rPr>
          <w:rFonts w:eastAsiaTheme="minorHAnsi"/>
          <w:b/>
        </w:rPr>
      </w:pPr>
      <w:r w:rsidRPr="005565F8">
        <w:t>Vienlaikus</w:t>
      </w:r>
      <w:r>
        <w:t>, nodrošinot efektīvu un mūsdienīgu mācību vidi,</w:t>
      </w:r>
      <w:r w:rsidRPr="005565F8">
        <w:t xml:space="preserve"> tiek turpināta </w:t>
      </w:r>
      <w:r w:rsidRPr="005565F8">
        <w:rPr>
          <w:b/>
        </w:rPr>
        <w:t>vispārējās izglītības iestāžu infrastruktūras modernizācija</w:t>
      </w:r>
      <w:r w:rsidRPr="005565F8">
        <w:t>. Piesaistot ERAF līdzekļus vispārējās izglītības iestādēs, plānots radīt modernu, ergonomisku un higiēnas prasībām atbilstošu mācību vidi</w:t>
      </w:r>
      <w:r w:rsidRPr="00046003">
        <w:t>, kas papildināta ar mūsdienīgu mācību procesa nodrošināšanai nepieciešamiem informācijas un komunikāciju tehnoloģiju risinājumiem</w:t>
      </w:r>
      <w:r w:rsidRPr="005565F8">
        <w:t>. Projekti tiks īstenoti nacionālas un reģionālas attīstības centru pašvaldībās</w:t>
      </w:r>
      <w:r w:rsidRPr="00046003">
        <w:t>, septiņās Pierīgas reģiona pašvaldīb</w:t>
      </w:r>
      <w:r>
        <w:t>ās un Viļakas novada pašvaldībā</w:t>
      </w:r>
      <w:r w:rsidRPr="005565F8">
        <w:t xml:space="preserve">. Paredzēta arī jaunu </w:t>
      </w:r>
      <w:r w:rsidRPr="00046003">
        <w:t xml:space="preserve">vispārējās </w:t>
      </w:r>
      <w:r w:rsidRPr="005565F8">
        <w:t xml:space="preserve">izglītības iestāžu ēku būvniecība pašvaldībās, kurās vērojams izglītojamo skaita pieaugums un esošas infrastruktūras nepietiekamība. Plānots, ka līdz 2023.gadam būs pilnībā modernizētas </w:t>
      </w:r>
      <w:r>
        <w:t>vairāk kā</w:t>
      </w:r>
      <w:r w:rsidRPr="005565F8">
        <w:t xml:space="preserve"> 100 vispārējās izglītības iestādes un 20-25% izglītojamo būs pieejama pilnībā modernizēta vispārējās izglītības mācību vide.</w:t>
      </w:r>
      <w:r>
        <w:t xml:space="preserve"> </w:t>
      </w:r>
      <w:r w:rsidRPr="00046003">
        <w:t>Vienlaikus atbalsts var tikt paredzēts vispārējās izglītības iestāžu dienesta viesnīcu (internātu) modernizēšanai, kas ir īpaši svarīgi vispārējās izglītības iestāžu tīkla sakārtošanas kontekstā.</w:t>
      </w:r>
    </w:p>
    <w:p w:rsidR="00DF70F5" w:rsidRDefault="00DF70F5" w:rsidP="0099552C">
      <w:pPr>
        <w:pStyle w:val="ListParagraph"/>
        <w:ind w:left="0"/>
        <w:jc w:val="both"/>
        <w:rPr>
          <w:rFonts w:eastAsiaTheme="minorHAnsi"/>
          <w:b/>
        </w:rPr>
      </w:pPr>
    </w:p>
    <w:p w:rsidR="007A4889" w:rsidRDefault="007A4889" w:rsidP="0099552C">
      <w:pPr>
        <w:pStyle w:val="ListParagraph"/>
        <w:ind w:left="0"/>
        <w:jc w:val="both"/>
        <w:rPr>
          <w:rFonts w:eastAsiaTheme="minorHAnsi"/>
          <w:b/>
        </w:rPr>
      </w:pPr>
    </w:p>
    <w:tbl>
      <w:tblPr>
        <w:tblStyle w:val="TableGrid"/>
        <w:tblW w:w="0" w:type="auto"/>
        <w:shd w:val="clear" w:color="auto" w:fill="DEEAF6" w:themeFill="accent1" w:themeFillTint="33"/>
        <w:tblLook w:val="04A0" w:firstRow="1" w:lastRow="0" w:firstColumn="1" w:lastColumn="0" w:noHBand="0" w:noVBand="1"/>
      </w:tblPr>
      <w:tblGrid>
        <w:gridCol w:w="9345"/>
      </w:tblGrid>
      <w:tr w:rsidR="005A1FBC" w:rsidRPr="005A1FBC" w:rsidTr="005A1FBC">
        <w:trPr>
          <w:trHeight w:val="486"/>
        </w:trPr>
        <w:tc>
          <w:tcPr>
            <w:tcW w:w="9345" w:type="dxa"/>
            <w:shd w:val="clear" w:color="auto" w:fill="DEEAF6" w:themeFill="accent1" w:themeFillTint="33"/>
            <w:vAlign w:val="center"/>
          </w:tcPr>
          <w:p w:rsidR="005A1FBC" w:rsidRPr="005A1FBC" w:rsidRDefault="005A1FBC" w:rsidP="0099552C">
            <w:pPr>
              <w:pStyle w:val="ListParagraph"/>
              <w:ind w:left="0"/>
              <w:jc w:val="both"/>
              <w:rPr>
                <w:rFonts w:eastAsiaTheme="minorHAnsi"/>
                <w:b/>
              </w:rPr>
            </w:pPr>
            <w:r w:rsidRPr="005A1FBC">
              <w:rPr>
                <w:b/>
              </w:rPr>
              <w:t xml:space="preserve">Rīcības virziens: </w:t>
            </w:r>
            <w:r w:rsidRPr="005A1FBC">
              <w:rPr>
                <w:rFonts w:eastAsiaTheme="minorHAnsi"/>
                <w:b/>
              </w:rPr>
              <w:t>3.4. Izglītības starptautiskā konkurētspēja</w:t>
            </w:r>
          </w:p>
        </w:tc>
      </w:tr>
    </w:tbl>
    <w:p w:rsidR="00145719" w:rsidRDefault="00145719" w:rsidP="00AF7D57">
      <w:pPr>
        <w:pStyle w:val="ListParagraph"/>
        <w:ind w:left="0" w:firstLine="720"/>
        <w:jc w:val="both"/>
        <w:rPr>
          <w:rFonts w:eastAsiaTheme="minorHAnsi"/>
        </w:rPr>
      </w:pPr>
      <w:r>
        <w:rPr>
          <w:rFonts w:eastAsiaTheme="minorHAnsi"/>
        </w:rPr>
        <w:t xml:space="preserve">Pārskata periodā veiksmīgi norisinājās </w:t>
      </w:r>
      <w:r w:rsidRPr="00D60C78">
        <w:rPr>
          <w:b/>
        </w:rPr>
        <w:t>starptautiskās mobilitātes un pārrobežu sadarbības</w:t>
      </w:r>
      <w:r w:rsidRPr="005C0211">
        <w:t xml:space="preserve"> atbalsta pasākumu īstenošana</w:t>
      </w:r>
      <w:r>
        <w:t>.</w:t>
      </w:r>
    </w:p>
    <w:p w:rsidR="00AF7D57" w:rsidRDefault="00AF7D57" w:rsidP="00AF7D57">
      <w:pPr>
        <w:pStyle w:val="ListParagraph"/>
        <w:ind w:left="0" w:firstLine="720"/>
        <w:jc w:val="both"/>
      </w:pPr>
      <w:r>
        <w:rPr>
          <w:rFonts w:eastAsiaTheme="minorHAnsi"/>
        </w:rPr>
        <w:t xml:space="preserve">Nodrošinot </w:t>
      </w:r>
      <w:r w:rsidRPr="00D60C78">
        <w:rPr>
          <w:rFonts w:eastAsiaTheme="minorHAnsi"/>
          <w:b/>
        </w:rPr>
        <w:t>s</w:t>
      </w:r>
      <w:r w:rsidRPr="00D60C78">
        <w:rPr>
          <w:b/>
        </w:rPr>
        <w:t xml:space="preserve">tarptautiskās sadarbības īstenošanu Erasmus+ stratēģisko partnerību </w:t>
      </w:r>
      <w:r w:rsidRPr="00D60C78">
        <w:t>projektu ietvaros</w:t>
      </w:r>
      <w:r w:rsidRPr="005C0211">
        <w:t xml:space="preserve"> </w:t>
      </w:r>
      <w:r>
        <w:t>p</w:t>
      </w:r>
      <w:r w:rsidRPr="005C0211">
        <w:t xml:space="preserve">eriodā no 2014. līdz 2017.gadam profesionālās izglītības sektorā </w:t>
      </w:r>
      <w:r>
        <w:t xml:space="preserve">tika </w:t>
      </w:r>
      <w:r w:rsidRPr="005C0211">
        <w:t>apstiprināt</w:t>
      </w:r>
      <w:r>
        <w:t>s</w:t>
      </w:r>
      <w:r w:rsidRPr="005C0211">
        <w:t xml:space="preserve"> 21 Erasmus+ stratēģisko partnerību projekt</w:t>
      </w:r>
      <w:r>
        <w:t>s</w:t>
      </w:r>
      <w:r w:rsidRPr="005C0211">
        <w:t xml:space="preserve"> inovāciju izstrādes atbalsta</w:t>
      </w:r>
      <w:r>
        <w:t>m un/vai labās prakses apmaiņai.</w:t>
      </w:r>
    </w:p>
    <w:p w:rsidR="00AF7D57" w:rsidRDefault="0028641B" w:rsidP="00AE49DC">
      <w:pPr>
        <w:pStyle w:val="ListParagraph"/>
        <w:ind w:left="0" w:firstLine="720"/>
        <w:jc w:val="both"/>
      </w:pPr>
      <w:r>
        <w:t xml:space="preserve">Vienlaikus </w:t>
      </w:r>
      <w:r w:rsidR="009D3677" w:rsidRPr="005C0211">
        <w:t xml:space="preserve">Erasmus+ </w:t>
      </w:r>
      <w:r w:rsidR="009D3677" w:rsidRPr="00D60C78">
        <w:rPr>
          <w:b/>
        </w:rPr>
        <w:t>mācību mobilitātes</w:t>
      </w:r>
      <w:r w:rsidR="009D3677" w:rsidRPr="005C0211">
        <w:t xml:space="preserve"> projektos</w:t>
      </w:r>
      <w:r w:rsidR="009D3677">
        <w:t xml:space="preserve"> tika atbalstītas 878 </w:t>
      </w:r>
      <w:r w:rsidR="009D3677" w:rsidRPr="005C0211">
        <w:t>personāla kompetences pilnveides un pieredzes apmaiņas</w:t>
      </w:r>
      <w:r w:rsidR="009D3677">
        <w:t xml:space="preserve"> mobilitātes </w:t>
      </w:r>
      <w:r w:rsidR="009D3677" w:rsidRPr="005C0211">
        <w:t>skolu izglītības sektorā</w:t>
      </w:r>
      <w:r w:rsidR="009D3677">
        <w:t xml:space="preserve">, 686 </w:t>
      </w:r>
      <w:r w:rsidR="009D3677" w:rsidRPr="005C0211">
        <w:t>personāla kompetences pilnveides un pieredzes apmaiņas</w:t>
      </w:r>
      <w:r w:rsidR="009D3677">
        <w:t xml:space="preserve"> mobilitātes </w:t>
      </w:r>
      <w:r w:rsidR="009D3677" w:rsidRPr="005C0211">
        <w:t>profesionālās izglītības sektorā</w:t>
      </w:r>
      <w:r w:rsidR="009D3677">
        <w:t xml:space="preserve">, 135 </w:t>
      </w:r>
      <w:r w:rsidR="009D3677" w:rsidRPr="005C0211">
        <w:t>personāla kompetences pilnveides un pieredzes apmaiņas</w:t>
      </w:r>
      <w:r w:rsidR="009D3677">
        <w:t xml:space="preserve"> mobilitātes </w:t>
      </w:r>
      <w:r w:rsidR="009D3677" w:rsidRPr="005C0211">
        <w:t>pieaugušo izglītības sektorā</w:t>
      </w:r>
      <w:r w:rsidR="009D3677">
        <w:t xml:space="preserve"> un 3410 </w:t>
      </w:r>
      <w:r w:rsidR="009D3677" w:rsidRPr="005C0211">
        <w:t>personāla kompetences pilnveides un pieredzes apmaiņas</w:t>
      </w:r>
      <w:r w:rsidR="009D3677">
        <w:t xml:space="preserve"> izbraucošās un 379 iebraucošās mobilitātes </w:t>
      </w:r>
      <w:r w:rsidR="009D3677" w:rsidRPr="005C0211">
        <w:t>augstākās izglītības sektorā</w:t>
      </w:r>
      <w:r w:rsidR="009D3677">
        <w:t>.</w:t>
      </w:r>
    </w:p>
    <w:p w:rsidR="00AF7D57" w:rsidRPr="007C4372" w:rsidRDefault="00AE49DC" w:rsidP="00AF7D57">
      <w:pPr>
        <w:pStyle w:val="ListParagraph"/>
        <w:ind w:left="0" w:firstLine="720"/>
        <w:jc w:val="both"/>
        <w:rPr>
          <w:rFonts w:eastAsiaTheme="minorHAnsi"/>
        </w:rPr>
      </w:pPr>
      <w:r>
        <w:t>S</w:t>
      </w:r>
      <w:r w:rsidR="00AF7D57" w:rsidRPr="005C0211">
        <w:t>kolu izglītības sektorā apstiprināti 302 stratēģisko partnerību projekti, t</w:t>
      </w:r>
      <w:r>
        <w:t>ajā skaitā,</w:t>
      </w:r>
      <w:r w:rsidR="00AF7D57" w:rsidRPr="005C0211">
        <w:t xml:space="preserve"> 20 projekti inovāciju izstrādes atbalstam un/vai labās prakses apmaiņai sektorā un 282 starpskolu sadarbības projekti.</w:t>
      </w:r>
    </w:p>
    <w:p w:rsidR="00AE49DC" w:rsidRPr="00F21BC8" w:rsidRDefault="00F21BC8" w:rsidP="00F21B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AE49DC" w:rsidRPr="005C0211">
        <w:rPr>
          <w:rFonts w:ascii="Times New Roman" w:hAnsi="Times New Roman" w:cs="Times New Roman"/>
          <w:sz w:val="24"/>
          <w:szCs w:val="24"/>
        </w:rPr>
        <w:t>tbalst</w:t>
      </w:r>
      <w:r>
        <w:rPr>
          <w:rFonts w:ascii="Times New Roman" w:hAnsi="Times New Roman" w:cs="Times New Roman"/>
          <w:sz w:val="24"/>
          <w:szCs w:val="24"/>
        </w:rPr>
        <w:t xml:space="preserve">ot </w:t>
      </w:r>
      <w:r w:rsidR="00AE49DC" w:rsidRPr="00D60C78">
        <w:rPr>
          <w:rFonts w:ascii="Times New Roman" w:hAnsi="Times New Roman" w:cs="Times New Roman"/>
          <w:b/>
          <w:sz w:val="24"/>
          <w:szCs w:val="24"/>
        </w:rPr>
        <w:t>augstākās izglītības un profesionālās izglītības starptautisko ekspertu aktivitāt</w:t>
      </w:r>
      <w:r w:rsidRPr="00D60C78">
        <w:rPr>
          <w:rFonts w:ascii="Times New Roman" w:hAnsi="Times New Roman" w:cs="Times New Roman"/>
          <w:b/>
          <w:sz w:val="24"/>
          <w:szCs w:val="24"/>
        </w:rPr>
        <w:t>es</w:t>
      </w:r>
      <w:r>
        <w:rPr>
          <w:rFonts w:ascii="Times New Roman" w:hAnsi="Times New Roman" w:cs="Times New Roman"/>
          <w:sz w:val="24"/>
          <w:szCs w:val="24"/>
        </w:rPr>
        <w:t xml:space="preserve">, tika īstenots projekts </w:t>
      </w:r>
      <w:r w:rsidRPr="005C0211">
        <w:rPr>
          <w:rFonts w:ascii="Times New Roman" w:hAnsi="Times New Roman" w:cs="Times New Roman"/>
          <w:sz w:val="24"/>
          <w:szCs w:val="24"/>
        </w:rPr>
        <w:t>"Iepriekš iegūtās izglītības pielīdzināšana"</w:t>
      </w:r>
      <w:r>
        <w:rPr>
          <w:rFonts w:ascii="Times New Roman" w:hAnsi="Times New Roman" w:cs="Times New Roman"/>
          <w:sz w:val="24"/>
          <w:szCs w:val="24"/>
        </w:rPr>
        <w:t xml:space="preserve">, kura ietvaros tika </w:t>
      </w:r>
      <w:r w:rsidRPr="005C0211">
        <w:rPr>
          <w:rFonts w:ascii="Times New Roman" w:hAnsi="Times New Roman" w:cs="Times New Roman"/>
          <w:sz w:val="24"/>
          <w:szCs w:val="24"/>
        </w:rPr>
        <w:t>paaugstināta Boloņas ekspertu kapacitāte</w:t>
      </w:r>
      <w:r>
        <w:rPr>
          <w:rFonts w:ascii="Times New Roman" w:hAnsi="Times New Roman" w:cs="Times New Roman"/>
          <w:sz w:val="24"/>
          <w:szCs w:val="24"/>
        </w:rPr>
        <w:t xml:space="preserve">, kā arī </w:t>
      </w:r>
      <w:r w:rsidRPr="005C0211">
        <w:rPr>
          <w:rFonts w:ascii="Times New Roman" w:eastAsia="Times New Roman" w:hAnsi="Times New Roman" w:cs="Times New Roman"/>
          <w:sz w:val="24"/>
          <w:szCs w:val="24"/>
          <w:lang w:eastAsia="lv-LV"/>
        </w:rPr>
        <w:t xml:space="preserve">tika izstrādāti “Ieteikumi ārpus formālās izglītības apgūtajā vai profesionālajā pieredzē sasniegto studiju rezultātu vērtēšanā un atzīšanā”, </w:t>
      </w:r>
      <w:r w:rsidRPr="005C0211">
        <w:rPr>
          <w:rFonts w:ascii="Times New Roman" w:hAnsi="Times New Roman" w:cs="Times New Roman"/>
          <w:sz w:val="24"/>
          <w:szCs w:val="24"/>
        </w:rPr>
        <w:t>lai uzlab</w:t>
      </w:r>
      <w:r>
        <w:rPr>
          <w:rFonts w:ascii="Times New Roman" w:hAnsi="Times New Roman" w:cs="Times New Roman"/>
          <w:sz w:val="24"/>
          <w:szCs w:val="24"/>
        </w:rPr>
        <w:t>otu iepriekš iegūtās izglītības</w:t>
      </w:r>
      <w:r w:rsidRPr="005C0211">
        <w:rPr>
          <w:rFonts w:ascii="Times New Roman" w:hAnsi="Times New Roman" w:cs="Times New Roman"/>
          <w:sz w:val="24"/>
          <w:szCs w:val="24"/>
        </w:rPr>
        <w:t xml:space="preserve"> atzīšanas procedūras Latvijas augstākās izglītības iestādēs</w:t>
      </w:r>
      <w:r>
        <w:rPr>
          <w:rFonts w:ascii="Times New Roman" w:hAnsi="Times New Roman" w:cs="Times New Roman"/>
          <w:sz w:val="24"/>
          <w:szCs w:val="24"/>
        </w:rPr>
        <w:t>.</w:t>
      </w:r>
    </w:p>
    <w:p w:rsidR="00AE49DC" w:rsidRDefault="00F21BC8" w:rsidP="00F21BC8">
      <w:pPr>
        <w:spacing w:after="0" w:line="240" w:lineRule="auto"/>
        <w:ind w:firstLine="720"/>
        <w:jc w:val="both"/>
        <w:rPr>
          <w:rFonts w:ascii="Times New Roman" w:hAnsi="Times New Roman" w:cs="Times New Roman"/>
          <w:sz w:val="24"/>
          <w:szCs w:val="24"/>
        </w:rPr>
      </w:pPr>
      <w:r>
        <w:rPr>
          <w:rFonts w:ascii="Times New Roman" w:hAnsi="Times New Roman"/>
          <w:sz w:val="24"/>
          <w:szCs w:val="24"/>
        </w:rPr>
        <w:t>Savukārt</w:t>
      </w:r>
      <w:r w:rsidR="00367F1A">
        <w:rPr>
          <w:rFonts w:ascii="Times New Roman" w:hAnsi="Times New Roman"/>
          <w:sz w:val="24"/>
          <w:szCs w:val="24"/>
        </w:rPr>
        <w:t>,</w:t>
      </w:r>
      <w:r>
        <w:rPr>
          <w:rFonts w:ascii="Times New Roman" w:hAnsi="Times New Roman"/>
          <w:sz w:val="24"/>
          <w:szCs w:val="24"/>
        </w:rPr>
        <w:t xml:space="preserve"> </w:t>
      </w:r>
      <w:r w:rsidR="00AE49DC" w:rsidRPr="005C0211">
        <w:rPr>
          <w:rFonts w:ascii="Times New Roman" w:hAnsi="Times New Roman"/>
          <w:sz w:val="24"/>
          <w:szCs w:val="24"/>
        </w:rPr>
        <w:t>VIAA kopš 2014.gada īsteno Eiropas Kredītsistēmas profesionālaja</w:t>
      </w:r>
      <w:r w:rsidR="00C80CED">
        <w:rPr>
          <w:rFonts w:ascii="Times New Roman" w:hAnsi="Times New Roman"/>
          <w:sz w:val="24"/>
          <w:szCs w:val="24"/>
        </w:rPr>
        <w:t>i izglītībai (ECVET) aktivitāti</w:t>
      </w:r>
      <w:r w:rsidR="00AE49DC" w:rsidRPr="005C0211">
        <w:rPr>
          <w:rFonts w:ascii="Times New Roman" w:hAnsi="Times New Roman"/>
          <w:sz w:val="24"/>
          <w:szCs w:val="24"/>
        </w:rPr>
        <w:t xml:space="preserve"> ar mērķi popularizēt un sekmēt ECVET ieviešanu Latvijā, īpaši attiecībā uz Erasmus+ ģeogrāfisko mobilitāti profesionālās izglītības un mācību sektorā. </w:t>
      </w:r>
      <w:r>
        <w:rPr>
          <w:rFonts w:ascii="Times New Roman" w:hAnsi="Times New Roman"/>
          <w:sz w:val="24"/>
          <w:szCs w:val="24"/>
        </w:rPr>
        <w:t>Pārskata periodā tika</w:t>
      </w:r>
      <w:r w:rsidR="00AE49DC" w:rsidRPr="005C0211">
        <w:rPr>
          <w:rFonts w:ascii="Times New Roman" w:hAnsi="Times New Roman"/>
          <w:sz w:val="24"/>
          <w:szCs w:val="24"/>
        </w:rPr>
        <w:t xml:space="preserve"> </w:t>
      </w:r>
      <w:r w:rsidR="00AE49DC" w:rsidRPr="005C0211">
        <w:rPr>
          <w:rFonts w:ascii="Times New Roman" w:hAnsi="Times New Roman" w:cs="Times New Roman"/>
          <w:sz w:val="24"/>
          <w:szCs w:val="24"/>
        </w:rPr>
        <w:t>nodrošinātas plānotās ECVET LV nacionālo ekspertu aktivitātes, izplatīta informācij</w:t>
      </w:r>
      <w:r w:rsidR="00C80CED">
        <w:rPr>
          <w:rFonts w:ascii="Times New Roman" w:hAnsi="Times New Roman" w:cs="Times New Roman"/>
          <w:sz w:val="24"/>
          <w:szCs w:val="24"/>
        </w:rPr>
        <w:t>a</w:t>
      </w:r>
      <w:r w:rsidR="00AE49DC" w:rsidRPr="005C0211">
        <w:rPr>
          <w:rFonts w:ascii="Times New Roman" w:hAnsi="Times New Roman" w:cs="Times New Roman"/>
          <w:sz w:val="24"/>
          <w:szCs w:val="24"/>
        </w:rPr>
        <w:t xml:space="preserve"> par ECVET ieviešanas aktualitātēm </w:t>
      </w:r>
      <w:r w:rsidR="00BA5AA5">
        <w:rPr>
          <w:rFonts w:ascii="Times New Roman" w:hAnsi="Times New Roman" w:cs="Times New Roman"/>
          <w:sz w:val="24"/>
          <w:szCs w:val="24"/>
        </w:rPr>
        <w:t>ES</w:t>
      </w:r>
      <w:r w:rsidR="00AE49DC" w:rsidRPr="005C0211">
        <w:rPr>
          <w:rFonts w:ascii="Times New Roman" w:hAnsi="Times New Roman" w:cs="Times New Roman"/>
          <w:sz w:val="24"/>
          <w:szCs w:val="24"/>
        </w:rPr>
        <w:t xml:space="preserve"> un Latvijā, veicināta Latvijas organizāciju iesaiste ECVET principu piemērošanā.</w:t>
      </w:r>
    </w:p>
    <w:p w:rsidR="001F5CC3" w:rsidRDefault="00C672D8" w:rsidP="00BB273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Atbalstot </w:t>
      </w:r>
      <w:r w:rsidRPr="00D60C78">
        <w:rPr>
          <w:rFonts w:ascii="Times New Roman" w:hAnsi="Times New Roman" w:cs="Times New Roman"/>
          <w:b/>
          <w:sz w:val="24"/>
          <w:szCs w:val="24"/>
        </w:rPr>
        <w:t>latviešu valodas un kultūras apguvi ārvalstu augstskolās</w:t>
      </w:r>
      <w:r>
        <w:rPr>
          <w:rFonts w:ascii="Times New Roman" w:hAnsi="Times New Roman" w:cs="Times New Roman"/>
          <w:sz w:val="24"/>
          <w:szCs w:val="24"/>
        </w:rPr>
        <w:t xml:space="preserve">, ik gadu tiek nodrošināts </w:t>
      </w:r>
      <w:r w:rsidRPr="005C0211">
        <w:rPr>
          <w:rFonts w:ascii="Times New Roman" w:hAnsi="Times New Roman" w:cs="Times New Roman"/>
          <w:sz w:val="24"/>
          <w:szCs w:val="24"/>
        </w:rPr>
        <w:t>finansiāls atbalsts ārvalstu lektorātiem</w:t>
      </w:r>
      <w:r>
        <w:rPr>
          <w:rFonts w:ascii="Times New Roman" w:hAnsi="Times New Roman" w:cs="Times New Roman"/>
          <w:sz w:val="24"/>
          <w:szCs w:val="24"/>
        </w:rPr>
        <w:t xml:space="preserve">. </w:t>
      </w:r>
      <w:r w:rsidR="001F5CC3" w:rsidRPr="005C0211">
        <w:rPr>
          <w:rFonts w:ascii="Times New Roman" w:hAnsi="Times New Roman" w:cs="Times New Roman"/>
          <w:sz w:val="24"/>
          <w:szCs w:val="24"/>
        </w:rPr>
        <w:t xml:space="preserve">2014.–2017.gadā ik gadu </w:t>
      </w:r>
      <w:r w:rsidR="00C80CED" w:rsidRPr="005C0211">
        <w:rPr>
          <w:rFonts w:ascii="Times New Roman" w:hAnsi="Times New Roman" w:cs="Times New Roman"/>
          <w:sz w:val="24"/>
          <w:szCs w:val="24"/>
        </w:rPr>
        <w:t xml:space="preserve">atbalstīti </w:t>
      </w:r>
      <w:r w:rsidR="001F5CC3" w:rsidRPr="005C0211">
        <w:rPr>
          <w:rFonts w:ascii="Times New Roman" w:hAnsi="Times New Roman" w:cs="Times New Roman"/>
          <w:sz w:val="24"/>
          <w:szCs w:val="24"/>
        </w:rPr>
        <w:t>6-8 ārvalstu lektorāti  ārzemju  augstskolās</w:t>
      </w:r>
      <w:r w:rsidR="00EA66EF">
        <w:rPr>
          <w:rFonts w:ascii="Times New Roman" w:hAnsi="Times New Roman" w:cs="Times New Roman"/>
          <w:sz w:val="24"/>
          <w:szCs w:val="24"/>
        </w:rPr>
        <w:t xml:space="preserve">. </w:t>
      </w:r>
      <w:r w:rsidR="00EA66EF" w:rsidRPr="005C0211">
        <w:rPr>
          <w:rFonts w:ascii="Times New Roman" w:hAnsi="Times New Roman" w:cs="Times New Roman"/>
          <w:sz w:val="24"/>
          <w:szCs w:val="24"/>
        </w:rPr>
        <w:t>Finansiāli atbalstīti izglītojoši pasākumi ārvalstu augstskolās, kurās apgūst latviešu valodu</w:t>
      </w:r>
      <w:r w:rsidR="00EA66EF">
        <w:rPr>
          <w:rFonts w:ascii="Times New Roman" w:hAnsi="Times New Roman" w:cs="Times New Roman"/>
          <w:sz w:val="24"/>
          <w:szCs w:val="24"/>
        </w:rPr>
        <w:t>, ik</w:t>
      </w:r>
      <w:r w:rsidR="001F5CC3" w:rsidRPr="005C0211">
        <w:rPr>
          <w:rFonts w:ascii="Times New Roman" w:hAnsi="Times New Roman" w:cs="Times New Roman"/>
          <w:sz w:val="24"/>
          <w:szCs w:val="24"/>
        </w:rPr>
        <w:t xml:space="preserve"> gadu organizē</w:t>
      </w:r>
      <w:r w:rsidR="00EA66EF">
        <w:rPr>
          <w:rFonts w:ascii="Times New Roman" w:hAnsi="Times New Roman" w:cs="Times New Roman"/>
          <w:sz w:val="24"/>
          <w:szCs w:val="24"/>
        </w:rPr>
        <w:t>jot</w:t>
      </w:r>
      <w:r w:rsidR="001F5CC3" w:rsidRPr="005C0211">
        <w:rPr>
          <w:rFonts w:ascii="Times New Roman" w:hAnsi="Times New Roman" w:cs="Times New Roman"/>
          <w:sz w:val="24"/>
          <w:szCs w:val="24"/>
        </w:rPr>
        <w:t xml:space="preserve"> līdz </w:t>
      </w:r>
      <w:r w:rsidR="00C80CED">
        <w:rPr>
          <w:rFonts w:ascii="Times New Roman" w:hAnsi="Times New Roman" w:cs="Times New Roman"/>
          <w:sz w:val="24"/>
          <w:szCs w:val="24"/>
        </w:rPr>
        <w:t>pieciem</w:t>
      </w:r>
      <w:r w:rsidR="001F5CC3" w:rsidRPr="005C0211">
        <w:rPr>
          <w:rFonts w:ascii="Times New Roman" w:hAnsi="Times New Roman" w:cs="Times New Roman"/>
          <w:sz w:val="24"/>
          <w:szCs w:val="24"/>
        </w:rPr>
        <w:t xml:space="preserve"> atbalsta pasākumiem.</w:t>
      </w:r>
    </w:p>
    <w:p w:rsidR="001F5CC3" w:rsidRDefault="001F5CC3" w:rsidP="00A83FFD">
      <w:pPr>
        <w:spacing w:after="0" w:line="240" w:lineRule="auto"/>
        <w:ind w:firstLine="720"/>
        <w:jc w:val="both"/>
        <w:rPr>
          <w:rFonts w:ascii="Times New Roman" w:hAnsi="Times New Roman" w:cs="Times New Roman"/>
          <w:sz w:val="24"/>
          <w:szCs w:val="24"/>
        </w:rPr>
      </w:pPr>
      <w:r w:rsidRPr="005C0211">
        <w:rPr>
          <w:rFonts w:ascii="Times New Roman" w:hAnsi="Times New Roman" w:cs="Times New Roman"/>
          <w:sz w:val="24"/>
          <w:szCs w:val="24"/>
        </w:rPr>
        <w:t>Sagatavots mācību kursa portfolio latviešu valodas un kultūras vasaras skolai un lasāmgrāmata „Ko pasaka pasaka”, kas latviešu valodas un kultūras apg</w:t>
      </w:r>
      <w:r w:rsidR="0011710E">
        <w:rPr>
          <w:rFonts w:ascii="Times New Roman" w:hAnsi="Times New Roman" w:cs="Times New Roman"/>
          <w:sz w:val="24"/>
          <w:szCs w:val="24"/>
        </w:rPr>
        <w:t>u</w:t>
      </w:r>
      <w:r w:rsidRPr="005C0211">
        <w:rPr>
          <w:rFonts w:ascii="Times New Roman" w:hAnsi="Times New Roman" w:cs="Times New Roman"/>
          <w:sz w:val="24"/>
          <w:szCs w:val="24"/>
        </w:rPr>
        <w:t>vējiem sniedz plašāku ieskatu latviešu valodas,  literatūras un kultūras daudzveidībā.</w:t>
      </w:r>
      <w:r w:rsidR="00A83FFD">
        <w:rPr>
          <w:rFonts w:ascii="Times New Roman" w:hAnsi="Times New Roman" w:cs="Times New Roman"/>
          <w:sz w:val="24"/>
          <w:szCs w:val="24"/>
        </w:rPr>
        <w:t xml:space="preserve"> </w:t>
      </w:r>
      <w:r w:rsidRPr="005C0211">
        <w:rPr>
          <w:rFonts w:ascii="Times New Roman" w:hAnsi="Times New Roman" w:cs="Times New Roman"/>
          <w:sz w:val="24"/>
          <w:szCs w:val="24"/>
        </w:rPr>
        <w:t>Katru gadu organizēts viens divu dienu seminārs līdz 10 ārvalstu augstskolu docētājiem, kas ārzemju augstskolās māca latviešu valodu.</w:t>
      </w:r>
      <w:r w:rsidR="00A83FFD">
        <w:rPr>
          <w:rFonts w:ascii="Times New Roman" w:hAnsi="Times New Roman" w:cs="Times New Roman"/>
          <w:sz w:val="24"/>
          <w:szCs w:val="24"/>
        </w:rPr>
        <w:t xml:space="preserve"> </w:t>
      </w:r>
      <w:r w:rsidR="00BB2734" w:rsidRPr="00BB2734">
        <w:rPr>
          <w:rFonts w:ascii="Times New Roman" w:hAnsi="Times New Roman" w:cs="Times New Roman"/>
          <w:sz w:val="24"/>
          <w:szCs w:val="24"/>
        </w:rPr>
        <w:t>Vienlaikus</w:t>
      </w:r>
      <w:r w:rsidR="00BB2734">
        <w:rPr>
          <w:rFonts w:ascii="Times New Roman" w:hAnsi="Times New Roman" w:cs="Times New Roman"/>
          <w:b/>
          <w:sz w:val="24"/>
          <w:szCs w:val="24"/>
        </w:rPr>
        <w:t xml:space="preserve"> </w:t>
      </w:r>
      <w:r w:rsidR="00BB2734">
        <w:rPr>
          <w:rFonts w:ascii="Times New Roman" w:hAnsi="Times New Roman" w:cs="Times New Roman"/>
          <w:sz w:val="24"/>
          <w:szCs w:val="24"/>
        </w:rPr>
        <w:t>k</w:t>
      </w:r>
      <w:r w:rsidRPr="005C0211">
        <w:rPr>
          <w:rFonts w:ascii="Times New Roman" w:hAnsi="Times New Roman" w:cs="Times New Roman"/>
          <w:sz w:val="24"/>
          <w:szCs w:val="24"/>
        </w:rPr>
        <w:t>atru gadu piešķirts līdzfinansējums Latvijas Universitātei divu nedēļas garas Latviešu valodas un kultūr</w:t>
      </w:r>
      <w:r w:rsidR="00A83FFD">
        <w:rPr>
          <w:rFonts w:ascii="Times New Roman" w:hAnsi="Times New Roman" w:cs="Times New Roman"/>
          <w:sz w:val="24"/>
          <w:szCs w:val="24"/>
        </w:rPr>
        <w:t>as vasaras skolas organizēšanai.</w:t>
      </w:r>
    </w:p>
    <w:p w:rsidR="006839EA" w:rsidRDefault="00B91D09" w:rsidP="00F527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Atbalstot </w:t>
      </w:r>
      <w:r w:rsidRPr="00D60C78">
        <w:rPr>
          <w:rFonts w:ascii="Times New Roman" w:hAnsi="Times New Roman" w:cs="Times New Roman"/>
          <w:b/>
          <w:sz w:val="24"/>
          <w:szCs w:val="24"/>
        </w:rPr>
        <w:t>kopīgo studiju programmu izveidi un īstenošanu augstākās izglītības iestādēs</w:t>
      </w:r>
      <w:r>
        <w:rPr>
          <w:rFonts w:ascii="Times New Roman" w:hAnsi="Times New Roman" w:cs="Times New Roman"/>
          <w:sz w:val="24"/>
          <w:szCs w:val="24"/>
        </w:rPr>
        <w:t xml:space="preserve">, </w:t>
      </w:r>
      <w:r w:rsidR="006839EA">
        <w:rPr>
          <w:rFonts w:ascii="Times New Roman" w:hAnsi="Times New Roman" w:cs="Times New Roman"/>
          <w:sz w:val="24"/>
          <w:szCs w:val="24"/>
        </w:rPr>
        <w:t>o</w:t>
      </w:r>
      <w:r w:rsidRPr="005C0211">
        <w:rPr>
          <w:rFonts w:ascii="Times New Roman" w:hAnsi="Times New Roman" w:cs="Times New Roman"/>
          <w:sz w:val="24"/>
          <w:szCs w:val="24"/>
        </w:rPr>
        <w:t>rganizēti informatīvi pasākumi, kā arī izplatīta aktuālākā informācija Latvijas augstskolām par augstākās izglītības starptautisko dimensij</w:t>
      </w:r>
      <w:r w:rsidR="006839EA">
        <w:rPr>
          <w:rFonts w:ascii="Times New Roman" w:hAnsi="Times New Roman" w:cs="Times New Roman"/>
          <w:sz w:val="24"/>
          <w:szCs w:val="24"/>
        </w:rPr>
        <w:t xml:space="preserve">u Erasmus+ programmas ietvaros. </w:t>
      </w:r>
      <w:r w:rsidRPr="006839EA">
        <w:rPr>
          <w:rFonts w:ascii="Times New Roman" w:hAnsi="Times New Roman" w:cs="Times New Roman"/>
          <w:sz w:val="24"/>
          <w:szCs w:val="24"/>
        </w:rPr>
        <w:t xml:space="preserve">2017.gadā Latvijas augstskolās tika īstenotas 14 kopīgas studiju programmas ar </w:t>
      </w:r>
      <w:r w:rsidR="007F23BF">
        <w:rPr>
          <w:rFonts w:ascii="Times New Roman" w:hAnsi="Times New Roman" w:cs="Times New Roman"/>
          <w:sz w:val="24"/>
          <w:szCs w:val="24"/>
        </w:rPr>
        <w:t>ārvalstu augstskolām (tajā skaitā,</w:t>
      </w:r>
      <w:r w:rsidRPr="006839EA">
        <w:rPr>
          <w:rFonts w:ascii="Times New Roman" w:hAnsi="Times New Roman" w:cs="Times New Roman"/>
          <w:sz w:val="24"/>
          <w:szCs w:val="24"/>
        </w:rPr>
        <w:t xml:space="preserve"> Lietuvas, Igaunijas, Spānijas, Austrijas un Nīderlandes augstskolām) tādās jomās kā starptautiskais bizness un eksporta menedžments, tehnoloģiju un inovāciju vadība, inovatīva ceļu un tiltu inženierija, stratēģiskā robežu pārvaldība u.c.</w:t>
      </w:r>
    </w:p>
    <w:p w:rsidR="00F5275A" w:rsidRPr="00F5275A" w:rsidRDefault="00F5275A" w:rsidP="00F527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Sekmējot</w:t>
      </w:r>
      <w:r w:rsidRPr="005C0211">
        <w:rPr>
          <w:rFonts w:ascii="Times New Roman" w:hAnsi="Times New Roman" w:cs="Times New Roman"/>
          <w:sz w:val="24"/>
          <w:szCs w:val="24"/>
        </w:rPr>
        <w:t xml:space="preserve"> </w:t>
      </w:r>
      <w:r w:rsidRPr="00D60C78">
        <w:rPr>
          <w:rFonts w:ascii="Times New Roman" w:hAnsi="Times New Roman" w:cs="Times New Roman"/>
          <w:b/>
          <w:sz w:val="24"/>
          <w:szCs w:val="24"/>
        </w:rPr>
        <w:t>Latvijas augstākās izglītības iestāž</w:t>
      </w:r>
      <w:r w:rsidR="00D60C78" w:rsidRPr="00D60C78">
        <w:rPr>
          <w:rFonts w:ascii="Times New Roman" w:hAnsi="Times New Roman" w:cs="Times New Roman"/>
          <w:b/>
          <w:sz w:val="24"/>
          <w:szCs w:val="24"/>
        </w:rPr>
        <w:t>u</w:t>
      </w:r>
      <w:r w:rsidRPr="00D60C78">
        <w:rPr>
          <w:rFonts w:ascii="Times New Roman" w:hAnsi="Times New Roman" w:cs="Times New Roman"/>
          <w:b/>
          <w:sz w:val="24"/>
          <w:szCs w:val="24"/>
        </w:rPr>
        <w:t xml:space="preserve"> savstarpējo sadarbību</w:t>
      </w:r>
      <w:r>
        <w:rPr>
          <w:rFonts w:ascii="Times New Roman" w:hAnsi="Times New Roman" w:cs="Times New Roman"/>
          <w:sz w:val="24"/>
          <w:szCs w:val="24"/>
        </w:rPr>
        <w:t xml:space="preserve">, </w:t>
      </w:r>
      <w:r w:rsidRPr="00D60C78">
        <w:rPr>
          <w:rFonts w:ascii="Times New Roman" w:hAnsi="Times New Roman" w:cs="Times New Roman"/>
          <w:b/>
          <w:sz w:val="24"/>
          <w:szCs w:val="24"/>
        </w:rPr>
        <w:t>kas ietver arī kopīgo doktorantūras studiju programmu un studiju programmu ES valodās izstrādi</w:t>
      </w:r>
      <w:r>
        <w:rPr>
          <w:rFonts w:ascii="Times New Roman" w:hAnsi="Times New Roman" w:cs="Times New Roman"/>
          <w:sz w:val="24"/>
          <w:szCs w:val="24"/>
        </w:rPr>
        <w:t xml:space="preserve">, </w:t>
      </w:r>
      <w:r w:rsidRPr="00F5275A">
        <w:rPr>
          <w:rFonts w:ascii="Times New Roman" w:hAnsi="Times New Roman" w:cs="Times New Roman"/>
          <w:sz w:val="24"/>
          <w:szCs w:val="24"/>
        </w:rPr>
        <w:t>augstskolas izstrādā pieteikumus ESF projektu konkursam par studiju programmu ES valodās un kopīgu doktorantūras programmu izstrādi</w:t>
      </w:r>
      <w:r w:rsidR="002A26A4">
        <w:rPr>
          <w:rFonts w:ascii="Times New Roman" w:hAnsi="Times New Roman" w:cs="Times New Roman"/>
          <w:sz w:val="24"/>
          <w:szCs w:val="24"/>
        </w:rPr>
        <w:t xml:space="preserve"> </w:t>
      </w:r>
      <w:r w:rsidR="002A26A4" w:rsidRPr="005C0211">
        <w:rPr>
          <w:rFonts w:ascii="Times New Roman" w:eastAsia="Times New Roman" w:hAnsi="Times New Roman" w:cs="Times New Roman"/>
          <w:sz w:val="24"/>
          <w:szCs w:val="24"/>
        </w:rPr>
        <w:t>8.2.1.SAM "Samazināt studiju programmu fragmentāciju un stiprināt resursu koplietošanu"</w:t>
      </w:r>
      <w:r w:rsidR="002A26A4">
        <w:rPr>
          <w:rFonts w:ascii="Times New Roman" w:eastAsia="Times New Roman" w:hAnsi="Times New Roman" w:cs="Times New Roman"/>
          <w:sz w:val="24"/>
          <w:szCs w:val="24"/>
        </w:rPr>
        <w:t xml:space="preserve"> ietvaros</w:t>
      </w:r>
      <w:r w:rsidRPr="00F5275A">
        <w:rPr>
          <w:rFonts w:ascii="Times New Roman" w:hAnsi="Times New Roman" w:cs="Times New Roman"/>
          <w:sz w:val="24"/>
          <w:szCs w:val="24"/>
        </w:rPr>
        <w:t xml:space="preserve">. </w:t>
      </w:r>
      <w:r>
        <w:rPr>
          <w:rFonts w:ascii="Times New Roman" w:hAnsi="Times New Roman" w:cs="Times New Roman"/>
          <w:sz w:val="24"/>
          <w:szCs w:val="24"/>
        </w:rPr>
        <w:t>Savukārt, p</w:t>
      </w:r>
      <w:r w:rsidRPr="00F5275A">
        <w:rPr>
          <w:rFonts w:ascii="Times New Roman" w:hAnsi="Times New Roman" w:cs="Times New Roman"/>
          <w:sz w:val="24"/>
          <w:szCs w:val="24"/>
        </w:rPr>
        <w:t xml:space="preserve">rojektu īstenošanu plānots uzsākt </w:t>
      </w:r>
      <w:r w:rsidR="0037022E" w:rsidRPr="00F5275A">
        <w:rPr>
          <w:rFonts w:ascii="Times New Roman" w:hAnsi="Times New Roman" w:cs="Times New Roman"/>
          <w:sz w:val="24"/>
          <w:szCs w:val="24"/>
        </w:rPr>
        <w:t>201</w:t>
      </w:r>
      <w:r w:rsidR="0037022E">
        <w:rPr>
          <w:rFonts w:ascii="Times New Roman" w:hAnsi="Times New Roman" w:cs="Times New Roman"/>
          <w:sz w:val="24"/>
          <w:szCs w:val="24"/>
        </w:rPr>
        <w:t>9</w:t>
      </w:r>
      <w:r w:rsidR="0037022E" w:rsidRPr="00F5275A">
        <w:rPr>
          <w:rFonts w:ascii="Times New Roman" w:hAnsi="Times New Roman" w:cs="Times New Roman"/>
          <w:sz w:val="24"/>
          <w:szCs w:val="24"/>
        </w:rPr>
        <w:t xml:space="preserve">.gada </w:t>
      </w:r>
      <w:r w:rsidR="0037022E">
        <w:rPr>
          <w:rFonts w:ascii="Times New Roman" w:hAnsi="Times New Roman" w:cs="Times New Roman"/>
          <w:sz w:val="24"/>
          <w:szCs w:val="24"/>
        </w:rPr>
        <w:t>1.pusgadā</w:t>
      </w:r>
      <w:r w:rsidRPr="00F5275A">
        <w:rPr>
          <w:rFonts w:ascii="Times New Roman" w:hAnsi="Times New Roman" w:cs="Times New Roman"/>
          <w:sz w:val="24"/>
          <w:szCs w:val="24"/>
        </w:rPr>
        <w:t>.</w:t>
      </w:r>
    </w:p>
    <w:p w:rsidR="00075F4B" w:rsidRDefault="00665D79" w:rsidP="00665D79">
      <w:pPr>
        <w:spacing w:after="0" w:line="240" w:lineRule="auto"/>
        <w:ind w:firstLine="720"/>
        <w:jc w:val="both"/>
        <w:rPr>
          <w:rFonts w:ascii="Times New Roman" w:eastAsia="Times New Roman" w:hAnsi="Times New Roman" w:cs="Times New Roman"/>
          <w:sz w:val="24"/>
          <w:szCs w:val="24"/>
        </w:rPr>
      </w:pPr>
      <w:r w:rsidRPr="005C0211">
        <w:rPr>
          <w:rFonts w:ascii="Times New Roman" w:eastAsia="Times New Roman" w:hAnsi="Times New Roman" w:cs="Times New Roman"/>
          <w:sz w:val="24"/>
          <w:szCs w:val="24"/>
        </w:rPr>
        <w:t>8.2.3. SAM "Nodrošināt labāku pārvaldību augstākās izglītības institūcijās" ietvaros</w:t>
      </w:r>
      <w:r>
        <w:rPr>
          <w:rFonts w:ascii="Times New Roman" w:eastAsia="Times New Roman" w:hAnsi="Times New Roman" w:cs="Times New Roman"/>
          <w:sz w:val="24"/>
          <w:szCs w:val="24"/>
        </w:rPr>
        <w:t xml:space="preserve"> ir paredzēts </w:t>
      </w:r>
      <w:r>
        <w:rPr>
          <w:rFonts w:ascii="Times New Roman" w:hAnsi="Times New Roman" w:cs="Times New Roman"/>
          <w:sz w:val="24"/>
          <w:szCs w:val="24"/>
        </w:rPr>
        <w:t>a</w:t>
      </w:r>
      <w:r w:rsidR="00075F4B" w:rsidRPr="005C0211">
        <w:rPr>
          <w:rFonts w:ascii="Times New Roman" w:hAnsi="Times New Roman" w:cs="Times New Roman"/>
          <w:sz w:val="24"/>
          <w:szCs w:val="24"/>
        </w:rPr>
        <w:t xml:space="preserve">tbalsts </w:t>
      </w:r>
      <w:r w:rsidR="00075F4B" w:rsidRPr="00D60C78">
        <w:rPr>
          <w:rFonts w:ascii="Times New Roman" w:hAnsi="Times New Roman" w:cs="Times New Roman"/>
          <w:b/>
          <w:sz w:val="24"/>
          <w:szCs w:val="24"/>
        </w:rPr>
        <w:t>augstākās izglītības iestāžu, tajā skaitā koledžu, pārvaldības pilnveidošanai, akadēmiskās kapacitātes stiprināšanai un institucionālās izcilības veicināšanai</w:t>
      </w:r>
      <w:r>
        <w:rPr>
          <w:rFonts w:ascii="Times New Roman" w:hAnsi="Times New Roman" w:cs="Times New Roman"/>
          <w:sz w:val="24"/>
          <w:szCs w:val="24"/>
        </w:rPr>
        <w:t xml:space="preserve">. Ir plānots, ka </w:t>
      </w:r>
      <w:r>
        <w:rPr>
          <w:rFonts w:ascii="Times New Roman" w:eastAsia="Times New Roman" w:hAnsi="Times New Roman" w:cs="Times New Roman"/>
          <w:sz w:val="24"/>
          <w:szCs w:val="24"/>
        </w:rPr>
        <w:t>līdz 2023.gada 31.</w:t>
      </w:r>
      <w:r w:rsidRPr="005C0211">
        <w:rPr>
          <w:rFonts w:ascii="Times New Roman" w:eastAsia="Times New Roman" w:hAnsi="Times New Roman" w:cs="Times New Roman"/>
          <w:sz w:val="24"/>
          <w:szCs w:val="24"/>
        </w:rPr>
        <w:t>decembrim</w:t>
      </w:r>
      <w:r>
        <w:rPr>
          <w:rFonts w:ascii="Times New Roman" w:eastAsia="Times New Roman" w:hAnsi="Times New Roman" w:cs="Times New Roman"/>
          <w:sz w:val="24"/>
          <w:szCs w:val="24"/>
        </w:rPr>
        <w:t xml:space="preserve"> 20 augstākās izglītības iestādēm tiks </w:t>
      </w:r>
      <w:r w:rsidRPr="005C0211">
        <w:rPr>
          <w:rFonts w:ascii="Times New Roman" w:eastAsia="Times New Roman" w:hAnsi="Times New Roman" w:cs="Times New Roman"/>
          <w:sz w:val="24"/>
          <w:szCs w:val="24"/>
        </w:rPr>
        <w:t>piešķirts ESF atbalsts attīstības stratēģiju un rezultātu pārvaldības ieviešanai</w:t>
      </w:r>
      <w:r>
        <w:rPr>
          <w:rFonts w:ascii="Times New Roman" w:eastAsia="Times New Roman" w:hAnsi="Times New Roman" w:cs="Times New Roman"/>
          <w:sz w:val="24"/>
          <w:szCs w:val="24"/>
        </w:rPr>
        <w:t>.</w:t>
      </w:r>
    </w:p>
    <w:p w:rsidR="00F05F51" w:rsidRDefault="0015209E" w:rsidP="00F05F51">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Veicinot </w:t>
      </w:r>
      <w:r w:rsidRPr="00D60C78">
        <w:rPr>
          <w:rFonts w:ascii="Times New Roman" w:hAnsi="Times New Roman" w:cs="Times New Roman"/>
          <w:b/>
          <w:sz w:val="24"/>
          <w:szCs w:val="24"/>
        </w:rPr>
        <w:t>m</w:t>
      </w:r>
      <w:r w:rsidR="001B25F4" w:rsidRPr="00D60C78">
        <w:rPr>
          <w:rFonts w:ascii="Times New Roman" w:hAnsi="Times New Roman" w:cs="Times New Roman"/>
          <w:b/>
          <w:sz w:val="24"/>
          <w:szCs w:val="24"/>
        </w:rPr>
        <w:t>ācību un studiju starptautisk</w:t>
      </w:r>
      <w:r w:rsidRPr="00D60C78">
        <w:rPr>
          <w:rFonts w:ascii="Times New Roman" w:hAnsi="Times New Roman" w:cs="Times New Roman"/>
          <w:b/>
          <w:sz w:val="24"/>
          <w:szCs w:val="24"/>
        </w:rPr>
        <w:t>o</w:t>
      </w:r>
      <w:r w:rsidR="001B25F4" w:rsidRPr="00D60C78">
        <w:rPr>
          <w:rFonts w:ascii="Times New Roman" w:hAnsi="Times New Roman" w:cs="Times New Roman"/>
          <w:b/>
          <w:sz w:val="24"/>
          <w:szCs w:val="24"/>
        </w:rPr>
        <w:t xml:space="preserve"> mobilitāt</w:t>
      </w:r>
      <w:r w:rsidRPr="00D60C78">
        <w:rPr>
          <w:rFonts w:ascii="Times New Roman" w:hAnsi="Times New Roman" w:cs="Times New Roman"/>
          <w:b/>
          <w:sz w:val="24"/>
          <w:szCs w:val="24"/>
        </w:rPr>
        <w:t>i</w:t>
      </w:r>
      <w:r w:rsidR="001B25F4" w:rsidRPr="005C0211">
        <w:rPr>
          <w:rFonts w:ascii="Times New Roman" w:hAnsi="Times New Roman" w:cs="Times New Roman"/>
          <w:sz w:val="24"/>
          <w:szCs w:val="24"/>
        </w:rPr>
        <w:t xml:space="preserve">, </w:t>
      </w:r>
      <w:r>
        <w:rPr>
          <w:rFonts w:ascii="Times New Roman" w:hAnsi="Times New Roman" w:cs="Times New Roman"/>
          <w:sz w:val="24"/>
          <w:szCs w:val="24"/>
        </w:rPr>
        <w:t xml:space="preserve">kā arī </w:t>
      </w:r>
      <w:r w:rsidR="001B25F4" w:rsidRPr="005C0211">
        <w:rPr>
          <w:rFonts w:ascii="Times New Roman" w:hAnsi="Times New Roman" w:cs="Times New Roman"/>
          <w:sz w:val="24"/>
          <w:szCs w:val="24"/>
        </w:rPr>
        <w:t>mācību un studiju star</w:t>
      </w:r>
      <w:r>
        <w:rPr>
          <w:rFonts w:ascii="Times New Roman" w:hAnsi="Times New Roman" w:cs="Times New Roman"/>
          <w:sz w:val="24"/>
          <w:szCs w:val="24"/>
        </w:rPr>
        <w:t xml:space="preserve">ptautiskās prakses nodrošināšanu, </w:t>
      </w:r>
      <w:r w:rsidR="00F05F51">
        <w:rPr>
          <w:rFonts w:ascii="Times New Roman" w:eastAsia="Times New Roman" w:hAnsi="Times New Roman" w:cs="Times New Roman"/>
          <w:sz w:val="24"/>
          <w:szCs w:val="24"/>
        </w:rPr>
        <w:t xml:space="preserve"> </w:t>
      </w:r>
      <w:r w:rsidR="001B25F4" w:rsidRPr="005C0211">
        <w:rPr>
          <w:rFonts w:ascii="Times New Roman" w:hAnsi="Times New Roman" w:cs="Times New Roman"/>
          <w:sz w:val="24"/>
          <w:szCs w:val="24"/>
        </w:rPr>
        <w:t xml:space="preserve">Erasmus+ mācību mobilitātes projektos periodā no 2014. līdz 2017.gadam profesionālās izglītības sektorā </w:t>
      </w:r>
      <w:r w:rsidR="00F05F51">
        <w:rPr>
          <w:rFonts w:ascii="Times New Roman" w:hAnsi="Times New Roman" w:cs="Times New Roman"/>
          <w:sz w:val="24"/>
          <w:szCs w:val="24"/>
        </w:rPr>
        <w:t xml:space="preserve">tika atbalstītas 3086 </w:t>
      </w:r>
      <w:r w:rsidR="00F05F51" w:rsidRPr="005C0211">
        <w:rPr>
          <w:rFonts w:ascii="Times New Roman" w:hAnsi="Times New Roman" w:cs="Times New Roman"/>
          <w:sz w:val="24"/>
          <w:szCs w:val="24"/>
        </w:rPr>
        <w:t>mācību un prakses</w:t>
      </w:r>
      <w:r w:rsidR="00F05F51">
        <w:rPr>
          <w:rFonts w:ascii="Times New Roman" w:hAnsi="Times New Roman" w:cs="Times New Roman"/>
          <w:sz w:val="24"/>
          <w:szCs w:val="24"/>
        </w:rPr>
        <w:t xml:space="preserve"> starptautiskās mobilitātes, bet </w:t>
      </w:r>
      <w:r w:rsidR="00F05F51" w:rsidRPr="005C0211">
        <w:rPr>
          <w:rFonts w:ascii="Times New Roman" w:hAnsi="Times New Roman" w:cs="Times New Roman"/>
          <w:sz w:val="24"/>
          <w:szCs w:val="24"/>
        </w:rPr>
        <w:t>augstākās izglītības sektorā</w:t>
      </w:r>
      <w:r w:rsidR="0000298C">
        <w:rPr>
          <w:rFonts w:ascii="Times New Roman" w:hAnsi="Times New Roman" w:cs="Times New Roman"/>
          <w:sz w:val="24"/>
          <w:szCs w:val="24"/>
        </w:rPr>
        <w:t xml:space="preserve"> tika atbalstīta</w:t>
      </w:r>
      <w:r w:rsidR="00F05F51">
        <w:rPr>
          <w:rFonts w:ascii="Times New Roman" w:hAnsi="Times New Roman" w:cs="Times New Roman"/>
          <w:sz w:val="24"/>
          <w:szCs w:val="24"/>
        </w:rPr>
        <w:t xml:space="preserve"> 8181 studiju</w:t>
      </w:r>
      <w:r w:rsidR="00F05F51" w:rsidRPr="005C0211">
        <w:rPr>
          <w:rFonts w:ascii="Times New Roman" w:hAnsi="Times New Roman" w:cs="Times New Roman"/>
          <w:sz w:val="24"/>
          <w:szCs w:val="24"/>
        </w:rPr>
        <w:t xml:space="preserve"> un prakses</w:t>
      </w:r>
      <w:r w:rsidR="00F05F51">
        <w:rPr>
          <w:rFonts w:ascii="Times New Roman" w:hAnsi="Times New Roman" w:cs="Times New Roman"/>
          <w:sz w:val="24"/>
          <w:szCs w:val="24"/>
        </w:rPr>
        <w:t xml:space="preserve"> starptautiskā mobilitāte.</w:t>
      </w:r>
    </w:p>
    <w:p w:rsidR="002E4176" w:rsidRDefault="00F05F51" w:rsidP="00010E12">
      <w:pPr>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Kopumā </w:t>
      </w:r>
      <w:r>
        <w:rPr>
          <w:rFonts w:ascii="Times New Roman" w:eastAsia="Times New Roman" w:hAnsi="Times New Roman" w:cs="Times New Roman"/>
          <w:sz w:val="24"/>
          <w:szCs w:val="24"/>
          <w:lang w:eastAsia="lv-LV"/>
        </w:rPr>
        <w:t>j</w:t>
      </w:r>
      <w:r w:rsidRPr="000B6662">
        <w:rPr>
          <w:rFonts w:ascii="Times New Roman" w:eastAsia="Times New Roman" w:hAnsi="Times New Roman" w:cs="Times New Roman"/>
          <w:sz w:val="24"/>
          <w:szCs w:val="24"/>
          <w:lang w:eastAsia="lv-LV"/>
        </w:rPr>
        <w:t>auniešu</w:t>
      </w:r>
      <w:r w:rsidR="0057445C">
        <w:rPr>
          <w:rFonts w:ascii="Times New Roman" w:eastAsia="Times New Roman" w:hAnsi="Times New Roman" w:cs="Times New Roman"/>
          <w:sz w:val="24"/>
          <w:szCs w:val="24"/>
          <w:lang w:eastAsia="lv-LV"/>
        </w:rPr>
        <w:t xml:space="preserve"> īpatsvars</w:t>
      </w:r>
      <w:r w:rsidRPr="000B6662">
        <w:rPr>
          <w:rFonts w:ascii="Times New Roman" w:eastAsia="Times New Roman" w:hAnsi="Times New Roman" w:cs="Times New Roman"/>
          <w:sz w:val="24"/>
          <w:szCs w:val="24"/>
          <w:lang w:eastAsia="lv-LV"/>
        </w:rPr>
        <w:t>, kas ieguvuši kvalifikāciju sākotnējās profesionālās izglītības programmā un kas kvalifikācijas ieguves ietvaros ir bijuši mācībās vai praksē ārvalst</w:t>
      </w:r>
      <w:r w:rsidR="0057445C">
        <w:rPr>
          <w:rFonts w:ascii="Times New Roman" w:eastAsia="Times New Roman" w:hAnsi="Times New Roman" w:cs="Times New Roman"/>
          <w:sz w:val="24"/>
          <w:szCs w:val="24"/>
          <w:lang w:eastAsia="lv-LV"/>
        </w:rPr>
        <w:t xml:space="preserve">īs, </w:t>
      </w:r>
      <w:r>
        <w:rPr>
          <w:rFonts w:ascii="Times New Roman" w:eastAsia="Times New Roman" w:hAnsi="Times New Roman" w:cs="Times New Roman"/>
          <w:sz w:val="24"/>
          <w:szCs w:val="24"/>
          <w:lang w:eastAsia="lv-LV"/>
        </w:rPr>
        <w:t xml:space="preserve">2017.gadā sasniedzis 5,4%. Savukārt, </w:t>
      </w:r>
      <w:r w:rsidR="0057445C">
        <w:rPr>
          <w:rFonts w:ascii="Times New Roman" w:eastAsia="Times New Roman" w:hAnsi="Times New Roman" w:cs="Times New Roman"/>
          <w:sz w:val="24"/>
          <w:szCs w:val="24"/>
          <w:lang w:eastAsia="lv-LV"/>
        </w:rPr>
        <w:t>a</w:t>
      </w:r>
      <w:r w:rsidRPr="000B6662">
        <w:rPr>
          <w:rFonts w:ascii="Times New Roman" w:eastAsia="Times New Roman" w:hAnsi="Times New Roman" w:cs="Times New Roman"/>
          <w:sz w:val="24"/>
          <w:szCs w:val="24"/>
          <w:lang w:eastAsia="lv-LV"/>
        </w:rPr>
        <w:t>ugstskolu absolventu</w:t>
      </w:r>
      <w:r w:rsidR="0057445C">
        <w:rPr>
          <w:rFonts w:ascii="Times New Roman" w:eastAsia="Times New Roman" w:hAnsi="Times New Roman" w:cs="Times New Roman"/>
          <w:sz w:val="24"/>
          <w:szCs w:val="24"/>
          <w:lang w:eastAsia="lv-LV"/>
        </w:rPr>
        <w:t xml:space="preserve"> īpatsvars</w:t>
      </w:r>
      <w:r w:rsidRPr="000B6662">
        <w:rPr>
          <w:rFonts w:ascii="Times New Roman" w:eastAsia="Times New Roman" w:hAnsi="Times New Roman" w:cs="Times New Roman"/>
          <w:sz w:val="24"/>
          <w:szCs w:val="24"/>
          <w:lang w:eastAsia="lv-LV"/>
        </w:rPr>
        <w:t xml:space="preserve">, kas studiju ietvaros ir studējuši vai bijuši praksē ārvalstīs, </w:t>
      </w:r>
      <w:r>
        <w:rPr>
          <w:rFonts w:ascii="Times New Roman" w:eastAsia="Times New Roman" w:hAnsi="Times New Roman" w:cs="Times New Roman"/>
          <w:sz w:val="24"/>
          <w:szCs w:val="24"/>
          <w:lang w:eastAsia="lv-LV"/>
        </w:rPr>
        <w:t>sasniedzis 8%.</w:t>
      </w:r>
    </w:p>
    <w:p w:rsidR="00636D98" w:rsidRDefault="00010E12" w:rsidP="00806E4A">
      <w:pPr>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Sniedzot </w:t>
      </w:r>
      <w:r w:rsidRPr="0000298C">
        <w:rPr>
          <w:rFonts w:ascii="Times New Roman" w:hAnsi="Times New Roman" w:cs="Times New Roman"/>
          <w:b/>
          <w:sz w:val="24"/>
          <w:szCs w:val="24"/>
        </w:rPr>
        <w:t>a</w:t>
      </w:r>
      <w:r w:rsidR="002E4176" w:rsidRPr="0000298C">
        <w:rPr>
          <w:rFonts w:ascii="Times New Roman" w:hAnsi="Times New Roman" w:cs="Times New Roman"/>
          <w:b/>
          <w:sz w:val="24"/>
          <w:szCs w:val="24"/>
        </w:rPr>
        <w:t>tbalst</w:t>
      </w:r>
      <w:r w:rsidRPr="0000298C">
        <w:rPr>
          <w:rFonts w:ascii="Times New Roman" w:hAnsi="Times New Roman" w:cs="Times New Roman"/>
          <w:b/>
          <w:sz w:val="24"/>
          <w:szCs w:val="24"/>
        </w:rPr>
        <w:t>u</w:t>
      </w:r>
      <w:r w:rsidR="002E4176" w:rsidRPr="0000298C">
        <w:rPr>
          <w:rFonts w:ascii="Times New Roman" w:hAnsi="Times New Roman" w:cs="Times New Roman"/>
          <w:b/>
          <w:sz w:val="24"/>
          <w:szCs w:val="24"/>
        </w:rPr>
        <w:t xml:space="preserve"> ārvalstu studentiem augstākās izglītības iegūšanai Latvijā</w:t>
      </w:r>
      <w:r>
        <w:rPr>
          <w:rFonts w:ascii="Times New Roman" w:hAnsi="Times New Roman" w:cs="Times New Roman"/>
          <w:sz w:val="24"/>
          <w:szCs w:val="24"/>
        </w:rPr>
        <w:t xml:space="preserve">, tika piešķirtas stipendijas studijām, pētniecībai </w:t>
      </w:r>
      <w:r w:rsidRPr="005C0211">
        <w:rPr>
          <w:rFonts w:ascii="Times New Roman" w:eastAsia="Times New Roman" w:hAnsi="Times New Roman" w:cs="Times New Roman"/>
          <w:sz w:val="24"/>
          <w:szCs w:val="24"/>
          <w:lang w:eastAsia="lv-LV"/>
        </w:rPr>
        <w:t>un dalībai Latvijas augstskolu rīkotajās vasaras skolās</w:t>
      </w:r>
      <w:r>
        <w:rPr>
          <w:rFonts w:ascii="Times New Roman" w:eastAsia="Times New Roman" w:hAnsi="Times New Roman" w:cs="Times New Roman"/>
          <w:sz w:val="24"/>
          <w:szCs w:val="24"/>
          <w:lang w:eastAsia="lv-LV"/>
        </w:rPr>
        <w:t>.</w:t>
      </w:r>
      <w:r>
        <w:rPr>
          <w:rFonts w:ascii="Times New Roman" w:hAnsi="Times New Roman" w:cs="Times New Roman"/>
          <w:sz w:val="24"/>
          <w:szCs w:val="24"/>
        </w:rPr>
        <w:t xml:space="preserve"> </w:t>
      </w:r>
      <w:r w:rsidR="002E4176" w:rsidRPr="005C0211">
        <w:rPr>
          <w:rFonts w:ascii="Times New Roman" w:eastAsia="Times New Roman" w:hAnsi="Times New Roman" w:cs="Times New Roman"/>
          <w:sz w:val="24"/>
          <w:szCs w:val="24"/>
          <w:lang w:eastAsia="lv-LV"/>
        </w:rPr>
        <w:t>2015.gadā – 79</w:t>
      </w:r>
      <w:r>
        <w:rPr>
          <w:rFonts w:ascii="Times New Roman" w:eastAsia="Times New Roman" w:hAnsi="Times New Roman" w:cs="Times New Roman"/>
          <w:sz w:val="24"/>
          <w:szCs w:val="24"/>
          <w:lang w:eastAsia="lv-LV"/>
        </w:rPr>
        <w:t xml:space="preserve"> stipendijas</w:t>
      </w:r>
      <w:r w:rsidR="002E4176" w:rsidRPr="005C0211">
        <w:rPr>
          <w:rFonts w:ascii="Times New Roman" w:eastAsia="Times New Roman" w:hAnsi="Times New Roman" w:cs="Times New Roman"/>
          <w:sz w:val="24"/>
          <w:szCs w:val="24"/>
          <w:lang w:eastAsia="lv-LV"/>
        </w:rPr>
        <w:t xml:space="preserve"> par kopējo finansējumu 244 874 EUR, 2016.gadā – 127</w:t>
      </w:r>
      <w:r>
        <w:rPr>
          <w:rFonts w:ascii="Times New Roman" w:eastAsia="Times New Roman" w:hAnsi="Times New Roman" w:cs="Times New Roman"/>
          <w:sz w:val="24"/>
          <w:szCs w:val="24"/>
          <w:lang w:eastAsia="lv-LV"/>
        </w:rPr>
        <w:t xml:space="preserve"> stipendijas</w:t>
      </w:r>
      <w:r w:rsidR="002E4176" w:rsidRPr="005C0211">
        <w:rPr>
          <w:rFonts w:ascii="Times New Roman" w:eastAsia="Times New Roman" w:hAnsi="Times New Roman" w:cs="Times New Roman"/>
          <w:sz w:val="24"/>
          <w:szCs w:val="24"/>
          <w:lang w:eastAsia="lv-LV"/>
        </w:rPr>
        <w:t xml:space="preserve"> par kopējo finansējumu 350 305 EUR, 2017.gadā – 171 </w:t>
      </w:r>
      <w:r>
        <w:rPr>
          <w:rFonts w:ascii="Times New Roman" w:eastAsia="Times New Roman" w:hAnsi="Times New Roman" w:cs="Times New Roman"/>
          <w:sz w:val="24"/>
          <w:szCs w:val="24"/>
          <w:lang w:eastAsia="lv-LV"/>
        </w:rPr>
        <w:t xml:space="preserve">stipendija </w:t>
      </w:r>
      <w:r w:rsidR="002E4176" w:rsidRPr="005C0211">
        <w:rPr>
          <w:rFonts w:ascii="Times New Roman" w:eastAsia="Times New Roman" w:hAnsi="Times New Roman" w:cs="Times New Roman"/>
          <w:sz w:val="24"/>
          <w:szCs w:val="24"/>
          <w:lang w:eastAsia="lv-LV"/>
        </w:rPr>
        <w:t xml:space="preserve">par kopējo finansējumu 473 765 EUR. </w:t>
      </w:r>
    </w:p>
    <w:p w:rsidR="00D5767B" w:rsidRDefault="00806E4A" w:rsidP="00010E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Tāpat ir atbalstīta </w:t>
      </w:r>
      <w:r w:rsidRPr="00D60C78">
        <w:rPr>
          <w:rFonts w:ascii="Times New Roman" w:hAnsi="Times New Roman" w:cs="Times New Roman"/>
          <w:b/>
          <w:sz w:val="24"/>
          <w:szCs w:val="24"/>
        </w:rPr>
        <w:t>a</w:t>
      </w:r>
      <w:r w:rsidR="00636D98" w:rsidRPr="00D60C78">
        <w:rPr>
          <w:rFonts w:ascii="Times New Roman" w:hAnsi="Times New Roman" w:cs="Times New Roman"/>
          <w:b/>
          <w:sz w:val="24"/>
          <w:szCs w:val="24"/>
        </w:rPr>
        <w:t>ugstākās izglītības modernizācija ES partnervalstīs</w:t>
      </w:r>
      <w:r w:rsidR="0088145B">
        <w:rPr>
          <w:rFonts w:ascii="Times New Roman" w:hAnsi="Times New Roman" w:cs="Times New Roman"/>
          <w:sz w:val="24"/>
          <w:szCs w:val="24"/>
        </w:rPr>
        <w:t xml:space="preserve">, organizējot informatīvos pasākumus, kā arī izplatot aktuālo informāciju </w:t>
      </w:r>
      <w:r w:rsidR="0088145B" w:rsidRPr="005C0211">
        <w:rPr>
          <w:rFonts w:ascii="Times New Roman" w:hAnsi="Times New Roman" w:cs="Times New Roman"/>
          <w:sz w:val="24"/>
          <w:szCs w:val="24"/>
        </w:rPr>
        <w:t>Latvijas augstskolām par augstākās izglītības starptautisko dimensiju Erasmus+ programmas ietvaros</w:t>
      </w:r>
      <w:r w:rsidR="0088145B">
        <w:rPr>
          <w:rFonts w:ascii="Times New Roman" w:hAnsi="Times New Roman" w:cs="Times New Roman"/>
          <w:sz w:val="24"/>
          <w:szCs w:val="24"/>
        </w:rPr>
        <w:t>.</w:t>
      </w:r>
    </w:p>
    <w:p w:rsidR="00806E4A" w:rsidRDefault="00806E4A" w:rsidP="00010E12">
      <w:pPr>
        <w:spacing w:after="0" w:line="240" w:lineRule="auto"/>
        <w:ind w:firstLine="720"/>
        <w:jc w:val="both"/>
        <w:rPr>
          <w:rFonts w:ascii="Times New Roman" w:hAnsi="Times New Roman" w:cs="Times New Roman"/>
          <w:sz w:val="24"/>
          <w:szCs w:val="24"/>
        </w:rPr>
      </w:pPr>
    </w:p>
    <w:p w:rsidR="0091128E" w:rsidRDefault="0091128E" w:rsidP="00010E12">
      <w:pPr>
        <w:spacing w:after="0" w:line="240" w:lineRule="auto"/>
        <w:ind w:firstLine="720"/>
        <w:jc w:val="both"/>
        <w:rPr>
          <w:rFonts w:ascii="Times New Roman" w:hAnsi="Times New Roman" w:cs="Times New Roman"/>
          <w:sz w:val="24"/>
          <w:szCs w:val="24"/>
        </w:rPr>
      </w:pPr>
    </w:p>
    <w:p w:rsidR="0091128E" w:rsidRDefault="0091128E" w:rsidP="00010E12">
      <w:pPr>
        <w:spacing w:after="0" w:line="240" w:lineRule="auto"/>
        <w:ind w:firstLine="720"/>
        <w:jc w:val="both"/>
        <w:rPr>
          <w:rFonts w:ascii="Times New Roman" w:hAnsi="Times New Roman" w:cs="Times New Roman"/>
          <w:sz w:val="24"/>
          <w:szCs w:val="24"/>
        </w:rPr>
      </w:pPr>
    </w:p>
    <w:p w:rsidR="005B7A0B" w:rsidRDefault="005B7A0B" w:rsidP="00263768">
      <w:pPr>
        <w:spacing w:after="0" w:line="240" w:lineRule="auto"/>
        <w:jc w:val="center"/>
        <w:rPr>
          <w:rFonts w:ascii="Times New Roman" w:hAnsi="Times New Roman" w:cs="Times New Roman"/>
          <w:b/>
          <w:bCs/>
          <w:sz w:val="24"/>
          <w:szCs w:val="24"/>
        </w:rPr>
      </w:pPr>
    </w:p>
    <w:p w:rsidR="007E180A" w:rsidRDefault="007E180A" w:rsidP="00263768">
      <w:pPr>
        <w:spacing w:after="0" w:line="240" w:lineRule="auto"/>
        <w:jc w:val="center"/>
        <w:rPr>
          <w:rFonts w:ascii="Times New Roman" w:hAnsi="Times New Roman" w:cs="Times New Roman"/>
          <w:b/>
          <w:bCs/>
          <w:sz w:val="24"/>
          <w:szCs w:val="24"/>
        </w:rPr>
      </w:pPr>
    </w:p>
    <w:p w:rsidR="007E180A" w:rsidRDefault="007E180A" w:rsidP="00263768">
      <w:pPr>
        <w:spacing w:after="0" w:line="240" w:lineRule="auto"/>
        <w:jc w:val="center"/>
        <w:rPr>
          <w:rFonts w:ascii="Times New Roman" w:hAnsi="Times New Roman" w:cs="Times New Roman"/>
          <w:b/>
          <w:bCs/>
          <w:sz w:val="24"/>
          <w:szCs w:val="24"/>
        </w:rPr>
      </w:pPr>
    </w:p>
    <w:p w:rsidR="0091128E" w:rsidRPr="0091128E" w:rsidRDefault="0091128E" w:rsidP="00263768">
      <w:pPr>
        <w:spacing w:after="0" w:line="240" w:lineRule="auto"/>
        <w:jc w:val="center"/>
        <w:rPr>
          <w:rFonts w:ascii="Times New Roman" w:hAnsi="Times New Roman" w:cs="Times New Roman"/>
          <w:b/>
          <w:sz w:val="24"/>
          <w:szCs w:val="24"/>
        </w:rPr>
      </w:pPr>
      <w:r w:rsidRPr="0091128E">
        <w:rPr>
          <w:rFonts w:ascii="Times New Roman" w:hAnsi="Times New Roman" w:cs="Times New Roman"/>
          <w:b/>
          <w:bCs/>
          <w:sz w:val="24"/>
          <w:szCs w:val="24"/>
        </w:rPr>
        <w:lastRenderedPageBreak/>
        <w:t>III. Secinājumi un turpmāk</w:t>
      </w:r>
      <w:r w:rsidR="00736389">
        <w:rPr>
          <w:rFonts w:ascii="Times New Roman" w:hAnsi="Times New Roman" w:cs="Times New Roman"/>
          <w:b/>
          <w:bCs/>
          <w:sz w:val="24"/>
          <w:szCs w:val="24"/>
        </w:rPr>
        <w:t>ā</w:t>
      </w:r>
      <w:r w:rsidRPr="0091128E">
        <w:rPr>
          <w:rFonts w:ascii="Times New Roman" w:hAnsi="Times New Roman" w:cs="Times New Roman"/>
          <w:b/>
          <w:bCs/>
          <w:sz w:val="24"/>
          <w:szCs w:val="24"/>
        </w:rPr>
        <w:t xml:space="preserve"> rīcība</w:t>
      </w:r>
    </w:p>
    <w:p w:rsidR="00C66FEB" w:rsidRDefault="00C66FEB" w:rsidP="00263768">
      <w:pPr>
        <w:spacing w:after="0" w:line="240" w:lineRule="auto"/>
        <w:rPr>
          <w:rFonts w:ascii="Times New Roman" w:hAnsi="Times New Roman" w:cs="Times New Roman"/>
          <w:sz w:val="24"/>
          <w:szCs w:val="24"/>
        </w:rPr>
      </w:pPr>
    </w:p>
    <w:p w:rsidR="00C66FEB" w:rsidRPr="00C66FEB" w:rsidRDefault="00C66FEB" w:rsidP="00C66FEB">
      <w:pPr>
        <w:spacing w:after="120" w:line="240" w:lineRule="auto"/>
        <w:rPr>
          <w:rFonts w:ascii="Times New Roman" w:hAnsi="Times New Roman" w:cs="Times New Roman"/>
          <w:b/>
          <w:sz w:val="24"/>
          <w:szCs w:val="24"/>
        </w:rPr>
      </w:pPr>
      <w:r w:rsidRPr="00C66FEB">
        <w:rPr>
          <w:rFonts w:ascii="Times New Roman" w:hAnsi="Times New Roman" w:cs="Times New Roman"/>
          <w:b/>
          <w:sz w:val="24"/>
          <w:szCs w:val="24"/>
        </w:rPr>
        <w:t>1. IAP 2014.–2020.gadam īstenošanas procesa galvenie secinājumi</w:t>
      </w:r>
    </w:p>
    <w:p w:rsidR="0091128E" w:rsidRDefault="0091128E" w:rsidP="0091128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MK 2014.gada 2.decembra noteikumiem Nr.737 “Attīstības plānošanas dokumentu izstrādes un ietekmes izvērtēšanas noteikumi” starpposma izvērtējums novērtē sasniegto politikas plānošanas dokumentā, kā arī nosaka faktorus, kas ietekmējušās tā īstenošanu. </w:t>
      </w:r>
      <w:bookmarkStart w:id="1" w:name="p-536906"/>
      <w:bookmarkStart w:id="2" w:name="p40"/>
      <w:bookmarkEnd w:id="1"/>
      <w:bookmarkEnd w:id="2"/>
    </w:p>
    <w:p w:rsidR="0091128E" w:rsidRDefault="0091128E" w:rsidP="0091128E">
      <w:pPr>
        <w:spacing w:after="120" w:line="240" w:lineRule="auto"/>
        <w:ind w:firstLine="720"/>
        <w:jc w:val="both"/>
        <w:rPr>
          <w:bCs/>
          <w:sz w:val="26"/>
          <w:szCs w:val="26"/>
        </w:rPr>
      </w:pPr>
      <w:r w:rsidRPr="00D36A1A">
        <w:rPr>
          <w:rFonts w:ascii="Times New Roman" w:hAnsi="Times New Roman" w:cs="Times New Roman"/>
          <w:sz w:val="24"/>
          <w:szCs w:val="24"/>
        </w:rPr>
        <w:t xml:space="preserve">Plānojot politiku vidējā termiņā, jāievēro, ka tās īstenošanas laikā var parādīties iekšējie vai ārējie faktori, kas ietekmēs plānotos </w:t>
      </w:r>
      <w:r>
        <w:rPr>
          <w:rFonts w:ascii="Times New Roman" w:hAnsi="Times New Roman" w:cs="Times New Roman"/>
          <w:sz w:val="24"/>
          <w:szCs w:val="24"/>
        </w:rPr>
        <w:t>rezultātu</w:t>
      </w:r>
      <w:r w:rsidR="003530A3">
        <w:rPr>
          <w:rFonts w:ascii="Times New Roman" w:hAnsi="Times New Roman" w:cs="Times New Roman"/>
          <w:sz w:val="24"/>
          <w:szCs w:val="24"/>
        </w:rPr>
        <w:t>s</w:t>
      </w:r>
      <w:r w:rsidRPr="00D36A1A">
        <w:rPr>
          <w:rFonts w:ascii="Times New Roman" w:hAnsi="Times New Roman" w:cs="Times New Roman"/>
          <w:sz w:val="24"/>
          <w:szCs w:val="24"/>
        </w:rPr>
        <w:t xml:space="preserve"> un to </w:t>
      </w:r>
      <w:r>
        <w:rPr>
          <w:rFonts w:ascii="Times New Roman" w:hAnsi="Times New Roman" w:cs="Times New Roman"/>
          <w:sz w:val="24"/>
          <w:szCs w:val="24"/>
        </w:rPr>
        <w:t>rādītāju sasniegšanu</w:t>
      </w:r>
      <w:r w:rsidRPr="00D36A1A">
        <w:rPr>
          <w:rFonts w:ascii="Times New Roman" w:hAnsi="Times New Roman" w:cs="Times New Roman"/>
          <w:sz w:val="24"/>
          <w:szCs w:val="24"/>
        </w:rPr>
        <w:t xml:space="preserve">, un, iespējams, arī prioritātes un </w:t>
      </w:r>
      <w:r>
        <w:rPr>
          <w:rFonts w:ascii="Times New Roman" w:hAnsi="Times New Roman" w:cs="Times New Roman"/>
          <w:sz w:val="24"/>
          <w:szCs w:val="24"/>
        </w:rPr>
        <w:t>pasākumus</w:t>
      </w:r>
      <w:r w:rsidR="002B1FEB">
        <w:rPr>
          <w:rFonts w:ascii="Times New Roman" w:hAnsi="Times New Roman" w:cs="Times New Roman"/>
          <w:sz w:val="24"/>
          <w:szCs w:val="24"/>
        </w:rPr>
        <w:t xml:space="preserve"> – finansējuma pieejamība, politiskie lēmumi, utt</w:t>
      </w:r>
      <w:r>
        <w:rPr>
          <w:rFonts w:ascii="Times New Roman" w:hAnsi="Times New Roman" w:cs="Times New Roman"/>
          <w:sz w:val="24"/>
          <w:szCs w:val="24"/>
        </w:rPr>
        <w:t>.</w:t>
      </w:r>
      <w:r>
        <w:rPr>
          <w:bCs/>
          <w:sz w:val="26"/>
          <w:szCs w:val="26"/>
        </w:rPr>
        <w:t xml:space="preserve"> </w:t>
      </w:r>
    </w:p>
    <w:p w:rsidR="0091128E" w:rsidRDefault="0091128E" w:rsidP="0091128E">
      <w:pPr>
        <w:spacing w:after="0" w:line="240" w:lineRule="auto"/>
        <w:ind w:firstLine="720"/>
        <w:jc w:val="both"/>
        <w:rPr>
          <w:rFonts w:ascii="Times New Roman" w:hAnsi="Times New Roman" w:cs="Times New Roman"/>
          <w:sz w:val="24"/>
          <w:szCs w:val="24"/>
        </w:rPr>
      </w:pPr>
      <w:r w:rsidRPr="00F67B51">
        <w:rPr>
          <w:rFonts w:ascii="Times New Roman" w:hAnsi="Times New Roman" w:cs="Times New Roman"/>
          <w:sz w:val="24"/>
          <w:szCs w:val="24"/>
        </w:rPr>
        <w:t>IAP 201</w:t>
      </w:r>
      <w:r>
        <w:rPr>
          <w:rFonts w:ascii="Times New Roman" w:hAnsi="Times New Roman" w:cs="Times New Roman"/>
          <w:sz w:val="24"/>
          <w:szCs w:val="24"/>
        </w:rPr>
        <w:t>4.–2020.gadam īstenošanas plāna</w:t>
      </w:r>
      <w:r w:rsidRPr="00F67B51">
        <w:rPr>
          <w:rFonts w:ascii="Times New Roman" w:hAnsi="Times New Roman" w:cs="Times New Roman"/>
          <w:sz w:val="24"/>
          <w:szCs w:val="24"/>
        </w:rPr>
        <w:t xml:space="preserve"> 2015.–2017.gadam</w:t>
      </w:r>
      <w:r>
        <w:rPr>
          <w:rFonts w:ascii="Times New Roman" w:hAnsi="Times New Roman" w:cs="Times New Roman"/>
          <w:sz w:val="24"/>
          <w:szCs w:val="24"/>
        </w:rPr>
        <w:t xml:space="preserve"> kontekstā var atzīmēt šādas pasākumu grupas pēc izpildes progresa:</w:t>
      </w:r>
    </w:p>
    <w:p w:rsidR="0091128E" w:rsidRPr="0037061A" w:rsidRDefault="0091128E" w:rsidP="0091128E">
      <w:pPr>
        <w:pStyle w:val="ListParagraph"/>
        <w:numPr>
          <w:ilvl w:val="0"/>
          <w:numId w:val="14"/>
        </w:numPr>
        <w:jc w:val="both"/>
      </w:pPr>
      <w:r w:rsidRPr="0037061A">
        <w:t>izpildītie pasākumi – pārsvarā šie pasākumi paredzēja normatīvās bāzes izstrād</w:t>
      </w:r>
      <w:r w:rsidR="00CB2A4E">
        <w:t>i</w:t>
      </w:r>
      <w:r w:rsidRPr="0037061A">
        <w:t xml:space="preserve"> turpmākās rīcības nodrošināšanai, bija veicami regulāri ikgadējā procesa ietvaros vai daži pasākumi ārvalstu finansējuma instrumentu ietvaros, kuri tiks turpināti a</w:t>
      </w:r>
      <w:r w:rsidR="00CB2A4E">
        <w:t xml:space="preserve">tbilstoši šo instrumentu </w:t>
      </w:r>
      <w:r w:rsidR="00D80F64">
        <w:t xml:space="preserve">īstenošanas </w:t>
      </w:r>
      <w:r w:rsidR="00CB2A4E">
        <w:t>plān</w:t>
      </w:r>
      <w:r w:rsidR="00D80F64">
        <w:t>iem</w:t>
      </w:r>
      <w:r w:rsidRPr="0037061A">
        <w:t>;</w:t>
      </w:r>
    </w:p>
    <w:p w:rsidR="0091128E" w:rsidRPr="0037061A" w:rsidRDefault="0091128E" w:rsidP="0091128E">
      <w:pPr>
        <w:pStyle w:val="ListParagraph"/>
        <w:numPr>
          <w:ilvl w:val="0"/>
          <w:numId w:val="14"/>
        </w:numPr>
        <w:jc w:val="both"/>
      </w:pPr>
      <w:r w:rsidRPr="0037061A">
        <w:t xml:space="preserve">uzsāktie / daļēji izpildītie pasākumi </w:t>
      </w:r>
      <w:r w:rsidR="00D763F7">
        <w:t>–</w:t>
      </w:r>
      <w:r w:rsidRPr="0037061A">
        <w:t xml:space="preserve"> </w:t>
      </w:r>
      <w:r w:rsidR="00D763F7">
        <w:t>piemēram,</w:t>
      </w:r>
      <w:r w:rsidRPr="003D7AF2">
        <w:t xml:space="preserve"> pasākumi, kuru īstenošana </w:t>
      </w:r>
      <w:r w:rsidR="003D7AF2">
        <w:t xml:space="preserve">notiek ES fondu </w:t>
      </w:r>
      <w:r w:rsidR="00D46BC1">
        <w:t>ietvaros</w:t>
      </w:r>
      <w:r w:rsidRPr="003D7AF2">
        <w:t xml:space="preserve"> un projekti turpināsies līdz esošā ES fondu plānošanas perioda beigām</w:t>
      </w:r>
      <w:r w:rsidRPr="0037061A">
        <w:t>;</w:t>
      </w:r>
    </w:p>
    <w:p w:rsidR="00A3273D" w:rsidRPr="00835FDE" w:rsidRDefault="0091128E" w:rsidP="00835FDE">
      <w:pPr>
        <w:pStyle w:val="ListParagraph"/>
        <w:numPr>
          <w:ilvl w:val="0"/>
          <w:numId w:val="14"/>
        </w:numPr>
        <w:jc w:val="both"/>
      </w:pPr>
      <w:r w:rsidRPr="0037061A">
        <w:t>neuzsāktie pasākumi –</w:t>
      </w:r>
      <w:r w:rsidR="003D7AF2">
        <w:t xml:space="preserve"> </w:t>
      </w:r>
      <w:r w:rsidRPr="003D7AF2">
        <w:t xml:space="preserve">tādi, kuru uzsākšana tika kavēta </w:t>
      </w:r>
      <w:r w:rsidR="003D7AF2">
        <w:t>objektīvo iemeslu</w:t>
      </w:r>
      <w:r w:rsidRPr="003D7AF2">
        <w:t xml:space="preserve"> dēļ</w:t>
      </w:r>
      <w:r w:rsidR="006A7E2F">
        <w:t xml:space="preserve"> vai kuru aktualitāte mainījās laika gaitā</w:t>
      </w:r>
      <w:r w:rsidRPr="003D7AF2">
        <w:t>.</w:t>
      </w:r>
    </w:p>
    <w:p w:rsidR="00B56D4C" w:rsidRDefault="00A3273D" w:rsidP="00835FDE">
      <w:pPr>
        <w:spacing w:before="120" w:after="120" w:line="240" w:lineRule="auto"/>
        <w:ind w:firstLine="714"/>
        <w:jc w:val="both"/>
        <w:rPr>
          <w:rFonts w:ascii="Times New Roman" w:hAnsi="Times New Roman" w:cs="Times New Roman"/>
          <w:sz w:val="24"/>
          <w:szCs w:val="24"/>
        </w:rPr>
      </w:pPr>
      <w:r w:rsidRPr="006A7E2F">
        <w:rPr>
          <w:rFonts w:ascii="Times New Roman" w:hAnsi="Times New Roman" w:cs="Times New Roman"/>
          <w:sz w:val="24"/>
          <w:szCs w:val="24"/>
        </w:rPr>
        <w:t xml:space="preserve">IAP 2014.-2020.gadam pasākumu īstenošanu </w:t>
      </w:r>
      <w:r w:rsidR="00684583">
        <w:rPr>
          <w:rFonts w:ascii="Times New Roman" w:hAnsi="Times New Roman" w:cs="Times New Roman"/>
          <w:sz w:val="24"/>
          <w:szCs w:val="24"/>
        </w:rPr>
        <w:t>lielā mērā ietekmēja arī</w:t>
      </w:r>
      <w:r w:rsidRPr="006A7E2F">
        <w:rPr>
          <w:rFonts w:ascii="Times New Roman" w:hAnsi="Times New Roman" w:cs="Times New Roman"/>
          <w:sz w:val="24"/>
          <w:szCs w:val="24"/>
        </w:rPr>
        <w:t xml:space="preserve"> </w:t>
      </w:r>
      <w:r w:rsidR="00D80F64">
        <w:rPr>
          <w:rFonts w:ascii="Times New Roman" w:hAnsi="Times New Roman" w:cs="Times New Roman"/>
          <w:sz w:val="24"/>
          <w:szCs w:val="24"/>
        </w:rPr>
        <w:t xml:space="preserve">tas, </w:t>
      </w:r>
      <w:r w:rsidRPr="006A7E2F">
        <w:rPr>
          <w:rFonts w:ascii="Times New Roman" w:hAnsi="Times New Roman" w:cs="Times New Roman"/>
          <w:sz w:val="24"/>
          <w:szCs w:val="24"/>
        </w:rPr>
        <w:t xml:space="preserve">ka IAP 2014.-2020.gadam </w:t>
      </w:r>
      <w:r w:rsidR="00D80F64">
        <w:rPr>
          <w:rFonts w:ascii="Times New Roman" w:hAnsi="Times New Roman" w:cs="Times New Roman"/>
          <w:sz w:val="24"/>
          <w:szCs w:val="24"/>
        </w:rPr>
        <w:t>plānotās</w:t>
      </w:r>
      <w:r w:rsidR="00D80F64" w:rsidRPr="006A7E2F">
        <w:rPr>
          <w:rFonts w:ascii="Times New Roman" w:hAnsi="Times New Roman" w:cs="Times New Roman"/>
          <w:sz w:val="24"/>
          <w:szCs w:val="24"/>
        </w:rPr>
        <w:t xml:space="preserve"> </w:t>
      </w:r>
      <w:r w:rsidRPr="006A7E2F">
        <w:rPr>
          <w:rFonts w:ascii="Times New Roman" w:hAnsi="Times New Roman" w:cs="Times New Roman"/>
          <w:sz w:val="24"/>
          <w:szCs w:val="24"/>
        </w:rPr>
        <w:t xml:space="preserve">izglītības reformas lielākoties tiek īstenotas ar ES fondu atbalstu. </w:t>
      </w:r>
      <w:r w:rsidR="00D46BC1">
        <w:rPr>
          <w:rFonts w:ascii="Times New Roman" w:hAnsi="Times New Roman" w:cs="Times New Roman"/>
          <w:sz w:val="24"/>
          <w:szCs w:val="24"/>
        </w:rPr>
        <w:t>Līdz ar to dažus pasākumus ietekmēja nobīdes SAM īstenošanas grafikā objektīv</w:t>
      </w:r>
      <w:r w:rsidR="00D80F64">
        <w:rPr>
          <w:rFonts w:ascii="Times New Roman" w:hAnsi="Times New Roman" w:cs="Times New Roman"/>
          <w:sz w:val="24"/>
          <w:szCs w:val="24"/>
        </w:rPr>
        <w:t>u</w:t>
      </w:r>
      <w:r w:rsidR="00D46BC1">
        <w:rPr>
          <w:rFonts w:ascii="Times New Roman" w:hAnsi="Times New Roman" w:cs="Times New Roman"/>
          <w:sz w:val="24"/>
          <w:szCs w:val="24"/>
        </w:rPr>
        <w:t xml:space="preserve"> iemeslu dēļ, piemēram, </w:t>
      </w:r>
      <w:r w:rsidR="00D80F64">
        <w:rPr>
          <w:rFonts w:ascii="Times New Roman" w:hAnsi="Times New Roman" w:cs="Times New Roman"/>
          <w:sz w:val="24"/>
          <w:szCs w:val="24"/>
        </w:rPr>
        <w:t xml:space="preserve">nepieciešamība nodrošināt ES fondu investīciju </w:t>
      </w:r>
      <w:r w:rsidR="00153839" w:rsidRPr="00153839">
        <w:rPr>
          <w:rFonts w:ascii="Times New Roman" w:hAnsi="Times New Roman" w:cs="Times New Roman"/>
          <w:i/>
          <w:sz w:val="24"/>
          <w:szCs w:val="24"/>
        </w:rPr>
        <w:t xml:space="preserve">ex-ante </w:t>
      </w:r>
      <w:r w:rsidR="00153839">
        <w:rPr>
          <w:rFonts w:ascii="Times New Roman" w:hAnsi="Times New Roman" w:cs="Times New Roman"/>
          <w:sz w:val="24"/>
          <w:szCs w:val="24"/>
        </w:rPr>
        <w:t>nosacījumu izpild</w:t>
      </w:r>
      <w:r w:rsidR="00D80F64">
        <w:rPr>
          <w:rFonts w:ascii="Times New Roman" w:hAnsi="Times New Roman" w:cs="Times New Roman"/>
          <w:sz w:val="24"/>
          <w:szCs w:val="24"/>
        </w:rPr>
        <w:t xml:space="preserve">i līdz </w:t>
      </w:r>
      <w:r w:rsidR="001E2909">
        <w:rPr>
          <w:rFonts w:ascii="Times New Roman" w:hAnsi="Times New Roman" w:cs="Times New Roman"/>
          <w:sz w:val="24"/>
          <w:szCs w:val="24"/>
        </w:rPr>
        <w:t xml:space="preserve">investīciju uzsākšanai, investīciju pamatojumu </w:t>
      </w:r>
      <w:r w:rsidR="00153839">
        <w:rPr>
          <w:rFonts w:ascii="Times New Roman" w:hAnsi="Times New Roman" w:cs="Times New Roman"/>
          <w:sz w:val="24"/>
          <w:szCs w:val="24"/>
        </w:rPr>
        <w:t xml:space="preserve">saskaņošanas process ar </w:t>
      </w:r>
      <w:r w:rsidR="003A5526">
        <w:rPr>
          <w:rFonts w:ascii="Times New Roman" w:hAnsi="Times New Roman" w:cs="Times New Roman"/>
          <w:sz w:val="24"/>
          <w:szCs w:val="24"/>
        </w:rPr>
        <w:t>iesaistītajām</w:t>
      </w:r>
      <w:r w:rsidR="00153839">
        <w:rPr>
          <w:rFonts w:ascii="Times New Roman" w:hAnsi="Times New Roman" w:cs="Times New Roman"/>
          <w:sz w:val="24"/>
          <w:szCs w:val="24"/>
        </w:rPr>
        <w:t xml:space="preserve"> pusēm, normatīvo aktu izstrādes procedūras, </w:t>
      </w:r>
      <w:r w:rsidR="00D46BC1">
        <w:rPr>
          <w:rFonts w:ascii="Times New Roman" w:hAnsi="Times New Roman" w:cs="Times New Roman"/>
          <w:sz w:val="24"/>
          <w:szCs w:val="24"/>
        </w:rPr>
        <w:t>ieviešanas modeļa maiņa</w:t>
      </w:r>
      <w:r w:rsidR="001E2909">
        <w:rPr>
          <w:rFonts w:ascii="Times New Roman" w:hAnsi="Times New Roman" w:cs="Times New Roman"/>
          <w:sz w:val="24"/>
          <w:szCs w:val="24"/>
        </w:rPr>
        <w:t xml:space="preserve"> atsevišķiem pasākumiem</w:t>
      </w:r>
      <w:r w:rsidR="00153839">
        <w:rPr>
          <w:rFonts w:ascii="Times New Roman" w:hAnsi="Times New Roman" w:cs="Times New Roman"/>
          <w:sz w:val="24"/>
          <w:szCs w:val="24"/>
        </w:rPr>
        <w:t xml:space="preserve">, plānoto rezultātu vērtību </w:t>
      </w:r>
      <w:r w:rsidR="001E2909">
        <w:rPr>
          <w:rFonts w:ascii="Times New Roman" w:hAnsi="Times New Roman" w:cs="Times New Roman"/>
          <w:sz w:val="24"/>
          <w:szCs w:val="24"/>
        </w:rPr>
        <w:t xml:space="preserve">izmaiņas </w:t>
      </w:r>
      <w:r w:rsidR="00153839">
        <w:rPr>
          <w:rFonts w:ascii="Times New Roman" w:hAnsi="Times New Roman" w:cs="Times New Roman"/>
          <w:sz w:val="24"/>
          <w:szCs w:val="24"/>
        </w:rPr>
        <w:t xml:space="preserve">sakarā ar </w:t>
      </w:r>
      <w:r w:rsidR="00153839" w:rsidRPr="00153839">
        <w:rPr>
          <w:rFonts w:ascii="Times New Roman" w:hAnsi="Times New Roman" w:cs="Times New Roman"/>
          <w:sz w:val="24"/>
          <w:szCs w:val="24"/>
        </w:rPr>
        <w:t>sociālekonomisko situāciju nozarē</w:t>
      </w:r>
      <w:r w:rsidR="00153839">
        <w:rPr>
          <w:rFonts w:ascii="Times New Roman" w:hAnsi="Times New Roman" w:cs="Times New Roman"/>
          <w:sz w:val="24"/>
          <w:szCs w:val="24"/>
        </w:rPr>
        <w:t xml:space="preserve">, </w:t>
      </w:r>
      <w:r w:rsidR="001E2909">
        <w:rPr>
          <w:rFonts w:ascii="Times New Roman" w:hAnsi="Times New Roman" w:cs="Times New Roman"/>
          <w:sz w:val="24"/>
          <w:szCs w:val="24"/>
        </w:rPr>
        <w:t xml:space="preserve">lēnāka </w:t>
      </w:r>
      <w:r w:rsidR="00153839">
        <w:rPr>
          <w:rFonts w:ascii="Times New Roman" w:hAnsi="Times New Roman" w:cs="Times New Roman"/>
          <w:sz w:val="24"/>
          <w:szCs w:val="24"/>
        </w:rPr>
        <w:t xml:space="preserve">potenciālo sadarbības partneru </w:t>
      </w:r>
      <w:r w:rsidR="001E2909">
        <w:rPr>
          <w:rFonts w:ascii="Times New Roman" w:hAnsi="Times New Roman" w:cs="Times New Roman"/>
          <w:sz w:val="24"/>
          <w:szCs w:val="24"/>
        </w:rPr>
        <w:t xml:space="preserve"> iesaistīšanās projektos</w:t>
      </w:r>
      <w:r w:rsidR="00FF69A7">
        <w:rPr>
          <w:rFonts w:ascii="Times New Roman" w:hAnsi="Times New Roman" w:cs="Times New Roman"/>
          <w:sz w:val="24"/>
          <w:szCs w:val="24"/>
        </w:rPr>
        <w:t xml:space="preserve"> </w:t>
      </w:r>
      <w:r w:rsidR="00153839">
        <w:rPr>
          <w:rFonts w:ascii="Times New Roman" w:hAnsi="Times New Roman" w:cs="Times New Roman"/>
          <w:sz w:val="24"/>
          <w:szCs w:val="24"/>
        </w:rPr>
        <w:t xml:space="preserve">vai neatbilstība </w:t>
      </w:r>
      <w:r w:rsidR="001E2909">
        <w:rPr>
          <w:rFonts w:ascii="Times New Roman" w:hAnsi="Times New Roman" w:cs="Times New Roman"/>
          <w:sz w:val="24"/>
          <w:szCs w:val="24"/>
        </w:rPr>
        <w:t xml:space="preserve">izvirzītajiem </w:t>
      </w:r>
      <w:r w:rsidR="00153839">
        <w:rPr>
          <w:rFonts w:ascii="Times New Roman" w:hAnsi="Times New Roman" w:cs="Times New Roman"/>
          <w:sz w:val="24"/>
          <w:szCs w:val="24"/>
        </w:rPr>
        <w:t>kritērijiem, iesniegto piedāvājumu vērtēšanas process u.c.</w:t>
      </w:r>
    </w:p>
    <w:p w:rsidR="00835FDE" w:rsidRDefault="00835FDE" w:rsidP="00153839">
      <w:pPr>
        <w:spacing w:after="120" w:line="240" w:lineRule="auto"/>
        <w:ind w:firstLine="714"/>
        <w:jc w:val="both"/>
        <w:rPr>
          <w:rFonts w:ascii="Times New Roman" w:hAnsi="Times New Roman" w:cs="Times New Roman"/>
          <w:sz w:val="24"/>
          <w:szCs w:val="24"/>
        </w:rPr>
      </w:pPr>
      <w:r w:rsidRPr="006A7E2F">
        <w:rPr>
          <w:rFonts w:ascii="Times New Roman" w:hAnsi="Times New Roman" w:cs="Times New Roman"/>
          <w:sz w:val="24"/>
          <w:szCs w:val="24"/>
        </w:rPr>
        <w:t>Plašākā informācija par pasākumu izpildes statusu ir pieejama informatīvā ziņojuma 1.pielikumā “Izglītības attīstības pamatnostādņu 2014.-2020.gadam īstenošanas plāna 2015.-2017.gadam izpilde”</w:t>
      </w:r>
      <w:r w:rsidR="00A82767">
        <w:rPr>
          <w:rFonts w:ascii="Times New Roman" w:hAnsi="Times New Roman" w:cs="Times New Roman"/>
          <w:sz w:val="24"/>
          <w:szCs w:val="24"/>
        </w:rPr>
        <w:t>.</w:t>
      </w:r>
    </w:p>
    <w:p w:rsidR="0091128E" w:rsidRPr="00D36A1A" w:rsidRDefault="0091128E" w:rsidP="0091128E">
      <w:pPr>
        <w:spacing w:before="120" w:after="120" w:line="240" w:lineRule="auto"/>
        <w:ind w:left="357" w:firstLine="357"/>
        <w:jc w:val="both"/>
        <w:rPr>
          <w:rFonts w:ascii="Times New Roman" w:hAnsi="Times New Roman" w:cs="Times New Roman"/>
          <w:sz w:val="24"/>
          <w:szCs w:val="24"/>
        </w:rPr>
      </w:pPr>
      <w:r>
        <w:rPr>
          <w:rFonts w:ascii="Times New Roman" w:hAnsi="Times New Roman" w:cs="Times New Roman"/>
          <w:sz w:val="24"/>
          <w:szCs w:val="24"/>
        </w:rPr>
        <w:t>Vērtējot IAP 2014.-2020.gadam īstenošanas progresu, jāatzīmē šādi svarīgākie paveiktie pasākumi pārskata periodā.</w:t>
      </w:r>
    </w:p>
    <w:p w:rsidR="0091128E" w:rsidRPr="003C13BC" w:rsidRDefault="0091128E" w:rsidP="0091128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 </w:t>
      </w:r>
      <w:r w:rsidRPr="003C13BC">
        <w:rPr>
          <w:rFonts w:ascii="Times New Roman" w:hAnsi="Times New Roman" w:cs="Times New Roman"/>
          <w:b/>
          <w:sz w:val="24"/>
          <w:szCs w:val="24"/>
          <w:u w:val="single"/>
        </w:rPr>
        <w:t>Izglītības vide: paaugstināt izglītības vides kvalitāti, veicot satura pilnveidi un attīstot atbilstošu infrastruktūru</w:t>
      </w:r>
    </w:p>
    <w:p w:rsidR="0091128E" w:rsidRPr="00993CFB" w:rsidRDefault="0091128E" w:rsidP="00483B63">
      <w:pPr>
        <w:pStyle w:val="ListParagraph"/>
        <w:numPr>
          <w:ilvl w:val="0"/>
          <w:numId w:val="13"/>
        </w:numPr>
        <w:ind w:left="426"/>
        <w:jc w:val="both"/>
      </w:pPr>
      <w:r w:rsidRPr="00993CFB">
        <w:t xml:space="preserve">Rīcības virziena “1.1. Uz zināšanu sabiedrībā pieprasītām kompetencēm orientēta, radošumu, inovāciju un veselīga dzīves veida veicinoša izglītības satura pilnveide” ietvaros ir akcentējams darbs pie kompetenču pieejā pilnveidota vispārējās izglītības satura izstrādes; profesionālās izglītības pievilcības veicināšana, tajā skaitā, DVB mācību attīstība; uzsāktais darbs pie studiju programmu fragmentācijas mazināšanas un resursu koplietošanas stiprināšanas, nodrošinot arī mūsdienīgu studiju un pētniecības vidi STEM jomās. </w:t>
      </w:r>
    </w:p>
    <w:p w:rsidR="0091128E" w:rsidRPr="00993CFB" w:rsidRDefault="0091128E" w:rsidP="00483B63">
      <w:pPr>
        <w:pStyle w:val="ListParagraph"/>
        <w:numPr>
          <w:ilvl w:val="0"/>
          <w:numId w:val="13"/>
        </w:numPr>
        <w:ind w:left="426"/>
        <w:jc w:val="both"/>
      </w:pPr>
      <w:r w:rsidRPr="00993CFB">
        <w:t xml:space="preserve">Rīcības virziena “1.2. Pedagogu un akadēmiskā personāla motivācijas un profesionālās kapacitātes paaugstināšana” ietvaros kā nozīmīgākie pasākumi ir uzsverami jaunā pedagogu darba samaksas aprēķināšanas modeļa izstrāde un ieviešana un pedagogu darba samaksas pieauguma grafika apstiprināšana; pedagogu profesionālās kompetences stiprināšanas pasākumi; </w:t>
      </w:r>
      <w:r w:rsidR="001E2909">
        <w:t xml:space="preserve">virzība uz jaunu pedagogu izglītības modeli, </w:t>
      </w:r>
      <w:r w:rsidRPr="00993CFB">
        <w:t>atbalsts jaunajiem pedagogiem, kā arī akadēmiskā personāla ataudzes un pilnveides veicināšanas plāni.</w:t>
      </w:r>
    </w:p>
    <w:p w:rsidR="0091128E" w:rsidRPr="00993CFB" w:rsidRDefault="0091128E" w:rsidP="00483B63">
      <w:pPr>
        <w:pStyle w:val="ListParagraph"/>
        <w:numPr>
          <w:ilvl w:val="0"/>
          <w:numId w:val="13"/>
        </w:numPr>
        <w:ind w:left="426"/>
        <w:jc w:val="both"/>
      </w:pPr>
      <w:r w:rsidRPr="00993CFB">
        <w:lastRenderedPageBreak/>
        <w:t>Rīcības virziena “1.3. 21.gadsimtam atbilstīgas izglītības vides un izglītības procesa nodrošināšana” ietvaros uzmanība tika pievērsta optimālā vispārējās vidējās izglītības iestāžu tīkla modeļa izstrādes procesam; vispārējās izglītības mācību vides uzlabošanai; profesionālās izglītības iestāžu tīkla optimizācijai un infrastruktūras modernizēšanai; kā arī nosacījumu veidošanai STEM studiju un zinātniskā darba teritoriāli telpisk</w:t>
      </w:r>
      <w:r w:rsidR="00CB2A4E">
        <w:t>ajai</w:t>
      </w:r>
      <w:r w:rsidRPr="00993CFB">
        <w:t xml:space="preserve"> koncentrēšanai un materiālās un tehniskās bāzes modernizēšanai.</w:t>
      </w:r>
    </w:p>
    <w:p w:rsidR="0091128E" w:rsidRPr="0046047B" w:rsidRDefault="0091128E" w:rsidP="00483B63">
      <w:pPr>
        <w:pStyle w:val="ListParagraph"/>
        <w:numPr>
          <w:ilvl w:val="0"/>
          <w:numId w:val="13"/>
        </w:numPr>
        <w:ind w:left="426"/>
        <w:jc w:val="both"/>
      </w:pPr>
      <w:r w:rsidRPr="00993CFB">
        <w:t>Rīcības virziena “1.4. Iekļaujošās izglītības principa īstenošana un sociālās atstumtības riska mazināšana”</w:t>
      </w:r>
      <w:r w:rsidR="003321CA">
        <w:t xml:space="preserve"> ietvaros</w:t>
      </w:r>
      <w:r w:rsidRPr="00993CFB">
        <w:t xml:space="preserve"> tika veicināta atbalsta personāla pieejamība un pedagogu profesionālā pilnveide, sekmējot izglītojamo ar speciālām vajadzībām integrāciju vispārējās izglītības iestādēs; preventīv</w:t>
      </w:r>
      <w:r w:rsidR="006C4162">
        <w:t>ie pasākumi</w:t>
      </w:r>
      <w:r w:rsidRPr="00993CFB">
        <w:t xml:space="preserve"> agrīnas </w:t>
      </w:r>
      <w:r w:rsidR="00C357F3">
        <w:t>mācību pārtraukšanas</w:t>
      </w:r>
      <w:r w:rsidRPr="00993CFB">
        <w:t xml:space="preserve"> mazi</w:t>
      </w:r>
      <w:r w:rsidR="006C4162">
        <w:t>nāšanai; atbalsta nodrošināšana</w:t>
      </w:r>
      <w:r w:rsidRPr="00993CFB">
        <w:t xml:space="preserve"> izglītojamo individuālo kompetenču attīstībai; kā arī sociālās atstumtības riskam pakļauto jauniešu iesaiste neformālās izglītības programmās.</w:t>
      </w:r>
    </w:p>
    <w:p w:rsidR="0091128E" w:rsidRPr="0046047B" w:rsidRDefault="0091128E" w:rsidP="0091128E">
      <w:pPr>
        <w:spacing w:before="240" w:after="0" w:line="240" w:lineRule="auto"/>
        <w:jc w:val="both"/>
        <w:rPr>
          <w:rFonts w:ascii="Times New Roman" w:hAnsi="Times New Roman"/>
          <w:b/>
          <w:sz w:val="24"/>
          <w:szCs w:val="24"/>
          <w:u w:val="single"/>
        </w:rPr>
      </w:pPr>
      <w:r w:rsidRPr="0046047B">
        <w:rPr>
          <w:rFonts w:ascii="Times New Roman" w:hAnsi="Times New Roman"/>
          <w:b/>
          <w:sz w:val="24"/>
          <w:szCs w:val="24"/>
          <w:u w:val="single"/>
        </w:rPr>
        <w:t>II. Indivīdu prasmes: veicināt vērtībizglītībā balstītu indivīda profesionālo un sociālo prasmju attīstību dzīvei un konkurējošai darba videi</w:t>
      </w:r>
    </w:p>
    <w:p w:rsidR="0091128E" w:rsidRPr="0046047B" w:rsidRDefault="0091128E" w:rsidP="00483B63">
      <w:pPr>
        <w:pStyle w:val="ListParagraph"/>
        <w:numPr>
          <w:ilvl w:val="0"/>
          <w:numId w:val="15"/>
        </w:numPr>
        <w:ind w:left="426"/>
        <w:jc w:val="both"/>
      </w:pPr>
      <w:r w:rsidRPr="0046047B">
        <w:t xml:space="preserve">Rīcības virziena “2.1. Karjeras izglītības sistēmas attīstība un pakalpojumu pieejamība” ietvaros tika izstrādāts </w:t>
      </w:r>
      <w:r w:rsidRPr="0046047B">
        <w:rPr>
          <w:rFonts w:cstheme="minorBidi"/>
        </w:rPr>
        <w:t>Karjeras izglītības īstenošanas plāns valsts un pašvaldību vispārējās un profesionālās izglītības iestādēs 2015.-2020.gadam</w:t>
      </w:r>
      <w:r w:rsidRPr="0046047B">
        <w:t xml:space="preserve">, nosakot karjeras izglītības attīstības politikas pamatprincipus, mērķus un rīcības virzienus; nodrošināta karjeras </w:t>
      </w:r>
      <w:r w:rsidRPr="0046047B">
        <w:rPr>
          <w:rFonts w:cstheme="minorBidi"/>
        </w:rPr>
        <w:t xml:space="preserve">konsultāciju pieejamība, kā arī </w:t>
      </w:r>
      <w:r w:rsidRPr="0046047B">
        <w:t>karjeras attīstības atbalsta un informēšanas pasākumi.</w:t>
      </w:r>
    </w:p>
    <w:p w:rsidR="0091128E" w:rsidRPr="0046047B" w:rsidRDefault="0091128E" w:rsidP="00483B63">
      <w:pPr>
        <w:pStyle w:val="ListParagraph"/>
        <w:numPr>
          <w:ilvl w:val="0"/>
          <w:numId w:val="15"/>
        </w:numPr>
        <w:ind w:left="426"/>
        <w:jc w:val="both"/>
      </w:pPr>
      <w:r w:rsidRPr="0046047B">
        <w:t xml:space="preserve">Rīcības virziena “2.2. Priekšlaicīgi mācības pametušo un izglītību neieguvušo skaita samazināšana” ietvaros tika veikti vairāki pētījumi par priekšlaicīgas mācību pamešanas iemesliem un </w:t>
      </w:r>
      <w:r w:rsidR="006C4162">
        <w:t xml:space="preserve">to </w:t>
      </w:r>
      <w:r w:rsidRPr="0046047B">
        <w:t>izaicinājumu pārvarēšanas iespējām; uzlabota bērnu uzskaites sistēma, kuri n</w:t>
      </w:r>
      <w:r w:rsidRPr="0046047B">
        <w:rPr>
          <w:rFonts w:cstheme="minorBidi"/>
        </w:rPr>
        <w:t>av reģistrēti nevien</w:t>
      </w:r>
      <w:r w:rsidRPr="0046047B">
        <w:t>ā</w:t>
      </w:r>
      <w:r w:rsidRPr="0046047B">
        <w:rPr>
          <w:rFonts w:cstheme="minorBidi"/>
        </w:rPr>
        <w:t xml:space="preserve"> izglītības iestād</w:t>
      </w:r>
      <w:r w:rsidRPr="0046047B">
        <w:t>ē; uzlabota informēšanas sistēma par neattaisnotajiem</w:t>
      </w:r>
      <w:r w:rsidR="006C4162">
        <w:t xml:space="preserve"> skolēnu</w:t>
      </w:r>
      <w:r w:rsidRPr="0046047B">
        <w:t xml:space="preserve"> kavējumiem; veikts romu tautības izglītojamo monitorings; kā arī veikti pasākumi Jauniešu garantijas ietvaros.</w:t>
      </w:r>
    </w:p>
    <w:p w:rsidR="0091128E" w:rsidRPr="0046047B" w:rsidRDefault="0091128E" w:rsidP="00483B63">
      <w:pPr>
        <w:pStyle w:val="ListParagraph"/>
        <w:numPr>
          <w:ilvl w:val="0"/>
          <w:numId w:val="15"/>
        </w:numPr>
        <w:ind w:left="426"/>
        <w:jc w:val="both"/>
      </w:pPr>
      <w:r w:rsidRPr="0046047B">
        <w:t xml:space="preserve">Rīcības virziena “2.3. Ārpus formālās izglītības iespēju un pieejamības bērniem un jauniešiem paplašināšana” ietvaros uzsverama bērnu un jauniešu iesaiste interešu izglītības pasākumos, Latvijas </w:t>
      </w:r>
      <w:r w:rsidRPr="0046047B">
        <w:rPr>
          <w:rFonts w:cstheme="minorBidi"/>
        </w:rPr>
        <w:t>skolu jaunatnes dziesmu un deju svētku procesā</w:t>
      </w:r>
      <w:r w:rsidRPr="0046047B">
        <w:t xml:space="preserve"> un Latvijas simtgades svinēšanā; </w:t>
      </w:r>
      <w:r w:rsidRPr="0046047B">
        <w:rPr>
          <w:rFonts w:cstheme="minorBidi"/>
        </w:rPr>
        <w:t xml:space="preserve">skolēnu dalība valsts mācību olimpiādēs un starptautiskajās olimpiādēs, kā arī </w:t>
      </w:r>
      <w:r w:rsidRPr="0046047B">
        <w:t>skolēnu zinātniski pētnieciskā</w:t>
      </w:r>
      <w:r w:rsidRPr="0046047B">
        <w:rPr>
          <w:rFonts w:cstheme="minorBidi"/>
        </w:rPr>
        <w:t xml:space="preserve"> darbība</w:t>
      </w:r>
      <w:r w:rsidRPr="0046047B">
        <w:t xml:space="preserve">; atbalsts jaunatnes organizācijām; jauniešu brīvprātīgā darba veicināšana, kā arī darba uzsākšana pie </w:t>
      </w:r>
      <w:r w:rsidRPr="0046047B">
        <w:rPr>
          <w:rFonts w:cstheme="minorBidi"/>
        </w:rPr>
        <w:t>jauniešu neformālās izglītības atzīšanas sistēmas.</w:t>
      </w:r>
    </w:p>
    <w:p w:rsidR="0091128E" w:rsidRPr="0046047B" w:rsidRDefault="0091128E" w:rsidP="00483B63">
      <w:pPr>
        <w:pStyle w:val="ListParagraph"/>
        <w:numPr>
          <w:ilvl w:val="0"/>
          <w:numId w:val="15"/>
        </w:numPr>
        <w:spacing w:after="120"/>
        <w:ind w:left="426"/>
        <w:jc w:val="both"/>
      </w:pPr>
      <w:r w:rsidRPr="0046047B">
        <w:t xml:space="preserve">Rīcības virziena “2.4. Izglītības iespēju paplašināšana pieaugušajiem” ietvaros tika izstrādāts </w:t>
      </w:r>
      <w:r w:rsidRPr="0046047B">
        <w:rPr>
          <w:rFonts w:eastAsiaTheme="minorHAnsi" w:cstheme="minorBidi"/>
          <w:lang w:eastAsia="en-US"/>
        </w:rPr>
        <w:t>Pieaugušo izglītības pārvaldības modeļa ieviešanas plāns 2016.-2020.gadam</w:t>
      </w:r>
      <w:r w:rsidRPr="0046047B">
        <w:t>, Vadlīnijas pieaugušo neformālās izglītības kvalitātes nodrošināšanas politikas ieviešanai un izveidota Pieaugušo izglītības pārvaldības padome; veicināta nodarbināto personu profesionālās kompetences un kvalifikācijas pilnveide</w:t>
      </w:r>
      <w:r w:rsidR="006C4162">
        <w:t>,</w:t>
      </w:r>
      <w:r w:rsidRPr="0046047B">
        <w:t xml:space="preserve"> un karjeras konsultanta pakalpojumi. </w:t>
      </w:r>
    </w:p>
    <w:p w:rsidR="0091128E" w:rsidRPr="002E6AD2" w:rsidRDefault="0091128E" w:rsidP="0091128E">
      <w:pPr>
        <w:spacing w:after="0" w:line="240" w:lineRule="auto"/>
        <w:jc w:val="both"/>
        <w:rPr>
          <w:rFonts w:ascii="Times New Roman" w:hAnsi="Times New Roman"/>
          <w:b/>
          <w:sz w:val="24"/>
          <w:szCs w:val="24"/>
          <w:u w:val="single"/>
        </w:rPr>
      </w:pPr>
      <w:r w:rsidRPr="002E6AD2">
        <w:rPr>
          <w:rFonts w:ascii="Times New Roman" w:hAnsi="Times New Roman"/>
          <w:b/>
          <w:sz w:val="24"/>
          <w:szCs w:val="24"/>
          <w:u w:val="single"/>
        </w:rPr>
        <w:t>III. Efektīvā pārvaldība: uzlabot resursu pārvaldības efektivitāti, attīstot izglītības iestāžu institucionālo izcilību</w:t>
      </w:r>
    </w:p>
    <w:p w:rsidR="0091128E" w:rsidRPr="00C95C8C" w:rsidRDefault="0091128E" w:rsidP="00483B63">
      <w:pPr>
        <w:pStyle w:val="ListParagraph"/>
        <w:numPr>
          <w:ilvl w:val="0"/>
          <w:numId w:val="16"/>
        </w:numPr>
        <w:ind w:left="426"/>
        <w:jc w:val="both"/>
      </w:pPr>
      <w:r w:rsidRPr="00C95C8C">
        <w:t>Rīcības virziena “</w:t>
      </w:r>
      <w:r w:rsidRPr="00C95C8C">
        <w:rPr>
          <w:rFonts w:eastAsiaTheme="minorHAnsi"/>
        </w:rPr>
        <w:t>3.1. Izglītības kvalitātes monitoringa sistēmas pilnveide</w:t>
      </w:r>
      <w:r w:rsidRPr="00C95C8C">
        <w:t>” ietvaros uzsverama darba uzsākšana pie izglītības kvalitātes monitoringa sistēmas izveides; Latvijas dalības nodrošināšan</w:t>
      </w:r>
      <w:r w:rsidR="00475F97">
        <w:t>a</w:t>
      </w:r>
      <w:r w:rsidRPr="00C95C8C">
        <w:t xml:space="preserve"> starptautiskajos izglītības pētījumos; valsts pārbaudes darbu satura uzlabošana; vispārējās un profesionālās izglītības iestāžu vadītāju novērtēšanas sistēmas izstrāde un aprobācija; nacionālās augstākās izglītības kvalitātes nodrošināšanas aģentūras iekļaušanas process EQAR reģistrā; un normatīvās bāzes sagatavošan</w:t>
      </w:r>
      <w:r w:rsidR="00475F97">
        <w:t>a</w:t>
      </w:r>
      <w:r w:rsidRPr="00C95C8C">
        <w:t xml:space="preserve"> vienotas augstākās izglītības informatīvās sistēmas izveidei.</w:t>
      </w:r>
    </w:p>
    <w:p w:rsidR="0091128E" w:rsidRPr="00C95C8C" w:rsidRDefault="0091128E" w:rsidP="00483B63">
      <w:pPr>
        <w:pStyle w:val="ListParagraph"/>
        <w:numPr>
          <w:ilvl w:val="0"/>
          <w:numId w:val="16"/>
        </w:numPr>
        <w:ind w:left="426"/>
        <w:jc w:val="both"/>
      </w:pPr>
      <w:r w:rsidRPr="00C95C8C">
        <w:t>Rīcības virziena “</w:t>
      </w:r>
      <w:r w:rsidRPr="00C95C8C">
        <w:rPr>
          <w:rFonts w:eastAsiaTheme="minorHAnsi"/>
        </w:rPr>
        <w:t>3.2. Efektīva izglītības finanšu resursu pārvaldība</w:t>
      </w:r>
      <w:r w:rsidRPr="00C95C8C">
        <w:t xml:space="preserve">” ietvaros akcentējama jaunā pedagogu darba samaksas aprēķināšanas modeļa izstrāde un ieviešana un pedagogu darba samaksas pieauguma grafika apstiprināšana; darbs pie speciālās izglītības finansēšanas modeļu attīstības; priekšlikumu sagatavošana profesionālās izglītības programmu īstenošanas </w:t>
      </w:r>
      <w:r w:rsidRPr="00C95C8C">
        <w:lastRenderedPageBreak/>
        <w:t>finansēšanas modeļa pilnveidei; jaunā augstākās izglītības finansēšanas modeļa ieviešana, kā arī augstākās izglītības pārvaldības un cilvēkresursu politikas pilnveides procesa uzsākšana.</w:t>
      </w:r>
    </w:p>
    <w:p w:rsidR="0091128E" w:rsidRPr="00C95C8C" w:rsidRDefault="0091128E" w:rsidP="00483B63">
      <w:pPr>
        <w:pStyle w:val="ListParagraph"/>
        <w:numPr>
          <w:ilvl w:val="0"/>
          <w:numId w:val="16"/>
        </w:numPr>
        <w:ind w:left="426"/>
        <w:jc w:val="both"/>
      </w:pPr>
      <w:r w:rsidRPr="00C95C8C">
        <w:t>Rīcības virziena “</w:t>
      </w:r>
      <w:r w:rsidRPr="00C95C8C">
        <w:rPr>
          <w:rFonts w:eastAsiaTheme="minorHAnsi"/>
        </w:rPr>
        <w:t>3.3. Izglītības iestāžu tīkla sakārtošana</w:t>
      </w:r>
      <w:r w:rsidRPr="00C95C8C">
        <w:t>” ietvaros veikti pasākumi pirmsskolas pieejamības veicināšanai; vispārējās izglītības iestāžu tīkla sakārtošanai un infrastruktūras modernizācijai.</w:t>
      </w:r>
    </w:p>
    <w:p w:rsidR="0091128E" w:rsidRDefault="0091128E" w:rsidP="00483B63">
      <w:pPr>
        <w:pStyle w:val="ListParagraph"/>
        <w:numPr>
          <w:ilvl w:val="0"/>
          <w:numId w:val="16"/>
        </w:numPr>
        <w:ind w:left="426"/>
        <w:jc w:val="both"/>
      </w:pPr>
      <w:r w:rsidRPr="00C95C8C">
        <w:t>Rīcības virziena “</w:t>
      </w:r>
      <w:r w:rsidRPr="00C95C8C">
        <w:rPr>
          <w:rFonts w:eastAsiaTheme="minorHAnsi"/>
        </w:rPr>
        <w:t>3.4. Izglītības starptautiskā konkurētspēja</w:t>
      </w:r>
      <w:r w:rsidRPr="00C95C8C">
        <w:t>” ietvaros akcentējami starptautiskās mobilitātes un pārrobežu sadarbības atbalsta pasākumi; augstākās izglītības un profesionālās izglītības starptautisko ekspertu (Boloņas, ECVET) aktivitātes; atbalsts kopīgo studiju programmu izveidei un īstenošanai augstākās izglītības iestādēs; atbalsts kopīgo doktorantūras studiju programmu un studiju programmu ES valodās izstrādei; atbalsts ārvalstu akadēmiskā personāla piesaistei un ārvalstu studentiem augstākās izglītības iegūšanai Latvijā; kā arī latviešu valodas un kultūras apguves nodrošināšana ārvalstu augstskolās.</w:t>
      </w:r>
    </w:p>
    <w:p w:rsidR="0091128E" w:rsidRDefault="0091128E" w:rsidP="0091128E">
      <w:pPr>
        <w:spacing w:before="120" w:after="0" w:line="240" w:lineRule="auto"/>
        <w:ind w:firstLine="720"/>
        <w:jc w:val="both"/>
        <w:rPr>
          <w:rFonts w:ascii="Times New Roman" w:eastAsia="Times New Roman" w:hAnsi="Times New Roman" w:cs="Times New Roman"/>
          <w:sz w:val="24"/>
          <w:szCs w:val="24"/>
          <w:lang w:eastAsia="lv-LV"/>
        </w:rPr>
      </w:pPr>
      <w:r w:rsidRPr="003A4777">
        <w:rPr>
          <w:rFonts w:ascii="Times New Roman" w:eastAsia="Times New Roman" w:hAnsi="Times New Roman" w:cs="Times New Roman"/>
          <w:sz w:val="24"/>
          <w:szCs w:val="24"/>
          <w:lang w:eastAsia="lv-LV"/>
        </w:rPr>
        <w:t xml:space="preserve">Vērtējot </w:t>
      </w:r>
      <w:r>
        <w:rPr>
          <w:rFonts w:ascii="Times New Roman" w:eastAsia="Times New Roman" w:hAnsi="Times New Roman" w:cs="Times New Roman"/>
          <w:sz w:val="24"/>
          <w:szCs w:val="24"/>
          <w:lang w:eastAsia="lv-LV"/>
        </w:rPr>
        <w:t xml:space="preserve">IAP 2014.–2020.gadam politikas rezultātu un darbības rezultātu rezultatīvo rādītāju sasniegšanu, var secināt, ka vairāk kā puse </w:t>
      </w:r>
      <w:r w:rsidR="001E2909">
        <w:rPr>
          <w:rFonts w:ascii="Times New Roman" w:eastAsia="Times New Roman" w:hAnsi="Times New Roman" w:cs="Times New Roman"/>
          <w:sz w:val="24"/>
          <w:szCs w:val="24"/>
          <w:lang w:eastAsia="lv-LV"/>
        </w:rPr>
        <w:t xml:space="preserve">līdz </w:t>
      </w:r>
      <w:r>
        <w:rPr>
          <w:rFonts w:ascii="Times New Roman" w:eastAsia="Times New Roman" w:hAnsi="Times New Roman" w:cs="Times New Roman"/>
          <w:sz w:val="24"/>
          <w:szCs w:val="24"/>
          <w:lang w:eastAsia="lv-LV"/>
        </w:rPr>
        <w:t>2017.gada</w:t>
      </w:r>
      <w:r w:rsidR="00013689">
        <w:rPr>
          <w:rFonts w:ascii="Times New Roman" w:eastAsia="Times New Roman" w:hAnsi="Times New Roman" w:cs="Times New Roman"/>
          <w:sz w:val="24"/>
          <w:szCs w:val="24"/>
          <w:lang w:eastAsia="lv-LV"/>
        </w:rPr>
        <w:t xml:space="preserve"> beigām</w:t>
      </w:r>
      <w:r>
        <w:rPr>
          <w:rFonts w:ascii="Times New Roman" w:eastAsia="Times New Roman" w:hAnsi="Times New Roman" w:cs="Times New Roman"/>
          <w:sz w:val="24"/>
          <w:szCs w:val="24"/>
          <w:lang w:eastAsia="lv-LV"/>
        </w:rPr>
        <w:t xml:space="preserve"> plānoto rezultātu</w:t>
      </w:r>
      <w:r w:rsidR="001E2909">
        <w:rPr>
          <w:rFonts w:ascii="Times New Roman" w:eastAsia="Times New Roman" w:hAnsi="Times New Roman" w:cs="Times New Roman"/>
          <w:sz w:val="24"/>
          <w:szCs w:val="24"/>
          <w:lang w:eastAsia="lv-LV"/>
        </w:rPr>
        <w:t xml:space="preserve"> ir tikuši</w:t>
      </w:r>
      <w:r>
        <w:rPr>
          <w:rFonts w:ascii="Times New Roman" w:eastAsia="Times New Roman" w:hAnsi="Times New Roman" w:cs="Times New Roman"/>
          <w:sz w:val="24"/>
          <w:szCs w:val="24"/>
          <w:lang w:eastAsia="lv-LV"/>
        </w:rPr>
        <w:t xml:space="preserve"> sasniegti, tajā skaitā, audzēkņu īpatsvars, kuri apguvuši darba vidē balstīta</w:t>
      </w:r>
      <w:r w:rsidR="00D15703">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mācības un 1. un 2.mācību gadā bijuši praksē uzņēmumā (24%); integrēto izglītojamo ar speciālām vajadzībām īpatsvars vispārizglītojošajās izglītības iestādēs (40,93%); bērnu īpatsvars, kuri iesaistīti pirmsskolas izglītībā vecumā no 4 gadiem līdz obligātās pamatizglītības uzsākšanas vecumam (95,5%); iedzīvotāju īpatsvars ar augstāko izglītību vecuma grupā 30-34 gadi (43,8%); izglītību priekšlaicīgi </w:t>
      </w:r>
      <w:r w:rsidR="00D965F8">
        <w:rPr>
          <w:rFonts w:ascii="Times New Roman" w:eastAsia="Times New Roman" w:hAnsi="Times New Roman" w:cs="Times New Roman"/>
          <w:sz w:val="24"/>
          <w:szCs w:val="24"/>
          <w:lang w:eastAsia="lv-LV"/>
        </w:rPr>
        <w:t>pārtraukušo</w:t>
      </w:r>
      <w:r>
        <w:rPr>
          <w:rFonts w:ascii="Times New Roman" w:eastAsia="Times New Roman" w:hAnsi="Times New Roman" w:cs="Times New Roman"/>
          <w:sz w:val="24"/>
          <w:szCs w:val="24"/>
          <w:lang w:eastAsia="lv-LV"/>
        </w:rPr>
        <w:t xml:space="preserve"> īpatsvars vecuma grupā 18-24 gadi (8,6%).</w:t>
      </w:r>
    </w:p>
    <w:p w:rsidR="0091128E" w:rsidRDefault="0091128E" w:rsidP="0091128E">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ir novērojama arī neatbilstība iepriekš plānotajam rezultātam, tajā skaitā, skolēnu 15 gadu vecumā īpatsvars ar augstiem (4,3% / 5,1% / 3,8%) un zemiem (17,7% / 21,4% / 17,2%) sasniegumiem lasīšanā, matemātikā un dabaszinātnēs (pēc PISA pētījuma datiem); augsts 15-gadīgo skolēnu īpatsvars, kuri izjutuši kādu no pārinodarījumu veidiem dažas reizes mēnesī (30,6%); pieaugušo izglītībā iesaistīto īpatsvars (7,5%); skolēnu proporcija vispārējā un profesionālajā izglītībā vidējās izglītības pakāpē (61,</w:t>
      </w:r>
      <w:r w:rsidR="00A47E41">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 / 38,</w:t>
      </w:r>
      <w:r w:rsidR="00A47E41">
        <w:rPr>
          <w:rFonts w:ascii="Times New Roman" w:eastAsia="Times New Roman" w:hAnsi="Times New Roman" w:cs="Times New Roman"/>
          <w:sz w:val="24"/>
          <w:szCs w:val="24"/>
          <w:lang w:eastAsia="lv-LV"/>
        </w:rPr>
        <w:t>88</w:t>
      </w:r>
      <w:r>
        <w:rPr>
          <w:rFonts w:ascii="Times New Roman" w:eastAsia="Times New Roman" w:hAnsi="Times New Roman" w:cs="Times New Roman"/>
          <w:sz w:val="24"/>
          <w:szCs w:val="24"/>
          <w:lang w:eastAsia="lv-LV"/>
        </w:rPr>
        <w:t>%).</w:t>
      </w:r>
    </w:p>
    <w:p w:rsidR="0091128E" w:rsidRDefault="0091128E" w:rsidP="0091128E">
      <w:pPr>
        <w:spacing w:before="120"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Ievērojot, ka</w:t>
      </w:r>
      <w:r w:rsidR="00655040">
        <w:rPr>
          <w:rFonts w:ascii="Times New Roman" w:eastAsia="Times New Roman" w:hAnsi="Times New Roman" w:cs="Times New Roman"/>
          <w:sz w:val="24"/>
          <w:szCs w:val="24"/>
          <w:lang w:eastAsia="lv-LV"/>
        </w:rPr>
        <w:t xml:space="preserve"> </w:t>
      </w:r>
      <w:r w:rsidR="001E2909" w:rsidRPr="00D14F80">
        <w:rPr>
          <w:rFonts w:ascii="Times New Roman" w:hAnsi="Times New Roman" w:cs="Times New Roman"/>
          <w:sz w:val="24"/>
          <w:szCs w:val="24"/>
        </w:rPr>
        <w:t xml:space="preserve">IAP 2014.-2020.gadam detalizācijas pakāpe ļauj efektīvi turpināt </w:t>
      </w:r>
      <w:r w:rsidR="001E2909">
        <w:rPr>
          <w:rFonts w:ascii="Times New Roman" w:hAnsi="Times New Roman" w:cs="Times New Roman"/>
          <w:sz w:val="24"/>
          <w:szCs w:val="24"/>
        </w:rPr>
        <w:t>pamatnostādnēs</w:t>
      </w:r>
      <w:r w:rsidR="001E2909" w:rsidRPr="00D14F80">
        <w:rPr>
          <w:rFonts w:ascii="Times New Roman" w:hAnsi="Times New Roman" w:cs="Times New Roman"/>
          <w:sz w:val="24"/>
          <w:szCs w:val="24"/>
        </w:rPr>
        <w:t xml:space="preserve"> iekļauto uzdevumu īstenošanu</w:t>
      </w:r>
      <w:r w:rsidR="001E2909">
        <w:rPr>
          <w:rFonts w:ascii="Times New Roman" w:hAnsi="Times New Roman" w:cs="Times New Roman"/>
          <w:sz w:val="24"/>
          <w:szCs w:val="24"/>
        </w:rPr>
        <w:t>, kā arī</w:t>
      </w:r>
      <w:r w:rsidR="001E2909">
        <w:rPr>
          <w:rFonts w:ascii="Times New Roman" w:eastAsia="Times New Roman" w:hAnsi="Times New Roman" w:cs="Times New Roman"/>
          <w:sz w:val="24"/>
          <w:szCs w:val="24"/>
          <w:lang w:eastAsia="lv-LV"/>
        </w:rPr>
        <w:t xml:space="preserve"> daļa no </w:t>
      </w:r>
      <w:r w:rsidRPr="00F67B51">
        <w:rPr>
          <w:rFonts w:ascii="Times New Roman" w:hAnsi="Times New Roman" w:cs="Times New Roman"/>
          <w:sz w:val="24"/>
          <w:szCs w:val="24"/>
        </w:rPr>
        <w:t>IAP 201</w:t>
      </w:r>
      <w:r>
        <w:rPr>
          <w:rFonts w:ascii="Times New Roman" w:hAnsi="Times New Roman" w:cs="Times New Roman"/>
          <w:sz w:val="24"/>
          <w:szCs w:val="24"/>
        </w:rPr>
        <w:t>4.–2020.gadam īstenošanas plāna</w:t>
      </w:r>
      <w:r w:rsidRPr="00F67B51">
        <w:rPr>
          <w:rFonts w:ascii="Times New Roman" w:hAnsi="Times New Roman" w:cs="Times New Roman"/>
          <w:sz w:val="24"/>
          <w:szCs w:val="24"/>
        </w:rPr>
        <w:t xml:space="preserve"> 2015.–2017.gadam</w:t>
      </w:r>
      <w:r>
        <w:rPr>
          <w:rFonts w:ascii="Times New Roman" w:hAnsi="Times New Roman" w:cs="Times New Roman"/>
          <w:sz w:val="24"/>
          <w:szCs w:val="24"/>
        </w:rPr>
        <w:t xml:space="preserve"> </w:t>
      </w:r>
      <w:r w:rsidR="00D15703">
        <w:rPr>
          <w:rFonts w:ascii="Times New Roman" w:hAnsi="Times New Roman" w:cs="Times New Roman"/>
          <w:sz w:val="24"/>
          <w:szCs w:val="24"/>
        </w:rPr>
        <w:t>pasākum</w:t>
      </w:r>
      <w:r w:rsidR="001E2909">
        <w:rPr>
          <w:rFonts w:ascii="Times New Roman" w:hAnsi="Times New Roman" w:cs="Times New Roman"/>
          <w:sz w:val="24"/>
          <w:szCs w:val="24"/>
        </w:rPr>
        <w:t xml:space="preserve">iem līdz 2017.gada beigām </w:t>
      </w:r>
      <w:r>
        <w:rPr>
          <w:rFonts w:ascii="Times New Roman" w:hAnsi="Times New Roman" w:cs="Times New Roman"/>
          <w:sz w:val="24"/>
          <w:szCs w:val="24"/>
        </w:rPr>
        <w:t>ir tikai uzsākta vai daļēji izpildīta, jaun</w:t>
      </w:r>
      <w:r w:rsidR="001E2909">
        <w:rPr>
          <w:rFonts w:ascii="Times New Roman" w:hAnsi="Times New Roman" w:cs="Times New Roman"/>
          <w:sz w:val="24"/>
          <w:szCs w:val="24"/>
        </w:rPr>
        <w:t>a</w:t>
      </w:r>
      <w:r>
        <w:rPr>
          <w:rFonts w:ascii="Times New Roman" w:hAnsi="Times New Roman" w:cs="Times New Roman"/>
          <w:sz w:val="24"/>
          <w:szCs w:val="24"/>
        </w:rPr>
        <w:t xml:space="preserve"> </w:t>
      </w:r>
      <w:r w:rsidRPr="00F67B51">
        <w:rPr>
          <w:rFonts w:ascii="Times New Roman" w:hAnsi="Times New Roman" w:cs="Times New Roman"/>
          <w:sz w:val="24"/>
          <w:szCs w:val="24"/>
        </w:rPr>
        <w:t>IAP 201</w:t>
      </w:r>
      <w:r>
        <w:rPr>
          <w:rFonts w:ascii="Times New Roman" w:hAnsi="Times New Roman" w:cs="Times New Roman"/>
          <w:sz w:val="24"/>
          <w:szCs w:val="24"/>
        </w:rPr>
        <w:t>4.–2020.gadam īstenošanas plāna</w:t>
      </w:r>
      <w:r w:rsidR="001E2909">
        <w:rPr>
          <w:rFonts w:ascii="Times New Roman" w:hAnsi="Times New Roman" w:cs="Times New Roman"/>
          <w:sz w:val="24"/>
          <w:szCs w:val="24"/>
        </w:rPr>
        <w:t xml:space="preserve"> līdz 2020.gadam</w:t>
      </w:r>
      <w:r>
        <w:rPr>
          <w:rFonts w:ascii="Times New Roman" w:hAnsi="Times New Roman" w:cs="Times New Roman"/>
          <w:sz w:val="24"/>
          <w:szCs w:val="24"/>
        </w:rPr>
        <w:t xml:space="preserve"> izstrāde </w:t>
      </w:r>
      <w:r w:rsidR="001E2909">
        <w:rPr>
          <w:rFonts w:ascii="Times New Roman" w:hAnsi="Times New Roman" w:cs="Times New Roman"/>
          <w:sz w:val="24"/>
          <w:szCs w:val="24"/>
        </w:rPr>
        <w:t xml:space="preserve">nav </w:t>
      </w:r>
      <w:r>
        <w:rPr>
          <w:rFonts w:ascii="Times New Roman" w:hAnsi="Times New Roman" w:cs="Times New Roman"/>
          <w:sz w:val="24"/>
          <w:szCs w:val="24"/>
        </w:rPr>
        <w:t>lietderīga</w:t>
      </w:r>
      <w:r w:rsidR="001E2909">
        <w:rPr>
          <w:rFonts w:ascii="Times New Roman" w:hAnsi="Times New Roman" w:cs="Times New Roman"/>
          <w:sz w:val="24"/>
          <w:szCs w:val="24"/>
        </w:rPr>
        <w:t>. IAP 2014.-2020.gadam noslēguma novērtējums tiks sagatavots, balstoties uz pamatnos</w:t>
      </w:r>
      <w:r w:rsidR="00655040">
        <w:rPr>
          <w:rFonts w:ascii="Times New Roman" w:hAnsi="Times New Roman" w:cs="Times New Roman"/>
          <w:sz w:val="24"/>
          <w:szCs w:val="24"/>
        </w:rPr>
        <w:t>tādnēs noteiktajiem uzdevumiem.</w:t>
      </w:r>
    </w:p>
    <w:p w:rsidR="00C66FEB" w:rsidRDefault="00C66FEB" w:rsidP="00C66FEB">
      <w:pPr>
        <w:spacing w:before="120" w:after="0" w:line="240" w:lineRule="auto"/>
        <w:jc w:val="both"/>
        <w:rPr>
          <w:rFonts w:ascii="Times New Roman" w:hAnsi="Times New Roman" w:cs="Times New Roman"/>
          <w:sz w:val="24"/>
          <w:szCs w:val="24"/>
        </w:rPr>
      </w:pPr>
    </w:p>
    <w:p w:rsidR="00C66FEB" w:rsidRPr="00C66FEB" w:rsidRDefault="00C66FEB" w:rsidP="00C66FEB">
      <w:pPr>
        <w:spacing w:before="120" w:after="0" w:line="240" w:lineRule="auto"/>
        <w:jc w:val="both"/>
        <w:rPr>
          <w:rFonts w:ascii="Times New Roman" w:hAnsi="Times New Roman" w:cs="Times New Roman"/>
          <w:b/>
          <w:sz w:val="24"/>
          <w:szCs w:val="24"/>
        </w:rPr>
      </w:pPr>
      <w:r w:rsidRPr="00C66FEB">
        <w:rPr>
          <w:rFonts w:ascii="Times New Roman" w:hAnsi="Times New Roman" w:cs="Times New Roman"/>
          <w:b/>
          <w:sz w:val="24"/>
          <w:szCs w:val="24"/>
        </w:rPr>
        <w:t>2. Turpmākā rīcība esošā plānošanas perioda ietvaros un pēc 2020.gada</w:t>
      </w:r>
    </w:p>
    <w:p w:rsidR="00DC2F18" w:rsidRDefault="0091128E" w:rsidP="0091128E">
      <w:pPr>
        <w:spacing w:before="120" w:after="0" w:line="240" w:lineRule="auto"/>
        <w:ind w:firstLine="720"/>
        <w:jc w:val="both"/>
        <w:rPr>
          <w:rFonts w:ascii="Times New Roman" w:eastAsia="Times New Roman" w:hAnsi="Times New Roman" w:cs="Times New Roman"/>
          <w:sz w:val="24"/>
          <w:szCs w:val="24"/>
          <w:lang w:eastAsia="lv-LV"/>
        </w:rPr>
      </w:pPr>
      <w:r w:rsidRPr="00F67B51">
        <w:rPr>
          <w:rFonts w:ascii="Times New Roman" w:hAnsi="Times New Roman" w:cs="Times New Roman"/>
          <w:sz w:val="24"/>
          <w:szCs w:val="24"/>
        </w:rPr>
        <w:t>IAP 201</w:t>
      </w:r>
      <w:r>
        <w:rPr>
          <w:rFonts w:ascii="Times New Roman" w:hAnsi="Times New Roman" w:cs="Times New Roman"/>
          <w:sz w:val="24"/>
          <w:szCs w:val="24"/>
        </w:rPr>
        <w:t>4.–2020.gadam īstenošanas plān</w:t>
      </w:r>
      <w:r w:rsidR="009A7F87">
        <w:rPr>
          <w:rFonts w:ascii="Times New Roman" w:hAnsi="Times New Roman" w:cs="Times New Roman"/>
          <w:sz w:val="24"/>
          <w:szCs w:val="24"/>
        </w:rPr>
        <w:t>ā</w:t>
      </w:r>
      <w:r w:rsidRPr="00F67B51">
        <w:rPr>
          <w:rFonts w:ascii="Times New Roman" w:hAnsi="Times New Roman" w:cs="Times New Roman"/>
          <w:sz w:val="24"/>
          <w:szCs w:val="24"/>
        </w:rPr>
        <w:t xml:space="preserve"> 2015.–2017.gadam</w:t>
      </w:r>
      <w:r>
        <w:rPr>
          <w:rFonts w:ascii="Times New Roman" w:eastAsia="Times New Roman" w:hAnsi="Times New Roman" w:cs="Times New Roman"/>
          <w:sz w:val="24"/>
          <w:szCs w:val="24"/>
          <w:lang w:eastAsia="lv-LV"/>
        </w:rPr>
        <w:t xml:space="preserve"> </w:t>
      </w:r>
      <w:r w:rsidR="009A7F87">
        <w:rPr>
          <w:rFonts w:ascii="Times New Roman" w:eastAsia="Times New Roman" w:hAnsi="Times New Roman" w:cs="Times New Roman"/>
          <w:sz w:val="24"/>
          <w:szCs w:val="24"/>
          <w:lang w:eastAsia="lv-LV"/>
        </w:rPr>
        <w:t xml:space="preserve">norādītie </w:t>
      </w:r>
      <w:r>
        <w:rPr>
          <w:rFonts w:ascii="Times New Roman" w:eastAsia="Times New Roman" w:hAnsi="Times New Roman" w:cs="Times New Roman"/>
          <w:sz w:val="24"/>
          <w:szCs w:val="24"/>
          <w:lang w:eastAsia="lv-LV"/>
        </w:rPr>
        <w:t>pasākum</w:t>
      </w:r>
      <w:r w:rsidR="00C95316">
        <w:rPr>
          <w:rFonts w:ascii="Times New Roman" w:eastAsia="Times New Roman" w:hAnsi="Times New Roman" w:cs="Times New Roman"/>
          <w:sz w:val="24"/>
          <w:szCs w:val="24"/>
          <w:lang w:eastAsia="lv-LV"/>
        </w:rPr>
        <w:t>i</w:t>
      </w:r>
      <w:r w:rsidR="009A7F87">
        <w:rPr>
          <w:rFonts w:ascii="Times New Roman" w:eastAsia="Times New Roman" w:hAnsi="Times New Roman" w:cs="Times New Roman"/>
          <w:sz w:val="24"/>
          <w:szCs w:val="24"/>
          <w:lang w:eastAsia="lv-LV"/>
        </w:rPr>
        <w:t xml:space="preserve"> ir turpināmi un tiem noteiktie rezultatīvie rādītāji ir sasniedzami līdz IAP 2014.-2020.gadam darbības termiņa beigām. </w:t>
      </w:r>
      <w:r w:rsidR="001E2909">
        <w:rPr>
          <w:rFonts w:ascii="Times New Roman" w:eastAsia="Times New Roman" w:hAnsi="Times New Roman" w:cs="Times New Roman"/>
          <w:sz w:val="24"/>
          <w:szCs w:val="24"/>
          <w:lang w:eastAsia="lv-LV"/>
        </w:rPr>
        <w:t xml:space="preserve">Laika posmā līdz 2020.gada beigām ir </w:t>
      </w:r>
      <w:r>
        <w:rPr>
          <w:rFonts w:ascii="Times New Roman" w:eastAsia="Times New Roman" w:hAnsi="Times New Roman" w:cs="Times New Roman"/>
          <w:sz w:val="24"/>
          <w:szCs w:val="24"/>
          <w:lang w:eastAsia="lv-LV"/>
        </w:rPr>
        <w:t xml:space="preserve">nepieciešams turpināt </w:t>
      </w:r>
      <w:r w:rsidR="001E2909">
        <w:rPr>
          <w:rFonts w:ascii="Times New Roman" w:eastAsia="Times New Roman" w:hAnsi="Times New Roman" w:cs="Times New Roman"/>
          <w:sz w:val="24"/>
          <w:szCs w:val="24"/>
          <w:lang w:eastAsia="lv-LV"/>
        </w:rPr>
        <w:t xml:space="preserve">uzsāktās </w:t>
      </w:r>
      <w:r>
        <w:rPr>
          <w:rFonts w:ascii="Times New Roman" w:eastAsia="Times New Roman" w:hAnsi="Times New Roman" w:cs="Times New Roman"/>
          <w:sz w:val="24"/>
          <w:szCs w:val="24"/>
          <w:lang w:eastAsia="lv-LV"/>
        </w:rPr>
        <w:t>reformas izglītības sistēmā IAP 2014.–2020.gadam rīcības virzienu ietvaros</w:t>
      </w:r>
      <w:r w:rsidR="00C315A8">
        <w:rPr>
          <w:rFonts w:ascii="Times New Roman" w:hAnsi="Times New Roman" w:cs="Times New Roman"/>
          <w:sz w:val="24"/>
          <w:szCs w:val="24"/>
        </w:rPr>
        <w:t>, nodrošinot efektīvas</w:t>
      </w:r>
      <w:r>
        <w:rPr>
          <w:rFonts w:ascii="Times New Roman" w:hAnsi="Times New Roman" w:cs="Times New Roman"/>
          <w:sz w:val="24"/>
          <w:szCs w:val="24"/>
        </w:rPr>
        <w:t xml:space="preserve"> ES fondu finansējuma</w:t>
      </w:r>
      <w:r w:rsidR="00F50693">
        <w:rPr>
          <w:rFonts w:ascii="Times New Roman" w:hAnsi="Times New Roman" w:cs="Times New Roman"/>
          <w:sz w:val="24"/>
          <w:szCs w:val="24"/>
        </w:rPr>
        <w:t xml:space="preserve"> investīcijas un to</w:t>
      </w:r>
      <w:r>
        <w:rPr>
          <w:rFonts w:ascii="Times New Roman" w:hAnsi="Times New Roman" w:cs="Times New Roman"/>
          <w:sz w:val="24"/>
          <w:szCs w:val="24"/>
        </w:rPr>
        <w:t xml:space="preserve"> </w:t>
      </w:r>
      <w:r w:rsidR="009A7F87">
        <w:rPr>
          <w:rFonts w:ascii="Times New Roman" w:hAnsi="Times New Roman" w:cs="Times New Roman"/>
          <w:sz w:val="24"/>
          <w:szCs w:val="24"/>
        </w:rPr>
        <w:t>mērķtiecīgu izlietojumu</w:t>
      </w:r>
      <w:r>
        <w:rPr>
          <w:rFonts w:ascii="Times New Roman" w:hAnsi="Times New Roman" w:cs="Times New Roman"/>
          <w:sz w:val="24"/>
          <w:szCs w:val="24"/>
        </w:rPr>
        <w:t xml:space="preserve">, </w:t>
      </w:r>
      <w:r w:rsidR="009A7F87">
        <w:rPr>
          <w:rFonts w:ascii="Times New Roman" w:hAnsi="Times New Roman" w:cs="Times New Roman"/>
          <w:sz w:val="24"/>
          <w:szCs w:val="24"/>
        </w:rPr>
        <w:t xml:space="preserve">lai </w:t>
      </w:r>
      <w:r>
        <w:rPr>
          <w:rFonts w:ascii="Times New Roman" w:eastAsia="Times New Roman" w:hAnsi="Times New Roman" w:cs="Times New Roman"/>
          <w:sz w:val="24"/>
          <w:szCs w:val="24"/>
          <w:lang w:eastAsia="lv-LV"/>
        </w:rPr>
        <w:t>veicin</w:t>
      </w:r>
      <w:r w:rsidR="009A7F87">
        <w:rPr>
          <w:rFonts w:ascii="Times New Roman" w:eastAsia="Times New Roman" w:hAnsi="Times New Roman" w:cs="Times New Roman"/>
          <w:sz w:val="24"/>
          <w:szCs w:val="24"/>
          <w:lang w:eastAsia="lv-LV"/>
        </w:rPr>
        <w:t xml:space="preserve">ātu </w:t>
      </w:r>
      <w:r>
        <w:rPr>
          <w:rFonts w:ascii="Times New Roman" w:eastAsia="Times New Roman" w:hAnsi="Times New Roman" w:cs="Times New Roman"/>
          <w:sz w:val="24"/>
          <w:szCs w:val="24"/>
          <w:lang w:eastAsia="lv-LV"/>
        </w:rPr>
        <w:t>izglītī</w:t>
      </w:r>
      <w:r w:rsidR="003F3979">
        <w:rPr>
          <w:rFonts w:ascii="Times New Roman" w:eastAsia="Times New Roman" w:hAnsi="Times New Roman" w:cs="Times New Roman"/>
          <w:sz w:val="24"/>
          <w:szCs w:val="24"/>
          <w:lang w:eastAsia="lv-LV"/>
        </w:rPr>
        <w:t>bas kvalitātes paaugstināšanu</w:t>
      </w:r>
      <w:r w:rsidR="00DC2F18">
        <w:rPr>
          <w:rFonts w:ascii="Times New Roman" w:eastAsia="Times New Roman" w:hAnsi="Times New Roman" w:cs="Times New Roman"/>
          <w:sz w:val="24"/>
          <w:szCs w:val="24"/>
          <w:lang w:eastAsia="lv-LV"/>
        </w:rPr>
        <w:t>.</w:t>
      </w:r>
    </w:p>
    <w:p w:rsidR="00C95316" w:rsidRDefault="000D6CCF" w:rsidP="00656A7A">
      <w:pPr>
        <w:spacing w:before="12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i</w:t>
      </w:r>
      <w:r w:rsidR="00584E85">
        <w:rPr>
          <w:rFonts w:ascii="Times New Roman" w:eastAsia="Times New Roman" w:hAnsi="Times New Roman" w:cs="Times New Roman"/>
          <w:sz w:val="24"/>
          <w:szCs w:val="24"/>
          <w:lang w:eastAsia="lv-LV"/>
        </w:rPr>
        <w:t xml:space="preserve">r </w:t>
      </w:r>
      <w:r>
        <w:rPr>
          <w:rFonts w:ascii="Times New Roman" w:eastAsia="Times New Roman" w:hAnsi="Times New Roman" w:cs="Times New Roman"/>
          <w:sz w:val="24"/>
          <w:szCs w:val="24"/>
          <w:lang w:eastAsia="lv-LV"/>
        </w:rPr>
        <w:t>jānorāda</w:t>
      </w:r>
      <w:r w:rsidR="00584E8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ka </w:t>
      </w:r>
      <w:r w:rsidRPr="00B63006">
        <w:rPr>
          <w:rFonts w:ascii="Times New Roman" w:eastAsia="Times New Roman" w:hAnsi="Times New Roman" w:cs="Times New Roman"/>
          <w:b/>
          <w:sz w:val="24"/>
          <w:szCs w:val="24"/>
          <w:lang w:eastAsia="lv-LV"/>
        </w:rPr>
        <w:t xml:space="preserve">daži </w:t>
      </w:r>
      <w:r w:rsidR="00F472B7" w:rsidRPr="00B63006">
        <w:rPr>
          <w:rFonts w:ascii="Times New Roman" w:eastAsia="Times New Roman" w:hAnsi="Times New Roman" w:cs="Times New Roman"/>
          <w:b/>
          <w:sz w:val="24"/>
          <w:szCs w:val="24"/>
          <w:lang w:eastAsia="lv-LV"/>
        </w:rPr>
        <w:t>pasākumi</w:t>
      </w:r>
      <w:r w:rsidRPr="00B63006">
        <w:rPr>
          <w:rFonts w:ascii="Times New Roman" w:eastAsia="Times New Roman" w:hAnsi="Times New Roman" w:cs="Times New Roman"/>
          <w:b/>
          <w:sz w:val="24"/>
          <w:szCs w:val="24"/>
          <w:lang w:eastAsia="lv-LV"/>
        </w:rPr>
        <w:t xml:space="preserve"> būtu akcentējami kā </w:t>
      </w:r>
      <w:r w:rsidRPr="00736389">
        <w:rPr>
          <w:rFonts w:ascii="Times New Roman" w:eastAsia="Times New Roman" w:hAnsi="Times New Roman" w:cs="Times New Roman"/>
          <w:b/>
          <w:sz w:val="24"/>
          <w:szCs w:val="24"/>
          <w:lang w:eastAsia="lv-LV"/>
        </w:rPr>
        <w:t>prioritāri</w:t>
      </w:r>
      <w:r>
        <w:rPr>
          <w:rFonts w:ascii="Times New Roman" w:eastAsia="Times New Roman" w:hAnsi="Times New Roman" w:cs="Times New Roman"/>
          <w:sz w:val="24"/>
          <w:szCs w:val="24"/>
          <w:lang w:eastAsia="lv-LV"/>
        </w:rPr>
        <w:t xml:space="preserve"> turpmākajai rīcībai esošā plānošanas perioda ietvaros, kā arī </w:t>
      </w:r>
      <w:r w:rsidR="00945D7D">
        <w:rPr>
          <w:rFonts w:ascii="Times New Roman" w:eastAsia="Times New Roman" w:hAnsi="Times New Roman" w:cs="Times New Roman"/>
          <w:sz w:val="24"/>
          <w:szCs w:val="24"/>
          <w:lang w:eastAsia="lv-LV"/>
        </w:rPr>
        <w:t xml:space="preserve">indikatīvi </w:t>
      </w:r>
      <w:r>
        <w:rPr>
          <w:rFonts w:ascii="Times New Roman" w:eastAsia="Times New Roman" w:hAnsi="Times New Roman" w:cs="Times New Roman"/>
          <w:sz w:val="24"/>
          <w:szCs w:val="24"/>
          <w:lang w:eastAsia="lv-LV"/>
        </w:rPr>
        <w:t>pēc 2020.gada,</w:t>
      </w:r>
      <w:r w:rsidR="00CE5F39">
        <w:rPr>
          <w:rFonts w:ascii="Times New Roman" w:eastAsia="Times New Roman" w:hAnsi="Times New Roman" w:cs="Times New Roman"/>
          <w:sz w:val="24"/>
          <w:szCs w:val="24"/>
          <w:lang w:eastAsia="lv-LV"/>
        </w:rPr>
        <w:t xml:space="preserve"> ievērojot Nacionālā attīstības plāna 2021.-2027.gadam izstrādes procesu,</w:t>
      </w:r>
      <w:r>
        <w:rPr>
          <w:rFonts w:ascii="Times New Roman" w:eastAsia="Times New Roman" w:hAnsi="Times New Roman" w:cs="Times New Roman"/>
          <w:sz w:val="24"/>
          <w:szCs w:val="24"/>
          <w:lang w:eastAsia="lv-LV"/>
        </w:rPr>
        <w:t xml:space="preserve"> kas attiecīgi prasīs atbilstoš</w:t>
      </w:r>
      <w:r w:rsidR="00ED5547">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s </w:t>
      </w:r>
      <w:r w:rsidR="00ED5547">
        <w:rPr>
          <w:rFonts w:ascii="Times New Roman" w:eastAsia="Times New Roman" w:hAnsi="Times New Roman" w:cs="Times New Roman"/>
          <w:sz w:val="24"/>
          <w:szCs w:val="24"/>
          <w:lang w:eastAsia="lv-LV"/>
        </w:rPr>
        <w:t>investīcijas (tajā skaitā, no ES fondu līdzekļiem)</w:t>
      </w:r>
      <w:r>
        <w:rPr>
          <w:rFonts w:ascii="Times New Roman" w:eastAsia="Times New Roman" w:hAnsi="Times New Roman" w:cs="Times New Roman"/>
          <w:sz w:val="24"/>
          <w:szCs w:val="24"/>
          <w:lang w:eastAsia="lv-LV"/>
        </w:rPr>
        <w:t xml:space="preserve"> un rezultatīvo</w:t>
      </w:r>
      <w:r w:rsidR="00F442CC">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rādītāju</w:t>
      </w:r>
      <w:r w:rsidR="00F442CC">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F442CC">
        <w:rPr>
          <w:rFonts w:ascii="Times New Roman" w:eastAsia="Times New Roman" w:hAnsi="Times New Roman" w:cs="Times New Roman"/>
          <w:sz w:val="24"/>
          <w:szCs w:val="24"/>
          <w:lang w:eastAsia="lv-LV"/>
        </w:rPr>
        <w:t>situācijas progresa mērīšanai</w:t>
      </w:r>
      <w:r>
        <w:rPr>
          <w:rFonts w:ascii="Times New Roman" w:eastAsia="Times New Roman" w:hAnsi="Times New Roman" w:cs="Times New Roman"/>
          <w:sz w:val="24"/>
          <w:szCs w:val="24"/>
          <w:lang w:eastAsia="lv-LV"/>
        </w:rPr>
        <w:t>.</w:t>
      </w:r>
    </w:p>
    <w:p w:rsidR="00C95316" w:rsidRDefault="00C95316" w:rsidP="00656A7A">
      <w:pPr>
        <w:spacing w:before="120" w:line="240" w:lineRule="auto"/>
        <w:ind w:firstLine="720"/>
        <w:jc w:val="both"/>
        <w:rPr>
          <w:rFonts w:ascii="Times New Roman" w:eastAsia="Times New Roman" w:hAnsi="Times New Roman" w:cs="Times New Roman"/>
          <w:sz w:val="24"/>
          <w:szCs w:val="24"/>
          <w:lang w:eastAsia="lv-LV"/>
        </w:rPr>
      </w:pPr>
    </w:p>
    <w:p w:rsidR="00584E85" w:rsidRDefault="000D6CCF" w:rsidP="00656A7A">
      <w:pPr>
        <w:spacing w:before="12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bl>
      <w:tblPr>
        <w:tblStyle w:val="TableGrid"/>
        <w:tblW w:w="0" w:type="auto"/>
        <w:tblLook w:val="04A0" w:firstRow="1" w:lastRow="0" w:firstColumn="1" w:lastColumn="0" w:noHBand="0" w:noVBand="1"/>
      </w:tblPr>
      <w:tblGrid>
        <w:gridCol w:w="9345"/>
      </w:tblGrid>
      <w:tr w:rsidR="00656A7A" w:rsidRPr="008D08C9" w:rsidTr="00656A7A">
        <w:tc>
          <w:tcPr>
            <w:tcW w:w="9345" w:type="dxa"/>
          </w:tcPr>
          <w:p w:rsidR="00656A7A" w:rsidRPr="008D08C9" w:rsidRDefault="00656A7A" w:rsidP="00364830">
            <w:pPr>
              <w:spacing w:before="120"/>
              <w:jc w:val="both"/>
              <w:rPr>
                <w:rFonts w:ascii="Times New Roman" w:eastAsia="Times New Roman" w:hAnsi="Times New Roman" w:cs="Times New Roman"/>
                <w:b/>
                <w:sz w:val="24"/>
                <w:szCs w:val="24"/>
                <w:u w:val="single"/>
                <w:lang w:eastAsia="lv-LV"/>
              </w:rPr>
            </w:pPr>
            <w:r w:rsidRPr="008D08C9">
              <w:rPr>
                <w:rFonts w:ascii="Times New Roman" w:eastAsia="Times New Roman" w:hAnsi="Times New Roman" w:cs="Times New Roman"/>
                <w:b/>
                <w:sz w:val="24"/>
                <w:szCs w:val="24"/>
                <w:u w:val="single"/>
                <w:lang w:eastAsia="lv-LV"/>
              </w:rPr>
              <w:lastRenderedPageBreak/>
              <w:t>Vispārējā izglītība</w:t>
            </w:r>
          </w:p>
          <w:p w:rsidR="00FA298B" w:rsidRPr="008D08C9" w:rsidRDefault="00FA298B" w:rsidP="00364830">
            <w:pPr>
              <w:jc w:val="both"/>
              <w:rPr>
                <w:rFonts w:ascii="Times New Roman" w:hAnsi="Times New Roman" w:cs="Times New Roman"/>
                <w:sz w:val="24"/>
                <w:szCs w:val="24"/>
              </w:rPr>
            </w:pPr>
          </w:p>
          <w:p w:rsidR="00FA298B" w:rsidRPr="008D08C9" w:rsidRDefault="00FA298B" w:rsidP="00364830">
            <w:pPr>
              <w:jc w:val="both"/>
              <w:rPr>
                <w:rFonts w:ascii="Times New Roman" w:hAnsi="Times New Roman" w:cs="Times New Roman"/>
                <w:b/>
                <w:sz w:val="24"/>
                <w:szCs w:val="24"/>
              </w:rPr>
            </w:pPr>
            <w:r w:rsidRPr="008D08C9">
              <w:rPr>
                <w:rFonts w:ascii="Times New Roman" w:hAnsi="Times New Roman" w:cs="Times New Roman"/>
                <w:b/>
                <w:sz w:val="24"/>
                <w:szCs w:val="24"/>
              </w:rPr>
              <w:t>Prioritātes</w:t>
            </w:r>
          </w:p>
          <w:p w:rsidR="00656A7A" w:rsidRPr="008D08C9" w:rsidRDefault="00FA298B" w:rsidP="00364830">
            <w:pPr>
              <w:jc w:val="both"/>
              <w:rPr>
                <w:rFonts w:ascii="Times New Roman" w:hAnsi="Times New Roman" w:cs="Times New Roman"/>
                <w:sz w:val="24"/>
                <w:szCs w:val="24"/>
              </w:rPr>
            </w:pPr>
            <w:r w:rsidRPr="008D08C9">
              <w:rPr>
                <w:rFonts w:ascii="Times New Roman" w:hAnsi="Times New Roman" w:cs="Times New Roman"/>
                <w:sz w:val="24"/>
                <w:szCs w:val="24"/>
              </w:rPr>
              <w:t>- V</w:t>
            </w:r>
            <w:r w:rsidR="00656A7A" w:rsidRPr="008D08C9">
              <w:rPr>
                <w:rFonts w:ascii="Times New Roman" w:hAnsi="Times New Roman" w:cs="Times New Roman"/>
                <w:sz w:val="24"/>
                <w:szCs w:val="24"/>
              </w:rPr>
              <w:t>ispārējās izglītības iestāžu tīkla sakārtošana</w:t>
            </w:r>
            <w:r w:rsidRPr="008D08C9">
              <w:rPr>
                <w:rFonts w:ascii="Times New Roman" w:hAnsi="Times New Roman" w:cs="Times New Roman"/>
                <w:sz w:val="24"/>
                <w:szCs w:val="24"/>
              </w:rPr>
              <w:t xml:space="preserve"> un infrastruktūras uzlabošana, liekot uzsvaru uz </w:t>
            </w:r>
            <w:r w:rsidR="00656A7A" w:rsidRPr="008D08C9">
              <w:rPr>
                <w:rFonts w:ascii="Times New Roman" w:hAnsi="Times New Roman" w:cs="Times New Roman"/>
                <w:sz w:val="24"/>
                <w:szCs w:val="24"/>
              </w:rPr>
              <w:t xml:space="preserve"> </w:t>
            </w:r>
            <w:r w:rsidRPr="008D08C9">
              <w:rPr>
                <w:rFonts w:ascii="Times New Roman" w:hAnsi="Times New Roman" w:cs="Times New Roman"/>
                <w:sz w:val="24"/>
                <w:szCs w:val="24"/>
              </w:rPr>
              <w:t>kvalitatīva</w:t>
            </w:r>
            <w:r w:rsidR="00A82767">
              <w:rPr>
                <w:rFonts w:ascii="Times New Roman" w:hAnsi="Times New Roman" w:cs="Times New Roman"/>
                <w:sz w:val="24"/>
                <w:szCs w:val="24"/>
              </w:rPr>
              <w:t>s</w:t>
            </w:r>
            <w:r w:rsidRPr="008D08C9">
              <w:rPr>
                <w:rFonts w:ascii="Times New Roman" w:hAnsi="Times New Roman" w:cs="Times New Roman"/>
                <w:sz w:val="24"/>
                <w:szCs w:val="24"/>
              </w:rPr>
              <w:t xml:space="preserve"> izglītības pakalpojumu pieejamības pieaugumu:</w:t>
            </w:r>
          </w:p>
          <w:p w:rsidR="00656A7A" w:rsidRPr="008D08C9" w:rsidRDefault="00656A7A" w:rsidP="00364830">
            <w:pPr>
              <w:pStyle w:val="ListParagraph"/>
              <w:numPr>
                <w:ilvl w:val="0"/>
                <w:numId w:val="20"/>
              </w:numPr>
              <w:spacing w:after="160"/>
              <w:jc w:val="both"/>
            </w:pPr>
            <w:r w:rsidRPr="008D08C9">
              <w:t>normatīvajā regulējumā izvirzītiem kvalitātes kritērijiem atbilstošs vispārējās vidējās izglītības piedāvājums (t</w:t>
            </w:r>
            <w:r w:rsidR="007A0B5F" w:rsidRPr="008D08C9">
              <w:t xml:space="preserve">ajā skaitā, </w:t>
            </w:r>
            <w:r w:rsidRPr="008D08C9">
              <w:t>esoš</w:t>
            </w:r>
            <w:r w:rsidR="006537DE">
              <w:t>ie</w:t>
            </w:r>
            <w:r w:rsidRPr="008D08C9">
              <w:t xml:space="preserve"> kritērij</w:t>
            </w:r>
            <w:r w:rsidR="006537DE">
              <w:t>i</w:t>
            </w:r>
            <w:r w:rsidRPr="008D08C9">
              <w:t xml:space="preserve"> - obligāto centralizēto eksāmenu indekss, akreditācijas vērtējums pilnveide un papildināšana);</w:t>
            </w:r>
          </w:p>
          <w:p w:rsidR="00656A7A" w:rsidRPr="008D08C9" w:rsidRDefault="00656A7A" w:rsidP="00364830">
            <w:pPr>
              <w:pStyle w:val="ListParagraph"/>
              <w:numPr>
                <w:ilvl w:val="0"/>
                <w:numId w:val="20"/>
              </w:numPr>
              <w:spacing w:after="160"/>
              <w:jc w:val="both"/>
            </w:pPr>
            <w:r w:rsidRPr="008D08C9">
              <w:t>izglītības iestāžu vadītāju atlases (kārtība un prasības) un novērtēšanas sistēma</w:t>
            </w:r>
            <w:r w:rsidR="00E623F6" w:rsidRPr="008D08C9">
              <w:t>s</w:t>
            </w:r>
            <w:r w:rsidRPr="008D08C9">
              <w:t xml:space="preserve"> (kontekstā ar jaunā mācību satura ieviešanu)</w:t>
            </w:r>
            <w:r w:rsidR="00E623F6" w:rsidRPr="008D08C9">
              <w:t xml:space="preserve"> pilnveide</w:t>
            </w:r>
            <w:r w:rsidRPr="008D08C9">
              <w:t>;</w:t>
            </w:r>
          </w:p>
          <w:p w:rsidR="00656A7A" w:rsidRPr="008D08C9" w:rsidRDefault="00656A7A" w:rsidP="00364830">
            <w:pPr>
              <w:pStyle w:val="ListParagraph"/>
              <w:numPr>
                <w:ilvl w:val="0"/>
                <w:numId w:val="20"/>
              </w:numPr>
              <w:spacing w:after="160"/>
              <w:jc w:val="both"/>
            </w:pPr>
            <w:r w:rsidRPr="008D08C9">
              <w:t>vispārējās izglītības pedagogu atalgojuma modeļa pilnveide.</w:t>
            </w:r>
          </w:p>
          <w:p w:rsidR="00656A7A" w:rsidRPr="00F02B75" w:rsidRDefault="00F02B75" w:rsidP="00364830">
            <w:pPr>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Pr="00427231">
              <w:rPr>
                <w:rFonts w:ascii="Times New Roman" w:hAnsi="Times New Roman" w:cs="Times New Roman"/>
                <w:sz w:val="24"/>
                <w:szCs w:val="24"/>
              </w:rPr>
              <w:t>Kvalitatīva kompetenču pieejā balstīta vispārējās izglītības satura ieviešanas nodrošināšana</w:t>
            </w:r>
            <w:r>
              <w:rPr>
                <w:rFonts w:ascii="Times New Roman" w:hAnsi="Times New Roman" w:cs="Times New Roman"/>
                <w:sz w:val="24"/>
                <w:szCs w:val="24"/>
              </w:rPr>
              <w:t xml:space="preserve">, tajā skaitā, </w:t>
            </w:r>
            <w:r w:rsidRPr="00427231">
              <w:rPr>
                <w:rFonts w:ascii="Times New Roman" w:hAnsi="Times New Roman" w:cs="Times New Roman"/>
                <w:sz w:val="24"/>
                <w:szCs w:val="24"/>
              </w:rPr>
              <w:t>digi</w:t>
            </w:r>
            <w:r>
              <w:rPr>
                <w:rFonts w:ascii="Times New Roman" w:hAnsi="Times New Roman" w:cs="Times New Roman"/>
                <w:sz w:val="24"/>
                <w:szCs w:val="24"/>
              </w:rPr>
              <w:t xml:space="preserve">talizācija un kabinetu aprīkošana. </w:t>
            </w:r>
            <w:r w:rsidR="007A0B5F" w:rsidRPr="008D08C9">
              <w:rPr>
                <w:rFonts w:ascii="Times New Roman" w:eastAsia="Times New Roman" w:hAnsi="Times New Roman" w:cs="Times New Roman"/>
                <w:sz w:val="24"/>
                <w:szCs w:val="24"/>
                <w:lang w:eastAsia="lv-LV"/>
              </w:rPr>
              <w:t>U</w:t>
            </w:r>
            <w:r w:rsidR="00656A7A" w:rsidRPr="008D08C9">
              <w:rPr>
                <w:rFonts w:ascii="Times New Roman" w:eastAsia="Times New Roman" w:hAnsi="Times New Roman" w:cs="Times New Roman"/>
                <w:sz w:val="24"/>
                <w:szCs w:val="24"/>
                <w:lang w:eastAsia="lv-LV"/>
              </w:rPr>
              <w:t>zlabojot izglītojamo sasniegumus un nodrošinot vispārējās izglītības satura pilnveidi, jāstiprina arī pedagogu sagatavotība jaunā satura ieviešanai, kā arī jānodrošina atbilstošie mācību līdzekļi visās jomās un visās izglītības iestādēs</w:t>
            </w:r>
            <w:r w:rsidR="00FA298B" w:rsidRPr="008D08C9">
              <w:rPr>
                <w:rFonts w:ascii="Times New Roman" w:eastAsia="Times New Roman" w:hAnsi="Times New Roman" w:cs="Times New Roman"/>
                <w:sz w:val="24"/>
                <w:szCs w:val="24"/>
                <w:lang w:eastAsia="lv-LV"/>
              </w:rPr>
              <w:t>.</w:t>
            </w:r>
          </w:p>
          <w:p w:rsidR="00656A7A" w:rsidRDefault="00F71040" w:rsidP="00364830">
            <w:pPr>
              <w:spacing w:before="120"/>
              <w:jc w:val="both"/>
              <w:rPr>
                <w:rFonts w:ascii="Times New Roman" w:eastAsia="Times New Roman" w:hAnsi="Times New Roman" w:cs="Times New Roman"/>
                <w:sz w:val="24"/>
                <w:szCs w:val="24"/>
                <w:lang w:eastAsia="lv-LV"/>
              </w:rPr>
            </w:pPr>
            <w:r w:rsidRPr="008D08C9">
              <w:rPr>
                <w:rFonts w:ascii="Times New Roman" w:eastAsia="Times New Roman" w:hAnsi="Times New Roman" w:cs="Times New Roman"/>
                <w:sz w:val="24"/>
                <w:szCs w:val="24"/>
                <w:lang w:eastAsia="lv-LV"/>
              </w:rPr>
              <w:t>- S</w:t>
            </w:r>
            <w:r w:rsidR="00656A7A" w:rsidRPr="008D08C9">
              <w:rPr>
                <w:rFonts w:ascii="Times New Roman" w:eastAsia="Times New Roman" w:hAnsi="Times New Roman" w:cs="Times New Roman"/>
                <w:sz w:val="24"/>
                <w:szCs w:val="24"/>
                <w:lang w:eastAsia="lv-LV"/>
              </w:rPr>
              <w:t>ekmējot izglītojamo sagatavotību dzīves izaicinājumiem un turpmākajām izglītības un darba gaitām</w:t>
            </w:r>
            <w:r w:rsidR="00FB73C5">
              <w:rPr>
                <w:rFonts w:ascii="Times New Roman" w:eastAsia="Times New Roman" w:hAnsi="Times New Roman" w:cs="Times New Roman"/>
                <w:sz w:val="24"/>
                <w:szCs w:val="24"/>
                <w:lang w:eastAsia="lv-LV"/>
              </w:rPr>
              <w:t>;</w:t>
            </w:r>
            <w:r w:rsidR="00656A7A" w:rsidRPr="008D08C9">
              <w:rPr>
                <w:rFonts w:ascii="Times New Roman" w:eastAsia="Times New Roman" w:hAnsi="Times New Roman" w:cs="Times New Roman"/>
                <w:sz w:val="24"/>
                <w:szCs w:val="24"/>
                <w:lang w:eastAsia="lv-LV"/>
              </w:rPr>
              <w:t xml:space="preserve"> jānodrošina individuālo k</w:t>
            </w:r>
            <w:r w:rsidR="00FB73C5">
              <w:rPr>
                <w:rFonts w:ascii="Times New Roman" w:eastAsia="Times New Roman" w:hAnsi="Times New Roman" w:cs="Times New Roman"/>
                <w:sz w:val="24"/>
                <w:szCs w:val="24"/>
                <w:lang w:eastAsia="lv-LV"/>
              </w:rPr>
              <w:t>ompetenču un talantu attīstība</w:t>
            </w:r>
            <w:r w:rsidR="00656A7A" w:rsidRPr="008D08C9">
              <w:rPr>
                <w:rFonts w:ascii="Times New Roman" w:eastAsia="Times New Roman" w:hAnsi="Times New Roman" w:cs="Times New Roman"/>
                <w:sz w:val="24"/>
                <w:szCs w:val="24"/>
                <w:lang w:eastAsia="lv-LV"/>
              </w:rPr>
              <w:t xml:space="preserve">; </w:t>
            </w:r>
            <w:r w:rsidR="00405E64">
              <w:rPr>
                <w:rFonts w:ascii="Times New Roman" w:eastAsia="Times New Roman" w:hAnsi="Times New Roman" w:cs="Times New Roman"/>
                <w:sz w:val="24"/>
                <w:szCs w:val="24"/>
                <w:lang w:eastAsia="lv-LV"/>
              </w:rPr>
              <w:t xml:space="preserve">jāsniedz atbalsts </w:t>
            </w:r>
            <w:r w:rsidR="00405E64" w:rsidRPr="00427231">
              <w:rPr>
                <w:rFonts w:ascii="Times New Roman" w:hAnsi="Times New Roman" w:cs="Times New Roman"/>
                <w:sz w:val="24"/>
                <w:szCs w:val="24"/>
              </w:rPr>
              <w:t>izglītojamiem ar speciālām vajadzībām</w:t>
            </w:r>
            <w:r w:rsidR="00405E64">
              <w:rPr>
                <w:rFonts w:ascii="Times New Roman" w:hAnsi="Times New Roman" w:cs="Times New Roman"/>
                <w:sz w:val="24"/>
                <w:szCs w:val="24"/>
              </w:rPr>
              <w:t>;</w:t>
            </w:r>
            <w:r w:rsidR="00405E64" w:rsidRPr="008D08C9">
              <w:rPr>
                <w:rFonts w:ascii="Times New Roman" w:eastAsia="Times New Roman" w:hAnsi="Times New Roman" w:cs="Times New Roman"/>
                <w:sz w:val="24"/>
                <w:szCs w:val="24"/>
                <w:lang w:eastAsia="lv-LV"/>
              </w:rPr>
              <w:t xml:space="preserve"> </w:t>
            </w:r>
            <w:r w:rsidR="00656A7A" w:rsidRPr="008D08C9">
              <w:rPr>
                <w:rFonts w:ascii="Times New Roman" w:eastAsia="Times New Roman" w:hAnsi="Times New Roman" w:cs="Times New Roman"/>
                <w:sz w:val="24"/>
                <w:szCs w:val="24"/>
                <w:lang w:eastAsia="lv-LV"/>
              </w:rPr>
              <w:t>jāturpina karjeras izglītības attīstība; jāstiprina uzņēmējdarbības izglītība un STEM jomas; kā arī jāsniedz atbalsts skolotājiem un skolas komandai vardarbības mazināšanai skolās</w:t>
            </w:r>
            <w:r w:rsidR="00FA298B" w:rsidRPr="008D08C9">
              <w:rPr>
                <w:rFonts w:ascii="Times New Roman" w:eastAsia="Times New Roman" w:hAnsi="Times New Roman" w:cs="Times New Roman"/>
                <w:sz w:val="24"/>
                <w:szCs w:val="24"/>
                <w:lang w:eastAsia="lv-LV"/>
              </w:rPr>
              <w:t>.</w:t>
            </w:r>
          </w:p>
          <w:p w:rsidR="008D08C9" w:rsidRPr="008D08C9" w:rsidRDefault="008D08C9" w:rsidP="00364830">
            <w:pPr>
              <w:jc w:val="both"/>
              <w:rPr>
                <w:rFonts w:ascii="Times New Roman" w:eastAsia="Times New Roman" w:hAnsi="Times New Roman" w:cs="Times New Roman"/>
                <w:sz w:val="24"/>
                <w:szCs w:val="24"/>
                <w:lang w:eastAsia="lv-LV"/>
              </w:rPr>
            </w:pPr>
          </w:p>
          <w:p w:rsidR="00656A7A" w:rsidRPr="001734A6" w:rsidRDefault="00ED0EED" w:rsidP="00364830">
            <w:pPr>
              <w:jc w:val="both"/>
              <w:rPr>
                <w:rFonts w:ascii="Times New Roman" w:hAnsi="Times New Roman" w:cs="Times New Roman"/>
                <w:sz w:val="24"/>
                <w:szCs w:val="24"/>
              </w:rPr>
            </w:pPr>
            <w:r>
              <w:rPr>
                <w:rFonts w:ascii="Times New Roman" w:hAnsi="Times New Roman" w:cs="Times New Roman"/>
                <w:sz w:val="24"/>
                <w:szCs w:val="24"/>
              </w:rPr>
              <w:t>Izvērtējot</w:t>
            </w:r>
            <w:r w:rsidR="001734A6">
              <w:rPr>
                <w:rFonts w:ascii="Times New Roman" w:hAnsi="Times New Roman" w:cs="Times New Roman"/>
                <w:sz w:val="24"/>
                <w:szCs w:val="24"/>
              </w:rPr>
              <w:t xml:space="preserve"> </w:t>
            </w:r>
            <w:r w:rsidRPr="00F67B51">
              <w:rPr>
                <w:rFonts w:ascii="Times New Roman" w:hAnsi="Times New Roman" w:cs="Times New Roman"/>
                <w:sz w:val="24"/>
                <w:szCs w:val="24"/>
              </w:rPr>
              <w:t>IAP 201</w:t>
            </w:r>
            <w:r>
              <w:rPr>
                <w:rFonts w:ascii="Times New Roman" w:hAnsi="Times New Roman" w:cs="Times New Roman"/>
                <w:sz w:val="24"/>
                <w:szCs w:val="24"/>
              </w:rPr>
              <w:t xml:space="preserve">4.–2020.gadam rezultatīvo rādītāju klāstu un ievērojot nākotnes prioritātes, </w:t>
            </w:r>
            <w:r w:rsidR="001734A6" w:rsidRPr="001734A6">
              <w:rPr>
                <w:rFonts w:ascii="Times New Roman" w:hAnsi="Times New Roman" w:cs="Times New Roman"/>
                <w:sz w:val="24"/>
                <w:szCs w:val="24"/>
              </w:rPr>
              <w:t xml:space="preserve">turpmāk izvērtējama šādu </w:t>
            </w:r>
            <w:r>
              <w:rPr>
                <w:rFonts w:ascii="Times New Roman" w:hAnsi="Times New Roman" w:cs="Times New Roman"/>
                <w:sz w:val="24"/>
                <w:szCs w:val="24"/>
              </w:rPr>
              <w:t xml:space="preserve">papildu </w:t>
            </w:r>
            <w:r w:rsidR="001734A6" w:rsidRPr="00ED0EED">
              <w:rPr>
                <w:rFonts w:ascii="Times New Roman" w:hAnsi="Times New Roman" w:cs="Times New Roman"/>
                <w:b/>
                <w:sz w:val="24"/>
                <w:szCs w:val="24"/>
              </w:rPr>
              <w:t xml:space="preserve">rezultatīvo rādītāju </w:t>
            </w:r>
            <w:r w:rsidR="001734A6">
              <w:rPr>
                <w:rFonts w:ascii="Times New Roman" w:hAnsi="Times New Roman" w:cs="Times New Roman"/>
                <w:sz w:val="24"/>
                <w:szCs w:val="24"/>
              </w:rPr>
              <w:t>iekļaušana</w:t>
            </w:r>
            <w:r>
              <w:rPr>
                <w:rFonts w:ascii="Times New Roman" w:hAnsi="Times New Roman" w:cs="Times New Roman"/>
                <w:sz w:val="24"/>
                <w:szCs w:val="24"/>
              </w:rPr>
              <w:t xml:space="preserve"> / precizēšana vispārējās izglītības jomā</w:t>
            </w:r>
            <w:r w:rsidR="00312A4C">
              <w:rPr>
                <w:rFonts w:ascii="Times New Roman" w:hAnsi="Times New Roman" w:cs="Times New Roman"/>
                <w:sz w:val="24"/>
                <w:szCs w:val="24"/>
              </w:rPr>
              <w:t xml:space="preserve"> nākamajā plānošanas periodā</w:t>
            </w:r>
            <w:r>
              <w:rPr>
                <w:rFonts w:ascii="Times New Roman" w:hAnsi="Times New Roman" w:cs="Times New Roman"/>
                <w:sz w:val="24"/>
                <w:szCs w:val="24"/>
              </w:rPr>
              <w:t>:</w:t>
            </w:r>
          </w:p>
          <w:p w:rsidR="00ED0EED" w:rsidRDefault="00ED0EED" w:rsidP="00364830">
            <w:pPr>
              <w:pStyle w:val="ListParagraph"/>
              <w:numPr>
                <w:ilvl w:val="0"/>
                <w:numId w:val="20"/>
              </w:numPr>
              <w:spacing w:after="160"/>
              <w:jc w:val="both"/>
            </w:pPr>
            <w:r w:rsidRPr="008D08C9">
              <w:t>vidējās izglītības iestādē piedāvātā “izvēļu groza” korelācija ar, piemēram, STEM jomas centralizēto eksāmenu izvēli un rezultātiem</w:t>
            </w:r>
            <w:r>
              <w:t>;</w:t>
            </w:r>
          </w:p>
          <w:p w:rsidR="00ED0EED" w:rsidRDefault="00656A7A" w:rsidP="00364830">
            <w:pPr>
              <w:pStyle w:val="ListParagraph"/>
              <w:numPr>
                <w:ilvl w:val="0"/>
                <w:numId w:val="20"/>
              </w:numPr>
              <w:spacing w:after="160"/>
              <w:jc w:val="both"/>
            </w:pPr>
            <w:r w:rsidRPr="008D08C9">
              <w:t>vispārizglītojošās izglītības iestādēs integrēto izglītojamo ar speciālām vajadzībām skaita īpatsvars attiecībā pret kopējo izglītojamo ar speciālām vajadzībām skaitu</w:t>
            </w:r>
            <w:r w:rsidR="00ED0EED">
              <w:t>;</w:t>
            </w:r>
          </w:p>
          <w:p w:rsidR="00656A7A" w:rsidRPr="00ED0EED" w:rsidRDefault="00ED0EED" w:rsidP="00364830">
            <w:pPr>
              <w:pStyle w:val="ListParagraph"/>
              <w:numPr>
                <w:ilvl w:val="0"/>
                <w:numId w:val="20"/>
              </w:numPr>
              <w:spacing w:after="160"/>
              <w:jc w:val="both"/>
            </w:pPr>
            <w:r>
              <w:t>p</w:t>
            </w:r>
            <w:r w:rsidR="00656A7A" w:rsidRPr="00ED0EED">
              <w:t>ēc pakalpojumu izmaksu modeļa bērniem ar speciālām vajadzībām izstrādes precizējams/ nosakāms rādītājs par atbalsta pakalpojumu pieejamību, piemēram:</w:t>
            </w:r>
            <w:r>
              <w:t xml:space="preserve"> </w:t>
            </w:r>
            <w:r w:rsidR="00656A7A" w:rsidRPr="008D08C9">
              <w:t xml:space="preserve">atbalsta personāla pieejamība uz </w:t>
            </w:r>
            <w:r>
              <w:t>vienu</w:t>
            </w:r>
            <w:r w:rsidR="00656A7A" w:rsidRPr="008D08C9">
              <w:t xml:space="preserve"> izglītojamo ar speciālām vajadzībām</w:t>
            </w:r>
            <w:r>
              <w:t>;</w:t>
            </w:r>
          </w:p>
          <w:p w:rsidR="00656A7A" w:rsidRDefault="00ED0EED" w:rsidP="00364830">
            <w:pPr>
              <w:pStyle w:val="ListParagraph"/>
              <w:numPr>
                <w:ilvl w:val="0"/>
                <w:numId w:val="20"/>
              </w:numPr>
              <w:spacing w:after="160"/>
              <w:jc w:val="both"/>
            </w:pPr>
            <w:r w:rsidRPr="008D08C9">
              <w:t>vispārējās vidējās izglītības absolventu turpmākā izglītība/ nodarbinātība</w:t>
            </w:r>
            <w:r w:rsidR="00246CBF">
              <w:t>;</w:t>
            </w:r>
          </w:p>
          <w:p w:rsidR="00301399" w:rsidRDefault="00246CBF" w:rsidP="00364830">
            <w:pPr>
              <w:pStyle w:val="ListParagraph"/>
              <w:numPr>
                <w:ilvl w:val="0"/>
                <w:numId w:val="20"/>
              </w:numPr>
              <w:spacing w:after="160"/>
              <w:jc w:val="both"/>
            </w:pPr>
            <w:r>
              <w:t>bērnu un jauniešu skaits/īpatsvars, kuri iesaistīti neformālās un interešu izglītības aktivitātēs, tajā skaitā, sadalījumā pa grupām (piemēram, Dziesmu un deju svētku process, STEM, utt.)</w:t>
            </w:r>
            <w:r w:rsidR="00301399">
              <w:t>;</w:t>
            </w:r>
          </w:p>
          <w:p w:rsidR="00246CBF" w:rsidRPr="00ED0EED" w:rsidRDefault="00301399" w:rsidP="00E77F97">
            <w:pPr>
              <w:pStyle w:val="ListParagraph"/>
              <w:numPr>
                <w:ilvl w:val="0"/>
                <w:numId w:val="20"/>
              </w:numPr>
              <w:spacing w:after="240"/>
              <w:ind w:left="714" w:hanging="357"/>
              <w:jc w:val="both"/>
            </w:pPr>
            <w:r>
              <w:t>d</w:t>
            </w:r>
            <w:r w:rsidRPr="00301399">
              <w:t>alība agrīnā pirmsskolas izglītībā (1,5-4 gadi, %)</w:t>
            </w:r>
            <w:r w:rsidR="00990C2D">
              <w:t>.</w:t>
            </w:r>
          </w:p>
        </w:tc>
      </w:tr>
      <w:tr w:rsidR="00656A7A" w:rsidRPr="008D08C9" w:rsidTr="00656A7A">
        <w:tc>
          <w:tcPr>
            <w:tcW w:w="9345" w:type="dxa"/>
          </w:tcPr>
          <w:p w:rsidR="00656A7A" w:rsidRPr="008D08C9" w:rsidRDefault="00656A7A" w:rsidP="00364830">
            <w:pPr>
              <w:spacing w:before="120"/>
              <w:jc w:val="both"/>
              <w:rPr>
                <w:rFonts w:ascii="Times New Roman" w:eastAsia="Times New Roman" w:hAnsi="Times New Roman" w:cs="Times New Roman"/>
                <w:b/>
                <w:sz w:val="24"/>
                <w:szCs w:val="24"/>
                <w:u w:val="single"/>
                <w:lang w:eastAsia="lv-LV"/>
              </w:rPr>
            </w:pPr>
            <w:r w:rsidRPr="008D08C9">
              <w:rPr>
                <w:rFonts w:ascii="Times New Roman" w:eastAsia="Times New Roman" w:hAnsi="Times New Roman" w:cs="Times New Roman"/>
                <w:b/>
                <w:sz w:val="24"/>
                <w:szCs w:val="24"/>
                <w:u w:val="single"/>
                <w:lang w:eastAsia="lv-LV"/>
              </w:rPr>
              <w:t>Profesionālā izglītība</w:t>
            </w:r>
          </w:p>
          <w:p w:rsidR="000F1800" w:rsidRDefault="000F1800" w:rsidP="00364830">
            <w:pPr>
              <w:jc w:val="both"/>
              <w:rPr>
                <w:rFonts w:ascii="Times New Roman" w:hAnsi="Times New Roman" w:cs="Times New Roman"/>
                <w:b/>
                <w:sz w:val="24"/>
                <w:szCs w:val="24"/>
              </w:rPr>
            </w:pPr>
          </w:p>
          <w:p w:rsidR="000F1800" w:rsidRPr="008D08C9" w:rsidRDefault="000F1800" w:rsidP="00364830">
            <w:pPr>
              <w:jc w:val="both"/>
              <w:rPr>
                <w:rFonts w:ascii="Times New Roman" w:hAnsi="Times New Roman" w:cs="Times New Roman"/>
                <w:b/>
                <w:sz w:val="24"/>
                <w:szCs w:val="24"/>
              </w:rPr>
            </w:pPr>
            <w:r w:rsidRPr="008D08C9">
              <w:rPr>
                <w:rFonts w:ascii="Times New Roman" w:hAnsi="Times New Roman" w:cs="Times New Roman"/>
                <w:b/>
                <w:sz w:val="24"/>
                <w:szCs w:val="24"/>
              </w:rPr>
              <w:t>Prioritātes</w:t>
            </w:r>
          </w:p>
          <w:p w:rsidR="004349BE" w:rsidRDefault="000F1800" w:rsidP="004349BE">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C43F12">
              <w:rPr>
                <w:rFonts w:ascii="Times New Roman" w:hAnsi="Times New Roman" w:cs="Times New Roman"/>
                <w:sz w:val="24"/>
                <w:szCs w:val="24"/>
              </w:rPr>
              <w:t>Sekmējot p</w:t>
            </w:r>
            <w:r w:rsidR="00C43F12" w:rsidRPr="00427231">
              <w:rPr>
                <w:rFonts w:ascii="Times New Roman" w:hAnsi="Times New Roman" w:cs="Times New Roman"/>
                <w:sz w:val="24"/>
                <w:szCs w:val="24"/>
              </w:rPr>
              <w:t>rofesionālās izglītības iestāžu kā nozares izcilības centru stiprināšan</w:t>
            </w:r>
            <w:r w:rsidR="00C43F12">
              <w:rPr>
                <w:rFonts w:ascii="Times New Roman" w:hAnsi="Times New Roman" w:cs="Times New Roman"/>
                <w:sz w:val="24"/>
                <w:szCs w:val="24"/>
              </w:rPr>
              <w:t xml:space="preserve">u, jāveicina </w:t>
            </w:r>
            <w:r w:rsidR="00C43F12" w:rsidRPr="008D08C9">
              <w:rPr>
                <w:rFonts w:ascii="Times New Roman" w:hAnsi="Times New Roman" w:cs="Times New Roman"/>
                <w:sz w:val="24"/>
                <w:szCs w:val="24"/>
              </w:rPr>
              <w:t>kvalitatīv</w:t>
            </w:r>
            <w:r w:rsidR="00C43F12">
              <w:rPr>
                <w:rFonts w:ascii="Times New Roman" w:hAnsi="Times New Roman" w:cs="Times New Roman"/>
                <w:sz w:val="24"/>
                <w:szCs w:val="24"/>
              </w:rPr>
              <w:t>a</w:t>
            </w:r>
            <w:r w:rsidR="00C43F12" w:rsidRPr="008D08C9">
              <w:rPr>
                <w:rFonts w:ascii="Times New Roman" w:hAnsi="Times New Roman" w:cs="Times New Roman"/>
                <w:sz w:val="24"/>
                <w:szCs w:val="24"/>
              </w:rPr>
              <w:t xml:space="preserve"> PIKC funkcionēšan</w:t>
            </w:r>
            <w:r w:rsidR="00C43F12">
              <w:rPr>
                <w:rFonts w:ascii="Times New Roman" w:hAnsi="Times New Roman" w:cs="Times New Roman"/>
                <w:sz w:val="24"/>
                <w:szCs w:val="24"/>
              </w:rPr>
              <w:t>a</w:t>
            </w:r>
            <w:r w:rsidR="00C43F12" w:rsidRPr="008D08C9">
              <w:rPr>
                <w:rFonts w:ascii="Times New Roman" w:hAnsi="Times New Roman" w:cs="Times New Roman"/>
                <w:sz w:val="24"/>
                <w:szCs w:val="24"/>
              </w:rPr>
              <w:t>, jāstiprina pārmaiņu vadība un efektīva līderība</w:t>
            </w:r>
            <w:r w:rsidR="00C43F12">
              <w:rPr>
                <w:rFonts w:ascii="Times New Roman" w:hAnsi="Times New Roman" w:cs="Times New Roman"/>
                <w:sz w:val="24"/>
                <w:szCs w:val="24"/>
              </w:rPr>
              <w:t>; jānodrošina</w:t>
            </w:r>
            <w:r w:rsidR="00C43F12" w:rsidRPr="00427231">
              <w:rPr>
                <w:rFonts w:ascii="Times New Roman" w:hAnsi="Times New Roman" w:cs="Times New Roman"/>
                <w:sz w:val="24"/>
                <w:szCs w:val="24"/>
              </w:rPr>
              <w:t xml:space="preserve"> elastīgs izglītības piedāvājums, </w:t>
            </w:r>
            <w:r w:rsidR="00C43F12" w:rsidRPr="008D08C9">
              <w:rPr>
                <w:rFonts w:ascii="Times New Roman" w:hAnsi="Times New Roman" w:cs="Times New Roman"/>
                <w:sz w:val="24"/>
                <w:szCs w:val="24"/>
              </w:rPr>
              <w:t>tehnoloģizācijas apstākļiem</w:t>
            </w:r>
            <w:r w:rsidR="00C43F12" w:rsidRPr="00427231">
              <w:rPr>
                <w:rFonts w:ascii="Times New Roman" w:hAnsi="Times New Roman" w:cs="Times New Roman"/>
                <w:sz w:val="24"/>
                <w:szCs w:val="24"/>
              </w:rPr>
              <w:t xml:space="preserve"> </w:t>
            </w:r>
            <w:r w:rsidR="00C43F12">
              <w:rPr>
                <w:rFonts w:ascii="Times New Roman" w:hAnsi="Times New Roman" w:cs="Times New Roman"/>
                <w:sz w:val="24"/>
                <w:szCs w:val="24"/>
              </w:rPr>
              <w:t xml:space="preserve">atbilstoša </w:t>
            </w:r>
            <w:r w:rsidR="00C43F12" w:rsidRPr="00427231">
              <w:rPr>
                <w:rFonts w:ascii="Times New Roman" w:hAnsi="Times New Roman" w:cs="Times New Roman"/>
                <w:sz w:val="24"/>
                <w:szCs w:val="24"/>
              </w:rPr>
              <w:t>infrastruktūra (</w:t>
            </w:r>
            <w:r w:rsidR="00C43F12">
              <w:rPr>
                <w:rFonts w:ascii="Times New Roman" w:hAnsi="Times New Roman" w:cs="Times New Roman"/>
                <w:sz w:val="24"/>
                <w:szCs w:val="24"/>
              </w:rPr>
              <w:t>arī</w:t>
            </w:r>
            <w:r w:rsidR="00C43F12" w:rsidRPr="00427231">
              <w:rPr>
                <w:rFonts w:ascii="Times New Roman" w:hAnsi="Times New Roman" w:cs="Times New Roman"/>
                <w:sz w:val="24"/>
                <w:szCs w:val="24"/>
              </w:rPr>
              <w:t xml:space="preserve"> dienesta viesnīcas), stratēģiskā komunikācijā, mācību uzņēmumu veidošana, pieaugušo izglītīb</w:t>
            </w:r>
            <w:r w:rsidR="00C43F12">
              <w:rPr>
                <w:rFonts w:ascii="Times New Roman" w:hAnsi="Times New Roman" w:cs="Times New Roman"/>
                <w:sz w:val="24"/>
                <w:szCs w:val="24"/>
              </w:rPr>
              <w:t>as piedāvājums.</w:t>
            </w:r>
          </w:p>
          <w:p w:rsidR="00C43F12" w:rsidRPr="008D08C9" w:rsidRDefault="00C43F12" w:rsidP="00364830">
            <w:pPr>
              <w:jc w:val="both"/>
              <w:rPr>
                <w:rFonts w:ascii="Times New Roman" w:eastAsia="Times New Roman" w:hAnsi="Times New Roman" w:cs="Times New Roman"/>
                <w:b/>
                <w:sz w:val="24"/>
                <w:szCs w:val="24"/>
                <w:lang w:eastAsia="lv-LV"/>
              </w:rPr>
            </w:pPr>
            <w:r>
              <w:rPr>
                <w:rFonts w:ascii="Times New Roman" w:hAnsi="Times New Roman" w:cs="Times New Roman"/>
                <w:sz w:val="24"/>
                <w:szCs w:val="24"/>
              </w:rPr>
              <w:lastRenderedPageBreak/>
              <w:t>- Jāveicina p</w:t>
            </w:r>
            <w:r w:rsidRPr="00427231">
              <w:rPr>
                <w:rFonts w:ascii="Times New Roman" w:hAnsi="Times New Roman" w:cs="Times New Roman"/>
                <w:sz w:val="24"/>
                <w:szCs w:val="24"/>
              </w:rPr>
              <w:t>rofesionālās izglītības kvalitātes, konkurētspējas un ilgtspējas stiprināšana</w:t>
            </w:r>
            <w:r>
              <w:rPr>
                <w:rFonts w:ascii="Times New Roman" w:hAnsi="Times New Roman" w:cs="Times New Roman"/>
                <w:sz w:val="24"/>
                <w:szCs w:val="24"/>
              </w:rPr>
              <w:t xml:space="preserve">, tajā skaitā, </w:t>
            </w:r>
            <w:r w:rsidR="006A7130">
              <w:rPr>
                <w:rFonts w:ascii="Times New Roman" w:hAnsi="Times New Roman" w:cs="Times New Roman"/>
                <w:sz w:val="24"/>
                <w:szCs w:val="24"/>
              </w:rPr>
              <w:t xml:space="preserve">attīstot DVB mācības, </w:t>
            </w:r>
            <w:r>
              <w:rPr>
                <w:rFonts w:ascii="Times New Roman" w:hAnsi="Times New Roman" w:cs="Times New Roman"/>
                <w:sz w:val="24"/>
                <w:szCs w:val="24"/>
              </w:rPr>
              <w:t xml:space="preserve">atbalstot </w:t>
            </w:r>
            <w:r w:rsidRPr="00427231">
              <w:rPr>
                <w:rFonts w:ascii="Times New Roman" w:hAnsi="Times New Roman" w:cs="Times New Roman"/>
                <w:sz w:val="24"/>
                <w:szCs w:val="24"/>
              </w:rPr>
              <w:t>NEP darbīb</w:t>
            </w:r>
            <w:r>
              <w:rPr>
                <w:rFonts w:ascii="Times New Roman" w:hAnsi="Times New Roman" w:cs="Times New Roman"/>
                <w:sz w:val="24"/>
                <w:szCs w:val="24"/>
              </w:rPr>
              <w:t>u</w:t>
            </w:r>
            <w:r w:rsidRPr="00427231">
              <w:rPr>
                <w:rFonts w:ascii="Times New Roman" w:hAnsi="Times New Roman" w:cs="Times New Roman"/>
                <w:sz w:val="24"/>
                <w:szCs w:val="24"/>
              </w:rPr>
              <w:t>, jauno profesionāļu meistarības konkurs</w:t>
            </w:r>
            <w:r w:rsidR="00BF10A3">
              <w:rPr>
                <w:rFonts w:ascii="Times New Roman" w:hAnsi="Times New Roman" w:cs="Times New Roman"/>
                <w:sz w:val="24"/>
                <w:szCs w:val="24"/>
              </w:rPr>
              <w:t>us</w:t>
            </w:r>
            <w:r w:rsidRPr="00427231">
              <w:rPr>
                <w:rFonts w:ascii="Times New Roman" w:hAnsi="Times New Roman" w:cs="Times New Roman"/>
                <w:sz w:val="24"/>
                <w:szCs w:val="24"/>
              </w:rPr>
              <w:t>, ECVET un EQAVET ieviešan</w:t>
            </w:r>
            <w:r>
              <w:rPr>
                <w:rFonts w:ascii="Times New Roman" w:hAnsi="Times New Roman" w:cs="Times New Roman"/>
                <w:sz w:val="24"/>
                <w:szCs w:val="24"/>
              </w:rPr>
              <w:t>u</w:t>
            </w:r>
            <w:r w:rsidRPr="00427231">
              <w:rPr>
                <w:rFonts w:ascii="Times New Roman" w:hAnsi="Times New Roman" w:cs="Times New Roman"/>
                <w:sz w:val="24"/>
                <w:szCs w:val="24"/>
              </w:rPr>
              <w:t xml:space="preserve">, </w:t>
            </w:r>
            <w:r>
              <w:rPr>
                <w:rFonts w:ascii="Times New Roman" w:hAnsi="Times New Roman" w:cs="Times New Roman"/>
                <w:sz w:val="24"/>
                <w:szCs w:val="24"/>
              </w:rPr>
              <w:t>kā arī STEM veicināšanas pasākumus.</w:t>
            </w:r>
          </w:p>
          <w:p w:rsidR="000F1800" w:rsidRDefault="00FB73C5" w:rsidP="006A7130">
            <w:pPr>
              <w:spacing w:before="120"/>
              <w:jc w:val="both"/>
              <w:rPr>
                <w:rFonts w:ascii="Times New Roman" w:hAnsi="Times New Roman" w:cs="Times New Roman"/>
                <w:sz w:val="24"/>
                <w:szCs w:val="24"/>
              </w:rPr>
            </w:pPr>
            <w:r>
              <w:rPr>
                <w:rFonts w:ascii="Times New Roman" w:hAnsi="Times New Roman" w:cs="Times New Roman"/>
                <w:sz w:val="24"/>
                <w:szCs w:val="24"/>
              </w:rPr>
              <w:t>- T</w:t>
            </w:r>
            <w:r w:rsidRPr="00FB73C5">
              <w:rPr>
                <w:rFonts w:ascii="Times New Roman" w:hAnsi="Times New Roman" w:cs="Times New Roman"/>
                <w:sz w:val="24"/>
                <w:szCs w:val="24"/>
              </w:rPr>
              <w:t xml:space="preserve">urpināt pasākumus, kas vērsti uz </w:t>
            </w:r>
            <w:r>
              <w:rPr>
                <w:rFonts w:ascii="Times New Roman" w:hAnsi="Times New Roman" w:cs="Times New Roman"/>
                <w:sz w:val="24"/>
                <w:szCs w:val="24"/>
              </w:rPr>
              <w:t>izglītības priekšlaicīgas pārtraukšanas</w:t>
            </w:r>
            <w:r w:rsidRPr="00FB73C5">
              <w:rPr>
                <w:rFonts w:ascii="Times New Roman" w:hAnsi="Times New Roman" w:cs="Times New Roman"/>
                <w:sz w:val="24"/>
                <w:szCs w:val="24"/>
              </w:rPr>
              <w:t xml:space="preserve"> risku mazināšanu un novēršanu, t</w:t>
            </w:r>
            <w:r>
              <w:rPr>
                <w:rFonts w:ascii="Times New Roman" w:hAnsi="Times New Roman" w:cs="Times New Roman"/>
                <w:sz w:val="24"/>
                <w:szCs w:val="24"/>
              </w:rPr>
              <w:t>ajā skaitā,</w:t>
            </w:r>
            <w:r w:rsidRPr="00FB73C5">
              <w:rPr>
                <w:rFonts w:ascii="Times New Roman" w:hAnsi="Times New Roman" w:cs="Times New Roman"/>
                <w:sz w:val="24"/>
                <w:szCs w:val="24"/>
              </w:rPr>
              <w:t xml:space="preserve"> veicinot ilgtspējīgas atbalsta sistēmas izveidi.</w:t>
            </w:r>
          </w:p>
          <w:p w:rsidR="00C43F12" w:rsidRDefault="00C43F12" w:rsidP="00364830">
            <w:pPr>
              <w:jc w:val="both"/>
              <w:rPr>
                <w:rFonts w:ascii="Times New Roman" w:hAnsi="Times New Roman" w:cs="Times New Roman"/>
                <w:sz w:val="24"/>
                <w:szCs w:val="24"/>
              </w:rPr>
            </w:pPr>
          </w:p>
          <w:p w:rsidR="000F1800" w:rsidRDefault="000F1800" w:rsidP="00364830">
            <w:pPr>
              <w:jc w:val="both"/>
              <w:rPr>
                <w:rFonts w:ascii="Times New Roman" w:hAnsi="Times New Roman" w:cs="Times New Roman"/>
                <w:sz w:val="24"/>
                <w:szCs w:val="24"/>
              </w:rPr>
            </w:pPr>
            <w:r>
              <w:rPr>
                <w:rFonts w:ascii="Times New Roman" w:hAnsi="Times New Roman" w:cs="Times New Roman"/>
                <w:sz w:val="24"/>
                <w:szCs w:val="24"/>
              </w:rPr>
              <w:t xml:space="preserve">Izvērtējot </w:t>
            </w:r>
            <w:r w:rsidRPr="00F67B51">
              <w:rPr>
                <w:rFonts w:ascii="Times New Roman" w:hAnsi="Times New Roman" w:cs="Times New Roman"/>
                <w:sz w:val="24"/>
                <w:szCs w:val="24"/>
              </w:rPr>
              <w:t>IAP 201</w:t>
            </w:r>
            <w:r>
              <w:rPr>
                <w:rFonts w:ascii="Times New Roman" w:hAnsi="Times New Roman" w:cs="Times New Roman"/>
                <w:sz w:val="24"/>
                <w:szCs w:val="24"/>
              </w:rPr>
              <w:t xml:space="preserve">4.–2020.gadam rezultatīvo rādītāju klāstu un ievērojot nākotnes prioritātes, </w:t>
            </w:r>
            <w:r w:rsidRPr="001734A6">
              <w:rPr>
                <w:rFonts w:ascii="Times New Roman" w:hAnsi="Times New Roman" w:cs="Times New Roman"/>
                <w:sz w:val="24"/>
                <w:szCs w:val="24"/>
              </w:rPr>
              <w:t xml:space="preserve">turpmāk izvērtējama šādu </w:t>
            </w:r>
            <w:r>
              <w:rPr>
                <w:rFonts w:ascii="Times New Roman" w:hAnsi="Times New Roman" w:cs="Times New Roman"/>
                <w:sz w:val="24"/>
                <w:szCs w:val="24"/>
              </w:rPr>
              <w:t xml:space="preserve">papildu </w:t>
            </w:r>
            <w:r w:rsidRPr="00ED0EED">
              <w:rPr>
                <w:rFonts w:ascii="Times New Roman" w:hAnsi="Times New Roman" w:cs="Times New Roman"/>
                <w:b/>
                <w:sz w:val="24"/>
                <w:szCs w:val="24"/>
              </w:rPr>
              <w:t xml:space="preserve">rezultatīvo rādītāju </w:t>
            </w:r>
            <w:r>
              <w:rPr>
                <w:rFonts w:ascii="Times New Roman" w:hAnsi="Times New Roman" w:cs="Times New Roman"/>
                <w:sz w:val="24"/>
                <w:szCs w:val="24"/>
              </w:rPr>
              <w:t>iekļaušana / precizēšana profesionālās izglītības jomā</w:t>
            </w:r>
            <w:r w:rsidR="00F42E82">
              <w:rPr>
                <w:rFonts w:ascii="Times New Roman" w:hAnsi="Times New Roman" w:cs="Times New Roman"/>
                <w:sz w:val="24"/>
                <w:szCs w:val="24"/>
              </w:rPr>
              <w:t xml:space="preserve"> nākamajā plānošanas periodā</w:t>
            </w:r>
            <w:r>
              <w:rPr>
                <w:rFonts w:ascii="Times New Roman" w:hAnsi="Times New Roman" w:cs="Times New Roman"/>
                <w:sz w:val="24"/>
                <w:szCs w:val="24"/>
              </w:rPr>
              <w:t>:</w:t>
            </w:r>
          </w:p>
          <w:p w:rsidR="00656A7A" w:rsidRDefault="00656A7A" w:rsidP="00364830">
            <w:pPr>
              <w:pStyle w:val="ListParagraph"/>
              <w:numPr>
                <w:ilvl w:val="0"/>
                <w:numId w:val="21"/>
              </w:numPr>
              <w:jc w:val="both"/>
            </w:pPr>
            <w:r w:rsidRPr="006B72CC">
              <w:t xml:space="preserve">audzēkņu </w:t>
            </w:r>
            <w:r w:rsidR="000F1800" w:rsidRPr="006B72CC">
              <w:t>skaits/īpatsvars</w:t>
            </w:r>
            <w:r w:rsidRPr="006B72CC">
              <w:t>, kuri piedalās DVB mācībās un bijuši praksē uzņēmumos</w:t>
            </w:r>
            <w:r w:rsidR="000F1800" w:rsidRPr="006B72CC">
              <w:t xml:space="preserve"> (paplašinot monitoringa iespējas)</w:t>
            </w:r>
            <w:r w:rsidR="007946D6">
              <w:t>;</w:t>
            </w:r>
          </w:p>
          <w:p w:rsidR="007946D6" w:rsidRDefault="007946D6" w:rsidP="00364830">
            <w:pPr>
              <w:pStyle w:val="ListParagraph"/>
              <w:numPr>
                <w:ilvl w:val="0"/>
                <w:numId w:val="21"/>
              </w:numPr>
              <w:jc w:val="both"/>
            </w:pPr>
            <w:r>
              <w:t>izkritušo skaits no profesionālās izglītības (sadalījumā pa kursiem);</w:t>
            </w:r>
          </w:p>
          <w:p w:rsidR="00C21F43" w:rsidRDefault="007946D6" w:rsidP="00364830">
            <w:pPr>
              <w:pStyle w:val="ListParagraph"/>
              <w:numPr>
                <w:ilvl w:val="0"/>
                <w:numId w:val="21"/>
              </w:numPr>
              <w:jc w:val="both"/>
            </w:pPr>
            <w:r>
              <w:t>profesionālās izglītības absolventu darba monitorings (strādājošo skaits/īpatsvar</w:t>
            </w:r>
            <w:r w:rsidR="00CA2CB3">
              <w:t>s atbilstošajā jomā/amatā u.c.);</w:t>
            </w:r>
          </w:p>
          <w:p w:rsidR="00CA2CB3" w:rsidRDefault="00CA2CB3" w:rsidP="00CA2CB3">
            <w:pPr>
              <w:pStyle w:val="ListParagraph"/>
              <w:numPr>
                <w:ilvl w:val="0"/>
                <w:numId w:val="21"/>
              </w:numPr>
              <w:jc w:val="both"/>
            </w:pPr>
            <w:r>
              <w:t>i</w:t>
            </w:r>
            <w:r w:rsidRPr="00CA2CB3">
              <w:t>edzīvotāju īpatsvars (25-64 gadi) ar zemu izglītības līmeni, %</w:t>
            </w:r>
            <w:r>
              <w:t>.</w:t>
            </w:r>
          </w:p>
          <w:p w:rsidR="00E77F97" w:rsidRPr="00AF2495" w:rsidRDefault="00E77F97" w:rsidP="00E77F97">
            <w:pPr>
              <w:pStyle w:val="ListParagraph"/>
              <w:jc w:val="both"/>
            </w:pPr>
          </w:p>
        </w:tc>
      </w:tr>
      <w:tr w:rsidR="00656A7A" w:rsidRPr="008D08C9" w:rsidTr="00656A7A">
        <w:tc>
          <w:tcPr>
            <w:tcW w:w="9345" w:type="dxa"/>
          </w:tcPr>
          <w:p w:rsidR="00656A7A" w:rsidRPr="008D08C9" w:rsidRDefault="00656A7A" w:rsidP="00364830">
            <w:pPr>
              <w:spacing w:before="120"/>
              <w:jc w:val="both"/>
              <w:rPr>
                <w:rFonts w:ascii="Times New Roman" w:eastAsia="Times New Roman" w:hAnsi="Times New Roman" w:cs="Times New Roman"/>
                <w:b/>
                <w:sz w:val="24"/>
                <w:szCs w:val="24"/>
                <w:u w:val="single"/>
                <w:lang w:eastAsia="lv-LV"/>
              </w:rPr>
            </w:pPr>
            <w:r w:rsidRPr="008D08C9">
              <w:rPr>
                <w:rFonts w:ascii="Times New Roman" w:eastAsia="Times New Roman" w:hAnsi="Times New Roman" w:cs="Times New Roman"/>
                <w:b/>
                <w:sz w:val="24"/>
                <w:szCs w:val="24"/>
                <w:u w:val="single"/>
                <w:lang w:eastAsia="lv-LV"/>
              </w:rPr>
              <w:lastRenderedPageBreak/>
              <w:t>Augstākā izglītība</w:t>
            </w:r>
          </w:p>
          <w:p w:rsidR="00656A7A" w:rsidRPr="008D08C9" w:rsidRDefault="001822B8" w:rsidP="00364830">
            <w:pPr>
              <w:spacing w:before="120"/>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Prioritātes</w:t>
            </w:r>
          </w:p>
          <w:p w:rsidR="000A4EA8" w:rsidRPr="00884A25" w:rsidRDefault="00884A25" w:rsidP="00884A25">
            <w:pPr>
              <w:spacing w:after="160"/>
              <w:jc w:val="both"/>
              <w:rPr>
                <w:rFonts w:ascii="Times New Roman" w:hAnsi="Times New Roman" w:cs="Times New Roman"/>
                <w:sz w:val="24"/>
                <w:szCs w:val="24"/>
              </w:rPr>
            </w:pPr>
            <w:r>
              <w:rPr>
                <w:rFonts w:ascii="Times New Roman" w:hAnsi="Times New Roman" w:cs="Times New Roman"/>
                <w:sz w:val="24"/>
                <w:szCs w:val="24"/>
              </w:rPr>
              <w:t xml:space="preserve">- </w:t>
            </w:r>
            <w:r w:rsidR="000A4EA8" w:rsidRPr="00884A25">
              <w:rPr>
                <w:rFonts w:ascii="Times New Roman" w:hAnsi="Times New Roman" w:cs="Times New Roman"/>
                <w:sz w:val="24"/>
                <w:szCs w:val="24"/>
              </w:rPr>
              <w:t>Kvalitātes novērtēšanas sistēmas pilnveidošana, tajā skaitā, studiju virzienu sistēmisks izvērtējums, ko īsteno EQAR reģistrā iekļautas aģentūras 2020.-2023.gadā; cikliskas institucionālās akreditācijas sistēmas sagatavošana un ieviešana sākot ar 2024.gadu; augstākās izglītības kvalitātes monitoringa sistēmas ieviešana.</w:t>
            </w:r>
          </w:p>
          <w:p w:rsidR="000A4EA8" w:rsidRPr="00884A25" w:rsidRDefault="00884A25" w:rsidP="00884A25">
            <w:pPr>
              <w:spacing w:after="160"/>
              <w:jc w:val="both"/>
              <w:rPr>
                <w:rFonts w:ascii="Times New Roman" w:hAnsi="Times New Roman" w:cs="Times New Roman"/>
                <w:sz w:val="24"/>
                <w:szCs w:val="24"/>
              </w:rPr>
            </w:pPr>
            <w:r>
              <w:rPr>
                <w:rFonts w:ascii="Times New Roman" w:hAnsi="Times New Roman" w:cs="Times New Roman"/>
                <w:sz w:val="24"/>
                <w:szCs w:val="24"/>
              </w:rPr>
              <w:t xml:space="preserve">- </w:t>
            </w:r>
            <w:r w:rsidR="000A4EA8" w:rsidRPr="00884A25">
              <w:rPr>
                <w:rFonts w:ascii="Times New Roman" w:hAnsi="Times New Roman" w:cs="Times New Roman"/>
                <w:sz w:val="24"/>
                <w:szCs w:val="24"/>
              </w:rPr>
              <w:t xml:space="preserve">Studiju procesa kvalitātes pilnveide, tajā skaitā, studentcentrēta izglītības procesa stiprināšana, </w:t>
            </w:r>
            <w:r w:rsidR="00E32103">
              <w:rPr>
                <w:rFonts w:ascii="Times New Roman" w:hAnsi="Times New Roman" w:cs="Times New Roman"/>
                <w:sz w:val="24"/>
                <w:szCs w:val="24"/>
              </w:rPr>
              <w:t>tajā skaitā</w:t>
            </w:r>
            <w:r w:rsidR="000A4EA8" w:rsidRPr="00884A25">
              <w:rPr>
                <w:rFonts w:ascii="Times New Roman" w:hAnsi="Times New Roman" w:cs="Times New Roman"/>
                <w:sz w:val="24"/>
                <w:szCs w:val="24"/>
              </w:rPr>
              <w:t>, tālākizglītības piedāvājums, ārpus formālās izglītības atzīšana, darba vidē balstītas studijas; STEM un digitālo kompetenču stiprināšana visās studiju jomās; risinājumi sagatavošanai studijām STEM jomās; atbalsts inovācijām studiju procesā un inovatīvu risinājumu izstrād</w:t>
            </w:r>
            <w:r w:rsidR="00E32103">
              <w:rPr>
                <w:rFonts w:ascii="Times New Roman" w:hAnsi="Times New Roman" w:cs="Times New Roman"/>
                <w:sz w:val="24"/>
                <w:szCs w:val="24"/>
              </w:rPr>
              <w:t>e</w:t>
            </w:r>
            <w:r w:rsidR="000A4EA8" w:rsidRPr="00884A25">
              <w:rPr>
                <w:rFonts w:ascii="Times New Roman" w:hAnsi="Times New Roman" w:cs="Times New Roman"/>
                <w:sz w:val="24"/>
                <w:szCs w:val="24"/>
              </w:rPr>
              <w:t xml:space="preserve"> sadarbībā ar industriju; doktora studiju un doktorantūras skolu sistēmas pilnveidošana (P</w:t>
            </w:r>
            <w:r w:rsidR="00E32103">
              <w:rPr>
                <w:rFonts w:ascii="Times New Roman" w:hAnsi="Times New Roman" w:cs="Times New Roman"/>
                <w:sz w:val="24"/>
                <w:szCs w:val="24"/>
              </w:rPr>
              <w:t>asaules Bankas</w:t>
            </w:r>
            <w:r w:rsidR="00D55BA5">
              <w:rPr>
                <w:rFonts w:ascii="Times New Roman" w:hAnsi="Times New Roman" w:cs="Times New Roman"/>
                <w:sz w:val="24"/>
                <w:szCs w:val="24"/>
              </w:rPr>
              <w:t xml:space="preserve"> rekomendāciju ieviešana), augstskolu sadarbība ar izglītības iestādēm vispārējās vidējās izglītības padziļināto kursu sagatavošanā, studiju programmu satura pārskatīšana, lai nodrošinātu saskaņotību un pēctecību ar valsts vispārējās vidējās izglītības standartu.</w:t>
            </w:r>
          </w:p>
          <w:p w:rsidR="000A4EA8" w:rsidRPr="00884A25" w:rsidRDefault="00884A25" w:rsidP="00884A25">
            <w:pPr>
              <w:spacing w:after="160"/>
              <w:jc w:val="both"/>
              <w:rPr>
                <w:rFonts w:ascii="Times New Roman" w:hAnsi="Times New Roman" w:cs="Times New Roman"/>
                <w:sz w:val="24"/>
                <w:szCs w:val="24"/>
              </w:rPr>
            </w:pPr>
            <w:r>
              <w:rPr>
                <w:rFonts w:ascii="Times New Roman" w:hAnsi="Times New Roman" w:cs="Times New Roman"/>
                <w:sz w:val="24"/>
                <w:szCs w:val="24"/>
              </w:rPr>
              <w:t xml:space="preserve">- </w:t>
            </w:r>
            <w:r w:rsidR="000A4EA8" w:rsidRPr="00884A25">
              <w:rPr>
                <w:rFonts w:ascii="Times New Roman" w:hAnsi="Times New Roman" w:cs="Times New Roman"/>
                <w:sz w:val="24"/>
                <w:szCs w:val="24"/>
              </w:rPr>
              <w:t>Cilvēkresursu kapacitātes stiprināšana, tajā skaitā, akadēmiskās karjeras sistēmas reforma (Pasaules Bankas rekomendāciju ieviešana); akadēmiskā personāla atjaunotne un starptautiskā konkurētspēja; atbalsts T&amp;L (</w:t>
            </w:r>
            <w:r w:rsidR="000A4EA8" w:rsidRPr="00E965FC">
              <w:rPr>
                <w:rFonts w:ascii="Times New Roman" w:hAnsi="Times New Roman" w:cs="Times New Roman"/>
                <w:i/>
                <w:sz w:val="24"/>
                <w:szCs w:val="24"/>
              </w:rPr>
              <w:t>teaching and learning</w:t>
            </w:r>
            <w:r w:rsidR="000A4EA8" w:rsidRPr="00884A25">
              <w:rPr>
                <w:rFonts w:ascii="Times New Roman" w:hAnsi="Times New Roman" w:cs="Times New Roman"/>
                <w:sz w:val="24"/>
                <w:szCs w:val="24"/>
              </w:rPr>
              <w:t>) ekselences veicināšanai.</w:t>
            </w:r>
          </w:p>
          <w:p w:rsidR="000A4EA8" w:rsidRPr="00884A25" w:rsidRDefault="00884A25" w:rsidP="00884A25">
            <w:pPr>
              <w:spacing w:after="160"/>
              <w:jc w:val="both"/>
              <w:rPr>
                <w:rFonts w:ascii="Times New Roman" w:hAnsi="Times New Roman" w:cs="Times New Roman"/>
                <w:sz w:val="24"/>
                <w:szCs w:val="24"/>
              </w:rPr>
            </w:pPr>
            <w:r>
              <w:rPr>
                <w:rFonts w:ascii="Times New Roman" w:hAnsi="Times New Roman" w:cs="Times New Roman"/>
                <w:sz w:val="24"/>
                <w:szCs w:val="24"/>
              </w:rPr>
              <w:t xml:space="preserve">- </w:t>
            </w:r>
            <w:r w:rsidR="000A4EA8" w:rsidRPr="00884A25">
              <w:rPr>
                <w:rFonts w:ascii="Times New Roman" w:hAnsi="Times New Roman" w:cs="Times New Roman"/>
                <w:sz w:val="24"/>
                <w:szCs w:val="24"/>
              </w:rPr>
              <w:t>Augstākās izglītības finansēšanas sistēmas pilnveide un ilgtspējas nodrošināšana, tajā skaitā, 1.pīlāra (stabilitāte) finansējuma apjoma palielināšana, lai nodrošinātu optimālu stabilitātes finansējumu (</w:t>
            </w:r>
            <w:r w:rsidR="00E965FC" w:rsidRPr="00884A25">
              <w:rPr>
                <w:rFonts w:ascii="Times New Roman" w:hAnsi="Times New Roman" w:cs="Times New Roman"/>
                <w:sz w:val="24"/>
                <w:szCs w:val="24"/>
              </w:rPr>
              <w:t>Pasaules Bankas</w:t>
            </w:r>
            <w:r w:rsidR="000A4EA8" w:rsidRPr="00884A25">
              <w:rPr>
                <w:rFonts w:ascii="Times New Roman" w:hAnsi="Times New Roman" w:cs="Times New Roman"/>
                <w:sz w:val="24"/>
                <w:szCs w:val="24"/>
              </w:rPr>
              <w:t xml:space="preserve"> rekomendāciju ieviešana); 2.pīlāra (sniegums) finansējuma nodrošināšana 10% no 1.pīlāra apjoma (</w:t>
            </w:r>
            <w:r w:rsidR="00E965FC" w:rsidRPr="00884A25">
              <w:rPr>
                <w:rFonts w:ascii="Times New Roman" w:hAnsi="Times New Roman" w:cs="Times New Roman"/>
                <w:sz w:val="24"/>
                <w:szCs w:val="24"/>
              </w:rPr>
              <w:t>Pasaules Bankas</w:t>
            </w:r>
            <w:r w:rsidR="000A4EA8" w:rsidRPr="00884A25">
              <w:rPr>
                <w:rFonts w:ascii="Times New Roman" w:hAnsi="Times New Roman" w:cs="Times New Roman"/>
                <w:sz w:val="24"/>
                <w:szCs w:val="24"/>
              </w:rPr>
              <w:t xml:space="preserve"> rekomendāciju ieviešana); 3.pīlāra (attīstība) finansējums no valsts budžeta (</w:t>
            </w:r>
            <w:r w:rsidR="00E965FC" w:rsidRPr="00884A25">
              <w:rPr>
                <w:rFonts w:ascii="Times New Roman" w:hAnsi="Times New Roman" w:cs="Times New Roman"/>
                <w:sz w:val="24"/>
                <w:szCs w:val="24"/>
              </w:rPr>
              <w:t>Pasaules Bankas</w:t>
            </w:r>
            <w:r w:rsidR="000A4EA8" w:rsidRPr="00884A25">
              <w:rPr>
                <w:rFonts w:ascii="Times New Roman" w:hAnsi="Times New Roman" w:cs="Times New Roman"/>
                <w:sz w:val="24"/>
                <w:szCs w:val="24"/>
              </w:rPr>
              <w:t xml:space="preserve"> rekomendāciju ieviešana); studiju un studējošo kreditēšanas sistēmas reforma; stipendiju sistēmas pilnveidošana.</w:t>
            </w:r>
          </w:p>
          <w:p w:rsidR="006B72CC" w:rsidRPr="00884A25" w:rsidRDefault="00884A25" w:rsidP="00884A25">
            <w:pPr>
              <w:spacing w:after="160"/>
              <w:jc w:val="both"/>
              <w:rPr>
                <w:rFonts w:ascii="Times New Roman" w:hAnsi="Times New Roman" w:cs="Times New Roman"/>
                <w:sz w:val="24"/>
                <w:szCs w:val="24"/>
              </w:rPr>
            </w:pPr>
            <w:r>
              <w:rPr>
                <w:rFonts w:ascii="Times New Roman" w:hAnsi="Times New Roman" w:cs="Times New Roman"/>
                <w:sz w:val="24"/>
                <w:szCs w:val="24"/>
              </w:rPr>
              <w:t xml:space="preserve">- </w:t>
            </w:r>
            <w:r w:rsidR="000A4EA8" w:rsidRPr="00884A25">
              <w:rPr>
                <w:rFonts w:ascii="Times New Roman" w:hAnsi="Times New Roman" w:cs="Times New Roman"/>
                <w:sz w:val="24"/>
                <w:szCs w:val="24"/>
              </w:rPr>
              <w:t>Augstākās izglītības iestāžu kapacitātes stiprināšana virzībai uz izcilību</w:t>
            </w:r>
            <w:r w:rsidRPr="00884A25">
              <w:rPr>
                <w:rFonts w:ascii="Times New Roman" w:hAnsi="Times New Roman" w:cs="Times New Roman"/>
                <w:sz w:val="24"/>
                <w:szCs w:val="24"/>
              </w:rPr>
              <w:t xml:space="preserve">, tajā skaitā, instrumenti universitāšu dalības Eiropas universitāšu tīklā ilgtspējas atbalstam; augstākās izglītības iestāžu attīstības stratēģiju institucionalizācija, stratēģiju ieviešanas monitoringa sistēmas izveide, rezultātu sasaiste ar 1. un 3.pīlāra finansējumu; augstākās izglītības iestāžu iekšējās pārvaldības uzlabošana (Pasaules Bankas rekomendāciju ieviešana); infrastruktūras un </w:t>
            </w:r>
            <w:r w:rsidRPr="00884A25">
              <w:rPr>
                <w:rFonts w:ascii="Times New Roman" w:hAnsi="Times New Roman" w:cs="Times New Roman"/>
                <w:sz w:val="24"/>
                <w:szCs w:val="24"/>
              </w:rPr>
              <w:lastRenderedPageBreak/>
              <w:t>studiju vides modernizācijas</w:t>
            </w:r>
            <w:r w:rsidR="00D55BA5">
              <w:rPr>
                <w:rFonts w:ascii="Times New Roman" w:hAnsi="Times New Roman" w:cs="Times New Roman"/>
                <w:sz w:val="24"/>
                <w:szCs w:val="24"/>
              </w:rPr>
              <w:t xml:space="preserve">, t.sk. </w:t>
            </w:r>
            <w:r w:rsidR="00D55BA5" w:rsidRPr="00884A25">
              <w:rPr>
                <w:rFonts w:ascii="Times New Roman" w:hAnsi="Times New Roman" w:cs="Times New Roman"/>
                <w:sz w:val="24"/>
                <w:szCs w:val="24"/>
              </w:rPr>
              <w:t>digitalizācijas risinājum</w:t>
            </w:r>
            <w:r w:rsidR="00D55BA5">
              <w:rPr>
                <w:rFonts w:ascii="Times New Roman" w:hAnsi="Times New Roman" w:cs="Times New Roman"/>
                <w:sz w:val="24"/>
                <w:szCs w:val="24"/>
              </w:rPr>
              <w:t>u ieviešana</w:t>
            </w:r>
            <w:r w:rsidR="00D55BA5" w:rsidRPr="00884A25">
              <w:rPr>
                <w:rFonts w:ascii="Times New Roman" w:hAnsi="Times New Roman" w:cs="Times New Roman"/>
                <w:sz w:val="24"/>
                <w:szCs w:val="24"/>
              </w:rPr>
              <w:t>; augstākās izglītības fragmentācijas mazināšana un resursu konsolidācija, resursu koplietošana</w:t>
            </w:r>
            <w:r w:rsidRPr="00884A25">
              <w:rPr>
                <w:rFonts w:ascii="Times New Roman" w:hAnsi="Times New Roman" w:cs="Times New Roman"/>
                <w:sz w:val="24"/>
                <w:szCs w:val="24"/>
              </w:rPr>
              <w:t>.</w:t>
            </w:r>
          </w:p>
          <w:p w:rsidR="006B72CC" w:rsidRDefault="006B72CC" w:rsidP="00364830">
            <w:pPr>
              <w:jc w:val="both"/>
              <w:rPr>
                <w:rFonts w:ascii="Times New Roman" w:hAnsi="Times New Roman" w:cs="Times New Roman"/>
                <w:sz w:val="24"/>
                <w:szCs w:val="24"/>
              </w:rPr>
            </w:pPr>
            <w:r>
              <w:rPr>
                <w:rFonts w:ascii="Times New Roman" w:hAnsi="Times New Roman" w:cs="Times New Roman"/>
                <w:sz w:val="24"/>
                <w:szCs w:val="24"/>
              </w:rPr>
              <w:t xml:space="preserve">Izvērtējot </w:t>
            </w:r>
            <w:r w:rsidRPr="00F67B51">
              <w:rPr>
                <w:rFonts w:ascii="Times New Roman" w:hAnsi="Times New Roman" w:cs="Times New Roman"/>
                <w:sz w:val="24"/>
                <w:szCs w:val="24"/>
              </w:rPr>
              <w:t>IAP 201</w:t>
            </w:r>
            <w:r>
              <w:rPr>
                <w:rFonts w:ascii="Times New Roman" w:hAnsi="Times New Roman" w:cs="Times New Roman"/>
                <w:sz w:val="24"/>
                <w:szCs w:val="24"/>
              </w:rPr>
              <w:t xml:space="preserve">4.–2020.gadam rezultatīvo rādītāju klāstu un ievērojot nākotnes prioritātes, </w:t>
            </w:r>
            <w:r w:rsidRPr="001734A6">
              <w:rPr>
                <w:rFonts w:ascii="Times New Roman" w:hAnsi="Times New Roman" w:cs="Times New Roman"/>
                <w:sz w:val="24"/>
                <w:szCs w:val="24"/>
              </w:rPr>
              <w:t xml:space="preserve">turpmāk izvērtējama šādu </w:t>
            </w:r>
            <w:r>
              <w:rPr>
                <w:rFonts w:ascii="Times New Roman" w:hAnsi="Times New Roman" w:cs="Times New Roman"/>
                <w:sz w:val="24"/>
                <w:szCs w:val="24"/>
              </w:rPr>
              <w:t xml:space="preserve">papildu </w:t>
            </w:r>
            <w:r w:rsidRPr="00ED0EED">
              <w:rPr>
                <w:rFonts w:ascii="Times New Roman" w:hAnsi="Times New Roman" w:cs="Times New Roman"/>
                <w:b/>
                <w:sz w:val="24"/>
                <w:szCs w:val="24"/>
              </w:rPr>
              <w:t xml:space="preserve">rezultatīvo rādītāju </w:t>
            </w:r>
            <w:r>
              <w:rPr>
                <w:rFonts w:ascii="Times New Roman" w:hAnsi="Times New Roman" w:cs="Times New Roman"/>
                <w:sz w:val="24"/>
                <w:szCs w:val="24"/>
              </w:rPr>
              <w:t>iekļaušana / precizēšana augstākās izglītības jomā</w:t>
            </w:r>
            <w:r w:rsidR="00F42E82">
              <w:rPr>
                <w:rFonts w:ascii="Times New Roman" w:hAnsi="Times New Roman" w:cs="Times New Roman"/>
                <w:sz w:val="24"/>
                <w:szCs w:val="24"/>
              </w:rPr>
              <w:t xml:space="preserve"> nākamajā plānošanas periodā</w:t>
            </w:r>
            <w:r>
              <w:rPr>
                <w:rFonts w:ascii="Times New Roman" w:hAnsi="Times New Roman" w:cs="Times New Roman"/>
                <w:sz w:val="24"/>
                <w:szCs w:val="24"/>
              </w:rPr>
              <w:t>:</w:t>
            </w:r>
          </w:p>
          <w:p w:rsidR="00656A7A" w:rsidRPr="008D08C9" w:rsidRDefault="00656A7A" w:rsidP="00364830">
            <w:pPr>
              <w:pStyle w:val="ListParagraph"/>
              <w:numPr>
                <w:ilvl w:val="0"/>
                <w:numId w:val="19"/>
              </w:numPr>
              <w:spacing w:after="160"/>
              <w:jc w:val="both"/>
            </w:pPr>
            <w:r w:rsidRPr="008D08C9">
              <w:t>STEM jomu absol</w:t>
            </w:r>
            <w:r w:rsidR="00CD24C1">
              <w:t>venti, kas strādā atbilstošajā</w:t>
            </w:r>
            <w:r w:rsidRPr="008D08C9">
              <w:t xml:space="preserve"> jomā/ amatā (absolventu monitoringa dati);</w:t>
            </w:r>
          </w:p>
          <w:p w:rsidR="00656A7A" w:rsidRPr="008D08C9" w:rsidRDefault="002C13E8" w:rsidP="00364830">
            <w:pPr>
              <w:pStyle w:val="ListParagraph"/>
              <w:numPr>
                <w:ilvl w:val="0"/>
                <w:numId w:val="19"/>
              </w:numPr>
              <w:spacing w:after="160"/>
              <w:jc w:val="both"/>
            </w:pPr>
            <w:r>
              <w:t>STEM jomu absolventu skaits (</w:t>
            </w:r>
            <w:r w:rsidR="00656A7A" w:rsidRPr="008D08C9">
              <w:t>ISCED 5-8 līmeņos</w:t>
            </w:r>
            <w:r>
              <w:t>)</w:t>
            </w:r>
            <w:r w:rsidR="00656A7A" w:rsidRPr="008D08C9">
              <w:t>;</w:t>
            </w:r>
          </w:p>
          <w:p w:rsidR="00656A7A" w:rsidRPr="008D08C9" w:rsidRDefault="00656A7A" w:rsidP="00364830">
            <w:pPr>
              <w:pStyle w:val="ListParagraph"/>
              <w:numPr>
                <w:ilvl w:val="0"/>
                <w:numId w:val="19"/>
              </w:numPr>
              <w:spacing w:after="160"/>
              <w:jc w:val="both"/>
            </w:pPr>
            <w:r w:rsidRPr="008D08C9">
              <w:t>STEM jomu budžeta vietu skaits;</w:t>
            </w:r>
          </w:p>
          <w:p w:rsidR="00656A7A" w:rsidRPr="008D08C9" w:rsidRDefault="00656A7A" w:rsidP="00364830">
            <w:pPr>
              <w:pStyle w:val="ListParagraph"/>
              <w:numPr>
                <w:ilvl w:val="0"/>
                <w:numId w:val="19"/>
              </w:numPr>
              <w:spacing w:after="160"/>
              <w:jc w:val="both"/>
            </w:pPr>
            <w:r w:rsidRPr="008D08C9">
              <w:t>STEM jomu skolotāji, kas pēc absolvēšanas uzsāk darba gaitas izglītības iestādēs;</w:t>
            </w:r>
          </w:p>
          <w:p w:rsidR="00656A7A" w:rsidRPr="008D08C9" w:rsidRDefault="007B3B08" w:rsidP="00364830">
            <w:pPr>
              <w:pStyle w:val="ListParagraph"/>
              <w:numPr>
                <w:ilvl w:val="0"/>
                <w:numId w:val="19"/>
              </w:numPr>
              <w:spacing w:after="160"/>
              <w:jc w:val="both"/>
            </w:pPr>
            <w:r>
              <w:t>a</w:t>
            </w:r>
            <w:r w:rsidR="00656A7A" w:rsidRPr="008D08C9">
              <w:t>bsolventu bezdarba līmenis</w:t>
            </w:r>
            <w:r w:rsidR="00CD24C1">
              <w:t xml:space="preserve"> </w:t>
            </w:r>
            <w:r w:rsidR="00656A7A" w:rsidRPr="008D08C9">
              <w:t>18 mēnešus pēc absolvēš</w:t>
            </w:r>
            <w:r w:rsidR="00CB0D82">
              <w:t>anas (sadalījumā pa ISCED 5-</w:t>
            </w:r>
            <w:r w:rsidR="00656A7A" w:rsidRPr="008D08C9">
              <w:t>8 līmeņiem, CSP);</w:t>
            </w:r>
          </w:p>
          <w:p w:rsidR="00656A7A" w:rsidRPr="008D08C9" w:rsidRDefault="007B3B08" w:rsidP="00364830">
            <w:pPr>
              <w:pStyle w:val="ListParagraph"/>
              <w:numPr>
                <w:ilvl w:val="0"/>
                <w:numId w:val="19"/>
              </w:numPr>
              <w:spacing w:after="160"/>
              <w:jc w:val="both"/>
            </w:pPr>
            <w:r>
              <w:t>i</w:t>
            </w:r>
            <w:r w:rsidR="00656A7A" w:rsidRPr="008D08C9">
              <w:t xml:space="preserve">evēlētā akadēmiskā personāla īpatsvars ar doktora grādu; </w:t>
            </w:r>
            <w:r>
              <w:t>ja iespējams, arī</w:t>
            </w:r>
            <w:r w:rsidR="00656A7A" w:rsidRPr="008D08C9">
              <w:t xml:space="preserve"> nostrādātās stundas konkrētajā </w:t>
            </w:r>
            <w:r>
              <w:t>augstākajā izglītības iestādē</w:t>
            </w:r>
            <w:r w:rsidR="00656A7A" w:rsidRPr="008D08C9">
              <w:t xml:space="preserve"> no visām akadēmiskā personāla nostrādātajām stundām;</w:t>
            </w:r>
          </w:p>
          <w:p w:rsidR="00656A7A" w:rsidRDefault="007B3B08" w:rsidP="00364830">
            <w:pPr>
              <w:pStyle w:val="ListParagraph"/>
              <w:numPr>
                <w:ilvl w:val="0"/>
                <w:numId w:val="19"/>
              </w:numPr>
              <w:spacing w:after="160"/>
              <w:jc w:val="both"/>
            </w:pPr>
            <w:r>
              <w:t>a</w:t>
            </w:r>
            <w:r w:rsidR="00656A7A" w:rsidRPr="008D08C9">
              <w:t>kadēmiskā personāla angļu valodas zināšanas (līmeņi);</w:t>
            </w:r>
          </w:p>
          <w:p w:rsidR="00AE5FA3" w:rsidRPr="008D08C9" w:rsidRDefault="00AE5FA3" w:rsidP="00364830">
            <w:pPr>
              <w:pStyle w:val="ListParagraph"/>
              <w:numPr>
                <w:ilvl w:val="0"/>
                <w:numId w:val="19"/>
              </w:numPr>
              <w:spacing w:after="160"/>
              <w:jc w:val="both"/>
            </w:pPr>
            <w:r>
              <w:t>akadēmiskā personāla profesionālā pilnveide (metodoloģija, novērtēšana, nozares aktualitātes, sadarbība ar industriju programmas/kursa satura pilnveidei, mobilitāte);</w:t>
            </w:r>
          </w:p>
          <w:p w:rsidR="00656A7A" w:rsidRPr="008D08C9" w:rsidRDefault="007B3B08" w:rsidP="00364830">
            <w:pPr>
              <w:pStyle w:val="ListParagraph"/>
              <w:numPr>
                <w:ilvl w:val="0"/>
                <w:numId w:val="19"/>
              </w:numPr>
              <w:spacing w:after="160"/>
              <w:jc w:val="both"/>
            </w:pPr>
            <w:r>
              <w:t>a</w:t>
            </w:r>
            <w:r w:rsidR="00656A7A" w:rsidRPr="008D08C9">
              <w:t xml:space="preserve">kadēmiskā personāla pētniecības rādītāji (dati, kas tiek sniegti </w:t>
            </w:r>
            <w:r w:rsidR="002C13E8" w:rsidRPr="002C13E8">
              <w:t>Nacionālā zinātniskās darbības informācijas sistēma</w:t>
            </w:r>
            <w:r w:rsidR="002C13E8" w:rsidRPr="008D08C9">
              <w:t xml:space="preserve"> </w:t>
            </w:r>
            <w:r w:rsidR="002C13E8">
              <w:t>(</w:t>
            </w:r>
            <w:r w:rsidR="00656A7A" w:rsidRPr="008D08C9">
              <w:t>NZDIS</w:t>
            </w:r>
            <w:r w:rsidR="002C13E8">
              <w:t>)</w:t>
            </w:r>
            <w:r w:rsidR="00656A7A" w:rsidRPr="008D08C9">
              <w:t xml:space="preserve"> zinātnes bāzes finansējuma un snieguma finansējumam)</w:t>
            </w:r>
            <w:r w:rsidR="002C13E8">
              <w:t xml:space="preserve"> </w:t>
            </w:r>
            <w:r w:rsidR="00656A7A" w:rsidRPr="008D08C9">
              <w:t xml:space="preserve">- publikācijas, indeksētas </w:t>
            </w:r>
            <w:r w:rsidR="00656A7A" w:rsidRPr="002C13E8">
              <w:rPr>
                <w:i/>
              </w:rPr>
              <w:t>Web of Science</w:t>
            </w:r>
            <w:r w:rsidR="00656A7A" w:rsidRPr="008D08C9">
              <w:t xml:space="preserve"> un </w:t>
            </w:r>
            <w:r w:rsidR="00656A7A" w:rsidRPr="002C13E8">
              <w:rPr>
                <w:i/>
              </w:rPr>
              <w:t>Scopus</w:t>
            </w:r>
            <w:r w:rsidR="00656A7A" w:rsidRPr="008D08C9">
              <w:t xml:space="preserve"> datu bāzēs; piesaistītais pētniecības finansējums, ta</w:t>
            </w:r>
            <w:r w:rsidR="00CD24C1">
              <w:t>j</w:t>
            </w:r>
            <w:r w:rsidR="002C13E8">
              <w:t>ā</w:t>
            </w:r>
            <w:r w:rsidR="00656A7A" w:rsidRPr="008D08C9">
              <w:t xml:space="preserve"> skaitā no industrijas; </w:t>
            </w:r>
            <w:r>
              <w:t xml:space="preserve">ja </w:t>
            </w:r>
            <w:r w:rsidR="00CB0D82">
              <w:t>iespējams</w:t>
            </w:r>
            <w:r>
              <w:t>,</w:t>
            </w:r>
            <w:r w:rsidR="00CB0D82">
              <w:t xml:space="preserve"> </w:t>
            </w:r>
            <w:r w:rsidR="00656A7A" w:rsidRPr="008D08C9">
              <w:t>izdalīt koppublikācijas ar industriju (atsevišķi no visām publikācijām NZDIS); dati tiek uzskaitīti akadēmiskajam personālam pamatdarbā;</w:t>
            </w:r>
          </w:p>
          <w:p w:rsidR="00656A7A" w:rsidRDefault="007B3B08" w:rsidP="00364830">
            <w:pPr>
              <w:pStyle w:val="ListParagraph"/>
              <w:numPr>
                <w:ilvl w:val="0"/>
                <w:numId w:val="19"/>
              </w:numPr>
              <w:spacing w:after="160"/>
              <w:jc w:val="both"/>
            </w:pPr>
            <w:r>
              <w:t>i</w:t>
            </w:r>
            <w:r w:rsidR="00656A7A" w:rsidRPr="008D08C9">
              <w:t xml:space="preserve">evēlētā ārvalstu </w:t>
            </w:r>
            <w:r w:rsidR="00CB0D82">
              <w:t>mācībspēku skaits/ īpatsvars</w:t>
            </w:r>
            <w:r w:rsidR="00656A7A" w:rsidRPr="008D08C9">
              <w:t xml:space="preserve"> no visa ievēlētā akadēmiskā personāla; </w:t>
            </w:r>
            <w:r>
              <w:t xml:space="preserve">ja </w:t>
            </w:r>
            <w:r w:rsidR="00CB0D82">
              <w:t xml:space="preserve">iespējams, arī </w:t>
            </w:r>
            <w:r w:rsidR="00656A7A" w:rsidRPr="008D08C9">
              <w:t>šāda akadēmiskā personāla nostrādāto stundu skaits/ īpatsvars no visām ievēlētā akadēmiskā personāla nostrādātām stundām;</w:t>
            </w:r>
          </w:p>
          <w:p w:rsidR="00AE5FA3" w:rsidRPr="008D08C9" w:rsidRDefault="00AE5FA3" w:rsidP="00364830">
            <w:pPr>
              <w:pStyle w:val="ListParagraph"/>
              <w:numPr>
                <w:ilvl w:val="0"/>
                <w:numId w:val="19"/>
              </w:numPr>
              <w:spacing w:after="160"/>
              <w:jc w:val="both"/>
            </w:pPr>
            <w:r>
              <w:t>ārvalstnieku – viesdocētāji skaits/ īpatsvars</w:t>
            </w:r>
            <w:r w:rsidRPr="008D08C9">
              <w:t xml:space="preserve"> no visa ievēlētā akadēmiskā personāla; </w:t>
            </w:r>
            <w:r>
              <w:t xml:space="preserve">ja iespējams, arī </w:t>
            </w:r>
            <w:r w:rsidRPr="008D08C9">
              <w:t>šāda akadēmiskā personāla nostrādāto stundu skaits/ īpatsvars no visām ievēlētā akadēmiskā personāla nostrādātām stundām</w:t>
            </w:r>
            <w:r>
              <w:t>;</w:t>
            </w:r>
          </w:p>
          <w:p w:rsidR="00656A7A" w:rsidRPr="008D08C9" w:rsidRDefault="007B3B08" w:rsidP="00364830">
            <w:pPr>
              <w:pStyle w:val="ListParagraph"/>
              <w:numPr>
                <w:ilvl w:val="0"/>
                <w:numId w:val="19"/>
              </w:numPr>
              <w:spacing w:after="160"/>
              <w:jc w:val="both"/>
            </w:pPr>
            <w:r>
              <w:t>i</w:t>
            </w:r>
            <w:r w:rsidR="00656A7A" w:rsidRPr="008D08C9">
              <w:t>evēlētā akadēmiskā personāla vecuma struktūra (personāls</w:t>
            </w:r>
            <w:r w:rsidR="00CB0D82">
              <w:t xml:space="preserve"> 30-49 gadu vecumā), īpatsvars</w:t>
            </w:r>
            <w:r w:rsidR="00656A7A" w:rsidRPr="008D08C9">
              <w:t xml:space="preserve"> no kopējā ievēlētā akadēmiskā personāla;</w:t>
            </w:r>
          </w:p>
          <w:p w:rsidR="007B3B08" w:rsidRPr="007B3B08" w:rsidRDefault="00AE5FA3" w:rsidP="00364830">
            <w:pPr>
              <w:pStyle w:val="ListParagraph"/>
              <w:numPr>
                <w:ilvl w:val="0"/>
                <w:numId w:val="19"/>
              </w:numPr>
              <w:spacing w:after="160"/>
              <w:jc w:val="both"/>
            </w:pPr>
            <w:r w:rsidRPr="007B3B08">
              <w:t>tautsaimniecībā nodarbinātie speciālisti ar doktora grādu atbilstoš</w:t>
            </w:r>
            <w:r>
              <w:t>i NACE un ISCO</w:t>
            </w:r>
            <w:r w:rsidRPr="007B3B08" w:rsidDel="001E620A">
              <w:t xml:space="preserve"> </w:t>
            </w:r>
            <w:r>
              <w:t>klasifikācijai</w:t>
            </w:r>
            <w:r w:rsidRPr="007B3B08">
              <w:t>, skaits</w:t>
            </w:r>
            <w:r w:rsidR="007B3B08" w:rsidRPr="007B3B08">
              <w:t>;</w:t>
            </w:r>
            <w:r w:rsidR="00656A7A" w:rsidRPr="007B3B08">
              <w:t xml:space="preserve"> </w:t>
            </w:r>
          </w:p>
          <w:p w:rsidR="00656A7A" w:rsidRPr="008D08C9" w:rsidRDefault="007B3B08" w:rsidP="00364830">
            <w:pPr>
              <w:pStyle w:val="ListParagraph"/>
              <w:numPr>
                <w:ilvl w:val="0"/>
                <w:numId w:val="19"/>
              </w:numPr>
              <w:spacing w:after="160"/>
              <w:jc w:val="both"/>
            </w:pPr>
            <w:r>
              <w:t>a</w:t>
            </w:r>
            <w:r w:rsidR="00656A7A" w:rsidRPr="008D08C9">
              <w:t xml:space="preserve">tbalstītie </w:t>
            </w:r>
            <w:r w:rsidR="00E75661">
              <w:t>pēc</w:t>
            </w:r>
            <w:r w:rsidR="00656A7A" w:rsidRPr="008D08C9">
              <w:t>doktorantūras projekti;</w:t>
            </w:r>
          </w:p>
          <w:p w:rsidR="00656A7A" w:rsidRPr="008D08C9" w:rsidRDefault="00AE5FA3" w:rsidP="00364830">
            <w:pPr>
              <w:pStyle w:val="ListParagraph"/>
              <w:numPr>
                <w:ilvl w:val="0"/>
                <w:numId w:val="19"/>
              </w:numPr>
              <w:spacing w:after="160"/>
              <w:jc w:val="both"/>
            </w:pPr>
            <w:r>
              <w:t>starptautiskiem standartiem atbilstošas doktorantūras modeļa ieviešana, t.sk. pārskatot promocijas procesa organizāciju, finansēšanas modeli un kvalitātes kritērijus</w:t>
            </w:r>
            <w:r w:rsidR="00656A7A" w:rsidRPr="008D08C9">
              <w:t>;</w:t>
            </w:r>
          </w:p>
          <w:p w:rsidR="00656A7A" w:rsidRPr="007B3B08" w:rsidRDefault="007B3B08" w:rsidP="00364830">
            <w:pPr>
              <w:pStyle w:val="ListParagraph"/>
              <w:numPr>
                <w:ilvl w:val="0"/>
                <w:numId w:val="19"/>
              </w:numPr>
              <w:spacing w:after="160"/>
              <w:jc w:val="both"/>
            </w:pPr>
            <w:r w:rsidRPr="007B3B08">
              <w:t>v</w:t>
            </w:r>
            <w:r w:rsidR="00656A7A" w:rsidRPr="007B3B08">
              <w:t>eikti pētījumi par absolventu</w:t>
            </w:r>
            <w:r w:rsidR="00AE5FA3">
              <w:t xml:space="preserve"> kompetencēm, t.sk.</w:t>
            </w:r>
            <w:r w:rsidR="00656A7A" w:rsidRPr="007B3B08">
              <w:t xml:space="preserve"> digitālām prasmēm un no t</w:t>
            </w:r>
            <w:r>
              <w:t>iem</w:t>
            </w:r>
            <w:r w:rsidR="00656A7A" w:rsidRPr="007B3B08">
              <w:t xml:space="preserve"> noteikti rādītāji, kas ļauj izmērīt </w:t>
            </w:r>
            <w:r w:rsidRPr="007B3B08">
              <w:t>progresu</w:t>
            </w:r>
            <w:r w:rsidR="00656A7A" w:rsidRPr="007B3B08">
              <w:t>;</w:t>
            </w:r>
          </w:p>
          <w:p w:rsidR="00656A7A" w:rsidRPr="007B3B08" w:rsidRDefault="007B3B08" w:rsidP="00364830">
            <w:pPr>
              <w:pStyle w:val="ListParagraph"/>
              <w:numPr>
                <w:ilvl w:val="0"/>
                <w:numId w:val="19"/>
              </w:numPr>
              <w:spacing w:after="160"/>
              <w:jc w:val="both"/>
            </w:pPr>
            <w:r w:rsidRPr="007B3B08">
              <w:t>augstākās izglītības digitalizācijas līmeņa rādītāji (piemēram, s</w:t>
            </w:r>
            <w:r w:rsidR="00656A7A" w:rsidRPr="007B3B08">
              <w:t xml:space="preserve">tudiju programmu skaits e-vidē, kursu skaits, </w:t>
            </w:r>
            <w:r w:rsidRPr="007B3B08">
              <w:t>u.c.);</w:t>
            </w:r>
          </w:p>
          <w:p w:rsidR="00656A7A" w:rsidRPr="008D08C9" w:rsidRDefault="00E75661" w:rsidP="00364830">
            <w:pPr>
              <w:pStyle w:val="ListParagraph"/>
              <w:numPr>
                <w:ilvl w:val="0"/>
                <w:numId w:val="19"/>
              </w:numPr>
              <w:spacing w:after="160"/>
              <w:jc w:val="both"/>
            </w:pPr>
            <w:r>
              <w:t>a</w:t>
            </w:r>
            <w:r w:rsidR="00656A7A" w:rsidRPr="008D08C9">
              <w:t>ugstākās izglītības iestāžu skaits, kurās modernizētas iekārtas un tehniskā infrastrukt</w:t>
            </w:r>
            <w:r>
              <w:t>ūra, izmantojot ERAF līdzekļus (</w:t>
            </w:r>
            <w:r w:rsidR="00656A7A" w:rsidRPr="008D08C9">
              <w:t>14 augstskolas un 8 koledžas</w:t>
            </w:r>
            <w:r>
              <w:t>)</w:t>
            </w:r>
            <w:r w:rsidR="00656A7A" w:rsidRPr="008D08C9">
              <w:t>;</w:t>
            </w:r>
          </w:p>
          <w:p w:rsidR="00656A7A" w:rsidRPr="008D08C9" w:rsidRDefault="00E75661" w:rsidP="00364830">
            <w:pPr>
              <w:pStyle w:val="ListParagraph"/>
              <w:numPr>
                <w:ilvl w:val="0"/>
                <w:numId w:val="19"/>
              </w:numPr>
              <w:spacing w:after="160"/>
              <w:jc w:val="both"/>
            </w:pPr>
            <w:r>
              <w:t>m</w:t>
            </w:r>
            <w:r w:rsidR="00656A7A" w:rsidRPr="008D08C9">
              <w:t xml:space="preserve">aģistranti un doktoranti, kas tiek uz darba līgumu pamata nodarbināti </w:t>
            </w:r>
            <w:r>
              <w:t>augstākās izglītības iestādē (akadēmiskā</w:t>
            </w:r>
            <w:r w:rsidR="00656A7A" w:rsidRPr="008D08C9">
              <w:t xml:space="preserve"> personāla atjaunotnes rādītājs);</w:t>
            </w:r>
          </w:p>
          <w:p w:rsidR="00656A7A" w:rsidRPr="00E75661" w:rsidRDefault="00E75661" w:rsidP="00364830">
            <w:pPr>
              <w:pStyle w:val="ListParagraph"/>
              <w:numPr>
                <w:ilvl w:val="0"/>
                <w:numId w:val="19"/>
              </w:numPr>
              <w:spacing w:after="160"/>
              <w:jc w:val="both"/>
            </w:pPr>
            <w:r w:rsidRPr="00E75661">
              <w:t>augstākās izglītības</w:t>
            </w:r>
            <w:r w:rsidR="00656A7A" w:rsidRPr="00E75661">
              <w:t xml:space="preserve"> piedāvājums mūžizglītības jomā (</w:t>
            </w:r>
            <w:r w:rsidR="00656A7A" w:rsidRPr="009D0CCD">
              <w:rPr>
                <w:i/>
              </w:rPr>
              <w:t>upskilling</w:t>
            </w:r>
            <w:r w:rsidR="00656A7A" w:rsidRPr="00E75661">
              <w:t>)</w:t>
            </w:r>
            <w:r w:rsidRPr="00E75661">
              <w:t xml:space="preserve"> </w:t>
            </w:r>
            <w:r w:rsidR="00656A7A" w:rsidRPr="00E75661">
              <w:t>- programmu skaits, cilvēku skaits, kas apguv</w:t>
            </w:r>
            <w:r w:rsidR="00AE5FA3">
              <w:t>uši</w:t>
            </w:r>
            <w:r w:rsidR="00656A7A" w:rsidRPr="00E75661">
              <w:t xml:space="preserve"> šīs programmas</w:t>
            </w:r>
            <w:r w:rsidRPr="00E75661">
              <w:t>;</w:t>
            </w:r>
          </w:p>
          <w:p w:rsidR="00656A7A" w:rsidRPr="008D08C9" w:rsidRDefault="00E75661" w:rsidP="00364830">
            <w:pPr>
              <w:pStyle w:val="ListParagraph"/>
              <w:numPr>
                <w:ilvl w:val="0"/>
                <w:numId w:val="19"/>
              </w:numPr>
              <w:spacing w:after="160"/>
              <w:jc w:val="both"/>
            </w:pPr>
            <w:r>
              <w:t>i</w:t>
            </w:r>
            <w:r w:rsidR="00656A7A" w:rsidRPr="008D08C9">
              <w:t>zglītojamie ar invaliditāti augstākajā izglītībā (kopā ISCED 5-8);</w:t>
            </w:r>
          </w:p>
          <w:p w:rsidR="00656A7A" w:rsidRPr="00E75661" w:rsidRDefault="00E75661" w:rsidP="00494588">
            <w:pPr>
              <w:pStyle w:val="ListParagraph"/>
              <w:numPr>
                <w:ilvl w:val="0"/>
                <w:numId w:val="19"/>
              </w:numPr>
              <w:spacing w:after="240"/>
              <w:ind w:left="714" w:hanging="357"/>
              <w:jc w:val="both"/>
            </w:pPr>
            <w:r>
              <w:t xml:space="preserve">pēc sociālā statusa </w:t>
            </w:r>
            <w:r w:rsidR="00656A7A" w:rsidRPr="00E75661">
              <w:t xml:space="preserve">sniegtais atbalsts </w:t>
            </w:r>
            <w:r>
              <w:t>augstākās izglītības iegūšanai</w:t>
            </w:r>
            <w:r w:rsidR="00656A7A" w:rsidRPr="00E75661">
              <w:t xml:space="preserve"> (stipendij</w:t>
            </w:r>
            <w:r>
              <w:t>u skaits).</w:t>
            </w:r>
          </w:p>
        </w:tc>
      </w:tr>
      <w:tr w:rsidR="00656A7A" w:rsidRPr="008D08C9" w:rsidTr="00656A7A">
        <w:tc>
          <w:tcPr>
            <w:tcW w:w="9345" w:type="dxa"/>
          </w:tcPr>
          <w:p w:rsidR="00656A7A" w:rsidRPr="008D08C9" w:rsidRDefault="00656A7A" w:rsidP="00364830">
            <w:pPr>
              <w:spacing w:before="120"/>
              <w:jc w:val="both"/>
              <w:rPr>
                <w:rFonts w:ascii="Times New Roman" w:eastAsia="Times New Roman" w:hAnsi="Times New Roman" w:cs="Times New Roman"/>
                <w:b/>
                <w:sz w:val="24"/>
                <w:szCs w:val="24"/>
                <w:u w:val="single"/>
                <w:lang w:eastAsia="lv-LV"/>
              </w:rPr>
            </w:pPr>
            <w:r w:rsidRPr="008D08C9">
              <w:rPr>
                <w:rFonts w:ascii="Times New Roman" w:eastAsia="Times New Roman" w:hAnsi="Times New Roman" w:cs="Times New Roman"/>
                <w:b/>
                <w:sz w:val="24"/>
                <w:szCs w:val="24"/>
                <w:u w:val="single"/>
                <w:lang w:eastAsia="lv-LV"/>
              </w:rPr>
              <w:lastRenderedPageBreak/>
              <w:t>Pieaugušo izglītība</w:t>
            </w:r>
          </w:p>
          <w:p w:rsidR="00601700" w:rsidRDefault="00601700" w:rsidP="00364830">
            <w:pPr>
              <w:jc w:val="both"/>
              <w:rPr>
                <w:rFonts w:ascii="Times New Roman" w:eastAsia="Times New Roman" w:hAnsi="Times New Roman" w:cs="Times New Roman"/>
                <w:b/>
                <w:sz w:val="24"/>
                <w:szCs w:val="24"/>
                <w:lang w:eastAsia="lv-LV"/>
              </w:rPr>
            </w:pPr>
          </w:p>
          <w:p w:rsidR="00656A7A" w:rsidRPr="008D08C9" w:rsidRDefault="00601700" w:rsidP="00364830">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Prioritātes</w:t>
            </w:r>
          </w:p>
          <w:p w:rsidR="00656A7A" w:rsidRDefault="00075E52" w:rsidP="00364830">
            <w:pPr>
              <w:jc w:val="both"/>
              <w:rPr>
                <w:rFonts w:ascii="Times New Roman" w:hAnsi="Times New Roman" w:cs="Times New Roman"/>
                <w:sz w:val="24"/>
                <w:szCs w:val="24"/>
              </w:rPr>
            </w:pPr>
            <w:r>
              <w:rPr>
                <w:rFonts w:ascii="Times New Roman" w:hAnsi="Times New Roman" w:cs="Times New Roman"/>
                <w:sz w:val="24"/>
                <w:szCs w:val="24"/>
              </w:rPr>
              <w:t xml:space="preserve">- </w:t>
            </w:r>
            <w:r w:rsidR="00596F8A">
              <w:rPr>
                <w:rFonts w:ascii="Times New Roman" w:hAnsi="Times New Roman" w:cs="Times New Roman"/>
                <w:sz w:val="24"/>
                <w:szCs w:val="24"/>
              </w:rPr>
              <w:t>P</w:t>
            </w:r>
            <w:r w:rsidR="00656A7A" w:rsidRPr="008D08C9">
              <w:rPr>
                <w:rFonts w:ascii="Times New Roman" w:hAnsi="Times New Roman" w:cs="Times New Roman"/>
                <w:sz w:val="24"/>
                <w:szCs w:val="24"/>
              </w:rPr>
              <w:t>alielinot pieaugušo izglītībā iesaistīto personu īpatsvaru, jāievēro profesiju digitalizācija un tehnoloģizācija, lai nodrošinātu atbilstošā sagatavotība darba tirgus modernajām prasībām</w:t>
            </w:r>
            <w:r w:rsidR="00596F8A">
              <w:rPr>
                <w:rFonts w:ascii="Times New Roman" w:hAnsi="Times New Roman" w:cs="Times New Roman"/>
                <w:sz w:val="24"/>
                <w:szCs w:val="24"/>
              </w:rPr>
              <w:t>.</w:t>
            </w:r>
          </w:p>
          <w:p w:rsidR="00B15DC8" w:rsidRPr="00B15DC8" w:rsidRDefault="00B15DC8" w:rsidP="00364830">
            <w:pPr>
              <w:jc w:val="both"/>
              <w:rPr>
                <w:rFonts w:ascii="Times New Roman" w:hAnsi="Times New Roman" w:cs="Times New Roman"/>
                <w:sz w:val="12"/>
                <w:szCs w:val="12"/>
              </w:rPr>
            </w:pPr>
          </w:p>
          <w:p w:rsidR="00075E52" w:rsidRDefault="00075E52" w:rsidP="00364830">
            <w:pPr>
              <w:jc w:val="both"/>
              <w:rPr>
                <w:rFonts w:ascii="Times New Roman" w:hAnsi="Times New Roman" w:cs="Times New Roman"/>
                <w:sz w:val="24"/>
                <w:szCs w:val="24"/>
              </w:rPr>
            </w:pPr>
            <w:r>
              <w:rPr>
                <w:rFonts w:ascii="Times New Roman" w:hAnsi="Times New Roman" w:cs="Times New Roman"/>
                <w:sz w:val="24"/>
                <w:szCs w:val="24"/>
              </w:rPr>
              <w:t xml:space="preserve">- </w:t>
            </w:r>
            <w:r w:rsidR="007946D6">
              <w:rPr>
                <w:rFonts w:ascii="Times New Roman" w:hAnsi="Times New Roman" w:cs="Times New Roman"/>
                <w:sz w:val="24"/>
                <w:szCs w:val="24"/>
              </w:rPr>
              <w:t>Turpināt stiprināt profesionālās izglītības lomu pieaugušo izglītībā, tajā skaitā, izvērtējot iespēju paplašināt DVB mācības, piedāvājot tās arī pieaugušo izglītībā.</w:t>
            </w:r>
          </w:p>
          <w:p w:rsidR="00C86531" w:rsidRDefault="00C86531" w:rsidP="00C86531">
            <w:pPr>
              <w:spacing w:before="120"/>
              <w:jc w:val="both"/>
              <w:rPr>
                <w:rFonts w:ascii="Times New Roman" w:hAnsi="Times New Roman" w:cs="Times New Roman"/>
                <w:sz w:val="24"/>
                <w:szCs w:val="24"/>
              </w:rPr>
            </w:pPr>
            <w:r>
              <w:rPr>
                <w:rFonts w:ascii="Times New Roman" w:hAnsi="Times New Roman" w:cs="Times New Roman"/>
                <w:sz w:val="24"/>
                <w:szCs w:val="24"/>
              </w:rPr>
              <w:t>- Nodrošināt p</w:t>
            </w:r>
            <w:r w:rsidRPr="00427231">
              <w:rPr>
                <w:rFonts w:ascii="Times New Roman" w:hAnsi="Times New Roman" w:cs="Times New Roman"/>
                <w:sz w:val="24"/>
                <w:szCs w:val="24"/>
              </w:rPr>
              <w:t>rofesionālās kompetences pilnveid</w:t>
            </w:r>
            <w:r>
              <w:rPr>
                <w:rFonts w:ascii="Times New Roman" w:hAnsi="Times New Roman" w:cs="Times New Roman"/>
                <w:sz w:val="24"/>
                <w:szCs w:val="24"/>
              </w:rPr>
              <w:t>i</w:t>
            </w:r>
            <w:r w:rsidRPr="00427231">
              <w:rPr>
                <w:rFonts w:ascii="Times New Roman" w:hAnsi="Times New Roman" w:cs="Times New Roman"/>
                <w:sz w:val="24"/>
                <w:szCs w:val="24"/>
              </w:rPr>
              <w:t xml:space="preserve"> pieaugušajiem nodarbinātajiem</w:t>
            </w:r>
            <w:r>
              <w:rPr>
                <w:rFonts w:ascii="Times New Roman" w:hAnsi="Times New Roman" w:cs="Times New Roman"/>
                <w:sz w:val="24"/>
                <w:szCs w:val="24"/>
              </w:rPr>
              <w:t>.</w:t>
            </w:r>
          </w:p>
          <w:p w:rsidR="007946D6" w:rsidRDefault="007946D6" w:rsidP="00364830">
            <w:pPr>
              <w:jc w:val="both"/>
              <w:rPr>
                <w:rFonts w:ascii="Times New Roman" w:hAnsi="Times New Roman" w:cs="Times New Roman"/>
                <w:sz w:val="24"/>
                <w:szCs w:val="24"/>
              </w:rPr>
            </w:pPr>
          </w:p>
          <w:p w:rsidR="007946D6" w:rsidRDefault="007946D6" w:rsidP="00364830">
            <w:pPr>
              <w:jc w:val="both"/>
              <w:rPr>
                <w:rFonts w:ascii="Times New Roman" w:hAnsi="Times New Roman" w:cs="Times New Roman"/>
                <w:sz w:val="24"/>
                <w:szCs w:val="24"/>
              </w:rPr>
            </w:pPr>
            <w:r>
              <w:rPr>
                <w:rFonts w:ascii="Times New Roman" w:hAnsi="Times New Roman" w:cs="Times New Roman"/>
                <w:sz w:val="24"/>
                <w:szCs w:val="24"/>
              </w:rPr>
              <w:t xml:space="preserve">Izvērtējot </w:t>
            </w:r>
            <w:r w:rsidRPr="00F67B51">
              <w:rPr>
                <w:rFonts w:ascii="Times New Roman" w:hAnsi="Times New Roman" w:cs="Times New Roman"/>
                <w:sz w:val="24"/>
                <w:szCs w:val="24"/>
              </w:rPr>
              <w:t>IAP 201</w:t>
            </w:r>
            <w:r>
              <w:rPr>
                <w:rFonts w:ascii="Times New Roman" w:hAnsi="Times New Roman" w:cs="Times New Roman"/>
                <w:sz w:val="24"/>
                <w:szCs w:val="24"/>
              </w:rPr>
              <w:t xml:space="preserve">4.–2020.gadam rezultatīvo rādītāju klāstu un ievērojot nākotnes prioritātes, </w:t>
            </w:r>
            <w:r w:rsidRPr="001734A6">
              <w:rPr>
                <w:rFonts w:ascii="Times New Roman" w:hAnsi="Times New Roman" w:cs="Times New Roman"/>
                <w:sz w:val="24"/>
                <w:szCs w:val="24"/>
              </w:rPr>
              <w:t xml:space="preserve">turpmāk izvērtējama šādu </w:t>
            </w:r>
            <w:r>
              <w:rPr>
                <w:rFonts w:ascii="Times New Roman" w:hAnsi="Times New Roman" w:cs="Times New Roman"/>
                <w:sz w:val="24"/>
                <w:szCs w:val="24"/>
              </w:rPr>
              <w:t xml:space="preserve">papildu </w:t>
            </w:r>
            <w:r w:rsidRPr="00ED0EED">
              <w:rPr>
                <w:rFonts w:ascii="Times New Roman" w:hAnsi="Times New Roman" w:cs="Times New Roman"/>
                <w:b/>
                <w:sz w:val="24"/>
                <w:szCs w:val="24"/>
              </w:rPr>
              <w:t xml:space="preserve">rezultatīvo rādītāju </w:t>
            </w:r>
            <w:r>
              <w:rPr>
                <w:rFonts w:ascii="Times New Roman" w:hAnsi="Times New Roman" w:cs="Times New Roman"/>
                <w:sz w:val="24"/>
                <w:szCs w:val="24"/>
              </w:rPr>
              <w:t>iekļaušana / precizēšana pieaugušo izglītības jomā</w:t>
            </w:r>
            <w:r w:rsidR="00F42E82">
              <w:rPr>
                <w:rFonts w:ascii="Times New Roman" w:hAnsi="Times New Roman" w:cs="Times New Roman"/>
                <w:sz w:val="24"/>
                <w:szCs w:val="24"/>
              </w:rPr>
              <w:t xml:space="preserve"> nākamajā plānošanas periodā</w:t>
            </w:r>
            <w:r>
              <w:rPr>
                <w:rFonts w:ascii="Times New Roman" w:hAnsi="Times New Roman" w:cs="Times New Roman"/>
                <w:sz w:val="24"/>
                <w:szCs w:val="24"/>
              </w:rPr>
              <w:t>:</w:t>
            </w:r>
          </w:p>
          <w:p w:rsidR="00945F54" w:rsidRDefault="00945F54" w:rsidP="0054335A">
            <w:pPr>
              <w:pStyle w:val="ListParagraph"/>
              <w:numPr>
                <w:ilvl w:val="0"/>
                <w:numId w:val="19"/>
              </w:numPr>
              <w:jc w:val="both"/>
            </w:pPr>
            <w:r>
              <w:t>p</w:t>
            </w:r>
            <w:r w:rsidRPr="00945F54">
              <w:t>ieaugušo skaits, kas izmanto profesionālās izglītības iestāžu pakalpojumus pieaugušo izglītīb</w:t>
            </w:r>
            <w:r w:rsidR="0054335A">
              <w:t>ā;</w:t>
            </w:r>
          </w:p>
          <w:p w:rsidR="0054335A" w:rsidRPr="00945F54" w:rsidRDefault="0054335A" w:rsidP="00494588">
            <w:pPr>
              <w:pStyle w:val="ListParagraph"/>
              <w:numPr>
                <w:ilvl w:val="0"/>
                <w:numId w:val="19"/>
              </w:numPr>
              <w:spacing w:after="240"/>
              <w:ind w:left="714" w:hanging="357"/>
              <w:jc w:val="both"/>
            </w:pPr>
            <w:r>
              <w:t>izvērtēt iespēju izmantot Pieaugušo prasmju apsekojuma (PIAAC) datus</w:t>
            </w:r>
            <w:r w:rsidR="001E5A7B">
              <w:t xml:space="preserve"> par pieaugušo kompetenci lasītprasmē un rēķinātprasmē</w:t>
            </w:r>
            <w:r>
              <w:t>.</w:t>
            </w:r>
          </w:p>
        </w:tc>
      </w:tr>
      <w:tr w:rsidR="00656A7A" w:rsidRPr="008D08C9" w:rsidTr="00656A7A">
        <w:tc>
          <w:tcPr>
            <w:tcW w:w="9345" w:type="dxa"/>
          </w:tcPr>
          <w:p w:rsidR="00656A7A" w:rsidRPr="008D08C9" w:rsidRDefault="00656A7A" w:rsidP="00364830">
            <w:pPr>
              <w:spacing w:before="120"/>
              <w:jc w:val="both"/>
              <w:rPr>
                <w:rFonts w:ascii="Times New Roman" w:eastAsia="Times New Roman" w:hAnsi="Times New Roman" w:cs="Times New Roman"/>
                <w:b/>
                <w:sz w:val="24"/>
                <w:szCs w:val="24"/>
                <w:u w:val="single"/>
                <w:lang w:eastAsia="lv-LV"/>
              </w:rPr>
            </w:pPr>
            <w:r w:rsidRPr="008D08C9">
              <w:rPr>
                <w:rFonts w:ascii="Times New Roman" w:eastAsia="Times New Roman" w:hAnsi="Times New Roman" w:cs="Times New Roman"/>
                <w:b/>
                <w:sz w:val="24"/>
                <w:szCs w:val="24"/>
                <w:u w:val="single"/>
                <w:lang w:eastAsia="lv-LV"/>
              </w:rPr>
              <w:t>Pedagogi</w:t>
            </w:r>
          </w:p>
          <w:p w:rsidR="000B7157" w:rsidRDefault="000B7157" w:rsidP="00364830">
            <w:pPr>
              <w:jc w:val="both"/>
              <w:rPr>
                <w:rFonts w:ascii="Times New Roman" w:eastAsia="Times New Roman" w:hAnsi="Times New Roman" w:cs="Times New Roman"/>
                <w:b/>
                <w:sz w:val="24"/>
                <w:szCs w:val="24"/>
                <w:lang w:eastAsia="lv-LV"/>
              </w:rPr>
            </w:pPr>
          </w:p>
          <w:p w:rsidR="000B7157" w:rsidRPr="008D08C9" w:rsidRDefault="000B7157" w:rsidP="00364830">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Prioritātes</w:t>
            </w:r>
          </w:p>
          <w:p w:rsidR="00656A7A" w:rsidRDefault="000B7157" w:rsidP="00364830">
            <w:pPr>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00AA5438">
              <w:rPr>
                <w:rFonts w:ascii="Times New Roman" w:hAnsi="Times New Roman" w:cs="Times New Roman"/>
                <w:sz w:val="24"/>
                <w:szCs w:val="24"/>
              </w:rPr>
              <w:t>J</w:t>
            </w:r>
            <w:r w:rsidR="00656A7A" w:rsidRPr="008D08C9">
              <w:rPr>
                <w:rFonts w:ascii="Times New Roman" w:hAnsi="Times New Roman" w:cs="Times New Roman"/>
                <w:sz w:val="24"/>
                <w:szCs w:val="24"/>
              </w:rPr>
              <w:t>ābūt pieejamai modernai pedagogu izglītībai, lai pedagoģisko programmu absolventi būtu spējīgi ne tikai kvalitatīvi pasniegt pilnveidoto izglītības saturu, bet arī būtu motivēti turpināt profesionālo pilnveidi un padarīt mācīšanas procesu interesantāku un efektīvāku, sekmējot izglītojamo kompetenču attīstību un izglītības kvalitātes paaugstināšanu</w:t>
            </w:r>
            <w:r w:rsidR="00B545AF">
              <w:rPr>
                <w:rFonts w:ascii="Times New Roman" w:hAnsi="Times New Roman" w:cs="Times New Roman"/>
                <w:sz w:val="24"/>
                <w:szCs w:val="24"/>
              </w:rPr>
              <w:t xml:space="preserve"> gan vispārējā, gan profesionālajā izglītībā</w:t>
            </w:r>
            <w:r>
              <w:rPr>
                <w:rFonts w:ascii="Times New Roman" w:hAnsi="Times New Roman" w:cs="Times New Roman"/>
                <w:sz w:val="24"/>
                <w:szCs w:val="24"/>
              </w:rPr>
              <w:t>.</w:t>
            </w:r>
          </w:p>
          <w:p w:rsidR="00AA5438" w:rsidRDefault="00AA5438" w:rsidP="00364830">
            <w:pPr>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Pr="00427231">
              <w:rPr>
                <w:rFonts w:ascii="Times New Roman" w:hAnsi="Times New Roman" w:cs="Times New Roman"/>
                <w:sz w:val="24"/>
                <w:szCs w:val="24"/>
              </w:rPr>
              <w:t>Pedagoga profesijas prestiža paaugstināšana</w:t>
            </w:r>
            <w:r>
              <w:rPr>
                <w:rFonts w:ascii="Times New Roman" w:hAnsi="Times New Roman" w:cs="Times New Roman"/>
                <w:sz w:val="24"/>
                <w:szCs w:val="24"/>
              </w:rPr>
              <w:t xml:space="preserve">i jānodrošina atbilstošs pedagogu darba atalgojums, tajā skaitā, pedagogiem, kuri strādā ar </w:t>
            </w:r>
            <w:r w:rsidRPr="00427231">
              <w:rPr>
                <w:rFonts w:ascii="Times New Roman" w:hAnsi="Times New Roman" w:cs="Times New Roman"/>
                <w:sz w:val="24"/>
                <w:szCs w:val="24"/>
              </w:rPr>
              <w:t>bērniem no 1,5 gadu vecuma</w:t>
            </w:r>
            <w:r>
              <w:rPr>
                <w:rFonts w:ascii="Times New Roman" w:hAnsi="Times New Roman" w:cs="Times New Roman"/>
                <w:sz w:val="24"/>
                <w:szCs w:val="24"/>
              </w:rPr>
              <w:t xml:space="preserve"> un</w:t>
            </w:r>
            <w:r w:rsidRPr="00427231">
              <w:rPr>
                <w:rFonts w:ascii="Times New Roman" w:hAnsi="Times New Roman" w:cs="Times New Roman"/>
                <w:sz w:val="24"/>
                <w:szCs w:val="24"/>
              </w:rPr>
              <w:t xml:space="preserve"> karjeras konsultant</w:t>
            </w:r>
            <w:r>
              <w:rPr>
                <w:rFonts w:ascii="Times New Roman" w:hAnsi="Times New Roman" w:cs="Times New Roman"/>
                <w:sz w:val="24"/>
                <w:szCs w:val="24"/>
              </w:rPr>
              <w:t>iem.</w:t>
            </w:r>
          </w:p>
          <w:p w:rsidR="00656A7A" w:rsidRDefault="000B7157" w:rsidP="00364830">
            <w:pPr>
              <w:spacing w:before="120"/>
              <w:jc w:val="both"/>
              <w:rPr>
                <w:rFonts w:ascii="Times New Roman" w:hAnsi="Times New Roman" w:cs="Times New Roman"/>
                <w:sz w:val="24"/>
                <w:szCs w:val="24"/>
              </w:rPr>
            </w:pPr>
            <w:r>
              <w:rPr>
                <w:rFonts w:ascii="Times New Roman" w:hAnsi="Times New Roman" w:cs="Times New Roman"/>
                <w:sz w:val="24"/>
                <w:szCs w:val="24"/>
              </w:rPr>
              <w:t xml:space="preserve">- Ir veicināma </w:t>
            </w:r>
            <w:r w:rsidR="00656A7A" w:rsidRPr="008D08C9">
              <w:rPr>
                <w:rFonts w:ascii="Times New Roman" w:hAnsi="Times New Roman" w:cs="Times New Roman"/>
                <w:sz w:val="24"/>
                <w:szCs w:val="24"/>
              </w:rPr>
              <w:t xml:space="preserve">jauno pedagogu piesaiste, </w:t>
            </w:r>
            <w:r>
              <w:rPr>
                <w:rFonts w:ascii="Times New Roman" w:hAnsi="Times New Roman" w:cs="Times New Roman"/>
                <w:sz w:val="24"/>
                <w:szCs w:val="24"/>
              </w:rPr>
              <w:t>vienlaikus efektīvi uzlabojot pedagogu profesionālo kompetenču novērtēšanas sistēmu (piemēram, ar pedagogu kompetenču aprakstu).</w:t>
            </w:r>
          </w:p>
          <w:p w:rsidR="000B7157" w:rsidRPr="008D08C9" w:rsidRDefault="000B7157" w:rsidP="00364830">
            <w:pPr>
              <w:jc w:val="both"/>
              <w:rPr>
                <w:rFonts w:ascii="Times New Roman" w:hAnsi="Times New Roman" w:cs="Times New Roman"/>
                <w:sz w:val="24"/>
                <w:szCs w:val="24"/>
              </w:rPr>
            </w:pPr>
          </w:p>
          <w:p w:rsidR="00A50F34" w:rsidRDefault="00A50F34" w:rsidP="00364830">
            <w:pPr>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Izvērtējot </w:t>
            </w:r>
            <w:r w:rsidRPr="00F67B51">
              <w:rPr>
                <w:rFonts w:ascii="Times New Roman" w:hAnsi="Times New Roman" w:cs="Times New Roman"/>
                <w:sz w:val="24"/>
                <w:szCs w:val="24"/>
              </w:rPr>
              <w:t>IAP 201</w:t>
            </w:r>
            <w:r>
              <w:rPr>
                <w:rFonts w:ascii="Times New Roman" w:hAnsi="Times New Roman" w:cs="Times New Roman"/>
                <w:sz w:val="24"/>
                <w:szCs w:val="24"/>
              </w:rPr>
              <w:t xml:space="preserve">4.–2020.gadam rezultatīvo rādītāju klāstu un ievērojot nākotnes prioritātes, </w:t>
            </w:r>
            <w:r w:rsidRPr="001734A6">
              <w:rPr>
                <w:rFonts w:ascii="Times New Roman" w:hAnsi="Times New Roman" w:cs="Times New Roman"/>
                <w:sz w:val="24"/>
                <w:szCs w:val="24"/>
              </w:rPr>
              <w:t xml:space="preserve">turpmāk izvērtējama šādu </w:t>
            </w:r>
            <w:r>
              <w:rPr>
                <w:rFonts w:ascii="Times New Roman" w:hAnsi="Times New Roman" w:cs="Times New Roman"/>
                <w:sz w:val="24"/>
                <w:szCs w:val="24"/>
              </w:rPr>
              <w:t xml:space="preserve">papildu </w:t>
            </w:r>
            <w:r w:rsidRPr="00ED0EED">
              <w:rPr>
                <w:rFonts w:ascii="Times New Roman" w:hAnsi="Times New Roman" w:cs="Times New Roman"/>
                <w:b/>
                <w:sz w:val="24"/>
                <w:szCs w:val="24"/>
              </w:rPr>
              <w:t xml:space="preserve">rezultatīvo rādītāju </w:t>
            </w:r>
            <w:r>
              <w:rPr>
                <w:rFonts w:ascii="Times New Roman" w:hAnsi="Times New Roman" w:cs="Times New Roman"/>
                <w:sz w:val="24"/>
                <w:szCs w:val="24"/>
              </w:rPr>
              <w:t>iekļaušana / precizēšana attiecībā uz pedagogiem</w:t>
            </w:r>
            <w:r w:rsidR="00F42E82">
              <w:rPr>
                <w:rFonts w:ascii="Times New Roman" w:hAnsi="Times New Roman" w:cs="Times New Roman"/>
                <w:sz w:val="24"/>
                <w:szCs w:val="24"/>
              </w:rPr>
              <w:t xml:space="preserve"> nākamajā plānošanas periodā</w:t>
            </w:r>
            <w:r>
              <w:rPr>
                <w:rFonts w:ascii="Times New Roman" w:hAnsi="Times New Roman" w:cs="Times New Roman"/>
                <w:sz w:val="24"/>
                <w:szCs w:val="24"/>
              </w:rPr>
              <w:t>:</w:t>
            </w:r>
            <w:r w:rsidRPr="008D08C9">
              <w:rPr>
                <w:rFonts w:ascii="Times New Roman" w:eastAsia="Times New Roman" w:hAnsi="Times New Roman" w:cs="Times New Roman"/>
                <w:sz w:val="24"/>
                <w:szCs w:val="24"/>
                <w:lang w:eastAsia="lv-LV"/>
              </w:rPr>
              <w:t xml:space="preserve"> </w:t>
            </w:r>
          </w:p>
          <w:p w:rsidR="00656A7A" w:rsidRPr="00DD2CEE" w:rsidRDefault="00DD2CEE" w:rsidP="00364830">
            <w:pPr>
              <w:pStyle w:val="ListParagraph"/>
              <w:numPr>
                <w:ilvl w:val="0"/>
                <w:numId w:val="19"/>
              </w:numPr>
              <w:jc w:val="both"/>
              <w:rPr>
                <w:b/>
              </w:rPr>
            </w:pPr>
            <w:r>
              <w:t>p</w:t>
            </w:r>
            <w:r w:rsidR="00656A7A" w:rsidRPr="00A50F34">
              <w:t xml:space="preserve">edagogu vecumā </w:t>
            </w:r>
            <w:r w:rsidR="00A50F34">
              <w:t xml:space="preserve">struktūras rādītājs – </w:t>
            </w:r>
            <w:r w:rsidR="00C06902">
              <w:t>izvērtēt iespēju</w:t>
            </w:r>
            <w:r w:rsidR="00A50F34">
              <w:t xml:space="preserve"> pa</w:t>
            </w:r>
            <w:r w:rsidR="00C06902">
              <w:t>augstinā</w:t>
            </w:r>
            <w:r w:rsidR="00A50F34">
              <w:t>t jauno pedagogu vecumu līdz 35 gadiem, tādējādi paplašinot pedagoģiskā personāla atjaunošanas tendenču</w:t>
            </w:r>
            <w:r w:rsidR="00C06902">
              <w:t xml:space="preserve"> novērtēšanas iespējas;</w:t>
            </w:r>
          </w:p>
          <w:p w:rsidR="00DD2CEE" w:rsidRPr="00A50F34" w:rsidRDefault="00DD2CEE" w:rsidP="00DD2CEE">
            <w:pPr>
              <w:pStyle w:val="ListParagraph"/>
              <w:numPr>
                <w:ilvl w:val="0"/>
                <w:numId w:val="19"/>
              </w:numPr>
              <w:spacing w:after="240"/>
              <w:jc w:val="both"/>
              <w:rPr>
                <w:b/>
              </w:rPr>
            </w:pPr>
            <w:r>
              <w:t>pedagogu dalība profesionālās kompetences pilnveides pasākumos (uzlabota mērīšanas kvalitāte).</w:t>
            </w:r>
          </w:p>
        </w:tc>
      </w:tr>
      <w:tr w:rsidR="00B545AF" w:rsidRPr="008D08C9" w:rsidTr="00656A7A">
        <w:tc>
          <w:tcPr>
            <w:tcW w:w="9345" w:type="dxa"/>
          </w:tcPr>
          <w:p w:rsidR="000317F1" w:rsidRPr="008D08C9" w:rsidRDefault="000317F1" w:rsidP="000317F1">
            <w:pPr>
              <w:spacing w:before="120"/>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Izglītības kvalitātes monitorings</w:t>
            </w:r>
          </w:p>
          <w:p w:rsidR="00B545AF" w:rsidRDefault="000317F1" w:rsidP="000317F1">
            <w:pPr>
              <w:spacing w:before="1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B545AF" w:rsidRPr="009B69A1">
              <w:rPr>
                <w:rFonts w:ascii="Times New Roman" w:eastAsia="Times New Roman" w:hAnsi="Times New Roman" w:cs="Times New Roman"/>
                <w:sz w:val="24"/>
                <w:szCs w:val="24"/>
                <w:lang w:eastAsia="lv-LV"/>
              </w:rPr>
              <w:t xml:space="preserve">ai </w:t>
            </w:r>
            <w:r w:rsidR="00B545AF">
              <w:rPr>
                <w:rFonts w:ascii="Times New Roman" w:eastAsia="Times New Roman" w:hAnsi="Times New Roman" w:cs="Times New Roman"/>
                <w:sz w:val="24"/>
                <w:szCs w:val="24"/>
                <w:lang w:eastAsia="lv-LV"/>
              </w:rPr>
              <w:t>veicinātu</w:t>
            </w:r>
            <w:r w:rsidR="00B545AF" w:rsidRPr="009B69A1">
              <w:rPr>
                <w:rFonts w:ascii="Times New Roman" w:eastAsia="Times New Roman" w:hAnsi="Times New Roman" w:cs="Times New Roman"/>
                <w:sz w:val="24"/>
                <w:szCs w:val="24"/>
                <w:lang w:eastAsia="lv-LV"/>
              </w:rPr>
              <w:t xml:space="preserve"> izglītības kvalitātes novērtēšanu, jānodrošina efektīvi funkcionējošs un ilgtspējīgs monitorings; šajā aspektā ir svarīga ne tikai izglītības kvalitātes monitoringa izveide, bet arī uzturēšana, savlaicīgi identificējot jomas, kurās būtu nepieciešama izpēte rīcībpolitikas plānošanai vai ietekmes analīzei</w:t>
            </w:r>
            <w:r w:rsidR="00B545AF">
              <w:rPr>
                <w:rFonts w:ascii="Times New Roman" w:eastAsia="Times New Roman" w:hAnsi="Times New Roman" w:cs="Times New Roman"/>
                <w:sz w:val="24"/>
                <w:szCs w:val="24"/>
                <w:lang w:eastAsia="lv-LV"/>
              </w:rPr>
              <w:t>.</w:t>
            </w:r>
          </w:p>
          <w:p w:rsidR="004D4748" w:rsidRDefault="004D4748" w:rsidP="004D4748">
            <w:pPr>
              <w:jc w:val="both"/>
              <w:rPr>
                <w:rFonts w:ascii="Times New Roman" w:eastAsia="Times New Roman" w:hAnsi="Times New Roman" w:cs="Times New Roman"/>
                <w:b/>
                <w:sz w:val="24"/>
                <w:szCs w:val="24"/>
                <w:lang w:eastAsia="lv-LV"/>
              </w:rPr>
            </w:pPr>
          </w:p>
          <w:p w:rsidR="005D5761" w:rsidRDefault="005D5761" w:rsidP="004D4748">
            <w:pPr>
              <w:jc w:val="both"/>
              <w:rPr>
                <w:rFonts w:ascii="Times New Roman" w:eastAsia="Times New Roman" w:hAnsi="Times New Roman" w:cs="Times New Roman"/>
                <w:b/>
                <w:sz w:val="24"/>
                <w:szCs w:val="24"/>
                <w:lang w:eastAsia="lv-LV"/>
              </w:rPr>
            </w:pPr>
          </w:p>
          <w:p w:rsidR="004D4748" w:rsidRPr="008D08C9" w:rsidRDefault="004D4748" w:rsidP="004D4748">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Prioritātes</w:t>
            </w:r>
          </w:p>
          <w:p w:rsidR="004D4748" w:rsidRPr="00427231" w:rsidRDefault="004D4748" w:rsidP="004D4748">
            <w:pPr>
              <w:jc w:val="both"/>
              <w:rPr>
                <w:rFonts w:ascii="Times New Roman" w:hAnsi="Times New Roman" w:cs="Times New Roman"/>
                <w:sz w:val="24"/>
                <w:szCs w:val="24"/>
              </w:rPr>
            </w:pPr>
            <w:r>
              <w:rPr>
                <w:rFonts w:ascii="Times New Roman" w:hAnsi="Times New Roman" w:cs="Times New Roman"/>
                <w:sz w:val="24"/>
                <w:szCs w:val="24"/>
              </w:rPr>
              <w:t>- D</w:t>
            </w:r>
            <w:r w:rsidR="00B545AF" w:rsidRPr="00427231">
              <w:rPr>
                <w:rFonts w:ascii="Times New Roman" w:hAnsi="Times New Roman" w:cs="Times New Roman"/>
                <w:sz w:val="24"/>
                <w:szCs w:val="24"/>
              </w:rPr>
              <w:t>alības nodrošināšana starptautisk</w:t>
            </w:r>
            <w:r>
              <w:rPr>
                <w:rFonts w:ascii="Times New Roman" w:hAnsi="Times New Roman" w:cs="Times New Roman"/>
                <w:sz w:val="24"/>
                <w:szCs w:val="24"/>
              </w:rPr>
              <w:t>aj</w:t>
            </w:r>
            <w:r w:rsidR="00B545AF" w:rsidRPr="00427231">
              <w:rPr>
                <w:rFonts w:ascii="Times New Roman" w:hAnsi="Times New Roman" w:cs="Times New Roman"/>
                <w:sz w:val="24"/>
                <w:szCs w:val="24"/>
              </w:rPr>
              <w:t>os izglītības pētījumos</w:t>
            </w:r>
            <w:r>
              <w:rPr>
                <w:rFonts w:ascii="Times New Roman" w:hAnsi="Times New Roman" w:cs="Times New Roman"/>
                <w:sz w:val="24"/>
                <w:szCs w:val="24"/>
              </w:rPr>
              <w:t xml:space="preserve"> (indikatīvi</w:t>
            </w:r>
            <w:r w:rsidR="00B545AF" w:rsidRPr="00427231">
              <w:rPr>
                <w:rFonts w:ascii="Times New Roman" w:hAnsi="Times New Roman" w:cs="Times New Roman"/>
                <w:sz w:val="24"/>
                <w:szCs w:val="24"/>
              </w:rPr>
              <w:t xml:space="preserve"> IEA PIRLS, TIMSS, ICCS, OECD PISA, TALIS, INES, CERI, PIAAC (ta</w:t>
            </w:r>
            <w:r>
              <w:rPr>
                <w:rFonts w:ascii="Times New Roman" w:hAnsi="Times New Roman" w:cs="Times New Roman"/>
                <w:sz w:val="24"/>
                <w:szCs w:val="24"/>
              </w:rPr>
              <w:t>jā</w:t>
            </w:r>
            <w:r w:rsidR="00B545AF" w:rsidRPr="00427231">
              <w:rPr>
                <w:rFonts w:ascii="Times New Roman" w:hAnsi="Times New Roman" w:cs="Times New Roman"/>
                <w:sz w:val="24"/>
                <w:szCs w:val="24"/>
              </w:rPr>
              <w:t xml:space="preserve"> skai</w:t>
            </w:r>
            <w:r>
              <w:rPr>
                <w:rFonts w:ascii="Times New Roman" w:hAnsi="Times New Roman" w:cs="Times New Roman"/>
                <w:sz w:val="24"/>
                <w:szCs w:val="24"/>
              </w:rPr>
              <w:t>tā sekundāro pētījumu veikšana).</w:t>
            </w:r>
          </w:p>
          <w:p w:rsidR="00B545AF" w:rsidRPr="00427231" w:rsidRDefault="004D4748" w:rsidP="00B545AF">
            <w:pPr>
              <w:jc w:val="both"/>
              <w:rPr>
                <w:rFonts w:ascii="Times New Roman" w:hAnsi="Times New Roman" w:cs="Times New Roman"/>
                <w:sz w:val="24"/>
                <w:szCs w:val="24"/>
              </w:rPr>
            </w:pPr>
            <w:r>
              <w:rPr>
                <w:rFonts w:ascii="Times New Roman" w:hAnsi="Times New Roman" w:cs="Times New Roman"/>
                <w:sz w:val="24"/>
                <w:szCs w:val="24"/>
              </w:rPr>
              <w:t>- Starptautisko</w:t>
            </w:r>
            <w:r w:rsidR="00B545AF" w:rsidRPr="00427231">
              <w:rPr>
                <w:rFonts w:ascii="Times New Roman" w:hAnsi="Times New Roman" w:cs="Times New Roman"/>
                <w:sz w:val="24"/>
                <w:szCs w:val="24"/>
              </w:rPr>
              <w:t xml:space="preserve"> ekspertu komandu piesaist</w:t>
            </w:r>
            <w:r w:rsidR="00B545AF">
              <w:rPr>
                <w:rFonts w:ascii="Times New Roman" w:hAnsi="Times New Roman" w:cs="Times New Roman"/>
                <w:sz w:val="24"/>
                <w:szCs w:val="24"/>
              </w:rPr>
              <w:t>e</w:t>
            </w:r>
            <w:r w:rsidR="00B545AF" w:rsidRPr="00427231">
              <w:rPr>
                <w:rFonts w:ascii="Times New Roman" w:hAnsi="Times New Roman" w:cs="Times New Roman"/>
                <w:sz w:val="24"/>
                <w:szCs w:val="24"/>
              </w:rPr>
              <w:t xml:space="preserve"> izglītības kvali</w:t>
            </w:r>
            <w:r>
              <w:rPr>
                <w:rFonts w:ascii="Times New Roman" w:hAnsi="Times New Roman" w:cs="Times New Roman"/>
                <w:sz w:val="24"/>
                <w:szCs w:val="24"/>
              </w:rPr>
              <w:t>tātes sistēmas pilnveidei (piemēram</w:t>
            </w:r>
            <w:r w:rsidR="00B545AF" w:rsidRPr="00427231">
              <w:rPr>
                <w:rFonts w:ascii="Times New Roman" w:hAnsi="Times New Roman" w:cs="Times New Roman"/>
                <w:sz w:val="24"/>
                <w:szCs w:val="24"/>
              </w:rPr>
              <w:t>, Pasaules bankas eksperti, OECD eksperti</w:t>
            </w:r>
            <w:r>
              <w:rPr>
                <w:rFonts w:ascii="Times New Roman" w:hAnsi="Times New Roman" w:cs="Times New Roman"/>
                <w:sz w:val="24"/>
                <w:szCs w:val="24"/>
              </w:rPr>
              <w:t>, u.c.</w:t>
            </w:r>
            <w:r w:rsidR="00B545AF" w:rsidRPr="00427231">
              <w:rPr>
                <w:rFonts w:ascii="Times New Roman" w:hAnsi="Times New Roman" w:cs="Times New Roman"/>
                <w:sz w:val="24"/>
                <w:szCs w:val="24"/>
              </w:rPr>
              <w:t>)</w:t>
            </w:r>
            <w:r>
              <w:rPr>
                <w:rFonts w:ascii="Times New Roman" w:hAnsi="Times New Roman" w:cs="Times New Roman"/>
                <w:sz w:val="24"/>
                <w:szCs w:val="24"/>
              </w:rPr>
              <w:t>.</w:t>
            </w:r>
          </w:p>
          <w:p w:rsidR="004D4748" w:rsidRDefault="004D4748"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sidRPr="00427231">
              <w:rPr>
                <w:rFonts w:ascii="Times New Roman" w:hAnsi="Times New Roman" w:cs="Times New Roman"/>
                <w:sz w:val="24"/>
                <w:szCs w:val="24"/>
              </w:rPr>
              <w:t>Nacionālā līmeņa izglītīb</w:t>
            </w:r>
            <w:r>
              <w:rPr>
                <w:rFonts w:ascii="Times New Roman" w:hAnsi="Times New Roman" w:cs="Times New Roman"/>
                <w:sz w:val="24"/>
                <w:szCs w:val="24"/>
              </w:rPr>
              <w:t>as kvalitātes pētījumu veikšana.</w:t>
            </w:r>
          </w:p>
          <w:p w:rsidR="00B545AF" w:rsidRPr="00427231" w:rsidRDefault="004D4748"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Pr>
                <w:rFonts w:ascii="Times New Roman" w:hAnsi="Times New Roman" w:cs="Times New Roman"/>
                <w:sz w:val="24"/>
                <w:szCs w:val="24"/>
              </w:rPr>
              <w:t>N</w:t>
            </w:r>
            <w:r w:rsidR="00B545AF" w:rsidRPr="00427231">
              <w:rPr>
                <w:rFonts w:ascii="Times New Roman" w:hAnsi="Times New Roman" w:cs="Times New Roman"/>
                <w:sz w:val="24"/>
                <w:szCs w:val="24"/>
              </w:rPr>
              <w:t>acionālā līmeņa līgum</w:t>
            </w:r>
            <w:r>
              <w:rPr>
                <w:rFonts w:ascii="Times New Roman" w:hAnsi="Times New Roman" w:cs="Times New Roman"/>
                <w:sz w:val="24"/>
                <w:szCs w:val="24"/>
              </w:rPr>
              <w:t xml:space="preserve">u </w:t>
            </w:r>
            <w:r w:rsidR="00B545AF" w:rsidRPr="00427231">
              <w:rPr>
                <w:rFonts w:ascii="Times New Roman" w:hAnsi="Times New Roman" w:cs="Times New Roman"/>
                <w:sz w:val="24"/>
                <w:szCs w:val="24"/>
              </w:rPr>
              <w:t>pētījumu veikšana par izglītības kva</w:t>
            </w:r>
            <w:r>
              <w:rPr>
                <w:rFonts w:ascii="Times New Roman" w:hAnsi="Times New Roman" w:cs="Times New Roman"/>
                <w:sz w:val="24"/>
                <w:szCs w:val="24"/>
              </w:rPr>
              <w:t>litātes monitoringa jautājumiem.</w:t>
            </w:r>
          </w:p>
          <w:p w:rsidR="00B545AF" w:rsidRPr="00427231" w:rsidRDefault="004D4748"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Pr>
                <w:rFonts w:ascii="Times New Roman" w:hAnsi="Times New Roman" w:cs="Times New Roman"/>
                <w:sz w:val="24"/>
                <w:szCs w:val="24"/>
              </w:rPr>
              <w:t>M</w:t>
            </w:r>
            <w:r w:rsidR="00B545AF" w:rsidRPr="00427231">
              <w:rPr>
                <w:rFonts w:ascii="Times New Roman" w:hAnsi="Times New Roman" w:cs="Times New Roman"/>
                <w:sz w:val="24"/>
                <w:szCs w:val="24"/>
              </w:rPr>
              <w:t>ērķa sadarbības un komunikācijas pasākumu īstenošana mērķa grupām (pašvaldības, vecāki utt.)</w:t>
            </w:r>
            <w:r>
              <w:rPr>
                <w:rFonts w:ascii="Times New Roman" w:hAnsi="Times New Roman" w:cs="Times New Roman"/>
                <w:sz w:val="24"/>
                <w:szCs w:val="24"/>
              </w:rPr>
              <w:t>.</w:t>
            </w:r>
          </w:p>
          <w:p w:rsidR="00B545AF" w:rsidRPr="00427231" w:rsidRDefault="004D4748"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Pr>
                <w:rFonts w:ascii="Times New Roman" w:hAnsi="Times New Roman" w:cs="Times New Roman"/>
                <w:sz w:val="24"/>
                <w:szCs w:val="24"/>
              </w:rPr>
              <w:t>Tehniskā</w:t>
            </w:r>
            <w:r w:rsidR="00B545AF" w:rsidRPr="00427231">
              <w:rPr>
                <w:rFonts w:ascii="Times New Roman" w:hAnsi="Times New Roman" w:cs="Times New Roman"/>
                <w:sz w:val="24"/>
                <w:szCs w:val="24"/>
              </w:rPr>
              <w:t xml:space="preserve"> nodrošinājuma, ta</w:t>
            </w:r>
            <w:r>
              <w:rPr>
                <w:rFonts w:ascii="Times New Roman" w:hAnsi="Times New Roman" w:cs="Times New Roman"/>
                <w:sz w:val="24"/>
                <w:szCs w:val="24"/>
              </w:rPr>
              <w:t>jā</w:t>
            </w:r>
            <w:r w:rsidR="005D5761">
              <w:rPr>
                <w:rFonts w:ascii="Times New Roman" w:hAnsi="Times New Roman" w:cs="Times New Roman"/>
                <w:sz w:val="24"/>
                <w:szCs w:val="24"/>
              </w:rPr>
              <w:t xml:space="preserve"> skaitā</w:t>
            </w:r>
            <w:r>
              <w:rPr>
                <w:rFonts w:ascii="Times New Roman" w:hAnsi="Times New Roman" w:cs="Times New Roman"/>
                <w:sz w:val="24"/>
                <w:szCs w:val="24"/>
              </w:rPr>
              <w:t>,</w:t>
            </w:r>
            <w:r w:rsidR="00B545AF" w:rsidRPr="00427231">
              <w:rPr>
                <w:rFonts w:ascii="Times New Roman" w:hAnsi="Times New Roman" w:cs="Times New Roman"/>
                <w:sz w:val="24"/>
                <w:szCs w:val="24"/>
              </w:rPr>
              <w:t xml:space="preserve"> IT sistēmas u</w:t>
            </w:r>
            <w:r>
              <w:rPr>
                <w:rFonts w:ascii="Times New Roman" w:hAnsi="Times New Roman" w:cs="Times New Roman"/>
                <w:sz w:val="24"/>
                <w:szCs w:val="24"/>
              </w:rPr>
              <w:t>n analītisko rīku pilnveidošana.</w:t>
            </w:r>
          </w:p>
          <w:p w:rsidR="00B545AF" w:rsidRPr="00427231" w:rsidRDefault="004D4748"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Pr>
                <w:rFonts w:ascii="Times New Roman" w:hAnsi="Times New Roman" w:cs="Times New Roman"/>
                <w:sz w:val="24"/>
                <w:szCs w:val="24"/>
              </w:rPr>
              <w:t>I</w:t>
            </w:r>
            <w:r w:rsidR="00B545AF" w:rsidRPr="00427231">
              <w:rPr>
                <w:rFonts w:ascii="Times New Roman" w:hAnsi="Times New Roman" w:cs="Times New Roman"/>
                <w:sz w:val="24"/>
                <w:szCs w:val="24"/>
              </w:rPr>
              <w:t>zglītības kvalitātes monitoringā iesaistīto darbinieku un ekspertu analītiskās kapacitātes stiprināšana</w:t>
            </w:r>
            <w:r>
              <w:rPr>
                <w:rFonts w:ascii="Times New Roman" w:hAnsi="Times New Roman" w:cs="Times New Roman"/>
                <w:sz w:val="24"/>
                <w:szCs w:val="24"/>
              </w:rPr>
              <w:t>.</w:t>
            </w:r>
          </w:p>
          <w:p w:rsidR="00B545AF" w:rsidRPr="00427231" w:rsidRDefault="004D4748"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Pr>
                <w:rFonts w:ascii="Times New Roman" w:hAnsi="Times New Roman" w:cs="Times New Roman"/>
                <w:sz w:val="24"/>
                <w:szCs w:val="24"/>
              </w:rPr>
              <w:t>I</w:t>
            </w:r>
            <w:r w:rsidR="00B545AF" w:rsidRPr="00427231">
              <w:rPr>
                <w:rFonts w:ascii="Times New Roman" w:hAnsi="Times New Roman" w:cs="Times New Roman"/>
                <w:sz w:val="24"/>
                <w:szCs w:val="24"/>
              </w:rPr>
              <w:t>zglītības programmu licencēšanas un akreditācijas sistēmas digitalizācija un pilnveide atbilstoši izglītības kvalitātes monitoringa prasībām</w:t>
            </w:r>
            <w:r>
              <w:rPr>
                <w:rFonts w:ascii="Times New Roman" w:hAnsi="Times New Roman" w:cs="Times New Roman"/>
                <w:sz w:val="24"/>
                <w:szCs w:val="24"/>
              </w:rPr>
              <w:t>.</w:t>
            </w:r>
          </w:p>
          <w:p w:rsidR="007F3429" w:rsidRDefault="007F3429"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Pr>
                <w:rFonts w:ascii="Times New Roman" w:hAnsi="Times New Roman" w:cs="Times New Roman"/>
                <w:sz w:val="24"/>
                <w:szCs w:val="24"/>
              </w:rPr>
              <w:t>I</w:t>
            </w:r>
            <w:r w:rsidR="00B545AF" w:rsidRPr="00427231">
              <w:rPr>
                <w:rFonts w:ascii="Times New Roman" w:hAnsi="Times New Roman" w:cs="Times New Roman"/>
                <w:sz w:val="24"/>
                <w:szCs w:val="24"/>
              </w:rPr>
              <w:t>zglītojamā snieguma vērtēšanas instrumentu izveidošana un aprobācija</w:t>
            </w:r>
            <w:r>
              <w:rPr>
                <w:rFonts w:ascii="Times New Roman" w:hAnsi="Times New Roman" w:cs="Times New Roman"/>
                <w:sz w:val="24"/>
                <w:szCs w:val="24"/>
              </w:rPr>
              <w:t>.</w:t>
            </w:r>
          </w:p>
          <w:p w:rsidR="00B545AF" w:rsidRPr="00427231" w:rsidRDefault="007F3429"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792387">
              <w:rPr>
                <w:rFonts w:ascii="Times New Roman" w:hAnsi="Times New Roman" w:cs="Times New Roman"/>
                <w:sz w:val="24"/>
                <w:szCs w:val="24"/>
              </w:rPr>
              <w:t>P</w:t>
            </w:r>
            <w:r w:rsidR="00792387" w:rsidRPr="00427231">
              <w:rPr>
                <w:rFonts w:ascii="Times New Roman" w:hAnsi="Times New Roman" w:cs="Times New Roman"/>
                <w:sz w:val="24"/>
                <w:szCs w:val="24"/>
              </w:rPr>
              <w:t xml:space="preserve">rofesiju standartu </w:t>
            </w:r>
            <w:r w:rsidR="00792387">
              <w:rPr>
                <w:rFonts w:ascii="Times New Roman" w:hAnsi="Times New Roman" w:cs="Times New Roman"/>
                <w:sz w:val="24"/>
                <w:szCs w:val="24"/>
              </w:rPr>
              <w:t xml:space="preserve">izstrāde </w:t>
            </w:r>
            <w:r w:rsidR="00792387" w:rsidRPr="00427231">
              <w:rPr>
                <w:rFonts w:ascii="Times New Roman" w:hAnsi="Times New Roman" w:cs="Times New Roman"/>
                <w:sz w:val="24"/>
                <w:szCs w:val="24"/>
              </w:rPr>
              <w:t>bakalaura un maģistra līmen</w:t>
            </w:r>
            <w:r w:rsidR="00792387">
              <w:rPr>
                <w:rFonts w:ascii="Times New Roman" w:hAnsi="Times New Roman" w:cs="Times New Roman"/>
                <w:sz w:val="24"/>
                <w:szCs w:val="24"/>
              </w:rPr>
              <w:t>im atbilstošajām profesijām</w:t>
            </w:r>
            <w:r w:rsidR="00792387" w:rsidRPr="00427231">
              <w:rPr>
                <w:rFonts w:ascii="Times New Roman" w:hAnsi="Times New Roman" w:cs="Times New Roman"/>
                <w:sz w:val="24"/>
                <w:szCs w:val="24"/>
              </w:rPr>
              <w:t xml:space="preserve"> atbilstoši nozaru attīstības vajadzībām</w:t>
            </w:r>
            <w:r w:rsidR="00792387">
              <w:rPr>
                <w:rFonts w:ascii="Times New Roman" w:hAnsi="Times New Roman" w:cs="Times New Roman"/>
                <w:sz w:val="24"/>
                <w:szCs w:val="24"/>
              </w:rPr>
              <w:t xml:space="preserve"> un nozaru kvalifikāciju struktūrā noteiktajam</w:t>
            </w:r>
            <w:r>
              <w:rPr>
                <w:rFonts w:ascii="Times New Roman" w:hAnsi="Times New Roman" w:cs="Times New Roman"/>
                <w:sz w:val="24"/>
                <w:szCs w:val="24"/>
              </w:rPr>
              <w:t>.</w:t>
            </w:r>
          </w:p>
          <w:p w:rsidR="00B545AF" w:rsidRPr="00427231" w:rsidRDefault="007F3429"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Pr>
                <w:rFonts w:ascii="Times New Roman" w:hAnsi="Times New Roman" w:cs="Times New Roman"/>
                <w:sz w:val="24"/>
                <w:szCs w:val="24"/>
              </w:rPr>
              <w:t>A</w:t>
            </w:r>
            <w:r w:rsidR="00B545AF" w:rsidRPr="00427231">
              <w:rPr>
                <w:rFonts w:ascii="Times New Roman" w:hAnsi="Times New Roman" w:cs="Times New Roman"/>
                <w:sz w:val="24"/>
                <w:szCs w:val="24"/>
              </w:rPr>
              <w:t>ugstākās izglītības institūciju attīstības stratēģiju institucionalizācija, stratēģiju ieviešanas monitoringa iekļaušana monitoringa sistēmā</w:t>
            </w:r>
            <w:r>
              <w:rPr>
                <w:rFonts w:ascii="Times New Roman" w:hAnsi="Times New Roman" w:cs="Times New Roman"/>
                <w:sz w:val="24"/>
                <w:szCs w:val="24"/>
              </w:rPr>
              <w:t>.</w:t>
            </w:r>
          </w:p>
          <w:p w:rsidR="00B545AF" w:rsidRPr="00427231" w:rsidRDefault="007F3429" w:rsidP="00B545AF">
            <w:pPr>
              <w:jc w:val="both"/>
              <w:rPr>
                <w:rFonts w:ascii="Times New Roman" w:hAnsi="Times New Roman" w:cs="Times New Roman"/>
                <w:sz w:val="24"/>
                <w:szCs w:val="24"/>
              </w:rPr>
            </w:pPr>
            <w:r>
              <w:rPr>
                <w:rFonts w:ascii="Times New Roman" w:hAnsi="Times New Roman" w:cs="Times New Roman"/>
                <w:sz w:val="24"/>
                <w:szCs w:val="24"/>
              </w:rPr>
              <w:t xml:space="preserve">- </w:t>
            </w:r>
            <w:r w:rsidR="005D5761" w:rsidRPr="00427231">
              <w:rPr>
                <w:rFonts w:ascii="Times New Roman" w:hAnsi="Times New Roman" w:cs="Times New Roman"/>
                <w:sz w:val="24"/>
                <w:szCs w:val="24"/>
              </w:rPr>
              <w:t xml:space="preserve">Augstākās izglītības </w:t>
            </w:r>
            <w:r w:rsidR="005D5761">
              <w:rPr>
                <w:rFonts w:ascii="Times New Roman" w:hAnsi="Times New Roman" w:cs="Times New Roman"/>
                <w:sz w:val="24"/>
                <w:szCs w:val="24"/>
              </w:rPr>
              <w:t xml:space="preserve">kvalitātes </w:t>
            </w:r>
            <w:r w:rsidR="005D5761" w:rsidRPr="00427231">
              <w:rPr>
                <w:rFonts w:ascii="Times New Roman" w:hAnsi="Times New Roman" w:cs="Times New Roman"/>
                <w:sz w:val="24"/>
                <w:szCs w:val="24"/>
              </w:rPr>
              <w:t>monitoringa līgumpētījumi</w:t>
            </w:r>
            <w:r>
              <w:rPr>
                <w:rFonts w:ascii="Times New Roman" w:hAnsi="Times New Roman" w:cs="Times New Roman"/>
                <w:sz w:val="24"/>
                <w:szCs w:val="24"/>
              </w:rPr>
              <w:t>.</w:t>
            </w:r>
            <w:r w:rsidR="00B545AF" w:rsidRPr="00427231">
              <w:rPr>
                <w:rFonts w:ascii="Times New Roman" w:hAnsi="Times New Roman" w:cs="Times New Roman"/>
                <w:sz w:val="24"/>
                <w:szCs w:val="24"/>
              </w:rPr>
              <w:t xml:space="preserve"> </w:t>
            </w:r>
          </w:p>
          <w:p w:rsidR="007F3429" w:rsidRDefault="007F3429" w:rsidP="007F3429">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sidRPr="00427231">
              <w:rPr>
                <w:rFonts w:ascii="Times New Roman" w:hAnsi="Times New Roman" w:cs="Times New Roman"/>
                <w:sz w:val="24"/>
                <w:szCs w:val="24"/>
              </w:rPr>
              <w:t>Granti monitoringa pētījumu rezultātos balstītu s</w:t>
            </w:r>
            <w:r>
              <w:rPr>
                <w:rFonts w:ascii="Times New Roman" w:hAnsi="Times New Roman" w:cs="Times New Roman"/>
                <w:sz w:val="24"/>
                <w:szCs w:val="24"/>
              </w:rPr>
              <w:t>istēmisku risinājumu ieviešanai.</w:t>
            </w:r>
          </w:p>
          <w:p w:rsidR="00B545AF" w:rsidRDefault="007F3429" w:rsidP="007F3429">
            <w:pPr>
              <w:jc w:val="both"/>
              <w:rPr>
                <w:rFonts w:ascii="Times New Roman" w:hAnsi="Times New Roman" w:cs="Times New Roman"/>
                <w:sz w:val="24"/>
                <w:szCs w:val="24"/>
              </w:rPr>
            </w:pPr>
            <w:r>
              <w:rPr>
                <w:rFonts w:ascii="Times New Roman" w:hAnsi="Times New Roman" w:cs="Times New Roman"/>
                <w:sz w:val="24"/>
                <w:szCs w:val="24"/>
              </w:rPr>
              <w:t xml:space="preserve">- </w:t>
            </w:r>
            <w:r w:rsidR="00B545AF" w:rsidRPr="00427231">
              <w:rPr>
                <w:rFonts w:ascii="Times New Roman" w:hAnsi="Times New Roman" w:cs="Times New Roman"/>
                <w:sz w:val="24"/>
                <w:szCs w:val="24"/>
              </w:rPr>
              <w:t>Profesionālās izglītības absolventu monitoringa sistēmas ieviešana par absolventu nodarbinātību un izglītības turpināšanu</w:t>
            </w:r>
            <w:r>
              <w:rPr>
                <w:rFonts w:ascii="Times New Roman" w:hAnsi="Times New Roman" w:cs="Times New Roman"/>
                <w:sz w:val="24"/>
                <w:szCs w:val="24"/>
              </w:rPr>
              <w:t>.</w:t>
            </w:r>
          </w:p>
          <w:p w:rsidR="007F3429" w:rsidRPr="007F3429" w:rsidRDefault="007F3429" w:rsidP="007F3429">
            <w:pPr>
              <w:jc w:val="both"/>
              <w:rPr>
                <w:rFonts w:ascii="Times New Roman" w:hAnsi="Times New Roman" w:cs="Times New Roman"/>
                <w:sz w:val="24"/>
                <w:szCs w:val="24"/>
              </w:rPr>
            </w:pPr>
          </w:p>
        </w:tc>
      </w:tr>
    </w:tbl>
    <w:p w:rsidR="00F874B5" w:rsidRDefault="00F874B5" w:rsidP="0091128E">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IAP 2014.–2020.gadam īstenošana tiks turpināta līdz 2020.gadam, bet, ievērojot ES fondu finansējuma apgūšanu, dažas aktivitātes turpināsies līdz ES fondu 2014. – 2020.gada plānošanas perioda ieviešanas procesa beigām, t.i., līdz 2023.gadam.</w:t>
      </w:r>
    </w:p>
    <w:p w:rsidR="00D674ED" w:rsidRDefault="0091128E" w:rsidP="0091128E">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Ievērojot Latvijas iestāšanos OECD, turpmāk ir plānots izmantot OECD ekspertīzi, analītisko kapacitāti un pieredzi, izstrādājot izglītības attīstības stratēģiju nākamajam plānošanas periodam. </w:t>
      </w:r>
    </w:p>
    <w:p w:rsidR="0091128E" w:rsidRDefault="0091128E" w:rsidP="0091128E">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turpmākās izglītības un prasmju stratēģijas sagatavošanu, kas balstīsies starptautiski salīdzinošā analīzē un būs vērsta uz augstāku produktivitāti un ražotspēju, un paredzēs </w:t>
      </w:r>
      <w:r w:rsidRPr="00272F6E">
        <w:rPr>
          <w:rFonts w:ascii="Times New Roman" w:eastAsia="Times New Roman" w:hAnsi="Times New Roman" w:cs="Times New Roman"/>
          <w:sz w:val="24"/>
          <w:szCs w:val="24"/>
          <w:lang w:eastAsia="lv-LV"/>
        </w:rPr>
        <w:t>stratēģisku pieeju prasmju piedāvājuma un pieprasījuma līdzsvarošanai un strukturēti risinās ar prasmju nepietiekamību saistītos Latvijas ekonomiskās attīstības izaicinājumus</w:t>
      </w:r>
      <w:r>
        <w:rPr>
          <w:rFonts w:ascii="Times New Roman" w:eastAsia="Times New Roman" w:hAnsi="Times New Roman" w:cs="Times New Roman"/>
          <w:sz w:val="24"/>
          <w:szCs w:val="24"/>
          <w:lang w:eastAsia="lv-LV"/>
        </w:rPr>
        <w:t>, MK 2018.gada 24.aprīlī tika atbalstīts i</w:t>
      </w:r>
      <w:r w:rsidRPr="00272F6E">
        <w:rPr>
          <w:rFonts w:ascii="Times New Roman" w:eastAsia="Times New Roman" w:hAnsi="Times New Roman" w:cs="Times New Roman"/>
          <w:sz w:val="24"/>
          <w:szCs w:val="24"/>
          <w:lang w:eastAsia="lv-LV"/>
        </w:rPr>
        <w:t>nformatīv</w:t>
      </w:r>
      <w:r>
        <w:rPr>
          <w:rFonts w:ascii="Times New Roman" w:eastAsia="Times New Roman" w:hAnsi="Times New Roman" w:cs="Times New Roman"/>
          <w:sz w:val="24"/>
          <w:szCs w:val="24"/>
          <w:lang w:eastAsia="lv-LV"/>
        </w:rPr>
        <w:t>ais</w:t>
      </w:r>
      <w:r w:rsidRPr="00272F6E">
        <w:rPr>
          <w:rFonts w:ascii="Times New Roman" w:eastAsia="Times New Roman" w:hAnsi="Times New Roman" w:cs="Times New Roman"/>
          <w:sz w:val="24"/>
          <w:szCs w:val="24"/>
          <w:lang w:eastAsia="lv-LV"/>
        </w:rPr>
        <w:t xml:space="preserve"> ziņojum</w:t>
      </w:r>
      <w:r>
        <w:rPr>
          <w:rFonts w:ascii="Times New Roman" w:eastAsia="Times New Roman" w:hAnsi="Times New Roman" w:cs="Times New Roman"/>
          <w:sz w:val="24"/>
          <w:szCs w:val="24"/>
          <w:lang w:eastAsia="lv-LV"/>
        </w:rPr>
        <w:t>s</w:t>
      </w:r>
      <w:r w:rsidRPr="00272F6E">
        <w:rPr>
          <w:rFonts w:ascii="Times New Roman" w:eastAsia="Times New Roman" w:hAnsi="Times New Roman" w:cs="Times New Roman"/>
          <w:sz w:val="24"/>
          <w:szCs w:val="24"/>
          <w:lang w:eastAsia="lv-LV"/>
        </w:rPr>
        <w:t xml:space="preserve"> "Par Eiropas Savienības programmas Erasmus+ līdzfinansēta sadarbības projekta ar Ekonomiskās sadarbības un attīstības organizāciju "Latvijas izglītības un prasmju stratēģijas attīstība" īstenošanu"</w:t>
      </w:r>
      <w:r>
        <w:rPr>
          <w:rFonts w:ascii="Times New Roman" w:eastAsia="Times New Roman" w:hAnsi="Times New Roman" w:cs="Times New Roman"/>
          <w:sz w:val="24"/>
          <w:szCs w:val="24"/>
          <w:lang w:eastAsia="lv-LV"/>
        </w:rPr>
        <w:t>.</w:t>
      </w:r>
    </w:p>
    <w:p w:rsidR="0091128E" w:rsidRDefault="0091128E" w:rsidP="0091128E">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šajā ziņojumā minētajam, Latvija nodrošinās sadarbību ar OECD ar mērķi līdz</w:t>
      </w:r>
      <w:r w:rsidRPr="007972B4">
        <w:rPr>
          <w:rFonts w:ascii="Times New Roman" w:eastAsia="Times New Roman" w:hAnsi="Times New Roman" w:cs="Times New Roman"/>
          <w:sz w:val="24"/>
          <w:szCs w:val="24"/>
          <w:lang w:eastAsia="lv-LV"/>
        </w:rPr>
        <w:t xml:space="preserve"> 2020.gada beigām izstrādāt un </w:t>
      </w:r>
      <w:r>
        <w:rPr>
          <w:rFonts w:ascii="Times New Roman" w:eastAsia="Times New Roman" w:hAnsi="Times New Roman" w:cs="Times New Roman"/>
          <w:sz w:val="24"/>
          <w:szCs w:val="24"/>
          <w:lang w:eastAsia="lv-LV"/>
        </w:rPr>
        <w:t>apstiprināt</w:t>
      </w:r>
      <w:r w:rsidRPr="007972B4">
        <w:rPr>
          <w:rFonts w:ascii="Times New Roman" w:eastAsia="Times New Roman" w:hAnsi="Times New Roman" w:cs="Times New Roman"/>
          <w:sz w:val="24"/>
          <w:szCs w:val="24"/>
          <w:lang w:eastAsia="lv-LV"/>
        </w:rPr>
        <w:t xml:space="preserve"> Izglītības un prasmju attīstības pamatnostādnes 2021.-2027.gadam</w:t>
      </w:r>
      <w:r>
        <w:rPr>
          <w:rFonts w:ascii="Times New Roman" w:eastAsia="Times New Roman" w:hAnsi="Times New Roman" w:cs="Times New Roman"/>
          <w:sz w:val="24"/>
          <w:szCs w:val="24"/>
          <w:lang w:eastAsia="lv-LV"/>
        </w:rPr>
        <w:t xml:space="preserve">. </w:t>
      </w:r>
      <w:r w:rsidRPr="007972B4">
        <w:rPr>
          <w:rFonts w:ascii="Times New Roman" w:eastAsia="Times New Roman" w:hAnsi="Times New Roman" w:cs="Times New Roman"/>
          <w:sz w:val="24"/>
          <w:szCs w:val="24"/>
          <w:lang w:eastAsia="lv-LV"/>
        </w:rPr>
        <w:t>Izglītības un prasmju attīstības pamatnostādnes 2021.-2027.gadam</w:t>
      </w:r>
      <w:r>
        <w:rPr>
          <w:rFonts w:ascii="Times New Roman" w:eastAsia="Times New Roman" w:hAnsi="Times New Roman" w:cs="Times New Roman"/>
          <w:sz w:val="24"/>
          <w:szCs w:val="24"/>
          <w:lang w:eastAsia="lv-LV"/>
        </w:rPr>
        <w:t xml:space="preserve"> iekļaus rīcībpolitikas instrument</w:t>
      </w:r>
      <w:r w:rsidR="00764902">
        <w:rPr>
          <w:rFonts w:ascii="Times New Roman" w:eastAsia="Times New Roman" w:hAnsi="Times New Roman" w:cs="Times New Roman"/>
          <w:sz w:val="24"/>
          <w:szCs w:val="24"/>
          <w:lang w:eastAsia="lv-LV"/>
        </w:rPr>
        <w:t>us</w:t>
      </w:r>
      <w:r>
        <w:rPr>
          <w:rFonts w:ascii="Times New Roman" w:eastAsia="Times New Roman" w:hAnsi="Times New Roman" w:cs="Times New Roman"/>
          <w:sz w:val="24"/>
          <w:szCs w:val="24"/>
          <w:lang w:eastAsia="lv-LV"/>
        </w:rPr>
        <w:t>, sasniedzam</w:t>
      </w:r>
      <w:r w:rsidR="00764902">
        <w:rPr>
          <w:rFonts w:ascii="Times New Roman" w:eastAsia="Times New Roman" w:hAnsi="Times New Roman" w:cs="Times New Roman"/>
          <w:sz w:val="24"/>
          <w:szCs w:val="24"/>
          <w:lang w:eastAsia="lv-LV"/>
        </w:rPr>
        <w:t>os</w:t>
      </w:r>
      <w:r>
        <w:rPr>
          <w:rFonts w:ascii="Times New Roman" w:eastAsia="Times New Roman" w:hAnsi="Times New Roman" w:cs="Times New Roman"/>
          <w:sz w:val="24"/>
          <w:szCs w:val="24"/>
          <w:lang w:eastAsia="lv-LV"/>
        </w:rPr>
        <w:t xml:space="preserve"> rezultāt</w:t>
      </w:r>
      <w:r w:rsidR="00764902">
        <w:rPr>
          <w:rFonts w:ascii="Times New Roman" w:eastAsia="Times New Roman" w:hAnsi="Times New Roman" w:cs="Times New Roman"/>
          <w:sz w:val="24"/>
          <w:szCs w:val="24"/>
          <w:lang w:eastAsia="lv-LV"/>
        </w:rPr>
        <w:t>us</w:t>
      </w:r>
      <w:r>
        <w:rPr>
          <w:rFonts w:ascii="Times New Roman" w:eastAsia="Times New Roman" w:hAnsi="Times New Roman" w:cs="Times New Roman"/>
          <w:sz w:val="24"/>
          <w:szCs w:val="24"/>
          <w:lang w:eastAsia="lv-LV"/>
        </w:rPr>
        <w:t xml:space="preserve"> un rādītāj</w:t>
      </w:r>
      <w:r w:rsidR="00764902">
        <w:rPr>
          <w:rFonts w:ascii="Times New Roman" w:eastAsia="Times New Roman" w:hAnsi="Times New Roman" w:cs="Times New Roman"/>
          <w:sz w:val="24"/>
          <w:szCs w:val="24"/>
          <w:lang w:eastAsia="lv-LV"/>
        </w:rPr>
        <w:t>us</w:t>
      </w:r>
      <w:r>
        <w:rPr>
          <w:rFonts w:ascii="Times New Roman" w:eastAsia="Times New Roman" w:hAnsi="Times New Roman" w:cs="Times New Roman"/>
          <w:sz w:val="24"/>
          <w:szCs w:val="24"/>
          <w:lang w:eastAsia="lv-LV"/>
        </w:rPr>
        <w:t xml:space="preserve"> </w:t>
      </w:r>
      <w:r w:rsidRPr="007972B4">
        <w:rPr>
          <w:rFonts w:ascii="Times New Roman" w:eastAsia="Times New Roman" w:hAnsi="Times New Roman" w:cs="Times New Roman"/>
          <w:sz w:val="24"/>
          <w:szCs w:val="24"/>
          <w:lang w:eastAsia="lv-LV"/>
        </w:rPr>
        <w:t>izglītības un prasmju rezultātu salāgošanai ar darba tirgu, ņemot vērā Latvijas vidēja termiņa ekonomiskās, demogrāfiskās un sociālās tendences</w:t>
      </w:r>
      <w:r>
        <w:rPr>
          <w:rFonts w:ascii="Times New Roman" w:eastAsia="Times New Roman" w:hAnsi="Times New Roman" w:cs="Times New Roman"/>
          <w:sz w:val="24"/>
          <w:szCs w:val="24"/>
          <w:lang w:eastAsia="lv-LV"/>
        </w:rPr>
        <w:t>.</w:t>
      </w:r>
    </w:p>
    <w:p w:rsidR="00EE58C1" w:rsidRDefault="00EE58C1" w:rsidP="0091128E">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Ievērojot 2018.gada 13.septembra </w:t>
      </w:r>
      <w:r w:rsidR="00BA3FE5">
        <w:rPr>
          <w:rFonts w:ascii="Times New Roman" w:eastAsia="Times New Roman" w:hAnsi="Times New Roman" w:cs="Times New Roman"/>
          <w:sz w:val="24"/>
          <w:szCs w:val="24"/>
          <w:lang w:eastAsia="lv-LV"/>
        </w:rPr>
        <w:t>projekta “</w:t>
      </w:r>
      <w:r w:rsidR="00BA3FE5" w:rsidRPr="00EE58C1">
        <w:rPr>
          <w:rFonts w:ascii="Times New Roman" w:eastAsia="Times New Roman" w:hAnsi="Times New Roman" w:cs="Times New Roman"/>
          <w:sz w:val="24"/>
          <w:szCs w:val="24"/>
          <w:lang w:eastAsia="lv-LV"/>
        </w:rPr>
        <w:t>Latvijas izglītības un prasmju stratēģijas attīstība”</w:t>
      </w:r>
      <w:r w:rsidR="00BA3FE5">
        <w:rPr>
          <w:rFonts w:ascii="Times New Roman" w:eastAsia="Times New Roman" w:hAnsi="Times New Roman" w:cs="Times New Roman"/>
          <w:sz w:val="24"/>
          <w:szCs w:val="24"/>
          <w:lang w:eastAsia="lv-LV"/>
        </w:rPr>
        <w:t xml:space="preserve"> atklāšanas </w:t>
      </w:r>
      <w:r>
        <w:rPr>
          <w:rFonts w:ascii="Times New Roman" w:eastAsia="Times New Roman" w:hAnsi="Times New Roman" w:cs="Times New Roman"/>
          <w:sz w:val="24"/>
          <w:szCs w:val="24"/>
          <w:lang w:eastAsia="lv-LV"/>
        </w:rPr>
        <w:t>augstā līmeņa darba semināra</w:t>
      </w:r>
      <w:r w:rsidR="00331C37">
        <w:rPr>
          <w:rFonts w:ascii="Times New Roman" w:eastAsia="Times New Roman" w:hAnsi="Times New Roman" w:cs="Times New Roman"/>
          <w:sz w:val="24"/>
          <w:szCs w:val="24"/>
          <w:lang w:eastAsia="lv-LV"/>
        </w:rPr>
        <w:t xml:space="preserve"> ietvaros</w:t>
      </w:r>
      <w:r>
        <w:rPr>
          <w:rFonts w:ascii="Times New Roman" w:eastAsia="Times New Roman" w:hAnsi="Times New Roman" w:cs="Times New Roman"/>
          <w:sz w:val="24"/>
          <w:szCs w:val="24"/>
          <w:lang w:eastAsia="lv-LV"/>
        </w:rPr>
        <w:t xml:space="preserve"> </w:t>
      </w:r>
      <w:r w:rsidR="00BA3FE5">
        <w:rPr>
          <w:rFonts w:ascii="Times New Roman" w:eastAsia="Times New Roman" w:hAnsi="Times New Roman" w:cs="Times New Roman"/>
          <w:sz w:val="24"/>
          <w:szCs w:val="24"/>
          <w:lang w:eastAsia="lv-LV"/>
        </w:rPr>
        <w:t>nolemto, turpmāk</w:t>
      </w:r>
      <w:r w:rsidR="00331C37">
        <w:rPr>
          <w:rFonts w:ascii="Times New Roman" w:eastAsia="Times New Roman" w:hAnsi="Times New Roman" w:cs="Times New Roman"/>
          <w:sz w:val="24"/>
          <w:szCs w:val="24"/>
          <w:lang w:eastAsia="lv-LV"/>
        </w:rPr>
        <w:t xml:space="preserve"> attīstība tiks plānota</w:t>
      </w:r>
      <w:r w:rsidR="00BA3FE5">
        <w:rPr>
          <w:rFonts w:ascii="Times New Roman" w:eastAsia="Times New Roman" w:hAnsi="Times New Roman" w:cs="Times New Roman"/>
          <w:sz w:val="24"/>
          <w:szCs w:val="24"/>
          <w:lang w:eastAsia="lv-LV"/>
        </w:rPr>
        <w:t xml:space="preserve"> šajās prioritārajās jomās:</w:t>
      </w:r>
    </w:p>
    <w:p w:rsidR="00EE58C1" w:rsidRPr="00EE58C1" w:rsidRDefault="00331C37" w:rsidP="00BA3FE5">
      <w:pPr>
        <w:numPr>
          <w:ilvl w:val="0"/>
          <w:numId w:val="18"/>
        </w:numPr>
        <w:spacing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EE58C1" w:rsidRPr="00EE58C1">
        <w:rPr>
          <w:rFonts w:ascii="Times New Roman" w:eastAsia="Times New Roman" w:hAnsi="Times New Roman" w:cs="Times New Roman"/>
          <w:sz w:val="24"/>
          <w:szCs w:val="24"/>
          <w:lang w:eastAsia="lv-LV"/>
        </w:rPr>
        <w:t>zglītojamo mācību rezultātu uzlabošana</w:t>
      </w:r>
      <w:r>
        <w:rPr>
          <w:rFonts w:ascii="Times New Roman" w:eastAsia="Times New Roman" w:hAnsi="Times New Roman" w:cs="Times New Roman"/>
          <w:sz w:val="24"/>
          <w:szCs w:val="24"/>
          <w:lang w:eastAsia="lv-LV"/>
        </w:rPr>
        <w:t>;</w:t>
      </w:r>
    </w:p>
    <w:p w:rsidR="00EE58C1" w:rsidRPr="00EE58C1" w:rsidRDefault="00331C37" w:rsidP="00EE58C1">
      <w:pPr>
        <w:numPr>
          <w:ilvl w:val="0"/>
          <w:numId w:val="18"/>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EE58C1" w:rsidRPr="00EE58C1">
        <w:rPr>
          <w:rFonts w:ascii="Times New Roman" w:eastAsia="Times New Roman" w:hAnsi="Times New Roman" w:cs="Times New Roman"/>
          <w:sz w:val="24"/>
          <w:szCs w:val="24"/>
          <w:lang w:eastAsia="lv-LV"/>
        </w:rPr>
        <w:t>ūžizglītības kultūras veicināšana</w:t>
      </w:r>
      <w:r>
        <w:rPr>
          <w:rFonts w:ascii="Times New Roman" w:eastAsia="Times New Roman" w:hAnsi="Times New Roman" w:cs="Times New Roman"/>
          <w:sz w:val="24"/>
          <w:szCs w:val="24"/>
          <w:lang w:eastAsia="lv-LV"/>
        </w:rPr>
        <w:t>;</w:t>
      </w:r>
    </w:p>
    <w:p w:rsidR="00EE58C1" w:rsidRPr="00EE58C1" w:rsidRDefault="00331C37" w:rsidP="00EE58C1">
      <w:pPr>
        <w:numPr>
          <w:ilvl w:val="0"/>
          <w:numId w:val="18"/>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EE58C1" w:rsidRPr="00EE58C1">
        <w:rPr>
          <w:rFonts w:ascii="Times New Roman" w:eastAsia="Times New Roman" w:hAnsi="Times New Roman" w:cs="Times New Roman"/>
          <w:sz w:val="24"/>
          <w:szCs w:val="24"/>
          <w:lang w:eastAsia="lv-LV"/>
        </w:rPr>
        <w:t>rasmju atbilstības uzlabošana darba tirgū</w:t>
      </w:r>
      <w:r>
        <w:rPr>
          <w:rFonts w:ascii="Times New Roman" w:eastAsia="Times New Roman" w:hAnsi="Times New Roman" w:cs="Times New Roman"/>
          <w:sz w:val="24"/>
          <w:szCs w:val="24"/>
          <w:lang w:eastAsia="lv-LV"/>
        </w:rPr>
        <w:t>;</w:t>
      </w:r>
    </w:p>
    <w:p w:rsidR="00EE58C1" w:rsidRPr="00E44A57" w:rsidRDefault="00331C37" w:rsidP="00E44A57">
      <w:pPr>
        <w:numPr>
          <w:ilvl w:val="0"/>
          <w:numId w:val="18"/>
        </w:numPr>
        <w:spacing w:before="100" w:beforeAutospacing="1"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EE58C1" w:rsidRPr="00EE58C1">
        <w:rPr>
          <w:rFonts w:ascii="Times New Roman" w:eastAsia="Times New Roman" w:hAnsi="Times New Roman" w:cs="Times New Roman"/>
          <w:sz w:val="24"/>
          <w:szCs w:val="24"/>
          <w:lang w:eastAsia="lv-LV"/>
        </w:rPr>
        <w:t>rasmju sistēmas pārvaldības stiprināšana</w:t>
      </w:r>
      <w:r>
        <w:rPr>
          <w:rFonts w:ascii="Times New Roman" w:eastAsia="Times New Roman" w:hAnsi="Times New Roman" w:cs="Times New Roman"/>
          <w:sz w:val="24"/>
          <w:szCs w:val="24"/>
          <w:lang w:eastAsia="lv-LV"/>
        </w:rPr>
        <w:t>.</w:t>
      </w:r>
    </w:p>
    <w:p w:rsidR="0091128E" w:rsidRDefault="0091128E" w:rsidP="00364830">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Izmantojot nacionālos un starptautiskos datus, pētījumus un analīzi, tajā skaitā, IAP 2014.–2020.gadam ieviešanas procesa novērtējumu, kā arī konsultācijas ar izglītības jomā iesaistītajām pusēm, tiks veikts Latvijas prasmju sistēmas novērtējums un sagatavota</w:t>
      </w:r>
      <w:r w:rsidRPr="00A17216">
        <w:rPr>
          <w:rFonts w:ascii="Times New Roman" w:eastAsia="Times New Roman" w:hAnsi="Times New Roman" w:cs="Times New Roman"/>
          <w:sz w:val="24"/>
          <w:szCs w:val="24"/>
          <w:lang w:eastAsia="lv-LV"/>
        </w:rPr>
        <w:t xml:space="preserve"> Izglītības un prasmju attīstības pamatnostādņu 2021.-2027.gadam koncepcija</w:t>
      </w:r>
      <w:r>
        <w:rPr>
          <w:rFonts w:ascii="Times New Roman" w:eastAsia="Times New Roman" w:hAnsi="Times New Roman" w:cs="Times New Roman"/>
          <w:sz w:val="24"/>
          <w:szCs w:val="24"/>
          <w:lang w:eastAsia="lv-LV"/>
        </w:rPr>
        <w:t xml:space="preserve">, kā arī nodrošināta </w:t>
      </w:r>
      <w:r w:rsidRPr="007972B4">
        <w:rPr>
          <w:rFonts w:ascii="Times New Roman" w:eastAsia="Times New Roman" w:hAnsi="Times New Roman" w:cs="Times New Roman"/>
          <w:sz w:val="24"/>
          <w:szCs w:val="24"/>
          <w:lang w:eastAsia="lv-LV"/>
        </w:rPr>
        <w:t>Izglītības un prasmju attīstības pamatnostād</w:t>
      </w:r>
      <w:r>
        <w:rPr>
          <w:rFonts w:ascii="Times New Roman" w:eastAsia="Times New Roman" w:hAnsi="Times New Roman" w:cs="Times New Roman"/>
          <w:sz w:val="24"/>
          <w:szCs w:val="24"/>
          <w:lang w:eastAsia="lv-LV"/>
        </w:rPr>
        <w:t>ņu</w:t>
      </w:r>
      <w:r w:rsidRPr="007972B4">
        <w:rPr>
          <w:rFonts w:ascii="Times New Roman" w:eastAsia="Times New Roman" w:hAnsi="Times New Roman" w:cs="Times New Roman"/>
          <w:sz w:val="24"/>
          <w:szCs w:val="24"/>
          <w:lang w:eastAsia="lv-LV"/>
        </w:rPr>
        <w:t xml:space="preserve"> 2021.-2027.gadam</w:t>
      </w:r>
      <w:r>
        <w:rPr>
          <w:rFonts w:ascii="Times New Roman" w:eastAsia="Times New Roman" w:hAnsi="Times New Roman" w:cs="Times New Roman"/>
          <w:sz w:val="24"/>
          <w:szCs w:val="24"/>
          <w:lang w:eastAsia="lv-LV"/>
        </w:rPr>
        <w:t xml:space="preserve"> izstrāde un iesniegšana MK.</w:t>
      </w:r>
    </w:p>
    <w:p w:rsidR="0091128E" w:rsidRDefault="0091128E" w:rsidP="0091128E">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Šī pieeja palīdzēs gan nodrošināt IAP 2014.–2020.gadam ietvaros veikto reformu ilgtspēju, gan visaptverošu </w:t>
      </w:r>
      <w:r w:rsidR="00764902">
        <w:rPr>
          <w:rFonts w:ascii="Times New Roman" w:eastAsia="Times New Roman" w:hAnsi="Times New Roman" w:cs="Times New Roman"/>
          <w:sz w:val="24"/>
          <w:szCs w:val="24"/>
          <w:lang w:eastAsia="lv-LV"/>
        </w:rPr>
        <w:t xml:space="preserve">situācijas analīzi un </w:t>
      </w:r>
      <w:r>
        <w:rPr>
          <w:rFonts w:ascii="Times New Roman" w:eastAsia="Times New Roman" w:hAnsi="Times New Roman" w:cs="Times New Roman"/>
          <w:sz w:val="24"/>
          <w:szCs w:val="24"/>
          <w:lang w:eastAsia="lv-LV"/>
        </w:rPr>
        <w:t>turpmākas rīcībpolitikas plānošanu, kas veicinās izglītības un prasmj</w:t>
      </w:r>
      <w:r w:rsidR="00331C37">
        <w:rPr>
          <w:rFonts w:ascii="Times New Roman" w:eastAsia="Times New Roman" w:hAnsi="Times New Roman" w:cs="Times New Roman"/>
          <w:sz w:val="24"/>
          <w:szCs w:val="24"/>
          <w:lang w:eastAsia="lv-LV"/>
        </w:rPr>
        <w:t>u attīstību personīgai labklājībai</w:t>
      </w:r>
      <w:r>
        <w:rPr>
          <w:rFonts w:ascii="Times New Roman" w:eastAsia="Times New Roman" w:hAnsi="Times New Roman" w:cs="Times New Roman"/>
          <w:sz w:val="24"/>
          <w:szCs w:val="24"/>
          <w:lang w:eastAsia="lv-LV"/>
        </w:rPr>
        <w:t xml:space="preserve"> un </w:t>
      </w:r>
      <w:r w:rsidRPr="009F1602">
        <w:rPr>
          <w:rFonts w:ascii="Times New Roman" w:eastAsia="Times New Roman" w:hAnsi="Times New Roman" w:cs="Times New Roman"/>
          <w:sz w:val="24"/>
          <w:szCs w:val="24"/>
          <w:lang w:eastAsia="lv-LV"/>
        </w:rPr>
        <w:t xml:space="preserve">valsts </w:t>
      </w:r>
      <w:r w:rsidR="00331C37">
        <w:rPr>
          <w:rFonts w:ascii="Times New Roman" w:eastAsia="Times New Roman" w:hAnsi="Times New Roman" w:cs="Times New Roman"/>
          <w:sz w:val="24"/>
          <w:szCs w:val="24"/>
          <w:lang w:eastAsia="lv-LV"/>
        </w:rPr>
        <w:t>izaugsmei</w:t>
      </w:r>
      <w:r w:rsidRPr="009F1602">
        <w:rPr>
          <w:rFonts w:ascii="Times New Roman" w:eastAsia="Times New Roman" w:hAnsi="Times New Roman" w:cs="Times New Roman"/>
          <w:sz w:val="24"/>
          <w:szCs w:val="24"/>
          <w:lang w:eastAsia="lv-LV"/>
        </w:rPr>
        <w:t>.</w:t>
      </w:r>
    </w:p>
    <w:p w:rsidR="004A2929" w:rsidRDefault="004A2929" w:rsidP="004A2929">
      <w:pPr>
        <w:rPr>
          <w:rFonts w:ascii="Times New Roman" w:hAnsi="Times New Roman"/>
          <w:sz w:val="24"/>
          <w:szCs w:val="24"/>
        </w:rPr>
      </w:pPr>
    </w:p>
    <w:p w:rsidR="00E67CB0" w:rsidRPr="002E61B7" w:rsidRDefault="00E67CB0" w:rsidP="004A2929">
      <w:pPr>
        <w:rPr>
          <w:rFonts w:ascii="Times New Roman" w:hAnsi="Times New Roman"/>
          <w:sz w:val="24"/>
          <w:szCs w:val="24"/>
        </w:rPr>
      </w:pPr>
    </w:p>
    <w:p w:rsidR="00207D8E" w:rsidRPr="00632C73" w:rsidRDefault="00632C73" w:rsidP="00207D8E">
      <w:pPr>
        <w:spacing w:after="0" w:line="240" w:lineRule="auto"/>
        <w:ind w:firstLine="720"/>
        <w:rPr>
          <w:rFonts w:ascii="Times New Roman" w:hAnsi="Times New Roman" w:cs="Times New Roman"/>
          <w:sz w:val="24"/>
          <w:szCs w:val="24"/>
        </w:rPr>
      </w:pPr>
      <w:r w:rsidRPr="00632C73">
        <w:rPr>
          <w:rFonts w:ascii="Times New Roman" w:hAnsi="Times New Roman" w:cs="Times New Roman"/>
          <w:sz w:val="24"/>
          <w:szCs w:val="24"/>
        </w:rPr>
        <w:t xml:space="preserve">Izglītības un zinātnes ministre                                               </w:t>
      </w:r>
      <w:r>
        <w:rPr>
          <w:rFonts w:ascii="Times New Roman" w:hAnsi="Times New Roman" w:cs="Times New Roman"/>
          <w:sz w:val="24"/>
          <w:szCs w:val="24"/>
        </w:rPr>
        <w:t xml:space="preserve">    </w:t>
      </w:r>
      <w:r w:rsidRPr="00632C73">
        <w:rPr>
          <w:rFonts w:ascii="Times New Roman" w:hAnsi="Times New Roman" w:cs="Times New Roman"/>
          <w:sz w:val="24"/>
          <w:szCs w:val="24"/>
        </w:rPr>
        <w:t>Ilga Šuplinska</w:t>
      </w:r>
    </w:p>
    <w:p w:rsidR="00207D8E" w:rsidRPr="00632C73" w:rsidRDefault="00207D8E" w:rsidP="00207D8E">
      <w:pPr>
        <w:tabs>
          <w:tab w:val="left" w:pos="6804"/>
        </w:tabs>
        <w:spacing w:after="0" w:line="240" w:lineRule="auto"/>
        <w:jc w:val="both"/>
        <w:rPr>
          <w:rFonts w:ascii="Times New Roman" w:hAnsi="Times New Roman" w:cs="Times New Roman"/>
          <w:sz w:val="24"/>
          <w:szCs w:val="24"/>
        </w:rPr>
      </w:pPr>
    </w:p>
    <w:p w:rsidR="004A2929" w:rsidRPr="00632C73" w:rsidRDefault="004A2929" w:rsidP="00207D8E">
      <w:pPr>
        <w:spacing w:after="0" w:line="240" w:lineRule="auto"/>
        <w:ind w:firstLine="720"/>
        <w:rPr>
          <w:rFonts w:ascii="Times New Roman" w:hAnsi="Times New Roman" w:cs="Times New Roman"/>
          <w:sz w:val="24"/>
          <w:szCs w:val="24"/>
        </w:rPr>
      </w:pPr>
    </w:p>
    <w:p w:rsidR="00615591" w:rsidRPr="00632C73" w:rsidRDefault="00615591" w:rsidP="00207D8E">
      <w:pPr>
        <w:spacing w:after="0" w:line="240" w:lineRule="auto"/>
        <w:ind w:firstLine="720"/>
        <w:rPr>
          <w:rFonts w:ascii="Times New Roman" w:hAnsi="Times New Roman" w:cs="Times New Roman"/>
          <w:sz w:val="24"/>
          <w:szCs w:val="24"/>
        </w:rPr>
      </w:pPr>
    </w:p>
    <w:p w:rsidR="00932580" w:rsidRPr="00632C73" w:rsidRDefault="00932580" w:rsidP="00207D8E">
      <w:pPr>
        <w:spacing w:after="0" w:line="240" w:lineRule="auto"/>
        <w:ind w:firstLine="720"/>
        <w:rPr>
          <w:rFonts w:ascii="Times New Roman" w:hAnsi="Times New Roman" w:cs="Times New Roman"/>
          <w:sz w:val="24"/>
          <w:szCs w:val="24"/>
        </w:rPr>
      </w:pPr>
    </w:p>
    <w:p w:rsidR="00932580" w:rsidRPr="00632C73" w:rsidRDefault="00932580" w:rsidP="00207D8E">
      <w:pPr>
        <w:spacing w:after="0" w:line="240" w:lineRule="auto"/>
        <w:ind w:firstLine="720"/>
        <w:rPr>
          <w:rFonts w:ascii="Times New Roman" w:hAnsi="Times New Roman" w:cs="Times New Roman"/>
          <w:sz w:val="24"/>
          <w:szCs w:val="24"/>
        </w:rPr>
      </w:pPr>
    </w:p>
    <w:p w:rsidR="004A2929" w:rsidRPr="00632C73" w:rsidRDefault="004A2929" w:rsidP="00207D8E">
      <w:pPr>
        <w:spacing w:after="0" w:line="240" w:lineRule="auto"/>
        <w:ind w:firstLine="720"/>
        <w:rPr>
          <w:rFonts w:ascii="Times New Roman" w:hAnsi="Times New Roman" w:cs="Times New Roman"/>
          <w:sz w:val="24"/>
          <w:szCs w:val="24"/>
        </w:rPr>
      </w:pPr>
      <w:r w:rsidRPr="00632C73">
        <w:rPr>
          <w:rFonts w:ascii="Times New Roman" w:hAnsi="Times New Roman" w:cs="Times New Roman"/>
          <w:sz w:val="24"/>
          <w:szCs w:val="24"/>
        </w:rPr>
        <w:t>Iesniedzēj</w:t>
      </w:r>
      <w:r w:rsidR="00632C73" w:rsidRPr="00632C73">
        <w:rPr>
          <w:rFonts w:ascii="Times New Roman" w:hAnsi="Times New Roman" w:cs="Times New Roman"/>
          <w:sz w:val="24"/>
          <w:szCs w:val="24"/>
        </w:rPr>
        <w:t>a</w:t>
      </w:r>
      <w:r w:rsidRPr="00632C73">
        <w:rPr>
          <w:rFonts w:ascii="Times New Roman" w:hAnsi="Times New Roman" w:cs="Times New Roman"/>
          <w:sz w:val="24"/>
          <w:szCs w:val="24"/>
        </w:rPr>
        <w:t>:</w:t>
      </w:r>
    </w:p>
    <w:p w:rsidR="00207D8E" w:rsidRPr="00632C73" w:rsidRDefault="00632C73" w:rsidP="00207D8E">
      <w:pPr>
        <w:tabs>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            </w:t>
      </w:r>
      <w:r w:rsidRPr="00632C73">
        <w:rPr>
          <w:rFonts w:ascii="Times New Roman" w:hAnsi="Times New Roman" w:cs="Times New Roman"/>
          <w:sz w:val="24"/>
          <w:szCs w:val="24"/>
        </w:rPr>
        <w:t xml:space="preserve">Izglītības un zinātnes ministre                                               </w:t>
      </w:r>
      <w:r>
        <w:rPr>
          <w:rFonts w:ascii="Times New Roman" w:hAnsi="Times New Roman" w:cs="Times New Roman"/>
          <w:sz w:val="24"/>
          <w:szCs w:val="24"/>
        </w:rPr>
        <w:t xml:space="preserve">     </w:t>
      </w:r>
      <w:r w:rsidRPr="00632C73">
        <w:rPr>
          <w:rFonts w:ascii="Times New Roman" w:hAnsi="Times New Roman" w:cs="Times New Roman"/>
          <w:sz w:val="24"/>
          <w:szCs w:val="24"/>
        </w:rPr>
        <w:t>Ilga Šuplinska</w:t>
      </w:r>
    </w:p>
    <w:p w:rsidR="004A2929" w:rsidRPr="00632C73" w:rsidRDefault="004A2929" w:rsidP="00615591">
      <w:pPr>
        <w:spacing w:after="0" w:line="240" w:lineRule="auto"/>
        <w:ind w:firstLine="720"/>
        <w:rPr>
          <w:rFonts w:ascii="Times New Roman" w:hAnsi="Times New Roman" w:cs="Times New Roman"/>
          <w:sz w:val="24"/>
          <w:szCs w:val="24"/>
        </w:rPr>
      </w:pPr>
    </w:p>
    <w:p w:rsidR="00615591" w:rsidRPr="00632C73" w:rsidRDefault="00615591" w:rsidP="00615591">
      <w:pPr>
        <w:spacing w:after="0" w:line="240" w:lineRule="auto"/>
        <w:ind w:firstLine="720"/>
        <w:rPr>
          <w:rFonts w:ascii="Times New Roman" w:hAnsi="Times New Roman" w:cs="Times New Roman"/>
          <w:sz w:val="24"/>
          <w:szCs w:val="24"/>
        </w:rPr>
      </w:pPr>
    </w:p>
    <w:p w:rsidR="00932580" w:rsidRPr="00632C73" w:rsidRDefault="00932580" w:rsidP="00615591">
      <w:pPr>
        <w:spacing w:after="0" w:line="240" w:lineRule="auto"/>
        <w:ind w:firstLine="720"/>
        <w:rPr>
          <w:rFonts w:ascii="Times New Roman" w:hAnsi="Times New Roman" w:cs="Times New Roman"/>
          <w:sz w:val="24"/>
          <w:szCs w:val="24"/>
        </w:rPr>
      </w:pPr>
    </w:p>
    <w:p w:rsidR="004A2929" w:rsidRPr="00632C73" w:rsidRDefault="004A2929" w:rsidP="00615591">
      <w:pPr>
        <w:spacing w:after="0" w:line="240" w:lineRule="auto"/>
        <w:ind w:firstLine="720"/>
        <w:rPr>
          <w:rFonts w:ascii="Times New Roman" w:hAnsi="Times New Roman" w:cs="Times New Roman"/>
          <w:sz w:val="24"/>
          <w:szCs w:val="24"/>
        </w:rPr>
      </w:pPr>
      <w:r w:rsidRPr="00632C73">
        <w:rPr>
          <w:rFonts w:ascii="Times New Roman" w:hAnsi="Times New Roman" w:cs="Times New Roman"/>
          <w:sz w:val="24"/>
          <w:szCs w:val="24"/>
        </w:rPr>
        <w:t>Vizē:</w:t>
      </w:r>
    </w:p>
    <w:p w:rsidR="00935B12" w:rsidRPr="00632C73" w:rsidRDefault="002E61B7" w:rsidP="00615591">
      <w:pPr>
        <w:spacing w:after="0" w:line="240" w:lineRule="auto"/>
        <w:ind w:firstLine="720"/>
        <w:rPr>
          <w:rFonts w:ascii="Times New Roman" w:hAnsi="Times New Roman" w:cs="Times New Roman"/>
          <w:sz w:val="24"/>
          <w:szCs w:val="24"/>
        </w:rPr>
      </w:pPr>
      <w:r w:rsidRPr="00632C73">
        <w:rPr>
          <w:rFonts w:ascii="Times New Roman" w:hAnsi="Times New Roman" w:cs="Times New Roman"/>
          <w:sz w:val="24"/>
          <w:szCs w:val="24"/>
        </w:rPr>
        <w:t>Valsts sekretāre</w:t>
      </w: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r>
      <w:r w:rsidRPr="00632C73">
        <w:rPr>
          <w:rFonts w:ascii="Times New Roman" w:hAnsi="Times New Roman" w:cs="Times New Roman"/>
          <w:sz w:val="24"/>
          <w:szCs w:val="24"/>
        </w:rPr>
        <w:tab/>
        <w:t xml:space="preserve">                 </w:t>
      </w:r>
      <w:r w:rsidR="00207D8E" w:rsidRPr="00632C73">
        <w:rPr>
          <w:rFonts w:ascii="Times New Roman" w:hAnsi="Times New Roman" w:cs="Times New Roman"/>
          <w:sz w:val="24"/>
          <w:szCs w:val="24"/>
        </w:rPr>
        <w:t xml:space="preserve"> </w:t>
      </w:r>
      <w:r w:rsidR="00615591" w:rsidRPr="00632C73">
        <w:rPr>
          <w:rFonts w:ascii="Times New Roman" w:hAnsi="Times New Roman" w:cs="Times New Roman"/>
          <w:sz w:val="24"/>
          <w:szCs w:val="24"/>
        </w:rPr>
        <w:t>Līga Lejiņa</w:t>
      </w:r>
    </w:p>
    <w:p w:rsidR="00935B12" w:rsidRPr="00632C73" w:rsidRDefault="00935B12" w:rsidP="004A2929">
      <w:pPr>
        <w:tabs>
          <w:tab w:val="left" w:pos="3120"/>
        </w:tabs>
        <w:jc w:val="both"/>
        <w:rPr>
          <w:rFonts w:ascii="Times New Roman" w:eastAsia="Times New Roman" w:hAnsi="Times New Roman" w:cs="Times New Roman"/>
          <w:sz w:val="24"/>
          <w:szCs w:val="24"/>
        </w:rPr>
      </w:pPr>
    </w:p>
    <w:p w:rsidR="00A653AF" w:rsidRPr="00632C73" w:rsidRDefault="00A653AF" w:rsidP="00615591">
      <w:pPr>
        <w:tabs>
          <w:tab w:val="left" w:pos="3120"/>
        </w:tabs>
        <w:jc w:val="both"/>
        <w:rPr>
          <w:rFonts w:ascii="Times New Roman" w:eastAsia="Times New Roman" w:hAnsi="Times New Roman" w:cs="Times New Roman"/>
          <w:sz w:val="24"/>
          <w:szCs w:val="24"/>
        </w:rPr>
      </w:pPr>
    </w:p>
    <w:p w:rsidR="00632C73" w:rsidRDefault="00632C73" w:rsidP="00632C7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32C73" w:rsidRDefault="00632C73" w:rsidP="00632C73">
      <w:pPr>
        <w:tabs>
          <w:tab w:val="left" w:pos="6804"/>
        </w:tabs>
        <w:jc w:val="both"/>
        <w:rPr>
          <w:sz w:val="28"/>
          <w:szCs w:val="28"/>
        </w:rPr>
      </w:pPr>
    </w:p>
    <w:p w:rsidR="004A2929" w:rsidRPr="007E1835" w:rsidRDefault="004A2929" w:rsidP="00615591">
      <w:pPr>
        <w:tabs>
          <w:tab w:val="left" w:pos="3120"/>
        </w:tabs>
        <w:jc w:val="both"/>
        <w:rPr>
          <w:rFonts w:ascii="Times New Roman" w:eastAsia="Times New Roman" w:hAnsi="Times New Roman"/>
          <w:sz w:val="20"/>
          <w:szCs w:val="20"/>
        </w:rPr>
      </w:pPr>
      <w:r>
        <w:rPr>
          <w:rFonts w:ascii="Times New Roman" w:eastAsia="Times New Roman" w:hAnsi="Times New Roman"/>
          <w:sz w:val="20"/>
          <w:szCs w:val="20"/>
        </w:rPr>
        <w:tab/>
      </w:r>
    </w:p>
    <w:p w:rsidR="004A2929" w:rsidRPr="007E1835" w:rsidRDefault="00632C73" w:rsidP="004A2929">
      <w:pPr>
        <w:tabs>
          <w:tab w:val="left" w:pos="2429"/>
        </w:tabs>
        <w:spacing w:after="0" w:line="240" w:lineRule="auto"/>
        <w:jc w:val="both"/>
        <w:rPr>
          <w:rFonts w:ascii="Times New Roman" w:hAnsi="Times New Roman"/>
          <w:bCs/>
          <w:sz w:val="20"/>
          <w:szCs w:val="20"/>
        </w:rPr>
      </w:pPr>
      <w:r>
        <w:rPr>
          <w:rFonts w:ascii="Times New Roman" w:hAnsi="Times New Roman"/>
          <w:bCs/>
          <w:sz w:val="20"/>
          <w:szCs w:val="20"/>
        </w:rPr>
        <w:t>23</w:t>
      </w:r>
      <w:r w:rsidR="005A15AB">
        <w:rPr>
          <w:rFonts w:ascii="Times New Roman" w:hAnsi="Times New Roman"/>
          <w:bCs/>
          <w:sz w:val="20"/>
          <w:szCs w:val="20"/>
        </w:rPr>
        <w:t>.</w:t>
      </w:r>
      <w:r w:rsidR="004042CC">
        <w:rPr>
          <w:rFonts w:ascii="Times New Roman" w:hAnsi="Times New Roman"/>
          <w:bCs/>
          <w:sz w:val="20"/>
          <w:szCs w:val="20"/>
        </w:rPr>
        <w:t>01</w:t>
      </w:r>
      <w:r w:rsidR="00073E50">
        <w:rPr>
          <w:rFonts w:ascii="Times New Roman" w:hAnsi="Times New Roman"/>
          <w:bCs/>
          <w:sz w:val="20"/>
          <w:szCs w:val="20"/>
        </w:rPr>
        <w:t>.201</w:t>
      </w:r>
      <w:r w:rsidR="004042CC">
        <w:rPr>
          <w:rFonts w:ascii="Times New Roman" w:hAnsi="Times New Roman"/>
          <w:bCs/>
          <w:sz w:val="20"/>
          <w:szCs w:val="20"/>
        </w:rPr>
        <w:t>9</w:t>
      </w:r>
      <w:r w:rsidR="00073E50">
        <w:rPr>
          <w:rFonts w:ascii="Times New Roman" w:hAnsi="Times New Roman"/>
          <w:bCs/>
          <w:sz w:val="20"/>
          <w:szCs w:val="20"/>
        </w:rPr>
        <w:t xml:space="preserve">. </w:t>
      </w:r>
      <w:r w:rsidR="00A8420B">
        <w:rPr>
          <w:rFonts w:ascii="Times New Roman" w:hAnsi="Times New Roman"/>
          <w:bCs/>
          <w:sz w:val="20"/>
          <w:szCs w:val="20"/>
        </w:rPr>
        <w:t>1</w:t>
      </w:r>
      <w:r>
        <w:rPr>
          <w:rFonts w:ascii="Times New Roman" w:hAnsi="Times New Roman"/>
          <w:bCs/>
          <w:sz w:val="20"/>
          <w:szCs w:val="20"/>
        </w:rPr>
        <w:t>6</w:t>
      </w:r>
      <w:r w:rsidR="00784E50">
        <w:rPr>
          <w:rFonts w:ascii="Times New Roman" w:hAnsi="Times New Roman"/>
          <w:bCs/>
          <w:sz w:val="20"/>
          <w:szCs w:val="20"/>
        </w:rPr>
        <w:t>:</w:t>
      </w:r>
      <w:r>
        <w:rPr>
          <w:rFonts w:ascii="Times New Roman" w:hAnsi="Times New Roman"/>
          <w:bCs/>
          <w:sz w:val="20"/>
          <w:szCs w:val="20"/>
        </w:rPr>
        <w:t>36</w:t>
      </w:r>
      <w:r w:rsidR="004A2929" w:rsidRPr="007E1835">
        <w:rPr>
          <w:rFonts w:ascii="Times New Roman" w:hAnsi="Times New Roman"/>
          <w:bCs/>
          <w:sz w:val="20"/>
          <w:szCs w:val="20"/>
        </w:rPr>
        <w:tab/>
      </w:r>
    </w:p>
    <w:p w:rsidR="004A2929" w:rsidRPr="007E1835" w:rsidRDefault="00446C00" w:rsidP="004A292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w:t>
      </w:r>
      <w:r w:rsidR="0076224A">
        <w:rPr>
          <w:rFonts w:ascii="Times New Roman" w:eastAsia="Times New Roman" w:hAnsi="Times New Roman"/>
          <w:sz w:val="20"/>
          <w:szCs w:val="20"/>
        </w:rPr>
        <w:t>4</w:t>
      </w:r>
      <w:r w:rsidR="007B1B0B">
        <w:rPr>
          <w:rFonts w:ascii="Times New Roman" w:eastAsia="Times New Roman" w:hAnsi="Times New Roman"/>
          <w:sz w:val="20"/>
          <w:szCs w:val="20"/>
        </w:rPr>
        <w:t>4</w:t>
      </w:r>
      <w:r w:rsidR="00632C73">
        <w:rPr>
          <w:rFonts w:ascii="Times New Roman" w:eastAsia="Times New Roman" w:hAnsi="Times New Roman"/>
          <w:sz w:val="20"/>
          <w:szCs w:val="20"/>
        </w:rPr>
        <w:t>05</w:t>
      </w:r>
    </w:p>
    <w:p w:rsidR="004A2929" w:rsidRPr="007E1835" w:rsidRDefault="004A2929" w:rsidP="004A29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A.Babiča</w:t>
      </w:r>
      <w:r w:rsidRPr="007E1835">
        <w:rPr>
          <w:rFonts w:ascii="Times New Roman" w:hAnsi="Times New Roman"/>
          <w:sz w:val="20"/>
          <w:szCs w:val="20"/>
        </w:rPr>
        <w:t>, 67047</w:t>
      </w:r>
      <w:r>
        <w:rPr>
          <w:rFonts w:ascii="Times New Roman" w:hAnsi="Times New Roman"/>
          <w:sz w:val="20"/>
          <w:szCs w:val="20"/>
        </w:rPr>
        <w:t>703</w:t>
      </w:r>
    </w:p>
    <w:p w:rsidR="00806E4A" w:rsidRPr="00615591" w:rsidRDefault="002A3F1A" w:rsidP="006155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sz w:val="20"/>
          <w:szCs w:val="20"/>
        </w:rPr>
      </w:pPr>
      <w:hyperlink r:id="rId21" w:history="1">
        <w:r w:rsidR="00073E50" w:rsidRPr="00320803">
          <w:rPr>
            <w:rStyle w:val="Hyperlink"/>
            <w:rFonts w:ascii="Times New Roman" w:hAnsi="Times New Roman"/>
            <w:sz w:val="20"/>
            <w:szCs w:val="20"/>
          </w:rPr>
          <w:t>alona.babica@izm.gov.lv</w:t>
        </w:r>
      </w:hyperlink>
      <w:r w:rsidR="004A2929">
        <w:rPr>
          <w:rFonts w:ascii="Times New Roman" w:hAnsi="Times New Roman"/>
          <w:sz w:val="20"/>
          <w:szCs w:val="20"/>
        </w:rPr>
        <w:t xml:space="preserve"> </w:t>
      </w:r>
    </w:p>
    <w:sectPr w:rsidR="00806E4A" w:rsidRPr="00615591" w:rsidSect="002A55C6">
      <w:headerReference w:type="default" r:id="rId22"/>
      <w:footerReference w:type="default" r:id="rId23"/>
      <w:pgSz w:w="11906" w:h="16838"/>
      <w:pgMar w:top="1440"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F1A" w:rsidRDefault="002A3F1A" w:rsidP="004846C7">
      <w:pPr>
        <w:spacing w:after="0" w:line="240" w:lineRule="auto"/>
      </w:pPr>
      <w:r>
        <w:separator/>
      </w:r>
    </w:p>
  </w:endnote>
  <w:endnote w:type="continuationSeparator" w:id="0">
    <w:p w:rsidR="002A3F1A" w:rsidRDefault="002A3F1A" w:rsidP="0048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387" w:rsidRPr="004846C7" w:rsidRDefault="00792387" w:rsidP="004846C7">
    <w:pPr>
      <w:spacing w:after="0" w:line="240" w:lineRule="auto"/>
      <w:jc w:val="both"/>
      <w:rPr>
        <w:rFonts w:ascii="Times New Roman" w:hAnsi="Times New Roman" w:cs="Times New Roman"/>
        <w:sz w:val="24"/>
        <w:szCs w:val="24"/>
      </w:rPr>
    </w:pPr>
    <w:r w:rsidRPr="004846C7">
      <w:rPr>
        <w:rFonts w:ascii="Times New Roman" w:hAnsi="Times New Roman" w:cs="Times New Roman"/>
        <w:sz w:val="24"/>
        <w:szCs w:val="24"/>
      </w:rPr>
      <w:t>IZMZino</w:t>
    </w:r>
    <w:r>
      <w:rPr>
        <w:rFonts w:ascii="Times New Roman" w:hAnsi="Times New Roman" w:cs="Times New Roman"/>
        <w:sz w:val="24"/>
        <w:szCs w:val="24"/>
      </w:rPr>
      <w:t>_</w:t>
    </w:r>
    <w:r w:rsidR="00632C73">
      <w:rPr>
        <w:rFonts w:ascii="Times New Roman" w:hAnsi="Times New Roman" w:cs="Times New Roman"/>
        <w:sz w:val="24"/>
        <w:szCs w:val="24"/>
      </w:rPr>
      <w:t>23</w:t>
    </w:r>
    <w:r>
      <w:rPr>
        <w:rFonts w:ascii="Times New Roman" w:hAnsi="Times New Roman" w:cs="Times New Roman"/>
        <w:sz w:val="24"/>
        <w:szCs w:val="24"/>
      </w:rPr>
      <w:t xml:space="preserve">0119_IAP; </w:t>
    </w:r>
    <w:r w:rsidRPr="004846C7">
      <w:rPr>
        <w:rFonts w:ascii="Times New Roman" w:hAnsi="Times New Roman" w:cs="Times New Roman"/>
        <w:sz w:val="24"/>
        <w:szCs w:val="24"/>
      </w:rPr>
      <w:t>Par Izglītības attīstības pamatnostādņu 2014.–2020.gadam</w:t>
    </w:r>
    <w:r>
      <w:rPr>
        <w:rFonts w:ascii="Times New Roman" w:hAnsi="Times New Roman" w:cs="Times New Roman"/>
        <w:sz w:val="24"/>
        <w:szCs w:val="24"/>
      </w:rPr>
      <w:t xml:space="preserve"> </w:t>
    </w:r>
    <w:r w:rsidRPr="004846C7">
      <w:rPr>
        <w:rFonts w:ascii="Times New Roman" w:hAnsi="Times New Roman" w:cs="Times New Roman"/>
        <w:sz w:val="24"/>
        <w:szCs w:val="24"/>
      </w:rPr>
      <w:t>īstenošanas 2014.-2017.gadā starpposma novērtējumu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F1A" w:rsidRDefault="002A3F1A" w:rsidP="004846C7">
      <w:pPr>
        <w:spacing w:after="0" w:line="240" w:lineRule="auto"/>
      </w:pPr>
      <w:r>
        <w:separator/>
      </w:r>
    </w:p>
  </w:footnote>
  <w:footnote w:type="continuationSeparator" w:id="0">
    <w:p w:rsidR="002A3F1A" w:rsidRDefault="002A3F1A" w:rsidP="0048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046761"/>
      <w:docPartObj>
        <w:docPartGallery w:val="Page Numbers (Top of Page)"/>
        <w:docPartUnique/>
      </w:docPartObj>
    </w:sdtPr>
    <w:sdtEndPr>
      <w:rPr>
        <w:noProof/>
      </w:rPr>
    </w:sdtEndPr>
    <w:sdtContent>
      <w:p w:rsidR="00792387" w:rsidRDefault="00792387">
        <w:pPr>
          <w:pStyle w:val="Header"/>
          <w:jc w:val="right"/>
        </w:pPr>
        <w:r>
          <w:fldChar w:fldCharType="begin"/>
        </w:r>
        <w:r>
          <w:instrText xml:space="preserve"> PAGE   \* MERGEFORMAT </w:instrText>
        </w:r>
        <w:r>
          <w:fldChar w:fldCharType="separate"/>
        </w:r>
        <w:r w:rsidR="00703DC0">
          <w:rPr>
            <w:noProof/>
          </w:rPr>
          <w:t>20</w:t>
        </w:r>
        <w:r>
          <w:rPr>
            <w:noProof/>
          </w:rPr>
          <w:fldChar w:fldCharType="end"/>
        </w:r>
      </w:p>
    </w:sdtContent>
  </w:sdt>
  <w:p w:rsidR="00792387" w:rsidRDefault="00792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B91"/>
    <w:multiLevelType w:val="hybridMultilevel"/>
    <w:tmpl w:val="D9A8A68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5AF4381"/>
    <w:multiLevelType w:val="hybridMultilevel"/>
    <w:tmpl w:val="D74AC3D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C27E60"/>
    <w:multiLevelType w:val="hybridMultilevel"/>
    <w:tmpl w:val="E5EACFC2"/>
    <w:lvl w:ilvl="0" w:tplc="8FF895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103501"/>
    <w:multiLevelType w:val="hybridMultilevel"/>
    <w:tmpl w:val="F65482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312162"/>
    <w:multiLevelType w:val="hybridMultilevel"/>
    <w:tmpl w:val="C70CC96A"/>
    <w:lvl w:ilvl="0" w:tplc="8FF895EC">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22C33B08"/>
    <w:multiLevelType w:val="hybridMultilevel"/>
    <w:tmpl w:val="5CD49938"/>
    <w:lvl w:ilvl="0" w:tplc="EA2899E4">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5F4304C"/>
    <w:multiLevelType w:val="multilevel"/>
    <w:tmpl w:val="415A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8245A"/>
    <w:multiLevelType w:val="hybridMultilevel"/>
    <w:tmpl w:val="100C1660"/>
    <w:lvl w:ilvl="0" w:tplc="E29C14B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5A652C"/>
    <w:multiLevelType w:val="hybridMultilevel"/>
    <w:tmpl w:val="054A6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AF542B"/>
    <w:multiLevelType w:val="hybridMultilevel"/>
    <w:tmpl w:val="6CBA9DE4"/>
    <w:lvl w:ilvl="0" w:tplc="6DA23A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D26D9F"/>
    <w:multiLevelType w:val="hybridMultilevel"/>
    <w:tmpl w:val="70F4A91E"/>
    <w:lvl w:ilvl="0" w:tplc="8FF895EC">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D97B21"/>
    <w:multiLevelType w:val="hybridMultilevel"/>
    <w:tmpl w:val="0EE6F978"/>
    <w:lvl w:ilvl="0" w:tplc="108AF39A">
      <w:start w:val="1"/>
      <w:numFmt w:val="bullet"/>
      <w:lvlText w:val="–"/>
      <w:lvlJc w:val="left"/>
      <w:pPr>
        <w:ind w:left="765" w:hanging="360"/>
      </w:pPr>
      <w:rPr>
        <w:rFonts w:ascii="Times New Roman" w:eastAsia="Times New Roman" w:hAnsi="Times New Roman" w:cs="Times New Roman" w:hint="default"/>
        <w:strike w:val="0"/>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2" w15:restartNumberingAfterBreak="0">
    <w:nsid w:val="3E3D7579"/>
    <w:multiLevelType w:val="hybridMultilevel"/>
    <w:tmpl w:val="E4BA7674"/>
    <w:lvl w:ilvl="0" w:tplc="84DC86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BF5E93"/>
    <w:multiLevelType w:val="hybridMultilevel"/>
    <w:tmpl w:val="D422AC5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3E97312"/>
    <w:multiLevelType w:val="hybridMultilevel"/>
    <w:tmpl w:val="8D0EF3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E11AFE"/>
    <w:multiLevelType w:val="hybridMultilevel"/>
    <w:tmpl w:val="7DFEFAEC"/>
    <w:lvl w:ilvl="0" w:tplc="8FF895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09536FA"/>
    <w:multiLevelType w:val="hybridMultilevel"/>
    <w:tmpl w:val="8BF0EF86"/>
    <w:lvl w:ilvl="0" w:tplc="8FF895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28F07C2"/>
    <w:multiLevelType w:val="hybridMultilevel"/>
    <w:tmpl w:val="96FCCB66"/>
    <w:lvl w:ilvl="0" w:tplc="8FF895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54825"/>
    <w:multiLevelType w:val="hybridMultilevel"/>
    <w:tmpl w:val="D4D47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F336A"/>
    <w:multiLevelType w:val="hybridMultilevel"/>
    <w:tmpl w:val="2A36B1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3A61095"/>
    <w:multiLevelType w:val="hybridMultilevel"/>
    <w:tmpl w:val="90AEEB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CA4A17"/>
    <w:multiLevelType w:val="hybridMultilevel"/>
    <w:tmpl w:val="11A2C1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7D15A54"/>
    <w:multiLevelType w:val="hybridMultilevel"/>
    <w:tmpl w:val="2F88F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7A0266"/>
    <w:multiLevelType w:val="hybridMultilevel"/>
    <w:tmpl w:val="40E4BF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19"/>
  </w:num>
  <w:num w:numId="5">
    <w:abstractNumId w:val="13"/>
  </w:num>
  <w:num w:numId="6">
    <w:abstractNumId w:val="20"/>
  </w:num>
  <w:num w:numId="7">
    <w:abstractNumId w:val="14"/>
  </w:num>
  <w:num w:numId="8">
    <w:abstractNumId w:val="11"/>
  </w:num>
  <w:num w:numId="9">
    <w:abstractNumId w:val="16"/>
  </w:num>
  <w:num w:numId="10">
    <w:abstractNumId w:val="21"/>
  </w:num>
  <w:num w:numId="11">
    <w:abstractNumId w:val="5"/>
  </w:num>
  <w:num w:numId="12">
    <w:abstractNumId w:val="12"/>
  </w:num>
  <w:num w:numId="13">
    <w:abstractNumId w:val="22"/>
  </w:num>
  <w:num w:numId="14">
    <w:abstractNumId w:val="10"/>
  </w:num>
  <w:num w:numId="15">
    <w:abstractNumId w:val="18"/>
  </w:num>
  <w:num w:numId="16">
    <w:abstractNumId w:val="23"/>
  </w:num>
  <w:num w:numId="17">
    <w:abstractNumId w:val="4"/>
  </w:num>
  <w:num w:numId="18">
    <w:abstractNumId w:val="6"/>
  </w:num>
  <w:num w:numId="19">
    <w:abstractNumId w:val="7"/>
  </w:num>
  <w:num w:numId="20">
    <w:abstractNumId w:val="9"/>
  </w:num>
  <w:num w:numId="21">
    <w:abstractNumId w:val="15"/>
  </w:num>
  <w:num w:numId="2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A1"/>
    <w:rsid w:val="0000298C"/>
    <w:rsid w:val="00003E13"/>
    <w:rsid w:val="00010E12"/>
    <w:rsid w:val="00013689"/>
    <w:rsid w:val="0001491B"/>
    <w:rsid w:val="00015AA9"/>
    <w:rsid w:val="00020414"/>
    <w:rsid w:val="000235D4"/>
    <w:rsid w:val="0002506D"/>
    <w:rsid w:val="0003157C"/>
    <w:rsid w:val="000317F1"/>
    <w:rsid w:val="000540C4"/>
    <w:rsid w:val="0005624A"/>
    <w:rsid w:val="000672A1"/>
    <w:rsid w:val="00067316"/>
    <w:rsid w:val="000721D7"/>
    <w:rsid w:val="0007229D"/>
    <w:rsid w:val="00073E50"/>
    <w:rsid w:val="000753C4"/>
    <w:rsid w:val="000753D6"/>
    <w:rsid w:val="00075E52"/>
    <w:rsid w:val="00075F4B"/>
    <w:rsid w:val="00077D42"/>
    <w:rsid w:val="00080BD8"/>
    <w:rsid w:val="00080C4F"/>
    <w:rsid w:val="00081235"/>
    <w:rsid w:val="00082A6D"/>
    <w:rsid w:val="00083FF1"/>
    <w:rsid w:val="0009036D"/>
    <w:rsid w:val="0009381D"/>
    <w:rsid w:val="00095104"/>
    <w:rsid w:val="000A4D9B"/>
    <w:rsid w:val="000A4EA8"/>
    <w:rsid w:val="000A570E"/>
    <w:rsid w:val="000A59FF"/>
    <w:rsid w:val="000B24E6"/>
    <w:rsid w:val="000B4CDB"/>
    <w:rsid w:val="000B7157"/>
    <w:rsid w:val="000C053C"/>
    <w:rsid w:val="000C3310"/>
    <w:rsid w:val="000C45BF"/>
    <w:rsid w:val="000C6557"/>
    <w:rsid w:val="000C67D6"/>
    <w:rsid w:val="000C7E31"/>
    <w:rsid w:val="000D0B09"/>
    <w:rsid w:val="000D2221"/>
    <w:rsid w:val="000D2B13"/>
    <w:rsid w:val="000D4E52"/>
    <w:rsid w:val="000D6CCF"/>
    <w:rsid w:val="000E29AC"/>
    <w:rsid w:val="000F1800"/>
    <w:rsid w:val="000F220B"/>
    <w:rsid w:val="000F4403"/>
    <w:rsid w:val="001005B5"/>
    <w:rsid w:val="001030DF"/>
    <w:rsid w:val="0010379B"/>
    <w:rsid w:val="0011710E"/>
    <w:rsid w:val="001209D2"/>
    <w:rsid w:val="00122F98"/>
    <w:rsid w:val="00124BFC"/>
    <w:rsid w:val="00135168"/>
    <w:rsid w:val="00140A2C"/>
    <w:rsid w:val="00142C89"/>
    <w:rsid w:val="00145719"/>
    <w:rsid w:val="001478A4"/>
    <w:rsid w:val="0015209E"/>
    <w:rsid w:val="00153839"/>
    <w:rsid w:val="001569EA"/>
    <w:rsid w:val="001608A7"/>
    <w:rsid w:val="00160F34"/>
    <w:rsid w:val="0017231F"/>
    <w:rsid w:val="001734A6"/>
    <w:rsid w:val="00180B6A"/>
    <w:rsid w:val="00181369"/>
    <w:rsid w:val="00181986"/>
    <w:rsid w:val="001822B8"/>
    <w:rsid w:val="00183389"/>
    <w:rsid w:val="00184F4C"/>
    <w:rsid w:val="0019080A"/>
    <w:rsid w:val="0019267A"/>
    <w:rsid w:val="00193A6E"/>
    <w:rsid w:val="00193D15"/>
    <w:rsid w:val="00193E58"/>
    <w:rsid w:val="001949A4"/>
    <w:rsid w:val="00197260"/>
    <w:rsid w:val="0019778C"/>
    <w:rsid w:val="001A201B"/>
    <w:rsid w:val="001A2B6F"/>
    <w:rsid w:val="001A33BA"/>
    <w:rsid w:val="001A5786"/>
    <w:rsid w:val="001A6037"/>
    <w:rsid w:val="001B0080"/>
    <w:rsid w:val="001B020F"/>
    <w:rsid w:val="001B0DD2"/>
    <w:rsid w:val="001B1D81"/>
    <w:rsid w:val="001B25F4"/>
    <w:rsid w:val="001C0C57"/>
    <w:rsid w:val="001C6DED"/>
    <w:rsid w:val="001D298F"/>
    <w:rsid w:val="001D5FA6"/>
    <w:rsid w:val="001D6974"/>
    <w:rsid w:val="001D7C65"/>
    <w:rsid w:val="001E2909"/>
    <w:rsid w:val="001E376B"/>
    <w:rsid w:val="001E5592"/>
    <w:rsid w:val="001E5A7B"/>
    <w:rsid w:val="001F0DC2"/>
    <w:rsid w:val="001F1F26"/>
    <w:rsid w:val="001F5CC3"/>
    <w:rsid w:val="001F5F5F"/>
    <w:rsid w:val="001F605D"/>
    <w:rsid w:val="002005CD"/>
    <w:rsid w:val="00201E2E"/>
    <w:rsid w:val="0020347A"/>
    <w:rsid w:val="00207D8E"/>
    <w:rsid w:val="0021046D"/>
    <w:rsid w:val="002139BC"/>
    <w:rsid w:val="00214B4D"/>
    <w:rsid w:val="002163B2"/>
    <w:rsid w:val="00216EA0"/>
    <w:rsid w:val="002258D2"/>
    <w:rsid w:val="00226F80"/>
    <w:rsid w:val="002304BE"/>
    <w:rsid w:val="002370AE"/>
    <w:rsid w:val="00240892"/>
    <w:rsid w:val="002434E5"/>
    <w:rsid w:val="00244D67"/>
    <w:rsid w:val="00246CBF"/>
    <w:rsid w:val="0025041E"/>
    <w:rsid w:val="00260C31"/>
    <w:rsid w:val="0026354F"/>
    <w:rsid w:val="00263768"/>
    <w:rsid w:val="0026416F"/>
    <w:rsid w:val="00270882"/>
    <w:rsid w:val="002718A8"/>
    <w:rsid w:val="00273999"/>
    <w:rsid w:val="00277EF3"/>
    <w:rsid w:val="002830F7"/>
    <w:rsid w:val="00285675"/>
    <w:rsid w:val="0028641B"/>
    <w:rsid w:val="0029110B"/>
    <w:rsid w:val="00294E9B"/>
    <w:rsid w:val="0029750E"/>
    <w:rsid w:val="002A0977"/>
    <w:rsid w:val="002A26A4"/>
    <w:rsid w:val="002A3F1A"/>
    <w:rsid w:val="002A55C6"/>
    <w:rsid w:val="002B1DFE"/>
    <w:rsid w:val="002B1FEB"/>
    <w:rsid w:val="002B5728"/>
    <w:rsid w:val="002C068C"/>
    <w:rsid w:val="002C07AF"/>
    <w:rsid w:val="002C0FC9"/>
    <w:rsid w:val="002C13E8"/>
    <w:rsid w:val="002C2432"/>
    <w:rsid w:val="002C66D8"/>
    <w:rsid w:val="002C68AD"/>
    <w:rsid w:val="002D3A46"/>
    <w:rsid w:val="002D3D48"/>
    <w:rsid w:val="002D4605"/>
    <w:rsid w:val="002D6BF1"/>
    <w:rsid w:val="002D7657"/>
    <w:rsid w:val="002D7C62"/>
    <w:rsid w:val="002E0357"/>
    <w:rsid w:val="002E05FF"/>
    <w:rsid w:val="002E4176"/>
    <w:rsid w:val="002E61B7"/>
    <w:rsid w:val="002E6951"/>
    <w:rsid w:val="002F0EE4"/>
    <w:rsid w:val="002F5DA5"/>
    <w:rsid w:val="00301399"/>
    <w:rsid w:val="003070F9"/>
    <w:rsid w:val="00310B63"/>
    <w:rsid w:val="003111D2"/>
    <w:rsid w:val="00311976"/>
    <w:rsid w:val="00312A4C"/>
    <w:rsid w:val="00325C32"/>
    <w:rsid w:val="0032788F"/>
    <w:rsid w:val="00331C37"/>
    <w:rsid w:val="003321CA"/>
    <w:rsid w:val="0033293E"/>
    <w:rsid w:val="00333366"/>
    <w:rsid w:val="00335BD3"/>
    <w:rsid w:val="00336075"/>
    <w:rsid w:val="003365F6"/>
    <w:rsid w:val="003408C8"/>
    <w:rsid w:val="00340DE1"/>
    <w:rsid w:val="00343149"/>
    <w:rsid w:val="00345251"/>
    <w:rsid w:val="00345D1B"/>
    <w:rsid w:val="00350F5B"/>
    <w:rsid w:val="003530A3"/>
    <w:rsid w:val="003576B2"/>
    <w:rsid w:val="003608E2"/>
    <w:rsid w:val="003620D7"/>
    <w:rsid w:val="00364830"/>
    <w:rsid w:val="003651C5"/>
    <w:rsid w:val="00365423"/>
    <w:rsid w:val="00367B59"/>
    <w:rsid w:val="00367F1A"/>
    <w:rsid w:val="0037022E"/>
    <w:rsid w:val="0037327B"/>
    <w:rsid w:val="00373D8A"/>
    <w:rsid w:val="0037448A"/>
    <w:rsid w:val="00375C43"/>
    <w:rsid w:val="00375F65"/>
    <w:rsid w:val="0038761C"/>
    <w:rsid w:val="00387CF8"/>
    <w:rsid w:val="00390403"/>
    <w:rsid w:val="00391E5B"/>
    <w:rsid w:val="003958B7"/>
    <w:rsid w:val="00395BD6"/>
    <w:rsid w:val="00397DFB"/>
    <w:rsid w:val="003A1E4C"/>
    <w:rsid w:val="003A3325"/>
    <w:rsid w:val="003A4C8F"/>
    <w:rsid w:val="003A5526"/>
    <w:rsid w:val="003B1918"/>
    <w:rsid w:val="003B2072"/>
    <w:rsid w:val="003B3C4E"/>
    <w:rsid w:val="003C3853"/>
    <w:rsid w:val="003C55EF"/>
    <w:rsid w:val="003C64F5"/>
    <w:rsid w:val="003C7764"/>
    <w:rsid w:val="003D10A7"/>
    <w:rsid w:val="003D6979"/>
    <w:rsid w:val="003D7AF2"/>
    <w:rsid w:val="003E1C04"/>
    <w:rsid w:val="003E5675"/>
    <w:rsid w:val="003F3979"/>
    <w:rsid w:val="003F6FB6"/>
    <w:rsid w:val="0040173E"/>
    <w:rsid w:val="004042CC"/>
    <w:rsid w:val="00405E64"/>
    <w:rsid w:val="00410C53"/>
    <w:rsid w:val="00421831"/>
    <w:rsid w:val="0042617F"/>
    <w:rsid w:val="004317A3"/>
    <w:rsid w:val="00434687"/>
    <w:rsid w:val="004349BE"/>
    <w:rsid w:val="00434EA8"/>
    <w:rsid w:val="00437C57"/>
    <w:rsid w:val="0044532F"/>
    <w:rsid w:val="00446C00"/>
    <w:rsid w:val="00447697"/>
    <w:rsid w:val="00453B28"/>
    <w:rsid w:val="004541D3"/>
    <w:rsid w:val="00456BCF"/>
    <w:rsid w:val="0045798F"/>
    <w:rsid w:val="00457A4B"/>
    <w:rsid w:val="004629A3"/>
    <w:rsid w:val="0047138E"/>
    <w:rsid w:val="004713FF"/>
    <w:rsid w:val="004736FD"/>
    <w:rsid w:val="00475F97"/>
    <w:rsid w:val="004805A4"/>
    <w:rsid w:val="00480DD4"/>
    <w:rsid w:val="004820CE"/>
    <w:rsid w:val="00483B63"/>
    <w:rsid w:val="004846C7"/>
    <w:rsid w:val="004929E5"/>
    <w:rsid w:val="00494588"/>
    <w:rsid w:val="004947DC"/>
    <w:rsid w:val="00496328"/>
    <w:rsid w:val="004A03CB"/>
    <w:rsid w:val="004A2929"/>
    <w:rsid w:val="004A5B86"/>
    <w:rsid w:val="004B2284"/>
    <w:rsid w:val="004B5B4D"/>
    <w:rsid w:val="004B5D40"/>
    <w:rsid w:val="004B6935"/>
    <w:rsid w:val="004B7708"/>
    <w:rsid w:val="004C2A00"/>
    <w:rsid w:val="004C2DAA"/>
    <w:rsid w:val="004C4C8A"/>
    <w:rsid w:val="004C6EAA"/>
    <w:rsid w:val="004D17C4"/>
    <w:rsid w:val="004D4748"/>
    <w:rsid w:val="004E031E"/>
    <w:rsid w:val="004E4776"/>
    <w:rsid w:val="004F0E9F"/>
    <w:rsid w:val="004F73C2"/>
    <w:rsid w:val="00501B90"/>
    <w:rsid w:val="00505FD9"/>
    <w:rsid w:val="00506D99"/>
    <w:rsid w:val="005071C7"/>
    <w:rsid w:val="005073AD"/>
    <w:rsid w:val="0051098E"/>
    <w:rsid w:val="00513256"/>
    <w:rsid w:val="00521C01"/>
    <w:rsid w:val="005263F1"/>
    <w:rsid w:val="005270D5"/>
    <w:rsid w:val="0053100E"/>
    <w:rsid w:val="00536234"/>
    <w:rsid w:val="00537AB7"/>
    <w:rsid w:val="005417FF"/>
    <w:rsid w:val="00542B55"/>
    <w:rsid w:val="0054335A"/>
    <w:rsid w:val="0055014F"/>
    <w:rsid w:val="00551C01"/>
    <w:rsid w:val="00551E24"/>
    <w:rsid w:val="00552EBF"/>
    <w:rsid w:val="005604D5"/>
    <w:rsid w:val="00562981"/>
    <w:rsid w:val="005644D4"/>
    <w:rsid w:val="00566873"/>
    <w:rsid w:val="00567054"/>
    <w:rsid w:val="00570D39"/>
    <w:rsid w:val="005740C0"/>
    <w:rsid w:val="0057445C"/>
    <w:rsid w:val="005775C2"/>
    <w:rsid w:val="005807BB"/>
    <w:rsid w:val="00580CED"/>
    <w:rsid w:val="00583E44"/>
    <w:rsid w:val="00584E85"/>
    <w:rsid w:val="00596F8A"/>
    <w:rsid w:val="0059735A"/>
    <w:rsid w:val="005A15AB"/>
    <w:rsid w:val="005A1FBC"/>
    <w:rsid w:val="005B38BB"/>
    <w:rsid w:val="005B5CEA"/>
    <w:rsid w:val="005B699A"/>
    <w:rsid w:val="005B7A0B"/>
    <w:rsid w:val="005C0996"/>
    <w:rsid w:val="005C39CA"/>
    <w:rsid w:val="005D1706"/>
    <w:rsid w:val="005D2AD6"/>
    <w:rsid w:val="005D48F3"/>
    <w:rsid w:val="005D5761"/>
    <w:rsid w:val="005D5BB6"/>
    <w:rsid w:val="005D68DD"/>
    <w:rsid w:val="005D6AA5"/>
    <w:rsid w:val="005E388D"/>
    <w:rsid w:val="005E69CC"/>
    <w:rsid w:val="005E737F"/>
    <w:rsid w:val="005F584B"/>
    <w:rsid w:val="00601700"/>
    <w:rsid w:val="00601A9E"/>
    <w:rsid w:val="006054A9"/>
    <w:rsid w:val="006055C8"/>
    <w:rsid w:val="006055D4"/>
    <w:rsid w:val="00611F0F"/>
    <w:rsid w:val="00612571"/>
    <w:rsid w:val="00615591"/>
    <w:rsid w:val="00625363"/>
    <w:rsid w:val="00632C73"/>
    <w:rsid w:val="00633582"/>
    <w:rsid w:val="00634DFA"/>
    <w:rsid w:val="00635567"/>
    <w:rsid w:val="00635FBB"/>
    <w:rsid w:val="00636D98"/>
    <w:rsid w:val="00640F47"/>
    <w:rsid w:val="00641C0C"/>
    <w:rsid w:val="006442DA"/>
    <w:rsid w:val="0064769C"/>
    <w:rsid w:val="00650561"/>
    <w:rsid w:val="006537DE"/>
    <w:rsid w:val="00655040"/>
    <w:rsid w:val="00656A7A"/>
    <w:rsid w:val="00665D79"/>
    <w:rsid w:val="006668E7"/>
    <w:rsid w:val="00670008"/>
    <w:rsid w:val="006839EA"/>
    <w:rsid w:val="00683C9B"/>
    <w:rsid w:val="00684583"/>
    <w:rsid w:val="00687D8A"/>
    <w:rsid w:val="006909B1"/>
    <w:rsid w:val="00694CF9"/>
    <w:rsid w:val="006974D1"/>
    <w:rsid w:val="006A0258"/>
    <w:rsid w:val="006A268E"/>
    <w:rsid w:val="006A4148"/>
    <w:rsid w:val="006A4EC2"/>
    <w:rsid w:val="006A7130"/>
    <w:rsid w:val="006A772C"/>
    <w:rsid w:val="006A7E2F"/>
    <w:rsid w:val="006B00F4"/>
    <w:rsid w:val="006B6DBF"/>
    <w:rsid w:val="006B72CC"/>
    <w:rsid w:val="006B754A"/>
    <w:rsid w:val="006B7DF4"/>
    <w:rsid w:val="006C0E29"/>
    <w:rsid w:val="006C1722"/>
    <w:rsid w:val="006C30E1"/>
    <w:rsid w:val="006C39DD"/>
    <w:rsid w:val="006C4162"/>
    <w:rsid w:val="006D058B"/>
    <w:rsid w:val="006D1221"/>
    <w:rsid w:val="006D4528"/>
    <w:rsid w:val="006E1B2D"/>
    <w:rsid w:val="006E32C7"/>
    <w:rsid w:val="006E3B5D"/>
    <w:rsid w:val="006E46A6"/>
    <w:rsid w:val="006E47F4"/>
    <w:rsid w:val="006E560C"/>
    <w:rsid w:val="00701373"/>
    <w:rsid w:val="0070356E"/>
    <w:rsid w:val="00703DC0"/>
    <w:rsid w:val="007076BF"/>
    <w:rsid w:val="00710D5B"/>
    <w:rsid w:val="007117CC"/>
    <w:rsid w:val="007141A1"/>
    <w:rsid w:val="0072022B"/>
    <w:rsid w:val="0072057E"/>
    <w:rsid w:val="00722718"/>
    <w:rsid w:val="00725D7A"/>
    <w:rsid w:val="007309DE"/>
    <w:rsid w:val="007326DB"/>
    <w:rsid w:val="0073373E"/>
    <w:rsid w:val="00734E46"/>
    <w:rsid w:val="00736263"/>
    <w:rsid w:val="00736389"/>
    <w:rsid w:val="00746399"/>
    <w:rsid w:val="0075321F"/>
    <w:rsid w:val="00753480"/>
    <w:rsid w:val="00760548"/>
    <w:rsid w:val="007607A8"/>
    <w:rsid w:val="00761ADC"/>
    <w:rsid w:val="0076224A"/>
    <w:rsid w:val="00764902"/>
    <w:rsid w:val="00765AE6"/>
    <w:rsid w:val="007663B0"/>
    <w:rsid w:val="00766A1F"/>
    <w:rsid w:val="00770589"/>
    <w:rsid w:val="00776BA7"/>
    <w:rsid w:val="00781335"/>
    <w:rsid w:val="00782945"/>
    <w:rsid w:val="00784D54"/>
    <w:rsid w:val="00784E50"/>
    <w:rsid w:val="00785A4A"/>
    <w:rsid w:val="00791168"/>
    <w:rsid w:val="00792387"/>
    <w:rsid w:val="00792463"/>
    <w:rsid w:val="00792DC3"/>
    <w:rsid w:val="007946D6"/>
    <w:rsid w:val="0079580D"/>
    <w:rsid w:val="007A0B5F"/>
    <w:rsid w:val="007A3458"/>
    <w:rsid w:val="007A4889"/>
    <w:rsid w:val="007A4F3A"/>
    <w:rsid w:val="007A761C"/>
    <w:rsid w:val="007B1B0B"/>
    <w:rsid w:val="007B3B08"/>
    <w:rsid w:val="007B44D7"/>
    <w:rsid w:val="007B73ED"/>
    <w:rsid w:val="007C4372"/>
    <w:rsid w:val="007D1C7B"/>
    <w:rsid w:val="007D336D"/>
    <w:rsid w:val="007D439F"/>
    <w:rsid w:val="007D4E1E"/>
    <w:rsid w:val="007D513B"/>
    <w:rsid w:val="007E180A"/>
    <w:rsid w:val="007E43AA"/>
    <w:rsid w:val="007E4DC3"/>
    <w:rsid w:val="007E4FDA"/>
    <w:rsid w:val="007F087E"/>
    <w:rsid w:val="007F23BF"/>
    <w:rsid w:val="007F2634"/>
    <w:rsid w:val="007F3429"/>
    <w:rsid w:val="007F4672"/>
    <w:rsid w:val="007F75BC"/>
    <w:rsid w:val="00805348"/>
    <w:rsid w:val="00806E4A"/>
    <w:rsid w:val="00807FC0"/>
    <w:rsid w:val="00812128"/>
    <w:rsid w:val="00812DCA"/>
    <w:rsid w:val="008144D3"/>
    <w:rsid w:val="00824CA4"/>
    <w:rsid w:val="008308C4"/>
    <w:rsid w:val="008314B3"/>
    <w:rsid w:val="00831DF9"/>
    <w:rsid w:val="008339ED"/>
    <w:rsid w:val="00835FDE"/>
    <w:rsid w:val="0084262E"/>
    <w:rsid w:val="00846D9A"/>
    <w:rsid w:val="00847538"/>
    <w:rsid w:val="00850A08"/>
    <w:rsid w:val="00854E7E"/>
    <w:rsid w:val="00855322"/>
    <w:rsid w:val="00874799"/>
    <w:rsid w:val="00880710"/>
    <w:rsid w:val="0088145B"/>
    <w:rsid w:val="00882503"/>
    <w:rsid w:val="0088346B"/>
    <w:rsid w:val="00884A25"/>
    <w:rsid w:val="00884C89"/>
    <w:rsid w:val="00890CB5"/>
    <w:rsid w:val="00890E35"/>
    <w:rsid w:val="00892509"/>
    <w:rsid w:val="00892A50"/>
    <w:rsid w:val="00894B5B"/>
    <w:rsid w:val="008971F5"/>
    <w:rsid w:val="008A020C"/>
    <w:rsid w:val="008A1697"/>
    <w:rsid w:val="008A2B65"/>
    <w:rsid w:val="008A580F"/>
    <w:rsid w:val="008B0987"/>
    <w:rsid w:val="008B1EFB"/>
    <w:rsid w:val="008B2878"/>
    <w:rsid w:val="008C0C6B"/>
    <w:rsid w:val="008C77A5"/>
    <w:rsid w:val="008C7B62"/>
    <w:rsid w:val="008D08C9"/>
    <w:rsid w:val="008D435C"/>
    <w:rsid w:val="008D6112"/>
    <w:rsid w:val="008E20F3"/>
    <w:rsid w:val="008E22F7"/>
    <w:rsid w:val="008F00F1"/>
    <w:rsid w:val="008F25B7"/>
    <w:rsid w:val="008F6085"/>
    <w:rsid w:val="009017A5"/>
    <w:rsid w:val="009047B6"/>
    <w:rsid w:val="00906A80"/>
    <w:rsid w:val="00910E9E"/>
    <w:rsid w:val="0091128E"/>
    <w:rsid w:val="00912130"/>
    <w:rsid w:val="00913273"/>
    <w:rsid w:val="009172F3"/>
    <w:rsid w:val="00922FE4"/>
    <w:rsid w:val="00926F3F"/>
    <w:rsid w:val="00930528"/>
    <w:rsid w:val="00930BEF"/>
    <w:rsid w:val="00932580"/>
    <w:rsid w:val="00932772"/>
    <w:rsid w:val="00932F9D"/>
    <w:rsid w:val="00933655"/>
    <w:rsid w:val="00934F17"/>
    <w:rsid w:val="0093588A"/>
    <w:rsid w:val="00935B12"/>
    <w:rsid w:val="00940184"/>
    <w:rsid w:val="0094252A"/>
    <w:rsid w:val="00945D7D"/>
    <w:rsid w:val="00945F54"/>
    <w:rsid w:val="009534B5"/>
    <w:rsid w:val="009534E3"/>
    <w:rsid w:val="00953E64"/>
    <w:rsid w:val="00956CA3"/>
    <w:rsid w:val="00957484"/>
    <w:rsid w:val="00957E4C"/>
    <w:rsid w:val="00960346"/>
    <w:rsid w:val="00960A2B"/>
    <w:rsid w:val="00961C1D"/>
    <w:rsid w:val="00962FB3"/>
    <w:rsid w:val="009649FF"/>
    <w:rsid w:val="00966130"/>
    <w:rsid w:val="00966AC9"/>
    <w:rsid w:val="0097161F"/>
    <w:rsid w:val="00973242"/>
    <w:rsid w:val="00977409"/>
    <w:rsid w:val="00980521"/>
    <w:rsid w:val="00981064"/>
    <w:rsid w:val="00983F44"/>
    <w:rsid w:val="009847EF"/>
    <w:rsid w:val="00984EF9"/>
    <w:rsid w:val="00987236"/>
    <w:rsid w:val="00990C2D"/>
    <w:rsid w:val="0099552C"/>
    <w:rsid w:val="009A0A11"/>
    <w:rsid w:val="009A10F6"/>
    <w:rsid w:val="009A3992"/>
    <w:rsid w:val="009A5456"/>
    <w:rsid w:val="009A7F87"/>
    <w:rsid w:val="009B038C"/>
    <w:rsid w:val="009B5D44"/>
    <w:rsid w:val="009B69A1"/>
    <w:rsid w:val="009C1F3F"/>
    <w:rsid w:val="009C5FD8"/>
    <w:rsid w:val="009C6465"/>
    <w:rsid w:val="009C7755"/>
    <w:rsid w:val="009D05AD"/>
    <w:rsid w:val="009D0CCD"/>
    <w:rsid w:val="009D3677"/>
    <w:rsid w:val="009D75A2"/>
    <w:rsid w:val="009E5A82"/>
    <w:rsid w:val="009F2651"/>
    <w:rsid w:val="009F5DF5"/>
    <w:rsid w:val="009F6119"/>
    <w:rsid w:val="00A109D8"/>
    <w:rsid w:val="00A10A70"/>
    <w:rsid w:val="00A12DD4"/>
    <w:rsid w:val="00A15357"/>
    <w:rsid w:val="00A20396"/>
    <w:rsid w:val="00A22413"/>
    <w:rsid w:val="00A23179"/>
    <w:rsid w:val="00A25737"/>
    <w:rsid w:val="00A26CEF"/>
    <w:rsid w:val="00A2716A"/>
    <w:rsid w:val="00A311C5"/>
    <w:rsid w:val="00A3273D"/>
    <w:rsid w:val="00A3708A"/>
    <w:rsid w:val="00A37938"/>
    <w:rsid w:val="00A42D63"/>
    <w:rsid w:val="00A43819"/>
    <w:rsid w:val="00A45A47"/>
    <w:rsid w:val="00A46C0D"/>
    <w:rsid w:val="00A474C2"/>
    <w:rsid w:val="00A47E41"/>
    <w:rsid w:val="00A50F34"/>
    <w:rsid w:val="00A653AF"/>
    <w:rsid w:val="00A72775"/>
    <w:rsid w:val="00A72C3C"/>
    <w:rsid w:val="00A77EF0"/>
    <w:rsid w:val="00A821A9"/>
    <w:rsid w:val="00A82767"/>
    <w:rsid w:val="00A83FFD"/>
    <w:rsid w:val="00A8420B"/>
    <w:rsid w:val="00A97019"/>
    <w:rsid w:val="00A97E8A"/>
    <w:rsid w:val="00AA18D3"/>
    <w:rsid w:val="00AA2180"/>
    <w:rsid w:val="00AA254F"/>
    <w:rsid w:val="00AA5438"/>
    <w:rsid w:val="00AB3747"/>
    <w:rsid w:val="00AB5A3C"/>
    <w:rsid w:val="00AB714E"/>
    <w:rsid w:val="00AC3033"/>
    <w:rsid w:val="00AC30BB"/>
    <w:rsid w:val="00AC3F1A"/>
    <w:rsid w:val="00AD0BD5"/>
    <w:rsid w:val="00AE49DC"/>
    <w:rsid w:val="00AE5FA3"/>
    <w:rsid w:val="00AF2495"/>
    <w:rsid w:val="00AF7D57"/>
    <w:rsid w:val="00B01968"/>
    <w:rsid w:val="00B071D7"/>
    <w:rsid w:val="00B1048E"/>
    <w:rsid w:val="00B109BD"/>
    <w:rsid w:val="00B15DC8"/>
    <w:rsid w:val="00B220EE"/>
    <w:rsid w:val="00B25C51"/>
    <w:rsid w:val="00B300F3"/>
    <w:rsid w:val="00B31F94"/>
    <w:rsid w:val="00B32194"/>
    <w:rsid w:val="00B34E94"/>
    <w:rsid w:val="00B354E3"/>
    <w:rsid w:val="00B36CD2"/>
    <w:rsid w:val="00B4089F"/>
    <w:rsid w:val="00B41B01"/>
    <w:rsid w:val="00B44E9D"/>
    <w:rsid w:val="00B545AF"/>
    <w:rsid w:val="00B55011"/>
    <w:rsid w:val="00B56D4C"/>
    <w:rsid w:val="00B571D1"/>
    <w:rsid w:val="00B6108E"/>
    <w:rsid w:val="00B61A78"/>
    <w:rsid w:val="00B63006"/>
    <w:rsid w:val="00B653BE"/>
    <w:rsid w:val="00B71488"/>
    <w:rsid w:val="00B765A5"/>
    <w:rsid w:val="00B81B07"/>
    <w:rsid w:val="00B85053"/>
    <w:rsid w:val="00B90023"/>
    <w:rsid w:val="00B908F3"/>
    <w:rsid w:val="00B91D09"/>
    <w:rsid w:val="00B949D1"/>
    <w:rsid w:val="00B97069"/>
    <w:rsid w:val="00BA0999"/>
    <w:rsid w:val="00BA3FE5"/>
    <w:rsid w:val="00BA50F1"/>
    <w:rsid w:val="00BA5AA5"/>
    <w:rsid w:val="00BA6600"/>
    <w:rsid w:val="00BA7F60"/>
    <w:rsid w:val="00BB06FE"/>
    <w:rsid w:val="00BB0F43"/>
    <w:rsid w:val="00BB1EF2"/>
    <w:rsid w:val="00BB2734"/>
    <w:rsid w:val="00BB27E6"/>
    <w:rsid w:val="00BC3CBE"/>
    <w:rsid w:val="00BC66DD"/>
    <w:rsid w:val="00BD0215"/>
    <w:rsid w:val="00BD699E"/>
    <w:rsid w:val="00BD6E59"/>
    <w:rsid w:val="00BD7BC1"/>
    <w:rsid w:val="00BE41B5"/>
    <w:rsid w:val="00BF10A3"/>
    <w:rsid w:val="00BF77B3"/>
    <w:rsid w:val="00BF7BF3"/>
    <w:rsid w:val="00C06902"/>
    <w:rsid w:val="00C06F0F"/>
    <w:rsid w:val="00C07872"/>
    <w:rsid w:val="00C16BD7"/>
    <w:rsid w:val="00C21F43"/>
    <w:rsid w:val="00C24C1B"/>
    <w:rsid w:val="00C309C0"/>
    <w:rsid w:val="00C30ACE"/>
    <w:rsid w:val="00C315A8"/>
    <w:rsid w:val="00C34977"/>
    <w:rsid w:val="00C357F3"/>
    <w:rsid w:val="00C37611"/>
    <w:rsid w:val="00C42F17"/>
    <w:rsid w:val="00C43EF3"/>
    <w:rsid w:val="00C43F12"/>
    <w:rsid w:val="00C4487E"/>
    <w:rsid w:val="00C46EEC"/>
    <w:rsid w:val="00C513D2"/>
    <w:rsid w:val="00C555A8"/>
    <w:rsid w:val="00C55AFB"/>
    <w:rsid w:val="00C5690E"/>
    <w:rsid w:val="00C62BEA"/>
    <w:rsid w:val="00C632A1"/>
    <w:rsid w:val="00C63F07"/>
    <w:rsid w:val="00C66FEB"/>
    <w:rsid w:val="00C672D8"/>
    <w:rsid w:val="00C70727"/>
    <w:rsid w:val="00C7092D"/>
    <w:rsid w:val="00C76712"/>
    <w:rsid w:val="00C77E5B"/>
    <w:rsid w:val="00C80CED"/>
    <w:rsid w:val="00C83AF2"/>
    <w:rsid w:val="00C8592E"/>
    <w:rsid w:val="00C86531"/>
    <w:rsid w:val="00C86775"/>
    <w:rsid w:val="00C9022A"/>
    <w:rsid w:val="00C9192D"/>
    <w:rsid w:val="00C9322F"/>
    <w:rsid w:val="00C95316"/>
    <w:rsid w:val="00C979F5"/>
    <w:rsid w:val="00CA0E45"/>
    <w:rsid w:val="00CA2CB3"/>
    <w:rsid w:val="00CB0D82"/>
    <w:rsid w:val="00CB2A4E"/>
    <w:rsid w:val="00CB3A07"/>
    <w:rsid w:val="00CB4E31"/>
    <w:rsid w:val="00CB6F92"/>
    <w:rsid w:val="00CC0B1F"/>
    <w:rsid w:val="00CC123B"/>
    <w:rsid w:val="00CC3395"/>
    <w:rsid w:val="00CC4BD3"/>
    <w:rsid w:val="00CC5581"/>
    <w:rsid w:val="00CD20AC"/>
    <w:rsid w:val="00CD24C1"/>
    <w:rsid w:val="00CD5F07"/>
    <w:rsid w:val="00CE501F"/>
    <w:rsid w:val="00CE5F39"/>
    <w:rsid w:val="00CE6498"/>
    <w:rsid w:val="00CF039D"/>
    <w:rsid w:val="00CF0CA4"/>
    <w:rsid w:val="00CF190E"/>
    <w:rsid w:val="00CF25EF"/>
    <w:rsid w:val="00CF393B"/>
    <w:rsid w:val="00CF426B"/>
    <w:rsid w:val="00D01DE7"/>
    <w:rsid w:val="00D0210C"/>
    <w:rsid w:val="00D027F3"/>
    <w:rsid w:val="00D064C3"/>
    <w:rsid w:val="00D06931"/>
    <w:rsid w:val="00D15703"/>
    <w:rsid w:val="00D17111"/>
    <w:rsid w:val="00D211F8"/>
    <w:rsid w:val="00D23BC0"/>
    <w:rsid w:val="00D23E3E"/>
    <w:rsid w:val="00D305D5"/>
    <w:rsid w:val="00D3187C"/>
    <w:rsid w:val="00D32109"/>
    <w:rsid w:val="00D33460"/>
    <w:rsid w:val="00D43011"/>
    <w:rsid w:val="00D45408"/>
    <w:rsid w:val="00D46BC1"/>
    <w:rsid w:val="00D47565"/>
    <w:rsid w:val="00D50709"/>
    <w:rsid w:val="00D51883"/>
    <w:rsid w:val="00D528A8"/>
    <w:rsid w:val="00D53193"/>
    <w:rsid w:val="00D53F3E"/>
    <w:rsid w:val="00D54D73"/>
    <w:rsid w:val="00D558F1"/>
    <w:rsid w:val="00D55BA5"/>
    <w:rsid w:val="00D56051"/>
    <w:rsid w:val="00D5767B"/>
    <w:rsid w:val="00D60C78"/>
    <w:rsid w:val="00D62764"/>
    <w:rsid w:val="00D64C0F"/>
    <w:rsid w:val="00D674ED"/>
    <w:rsid w:val="00D72275"/>
    <w:rsid w:val="00D7284B"/>
    <w:rsid w:val="00D72FA3"/>
    <w:rsid w:val="00D763F7"/>
    <w:rsid w:val="00D80B44"/>
    <w:rsid w:val="00D80F64"/>
    <w:rsid w:val="00D837C6"/>
    <w:rsid w:val="00D86636"/>
    <w:rsid w:val="00D91954"/>
    <w:rsid w:val="00D91A01"/>
    <w:rsid w:val="00D965F8"/>
    <w:rsid w:val="00DA59A1"/>
    <w:rsid w:val="00DA5B7F"/>
    <w:rsid w:val="00DA63E1"/>
    <w:rsid w:val="00DB3650"/>
    <w:rsid w:val="00DC2F18"/>
    <w:rsid w:val="00DC7175"/>
    <w:rsid w:val="00DD0FAE"/>
    <w:rsid w:val="00DD2CEE"/>
    <w:rsid w:val="00DD338A"/>
    <w:rsid w:val="00DD646A"/>
    <w:rsid w:val="00DE0845"/>
    <w:rsid w:val="00DE7428"/>
    <w:rsid w:val="00DF5269"/>
    <w:rsid w:val="00DF70F5"/>
    <w:rsid w:val="00DF755D"/>
    <w:rsid w:val="00DF7AF3"/>
    <w:rsid w:val="00E02600"/>
    <w:rsid w:val="00E029CD"/>
    <w:rsid w:val="00E05FA0"/>
    <w:rsid w:val="00E16086"/>
    <w:rsid w:val="00E16BD0"/>
    <w:rsid w:val="00E16FED"/>
    <w:rsid w:val="00E2428E"/>
    <w:rsid w:val="00E2490F"/>
    <w:rsid w:val="00E24FA3"/>
    <w:rsid w:val="00E31C97"/>
    <w:rsid w:val="00E32103"/>
    <w:rsid w:val="00E32869"/>
    <w:rsid w:val="00E36DC8"/>
    <w:rsid w:val="00E4053F"/>
    <w:rsid w:val="00E41276"/>
    <w:rsid w:val="00E42C97"/>
    <w:rsid w:val="00E44A57"/>
    <w:rsid w:val="00E46565"/>
    <w:rsid w:val="00E522AC"/>
    <w:rsid w:val="00E52709"/>
    <w:rsid w:val="00E53708"/>
    <w:rsid w:val="00E623F6"/>
    <w:rsid w:val="00E62D46"/>
    <w:rsid w:val="00E63865"/>
    <w:rsid w:val="00E644C5"/>
    <w:rsid w:val="00E67CB0"/>
    <w:rsid w:val="00E7322E"/>
    <w:rsid w:val="00E74820"/>
    <w:rsid w:val="00E74AE1"/>
    <w:rsid w:val="00E75661"/>
    <w:rsid w:val="00E75BA3"/>
    <w:rsid w:val="00E76922"/>
    <w:rsid w:val="00E77F97"/>
    <w:rsid w:val="00E814A6"/>
    <w:rsid w:val="00E833E5"/>
    <w:rsid w:val="00E933F2"/>
    <w:rsid w:val="00E93746"/>
    <w:rsid w:val="00E965FC"/>
    <w:rsid w:val="00EA4196"/>
    <w:rsid w:val="00EA66AE"/>
    <w:rsid w:val="00EA66EF"/>
    <w:rsid w:val="00ED0DFE"/>
    <w:rsid w:val="00ED0EED"/>
    <w:rsid w:val="00ED5547"/>
    <w:rsid w:val="00ED7C55"/>
    <w:rsid w:val="00EE0CF2"/>
    <w:rsid w:val="00EE58C1"/>
    <w:rsid w:val="00F02B75"/>
    <w:rsid w:val="00F05F51"/>
    <w:rsid w:val="00F077B1"/>
    <w:rsid w:val="00F07AC4"/>
    <w:rsid w:val="00F11D91"/>
    <w:rsid w:val="00F1273F"/>
    <w:rsid w:val="00F12B9E"/>
    <w:rsid w:val="00F13367"/>
    <w:rsid w:val="00F14AFB"/>
    <w:rsid w:val="00F21BC8"/>
    <w:rsid w:val="00F22397"/>
    <w:rsid w:val="00F23C52"/>
    <w:rsid w:val="00F31560"/>
    <w:rsid w:val="00F34F95"/>
    <w:rsid w:val="00F35935"/>
    <w:rsid w:val="00F42323"/>
    <w:rsid w:val="00F42E82"/>
    <w:rsid w:val="00F442CC"/>
    <w:rsid w:val="00F472B7"/>
    <w:rsid w:val="00F5043A"/>
    <w:rsid w:val="00F50693"/>
    <w:rsid w:val="00F515C8"/>
    <w:rsid w:val="00F51F69"/>
    <w:rsid w:val="00F5275A"/>
    <w:rsid w:val="00F5376C"/>
    <w:rsid w:val="00F561FD"/>
    <w:rsid w:val="00F56C55"/>
    <w:rsid w:val="00F6007A"/>
    <w:rsid w:val="00F630A5"/>
    <w:rsid w:val="00F663B4"/>
    <w:rsid w:val="00F670AE"/>
    <w:rsid w:val="00F67B51"/>
    <w:rsid w:val="00F709C7"/>
    <w:rsid w:val="00F71040"/>
    <w:rsid w:val="00F72FF5"/>
    <w:rsid w:val="00F73066"/>
    <w:rsid w:val="00F7552C"/>
    <w:rsid w:val="00F76756"/>
    <w:rsid w:val="00F77C8A"/>
    <w:rsid w:val="00F84C09"/>
    <w:rsid w:val="00F85DC4"/>
    <w:rsid w:val="00F86F31"/>
    <w:rsid w:val="00F874B5"/>
    <w:rsid w:val="00F9261A"/>
    <w:rsid w:val="00F958AF"/>
    <w:rsid w:val="00F966DF"/>
    <w:rsid w:val="00F96B6D"/>
    <w:rsid w:val="00FA0319"/>
    <w:rsid w:val="00FA298B"/>
    <w:rsid w:val="00FA433A"/>
    <w:rsid w:val="00FA72E0"/>
    <w:rsid w:val="00FB468C"/>
    <w:rsid w:val="00FB48CD"/>
    <w:rsid w:val="00FB73C5"/>
    <w:rsid w:val="00FB7559"/>
    <w:rsid w:val="00FC4E9B"/>
    <w:rsid w:val="00FC572F"/>
    <w:rsid w:val="00FD0F9A"/>
    <w:rsid w:val="00FD39DA"/>
    <w:rsid w:val="00FD7055"/>
    <w:rsid w:val="00FF59AD"/>
    <w:rsid w:val="00FF69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0D8A6-D4DF-4E47-92A3-1C5C1F23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6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46C7"/>
  </w:style>
  <w:style w:type="paragraph" w:styleId="Footer">
    <w:name w:val="footer"/>
    <w:basedOn w:val="Normal"/>
    <w:link w:val="FooterChar"/>
    <w:unhideWhenUsed/>
    <w:rsid w:val="004846C7"/>
    <w:pPr>
      <w:tabs>
        <w:tab w:val="center" w:pos="4153"/>
        <w:tab w:val="right" w:pos="8306"/>
      </w:tabs>
      <w:spacing w:after="0" w:line="240" w:lineRule="auto"/>
    </w:pPr>
  </w:style>
  <w:style w:type="character" w:customStyle="1" w:styleId="FooterChar">
    <w:name w:val="Footer Char"/>
    <w:basedOn w:val="DefaultParagraphFont"/>
    <w:link w:val="Footer"/>
    <w:rsid w:val="004846C7"/>
  </w:style>
  <w:style w:type="paragraph" w:styleId="ListParagraph">
    <w:name w:val="List Paragraph"/>
    <w:aliases w:val="2,Akapit z listą BS,Numbered Para 1,Dot pt,No Spacing1,List Paragraph Char Char Char,Indicator Text,List Paragraph1,Bullet 1,Bullet Points,MAIN CONTENT,IFCL - List Paragraph,List Paragraph12,OBC Bullet,F5 List Paragraph,Strip,Bullet Styl"/>
    <w:basedOn w:val="Normal"/>
    <w:link w:val="ListParagraphChar"/>
    <w:uiPriority w:val="34"/>
    <w:qFormat/>
    <w:rsid w:val="00694CF9"/>
    <w:pPr>
      <w:spacing w:after="0" w:line="240" w:lineRule="auto"/>
      <w:ind w:left="720"/>
      <w:contextualSpacing/>
    </w:pPr>
    <w:rPr>
      <w:rFonts w:ascii="Times New Roman" w:eastAsia="Times New Roman" w:hAnsi="Times New Roman" w:cs="Times New Roman"/>
      <w:sz w:val="24"/>
      <w:szCs w:val="24"/>
      <w:lang w:eastAsia="lv-LV"/>
    </w:rPr>
  </w:style>
  <w:style w:type="character" w:styleId="Hyperlink">
    <w:name w:val="Hyperlink"/>
    <w:basedOn w:val="DefaultParagraphFont"/>
    <w:uiPriority w:val="99"/>
    <w:rsid w:val="00694CF9"/>
    <w:rPr>
      <w:color w:val="0000FF"/>
      <w:u w:val="single"/>
    </w:rPr>
  </w:style>
  <w:style w:type="character" w:styleId="FootnoteReference">
    <w:name w:val="footnote reference"/>
    <w:aliases w:val="Footnote Reference Superscript,Footnote symbol,Footnote Reference Number,SUPERS,ftref,Footnote Refernece,stylish,BVI fnr,Fußnotenzeichen_Raxen,callout,Footnote symbFootnote Refernece,fr,Odwołanie przypisu,Footnotes refss,Ref,E,E FNZ"/>
    <w:basedOn w:val="DefaultParagraphFont"/>
    <w:link w:val="CharCharCharChar"/>
    <w:uiPriority w:val="99"/>
    <w:unhideWhenUsed/>
    <w:qFormat/>
    <w:rsid w:val="00694CF9"/>
    <w:rPr>
      <w:vertAlign w:val="superscript"/>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ußno"/>
    <w:basedOn w:val="Normal"/>
    <w:link w:val="FootnoteTextChar"/>
    <w:uiPriority w:val="99"/>
    <w:unhideWhenUsed/>
    <w:qFormat/>
    <w:rsid w:val="00694CF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sid w:val="00694CF9"/>
    <w:rPr>
      <w:rFonts w:ascii="Times New Roman" w:eastAsia="Times New Roman" w:hAnsi="Times New Roman" w:cs="Times New Roman"/>
      <w:sz w:val="20"/>
      <w:szCs w:val="20"/>
      <w:lang w:eastAsia="lv-LV"/>
    </w:rPr>
  </w:style>
  <w:style w:type="table" w:styleId="TableGrid">
    <w:name w:val="Table Grid"/>
    <w:basedOn w:val="TableNormal"/>
    <w:uiPriority w:val="39"/>
    <w:rsid w:val="00A2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038C"/>
    <w:rPr>
      <w:b/>
      <w:bCs/>
    </w:rPr>
  </w:style>
  <w:style w:type="character" w:customStyle="1" w:styleId="st1">
    <w:name w:val="st1"/>
    <w:basedOn w:val="DefaultParagraphFont"/>
    <w:rsid w:val="009B038C"/>
  </w:style>
  <w:style w:type="paragraph" w:customStyle="1" w:styleId="CharCharCharChar">
    <w:name w:val="Char Char Char Char"/>
    <w:aliases w:val="Char2"/>
    <w:basedOn w:val="Normal"/>
    <w:next w:val="Normal"/>
    <w:link w:val="FootnoteReference"/>
    <w:uiPriority w:val="99"/>
    <w:rsid w:val="000C67D6"/>
    <w:pPr>
      <w:spacing w:line="240" w:lineRule="exact"/>
      <w:textAlignment w:val="baseline"/>
    </w:pPr>
    <w:rPr>
      <w:vertAlign w:val="superscript"/>
    </w:rPr>
  </w:style>
  <w:style w:type="character" w:styleId="Emphasis">
    <w:name w:val="Emphasis"/>
    <w:basedOn w:val="DefaultParagraphFont"/>
    <w:uiPriority w:val="20"/>
    <w:qFormat/>
    <w:rsid w:val="000C67D6"/>
    <w:rPr>
      <w:b/>
      <w:bCs/>
      <w:i w:val="0"/>
      <w:iCs w:val="0"/>
    </w:rPr>
  </w:style>
  <w:style w:type="character" w:customStyle="1" w:styleId="ListParagraphChar">
    <w:name w:val="List Paragraph Char"/>
    <w:aliases w:val="2 Char,Akapit z listą BS Char,Numbered Para 1 Char,Dot pt Char,No Spacing1 Char,List Paragraph Char Char Char Char,Indicator Text Char,List Paragraph1 Char,Bullet 1 Char,Bullet Points Char,MAIN CONTENT Char,IFCL - List Paragraph Char"/>
    <w:link w:val="ListParagraph"/>
    <w:uiPriority w:val="34"/>
    <w:qFormat/>
    <w:locked/>
    <w:rsid w:val="00B71488"/>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BB27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806E4A"/>
    <w:rPr>
      <w:color w:val="954F72" w:themeColor="followedHyperlink"/>
      <w:u w:val="single"/>
    </w:rPr>
  </w:style>
  <w:style w:type="paragraph" w:customStyle="1" w:styleId="tv2132">
    <w:name w:val="tv2132"/>
    <w:basedOn w:val="Normal"/>
    <w:rsid w:val="00E933F2"/>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B41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B01"/>
    <w:rPr>
      <w:rFonts w:ascii="Segoe UI" w:hAnsi="Segoe UI" w:cs="Segoe UI"/>
      <w:sz w:val="18"/>
      <w:szCs w:val="18"/>
    </w:rPr>
  </w:style>
  <w:style w:type="paragraph" w:styleId="BodyTextIndent2">
    <w:name w:val="Body Text Indent 2"/>
    <w:basedOn w:val="Normal"/>
    <w:link w:val="BodyTextIndent2Char"/>
    <w:uiPriority w:val="99"/>
    <w:unhideWhenUsed/>
    <w:rsid w:val="000A570E"/>
    <w:pPr>
      <w:spacing w:after="120" w:line="480" w:lineRule="auto"/>
      <w:ind w:left="283"/>
    </w:pPr>
    <w:rPr>
      <w:rFonts w:ascii="Cambria" w:eastAsia="Calibri" w:hAnsi="Cambria" w:cs="Times New Roman"/>
      <w:sz w:val="20"/>
      <w:szCs w:val="24"/>
    </w:rPr>
  </w:style>
  <w:style w:type="character" w:customStyle="1" w:styleId="BodyTextIndent2Char">
    <w:name w:val="Body Text Indent 2 Char"/>
    <w:basedOn w:val="DefaultParagraphFont"/>
    <w:link w:val="BodyTextIndent2"/>
    <w:uiPriority w:val="99"/>
    <w:rsid w:val="000A570E"/>
    <w:rPr>
      <w:rFonts w:ascii="Cambria" w:eastAsia="Calibri" w:hAnsi="Cambria" w:cs="Times New Roman"/>
      <w:sz w:val="20"/>
      <w:szCs w:val="24"/>
    </w:rPr>
  </w:style>
  <w:style w:type="paragraph" w:styleId="CommentText">
    <w:name w:val="annotation text"/>
    <w:basedOn w:val="Normal"/>
    <w:link w:val="CommentTextChar"/>
    <w:uiPriority w:val="99"/>
    <w:unhideWhenUsed/>
    <w:rsid w:val="008C77A5"/>
    <w:pPr>
      <w:spacing w:line="240" w:lineRule="auto"/>
    </w:pPr>
    <w:rPr>
      <w:sz w:val="20"/>
      <w:szCs w:val="20"/>
    </w:rPr>
  </w:style>
  <w:style w:type="character" w:customStyle="1" w:styleId="CommentTextChar">
    <w:name w:val="Comment Text Char"/>
    <w:basedOn w:val="DefaultParagraphFont"/>
    <w:link w:val="CommentText"/>
    <w:uiPriority w:val="99"/>
    <w:rsid w:val="008C77A5"/>
    <w:rPr>
      <w:sz w:val="20"/>
      <w:szCs w:val="20"/>
    </w:rPr>
  </w:style>
  <w:style w:type="character" w:styleId="CommentReference">
    <w:name w:val="annotation reference"/>
    <w:basedOn w:val="DefaultParagraphFont"/>
    <w:uiPriority w:val="99"/>
    <w:semiHidden/>
    <w:unhideWhenUsed/>
    <w:rsid w:val="0025041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11122">
      <w:bodyDiv w:val="1"/>
      <w:marLeft w:val="0"/>
      <w:marRight w:val="0"/>
      <w:marTop w:val="0"/>
      <w:marBottom w:val="0"/>
      <w:divBdr>
        <w:top w:val="none" w:sz="0" w:space="0" w:color="auto"/>
        <w:left w:val="none" w:sz="0" w:space="0" w:color="auto"/>
        <w:bottom w:val="none" w:sz="0" w:space="0" w:color="auto"/>
        <w:right w:val="none" w:sz="0" w:space="0" w:color="auto"/>
      </w:divBdr>
    </w:div>
    <w:div w:id="302658248">
      <w:bodyDiv w:val="1"/>
      <w:marLeft w:val="0"/>
      <w:marRight w:val="0"/>
      <w:marTop w:val="0"/>
      <w:marBottom w:val="0"/>
      <w:divBdr>
        <w:top w:val="none" w:sz="0" w:space="0" w:color="auto"/>
        <w:left w:val="none" w:sz="0" w:space="0" w:color="auto"/>
        <w:bottom w:val="none" w:sz="0" w:space="0" w:color="auto"/>
        <w:right w:val="none" w:sz="0" w:space="0" w:color="auto"/>
      </w:divBdr>
      <w:divsChild>
        <w:div w:id="1426075949">
          <w:marLeft w:val="0"/>
          <w:marRight w:val="0"/>
          <w:marTop w:val="0"/>
          <w:marBottom w:val="0"/>
          <w:divBdr>
            <w:top w:val="none" w:sz="0" w:space="0" w:color="auto"/>
            <w:left w:val="none" w:sz="0" w:space="0" w:color="auto"/>
            <w:bottom w:val="none" w:sz="0" w:space="0" w:color="auto"/>
            <w:right w:val="none" w:sz="0" w:space="0" w:color="auto"/>
          </w:divBdr>
          <w:divsChild>
            <w:div w:id="615914537">
              <w:marLeft w:val="0"/>
              <w:marRight w:val="0"/>
              <w:marTop w:val="0"/>
              <w:marBottom w:val="0"/>
              <w:divBdr>
                <w:top w:val="none" w:sz="0" w:space="0" w:color="auto"/>
                <w:left w:val="none" w:sz="0" w:space="0" w:color="auto"/>
                <w:bottom w:val="none" w:sz="0" w:space="0" w:color="auto"/>
                <w:right w:val="none" w:sz="0" w:space="0" w:color="auto"/>
              </w:divBdr>
              <w:divsChild>
                <w:div w:id="722144831">
                  <w:marLeft w:val="0"/>
                  <w:marRight w:val="0"/>
                  <w:marTop w:val="0"/>
                  <w:marBottom w:val="0"/>
                  <w:divBdr>
                    <w:top w:val="none" w:sz="0" w:space="0" w:color="auto"/>
                    <w:left w:val="none" w:sz="0" w:space="0" w:color="auto"/>
                    <w:bottom w:val="none" w:sz="0" w:space="0" w:color="auto"/>
                    <w:right w:val="none" w:sz="0" w:space="0" w:color="auto"/>
                  </w:divBdr>
                  <w:divsChild>
                    <w:div w:id="1501582223">
                      <w:marLeft w:val="0"/>
                      <w:marRight w:val="0"/>
                      <w:marTop w:val="0"/>
                      <w:marBottom w:val="0"/>
                      <w:divBdr>
                        <w:top w:val="none" w:sz="0" w:space="0" w:color="auto"/>
                        <w:left w:val="none" w:sz="0" w:space="0" w:color="auto"/>
                        <w:bottom w:val="none" w:sz="0" w:space="0" w:color="auto"/>
                        <w:right w:val="none" w:sz="0" w:space="0" w:color="auto"/>
                      </w:divBdr>
                      <w:divsChild>
                        <w:div w:id="1215043485">
                          <w:marLeft w:val="0"/>
                          <w:marRight w:val="0"/>
                          <w:marTop w:val="0"/>
                          <w:marBottom w:val="0"/>
                          <w:divBdr>
                            <w:top w:val="none" w:sz="0" w:space="0" w:color="auto"/>
                            <w:left w:val="none" w:sz="0" w:space="0" w:color="auto"/>
                            <w:bottom w:val="none" w:sz="0" w:space="0" w:color="auto"/>
                            <w:right w:val="none" w:sz="0" w:space="0" w:color="auto"/>
                          </w:divBdr>
                          <w:divsChild>
                            <w:div w:id="3898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046313">
      <w:bodyDiv w:val="1"/>
      <w:marLeft w:val="0"/>
      <w:marRight w:val="0"/>
      <w:marTop w:val="0"/>
      <w:marBottom w:val="0"/>
      <w:divBdr>
        <w:top w:val="none" w:sz="0" w:space="0" w:color="auto"/>
        <w:left w:val="none" w:sz="0" w:space="0" w:color="auto"/>
        <w:bottom w:val="none" w:sz="0" w:space="0" w:color="auto"/>
        <w:right w:val="none" w:sz="0" w:space="0" w:color="auto"/>
      </w:divBdr>
    </w:div>
    <w:div w:id="1054936860">
      <w:bodyDiv w:val="1"/>
      <w:marLeft w:val="0"/>
      <w:marRight w:val="0"/>
      <w:marTop w:val="0"/>
      <w:marBottom w:val="0"/>
      <w:divBdr>
        <w:top w:val="none" w:sz="0" w:space="0" w:color="auto"/>
        <w:left w:val="none" w:sz="0" w:space="0" w:color="auto"/>
        <w:bottom w:val="none" w:sz="0" w:space="0" w:color="auto"/>
        <w:right w:val="none" w:sz="0" w:space="0" w:color="auto"/>
      </w:divBdr>
    </w:div>
    <w:div w:id="1308559420">
      <w:bodyDiv w:val="1"/>
      <w:marLeft w:val="0"/>
      <w:marRight w:val="0"/>
      <w:marTop w:val="0"/>
      <w:marBottom w:val="0"/>
      <w:divBdr>
        <w:top w:val="none" w:sz="0" w:space="0" w:color="auto"/>
        <w:left w:val="none" w:sz="0" w:space="0" w:color="auto"/>
        <w:bottom w:val="none" w:sz="0" w:space="0" w:color="auto"/>
        <w:right w:val="none" w:sz="0" w:space="0" w:color="auto"/>
      </w:divBdr>
      <w:divsChild>
        <w:div w:id="482624409">
          <w:marLeft w:val="0"/>
          <w:marRight w:val="0"/>
          <w:marTop w:val="0"/>
          <w:marBottom w:val="0"/>
          <w:divBdr>
            <w:top w:val="none" w:sz="0" w:space="0" w:color="auto"/>
            <w:left w:val="none" w:sz="0" w:space="0" w:color="auto"/>
            <w:bottom w:val="none" w:sz="0" w:space="0" w:color="auto"/>
            <w:right w:val="none" w:sz="0" w:space="0" w:color="auto"/>
          </w:divBdr>
          <w:divsChild>
            <w:div w:id="1842895182">
              <w:marLeft w:val="0"/>
              <w:marRight w:val="0"/>
              <w:marTop w:val="0"/>
              <w:marBottom w:val="0"/>
              <w:divBdr>
                <w:top w:val="none" w:sz="0" w:space="0" w:color="auto"/>
                <w:left w:val="none" w:sz="0" w:space="0" w:color="auto"/>
                <w:bottom w:val="none" w:sz="0" w:space="0" w:color="auto"/>
                <w:right w:val="none" w:sz="0" w:space="0" w:color="auto"/>
              </w:divBdr>
              <w:divsChild>
                <w:div w:id="875578949">
                  <w:marLeft w:val="0"/>
                  <w:marRight w:val="0"/>
                  <w:marTop w:val="0"/>
                  <w:marBottom w:val="0"/>
                  <w:divBdr>
                    <w:top w:val="none" w:sz="0" w:space="0" w:color="auto"/>
                    <w:left w:val="none" w:sz="0" w:space="0" w:color="auto"/>
                    <w:bottom w:val="none" w:sz="0" w:space="0" w:color="auto"/>
                    <w:right w:val="none" w:sz="0" w:space="0" w:color="auto"/>
                  </w:divBdr>
                  <w:divsChild>
                    <w:div w:id="940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2167">
      <w:bodyDiv w:val="1"/>
      <w:marLeft w:val="0"/>
      <w:marRight w:val="0"/>
      <w:marTop w:val="0"/>
      <w:marBottom w:val="0"/>
      <w:divBdr>
        <w:top w:val="none" w:sz="0" w:space="0" w:color="auto"/>
        <w:left w:val="none" w:sz="0" w:space="0" w:color="auto"/>
        <w:bottom w:val="none" w:sz="0" w:space="0" w:color="auto"/>
        <w:right w:val="none" w:sz="0" w:space="0" w:color="auto"/>
      </w:divBdr>
    </w:div>
    <w:div w:id="1350065568">
      <w:bodyDiv w:val="1"/>
      <w:marLeft w:val="0"/>
      <w:marRight w:val="0"/>
      <w:marTop w:val="0"/>
      <w:marBottom w:val="0"/>
      <w:divBdr>
        <w:top w:val="none" w:sz="0" w:space="0" w:color="auto"/>
        <w:left w:val="none" w:sz="0" w:space="0" w:color="auto"/>
        <w:bottom w:val="none" w:sz="0" w:space="0" w:color="auto"/>
        <w:right w:val="none" w:sz="0" w:space="0" w:color="auto"/>
      </w:divBdr>
      <w:divsChild>
        <w:div w:id="1569919009">
          <w:marLeft w:val="0"/>
          <w:marRight w:val="0"/>
          <w:marTop w:val="0"/>
          <w:marBottom w:val="0"/>
          <w:divBdr>
            <w:top w:val="none" w:sz="0" w:space="0" w:color="auto"/>
            <w:left w:val="none" w:sz="0" w:space="0" w:color="auto"/>
            <w:bottom w:val="none" w:sz="0" w:space="0" w:color="auto"/>
            <w:right w:val="none" w:sz="0" w:space="0" w:color="auto"/>
          </w:divBdr>
          <w:divsChild>
            <w:div w:id="72703505">
              <w:marLeft w:val="0"/>
              <w:marRight w:val="0"/>
              <w:marTop w:val="0"/>
              <w:marBottom w:val="0"/>
              <w:divBdr>
                <w:top w:val="none" w:sz="0" w:space="0" w:color="auto"/>
                <w:left w:val="none" w:sz="0" w:space="0" w:color="auto"/>
                <w:bottom w:val="none" w:sz="0" w:space="0" w:color="auto"/>
                <w:right w:val="none" w:sz="0" w:space="0" w:color="auto"/>
              </w:divBdr>
              <w:divsChild>
                <w:div w:id="1388842912">
                  <w:marLeft w:val="0"/>
                  <w:marRight w:val="0"/>
                  <w:marTop w:val="0"/>
                  <w:marBottom w:val="0"/>
                  <w:divBdr>
                    <w:top w:val="none" w:sz="0" w:space="0" w:color="auto"/>
                    <w:left w:val="none" w:sz="0" w:space="0" w:color="auto"/>
                    <w:bottom w:val="none" w:sz="0" w:space="0" w:color="auto"/>
                    <w:right w:val="none" w:sz="0" w:space="0" w:color="auto"/>
                  </w:divBdr>
                  <w:divsChild>
                    <w:div w:id="6746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03256">
      <w:bodyDiv w:val="1"/>
      <w:marLeft w:val="0"/>
      <w:marRight w:val="0"/>
      <w:marTop w:val="0"/>
      <w:marBottom w:val="0"/>
      <w:divBdr>
        <w:top w:val="none" w:sz="0" w:space="0" w:color="auto"/>
        <w:left w:val="none" w:sz="0" w:space="0" w:color="auto"/>
        <w:bottom w:val="none" w:sz="0" w:space="0" w:color="auto"/>
        <w:right w:val="none" w:sz="0" w:space="0" w:color="auto"/>
      </w:divBdr>
      <w:divsChild>
        <w:div w:id="1172724217">
          <w:marLeft w:val="0"/>
          <w:marRight w:val="0"/>
          <w:marTop w:val="0"/>
          <w:marBottom w:val="0"/>
          <w:divBdr>
            <w:top w:val="none" w:sz="0" w:space="0" w:color="auto"/>
            <w:left w:val="none" w:sz="0" w:space="0" w:color="auto"/>
            <w:bottom w:val="none" w:sz="0" w:space="0" w:color="auto"/>
            <w:right w:val="none" w:sz="0" w:space="0" w:color="auto"/>
          </w:divBdr>
          <w:divsChild>
            <w:div w:id="248001495">
              <w:marLeft w:val="0"/>
              <w:marRight w:val="0"/>
              <w:marTop w:val="0"/>
              <w:marBottom w:val="0"/>
              <w:divBdr>
                <w:top w:val="none" w:sz="0" w:space="0" w:color="auto"/>
                <w:left w:val="none" w:sz="0" w:space="0" w:color="auto"/>
                <w:bottom w:val="none" w:sz="0" w:space="0" w:color="auto"/>
                <w:right w:val="none" w:sz="0" w:space="0" w:color="auto"/>
              </w:divBdr>
              <w:divsChild>
                <w:div w:id="924068293">
                  <w:marLeft w:val="0"/>
                  <w:marRight w:val="0"/>
                  <w:marTop w:val="0"/>
                  <w:marBottom w:val="0"/>
                  <w:divBdr>
                    <w:top w:val="none" w:sz="0" w:space="0" w:color="auto"/>
                    <w:left w:val="none" w:sz="0" w:space="0" w:color="auto"/>
                    <w:bottom w:val="none" w:sz="0" w:space="0" w:color="auto"/>
                    <w:right w:val="none" w:sz="0" w:space="0" w:color="auto"/>
                  </w:divBdr>
                  <w:divsChild>
                    <w:div w:id="1895197344">
                      <w:marLeft w:val="0"/>
                      <w:marRight w:val="0"/>
                      <w:marTop w:val="0"/>
                      <w:marBottom w:val="0"/>
                      <w:divBdr>
                        <w:top w:val="none" w:sz="0" w:space="0" w:color="auto"/>
                        <w:left w:val="none" w:sz="0" w:space="0" w:color="auto"/>
                        <w:bottom w:val="none" w:sz="0" w:space="0" w:color="auto"/>
                        <w:right w:val="none" w:sz="0" w:space="0" w:color="auto"/>
                      </w:divBdr>
                      <w:divsChild>
                        <w:div w:id="3953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159221">
      <w:bodyDiv w:val="1"/>
      <w:marLeft w:val="0"/>
      <w:marRight w:val="0"/>
      <w:marTop w:val="0"/>
      <w:marBottom w:val="0"/>
      <w:divBdr>
        <w:top w:val="none" w:sz="0" w:space="0" w:color="auto"/>
        <w:left w:val="none" w:sz="0" w:space="0" w:color="auto"/>
        <w:bottom w:val="none" w:sz="0" w:space="0" w:color="auto"/>
        <w:right w:val="none" w:sz="0" w:space="0" w:color="auto"/>
      </w:divBdr>
      <w:divsChild>
        <w:div w:id="2124810349">
          <w:marLeft w:val="0"/>
          <w:marRight w:val="0"/>
          <w:marTop w:val="0"/>
          <w:marBottom w:val="0"/>
          <w:divBdr>
            <w:top w:val="none" w:sz="0" w:space="0" w:color="auto"/>
            <w:left w:val="none" w:sz="0" w:space="0" w:color="auto"/>
            <w:bottom w:val="none" w:sz="0" w:space="0" w:color="auto"/>
            <w:right w:val="none" w:sz="0" w:space="0" w:color="auto"/>
          </w:divBdr>
          <w:divsChild>
            <w:div w:id="578712507">
              <w:marLeft w:val="0"/>
              <w:marRight w:val="0"/>
              <w:marTop w:val="0"/>
              <w:marBottom w:val="0"/>
              <w:divBdr>
                <w:top w:val="none" w:sz="0" w:space="0" w:color="auto"/>
                <w:left w:val="none" w:sz="0" w:space="0" w:color="auto"/>
                <w:bottom w:val="none" w:sz="0" w:space="0" w:color="auto"/>
                <w:right w:val="none" w:sz="0" w:space="0" w:color="auto"/>
              </w:divBdr>
              <w:divsChild>
                <w:div w:id="1197888585">
                  <w:marLeft w:val="0"/>
                  <w:marRight w:val="0"/>
                  <w:marTop w:val="0"/>
                  <w:marBottom w:val="0"/>
                  <w:divBdr>
                    <w:top w:val="none" w:sz="0" w:space="0" w:color="auto"/>
                    <w:left w:val="none" w:sz="0" w:space="0" w:color="auto"/>
                    <w:bottom w:val="none" w:sz="0" w:space="0" w:color="auto"/>
                    <w:right w:val="none" w:sz="0" w:space="0" w:color="auto"/>
                  </w:divBdr>
                  <w:divsChild>
                    <w:div w:id="44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7472">
      <w:bodyDiv w:val="1"/>
      <w:marLeft w:val="0"/>
      <w:marRight w:val="0"/>
      <w:marTop w:val="0"/>
      <w:marBottom w:val="0"/>
      <w:divBdr>
        <w:top w:val="none" w:sz="0" w:space="0" w:color="auto"/>
        <w:left w:val="none" w:sz="0" w:space="0" w:color="auto"/>
        <w:bottom w:val="none" w:sz="0" w:space="0" w:color="auto"/>
        <w:right w:val="none" w:sz="0" w:space="0" w:color="auto"/>
      </w:divBdr>
    </w:div>
    <w:div w:id="1711152772">
      <w:bodyDiv w:val="1"/>
      <w:marLeft w:val="0"/>
      <w:marRight w:val="0"/>
      <w:marTop w:val="0"/>
      <w:marBottom w:val="0"/>
      <w:divBdr>
        <w:top w:val="none" w:sz="0" w:space="0" w:color="auto"/>
        <w:left w:val="none" w:sz="0" w:space="0" w:color="auto"/>
        <w:bottom w:val="none" w:sz="0" w:space="0" w:color="auto"/>
        <w:right w:val="none" w:sz="0" w:space="0" w:color="auto"/>
      </w:divBdr>
    </w:div>
    <w:div w:id="1763644318">
      <w:bodyDiv w:val="1"/>
      <w:marLeft w:val="0"/>
      <w:marRight w:val="0"/>
      <w:marTop w:val="0"/>
      <w:marBottom w:val="0"/>
      <w:divBdr>
        <w:top w:val="none" w:sz="0" w:space="0" w:color="auto"/>
        <w:left w:val="none" w:sz="0" w:space="0" w:color="auto"/>
        <w:bottom w:val="none" w:sz="0" w:space="0" w:color="auto"/>
        <w:right w:val="none" w:sz="0" w:space="0" w:color="auto"/>
      </w:divBdr>
    </w:div>
    <w:div w:id="1832480360">
      <w:bodyDiv w:val="1"/>
      <w:marLeft w:val="0"/>
      <w:marRight w:val="0"/>
      <w:marTop w:val="0"/>
      <w:marBottom w:val="0"/>
      <w:divBdr>
        <w:top w:val="none" w:sz="0" w:space="0" w:color="auto"/>
        <w:left w:val="none" w:sz="0" w:space="0" w:color="auto"/>
        <w:bottom w:val="none" w:sz="0" w:space="0" w:color="auto"/>
        <w:right w:val="none" w:sz="0" w:space="0" w:color="auto"/>
      </w:divBdr>
    </w:div>
    <w:div w:id="1941834686">
      <w:bodyDiv w:val="1"/>
      <w:marLeft w:val="0"/>
      <w:marRight w:val="0"/>
      <w:marTop w:val="0"/>
      <w:marBottom w:val="0"/>
      <w:divBdr>
        <w:top w:val="none" w:sz="0" w:space="0" w:color="auto"/>
        <w:left w:val="none" w:sz="0" w:space="0" w:color="auto"/>
        <w:bottom w:val="none" w:sz="0" w:space="0" w:color="auto"/>
        <w:right w:val="none" w:sz="0" w:space="0" w:color="auto"/>
      </w:divBdr>
    </w:div>
    <w:div w:id="1968388461">
      <w:bodyDiv w:val="1"/>
      <w:marLeft w:val="0"/>
      <w:marRight w:val="0"/>
      <w:marTop w:val="0"/>
      <w:marBottom w:val="0"/>
      <w:divBdr>
        <w:top w:val="none" w:sz="0" w:space="0" w:color="auto"/>
        <w:left w:val="none" w:sz="0" w:space="0" w:color="auto"/>
        <w:bottom w:val="none" w:sz="0" w:space="0" w:color="auto"/>
        <w:right w:val="none" w:sz="0" w:space="0" w:color="auto"/>
      </w:divBdr>
      <w:divsChild>
        <w:div w:id="68040350">
          <w:marLeft w:val="0"/>
          <w:marRight w:val="0"/>
          <w:marTop w:val="0"/>
          <w:marBottom w:val="0"/>
          <w:divBdr>
            <w:top w:val="none" w:sz="0" w:space="0" w:color="auto"/>
            <w:left w:val="none" w:sz="0" w:space="0" w:color="auto"/>
            <w:bottom w:val="none" w:sz="0" w:space="0" w:color="auto"/>
            <w:right w:val="none" w:sz="0" w:space="0" w:color="auto"/>
          </w:divBdr>
          <w:divsChild>
            <w:div w:id="474568116">
              <w:marLeft w:val="0"/>
              <w:marRight w:val="0"/>
              <w:marTop w:val="0"/>
              <w:marBottom w:val="0"/>
              <w:divBdr>
                <w:top w:val="none" w:sz="0" w:space="0" w:color="auto"/>
                <w:left w:val="none" w:sz="0" w:space="0" w:color="auto"/>
                <w:bottom w:val="none" w:sz="0" w:space="0" w:color="auto"/>
                <w:right w:val="none" w:sz="0" w:space="0" w:color="auto"/>
              </w:divBdr>
              <w:divsChild>
                <w:div w:id="1217280942">
                  <w:marLeft w:val="0"/>
                  <w:marRight w:val="0"/>
                  <w:marTop w:val="0"/>
                  <w:marBottom w:val="0"/>
                  <w:divBdr>
                    <w:top w:val="none" w:sz="0" w:space="0" w:color="auto"/>
                    <w:left w:val="none" w:sz="0" w:space="0" w:color="auto"/>
                    <w:bottom w:val="none" w:sz="0" w:space="0" w:color="auto"/>
                    <w:right w:val="none" w:sz="0" w:space="0" w:color="auto"/>
                  </w:divBdr>
                  <w:divsChild>
                    <w:div w:id="1858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visc.gov.lv" TargetMode="External"/><Relationship Id="rId18" Type="http://schemas.openxmlformats.org/officeDocument/2006/relationships/hyperlink" Target="https://enqa.eu/" TargetMode="External"/><Relationship Id="rId3" Type="http://schemas.openxmlformats.org/officeDocument/2006/relationships/styles" Target="styles.xml"/><Relationship Id="rId21" Type="http://schemas.openxmlformats.org/officeDocument/2006/relationships/hyperlink" Target="mailto:alona.babica@izm.gov.lv"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likumi.lv/ta/id/134392-kartiba-kada-augstskola-un-koledza-iesniedz-izglitibas-un-zinatnes-ministrija-informaciju-par-savu-darbib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ciunmacies.valoda.lv"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likumi.lv/ta/id/5771-gimnazijas-un-valsts-gimnazijas-statusa-pieskirsanas-un-anulesanas-kartiba-un-kriterij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valodasrokasgramata.lv"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Lasīprasme</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PISA 2012 augstie sasniegumi</c:v>
                </c:pt>
                <c:pt idx="1">
                  <c:v>PISA 2015 augstie sasniegumi</c:v>
                </c:pt>
                <c:pt idx="2">
                  <c:v>PISA 2012 zemie sasniegumi</c:v>
                </c:pt>
                <c:pt idx="3">
                  <c:v>PISA 2015 zemie sasniegumi</c:v>
                </c:pt>
              </c:strCache>
            </c:strRef>
          </c:cat>
          <c:val>
            <c:numRef>
              <c:f>Sheet1!$B$2:$B$5</c:f>
              <c:numCache>
                <c:formatCode>General</c:formatCode>
                <c:ptCount val="4"/>
                <c:pt idx="0">
                  <c:v>4.2</c:v>
                </c:pt>
                <c:pt idx="1">
                  <c:v>4.3</c:v>
                </c:pt>
                <c:pt idx="2">
                  <c:v>17</c:v>
                </c:pt>
                <c:pt idx="3">
                  <c:v>17.7</c:v>
                </c:pt>
              </c:numCache>
            </c:numRef>
          </c:val>
        </c:ser>
        <c:ser>
          <c:idx val="1"/>
          <c:order val="1"/>
          <c:tx>
            <c:strRef>
              <c:f>Sheet1!$C$1</c:f>
              <c:strCache>
                <c:ptCount val="1"/>
                <c:pt idx="0">
                  <c:v>Matemātika</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PISA 2012 augstie sasniegumi</c:v>
                </c:pt>
                <c:pt idx="1">
                  <c:v>PISA 2015 augstie sasniegumi</c:v>
                </c:pt>
                <c:pt idx="2">
                  <c:v>PISA 2012 zemie sasniegumi</c:v>
                </c:pt>
                <c:pt idx="3">
                  <c:v>PISA 2015 zemie sasniegumi</c:v>
                </c:pt>
              </c:strCache>
            </c:strRef>
          </c:cat>
          <c:val>
            <c:numRef>
              <c:f>Sheet1!$C$2:$C$5</c:f>
              <c:numCache>
                <c:formatCode>General</c:formatCode>
                <c:ptCount val="4"/>
                <c:pt idx="0">
                  <c:v>8</c:v>
                </c:pt>
                <c:pt idx="1">
                  <c:v>5.0999999999999996</c:v>
                </c:pt>
                <c:pt idx="2">
                  <c:v>19.899999999999999</c:v>
                </c:pt>
                <c:pt idx="3">
                  <c:v>21.4</c:v>
                </c:pt>
              </c:numCache>
            </c:numRef>
          </c:val>
        </c:ser>
        <c:ser>
          <c:idx val="2"/>
          <c:order val="2"/>
          <c:tx>
            <c:strRef>
              <c:f>Sheet1!$D$1</c:f>
              <c:strCache>
                <c:ptCount val="1"/>
                <c:pt idx="0">
                  <c:v>Dabaszinātnes</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PISA 2012 augstie sasniegumi</c:v>
                </c:pt>
                <c:pt idx="1">
                  <c:v>PISA 2015 augstie sasniegumi</c:v>
                </c:pt>
                <c:pt idx="2">
                  <c:v>PISA 2012 zemie sasniegumi</c:v>
                </c:pt>
                <c:pt idx="3">
                  <c:v>PISA 2015 zemie sasniegumi</c:v>
                </c:pt>
              </c:strCache>
            </c:strRef>
          </c:cat>
          <c:val>
            <c:numRef>
              <c:f>Sheet1!$D$2:$D$5</c:f>
              <c:numCache>
                <c:formatCode>General</c:formatCode>
                <c:ptCount val="4"/>
                <c:pt idx="0">
                  <c:v>4.4000000000000004</c:v>
                </c:pt>
                <c:pt idx="1">
                  <c:v>3.8</c:v>
                </c:pt>
                <c:pt idx="2">
                  <c:v>12.4</c:v>
                </c:pt>
                <c:pt idx="3">
                  <c:v>17.2</c:v>
                </c:pt>
              </c:numCache>
            </c:numRef>
          </c:val>
        </c:ser>
        <c:dLbls>
          <c:showLegendKey val="0"/>
          <c:showVal val="0"/>
          <c:showCatName val="0"/>
          <c:showSerName val="0"/>
          <c:showPercent val="0"/>
          <c:showBubbleSize val="0"/>
        </c:dLbls>
        <c:gapWidth val="164"/>
        <c:overlap val="-22"/>
        <c:axId val="266292840"/>
        <c:axId val="266295976"/>
      </c:barChart>
      <c:catAx>
        <c:axId val="2662928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66295976"/>
        <c:crosses val="autoZero"/>
        <c:auto val="1"/>
        <c:lblAlgn val="ctr"/>
        <c:lblOffset val="100"/>
        <c:noMultiLvlLbl val="0"/>
      </c:catAx>
      <c:valAx>
        <c:axId val="266295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62928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Vispārējā izglītība</c:v>
                </c:pt>
              </c:strCache>
            </c:strRef>
          </c:tx>
          <c:spPr>
            <a:ln w="38100" cap="flat" cmpd="dbl" algn="ctr">
              <a:solidFill>
                <a:srgbClr val="92D050"/>
              </a:solidFill>
              <a:miter lim="800000"/>
            </a:ln>
            <a:effectLst/>
          </c:spPr>
          <c:marker>
            <c:symbol val="none"/>
          </c:marker>
          <c:dLbls>
            <c:dLbl>
              <c:idx val="0"/>
              <c:layout>
                <c:manualLayout>
                  <c:x val="-1.3888888888888888E-2"/>
                  <c:y val="-4.761904761904761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6294E-3"/>
                  <c:y val="-4.76190476190476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88E-2"/>
                  <c:y val="-4.365079365079366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203703703703703E-2"/>
                  <c:y val="-3.96825396825396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472175379426642E-2"/>
                  <c:y val="-4.6332046332046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2013./2014.</c:v>
                </c:pt>
                <c:pt idx="1">
                  <c:v>2014./2015.</c:v>
                </c:pt>
                <c:pt idx="2">
                  <c:v>2015./2016.</c:v>
                </c:pt>
                <c:pt idx="3">
                  <c:v>2016./2017.</c:v>
                </c:pt>
                <c:pt idx="4">
                  <c:v>2017./2018.</c:v>
                </c:pt>
              </c:strCache>
            </c:strRef>
          </c:cat>
          <c:val>
            <c:numRef>
              <c:f>Sheet1!$B$2:$B$6</c:f>
              <c:numCache>
                <c:formatCode>General</c:formatCode>
                <c:ptCount val="5"/>
                <c:pt idx="0">
                  <c:v>60.23</c:v>
                </c:pt>
                <c:pt idx="1">
                  <c:v>60.1</c:v>
                </c:pt>
                <c:pt idx="2">
                  <c:v>61.81</c:v>
                </c:pt>
                <c:pt idx="3">
                  <c:v>61.38</c:v>
                </c:pt>
                <c:pt idx="4">
                  <c:v>61.12</c:v>
                </c:pt>
              </c:numCache>
            </c:numRef>
          </c:val>
          <c:smooth val="0"/>
        </c:ser>
        <c:ser>
          <c:idx val="1"/>
          <c:order val="1"/>
          <c:tx>
            <c:strRef>
              <c:f>Sheet1!$C$1</c:f>
              <c:strCache>
                <c:ptCount val="1"/>
                <c:pt idx="0">
                  <c:v>Profesionālā izglītība</c:v>
                </c:pt>
              </c:strCache>
            </c:strRef>
          </c:tx>
          <c:spPr>
            <a:ln w="38100" cap="flat" cmpd="dbl" algn="ctr">
              <a:solidFill>
                <a:srgbClr val="7030A0"/>
              </a:solidFill>
              <a:miter lim="800000"/>
            </a:ln>
            <a:effectLst/>
          </c:spPr>
          <c:marker>
            <c:symbol val="none"/>
          </c:marker>
          <c:dLbls>
            <c:dLbl>
              <c:idx val="0"/>
              <c:layout>
                <c:manualLayout>
                  <c:x val="-3.9351851851851853E-2"/>
                  <c:y val="5.95238095238094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666666666666664E-2"/>
                  <c:y val="5.95238095238095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981481481481566E-2"/>
                  <c:y val="5.158730158730158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666666666666664E-2"/>
                  <c:y val="4.761904761904761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2720629567172735E-2"/>
                  <c:y val="4.6332046332046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2013./2014.</c:v>
                </c:pt>
                <c:pt idx="1">
                  <c:v>2014./2015.</c:v>
                </c:pt>
                <c:pt idx="2">
                  <c:v>2015./2016.</c:v>
                </c:pt>
                <c:pt idx="3">
                  <c:v>2016./2017.</c:v>
                </c:pt>
                <c:pt idx="4">
                  <c:v>2017./2018.</c:v>
                </c:pt>
              </c:strCache>
            </c:strRef>
          </c:cat>
          <c:val>
            <c:numRef>
              <c:f>Sheet1!$C$2:$C$6</c:f>
              <c:numCache>
                <c:formatCode>General</c:formatCode>
                <c:ptCount val="5"/>
                <c:pt idx="0">
                  <c:v>39.770000000000003</c:v>
                </c:pt>
                <c:pt idx="1">
                  <c:v>39.9</c:v>
                </c:pt>
                <c:pt idx="2">
                  <c:v>38.19</c:v>
                </c:pt>
                <c:pt idx="3">
                  <c:v>38.619999999999997</c:v>
                </c:pt>
                <c:pt idx="4">
                  <c:v>38.880000000000003</c:v>
                </c:pt>
              </c:numCache>
            </c:numRef>
          </c:val>
          <c:smooth val="0"/>
        </c:ser>
        <c:dLbls>
          <c:showLegendKey val="0"/>
          <c:showVal val="0"/>
          <c:showCatName val="0"/>
          <c:showSerName val="0"/>
          <c:showPercent val="0"/>
          <c:showBubbleSize val="0"/>
        </c:dLbls>
        <c:smooth val="0"/>
        <c:axId val="266293232"/>
        <c:axId val="266293624"/>
      </c:lineChart>
      <c:catAx>
        <c:axId val="266293232"/>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66293624"/>
        <c:crosses val="autoZero"/>
        <c:auto val="1"/>
        <c:lblAlgn val="ctr"/>
        <c:lblOffset val="100"/>
        <c:noMultiLvlLbl val="0"/>
      </c:catAx>
      <c:valAx>
        <c:axId val="266293624"/>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6293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Latvija</c:v>
                </c:pt>
              </c:strCache>
            </c:strRef>
          </c:tx>
          <c:spPr>
            <a:ln w="38100" cap="flat" cmpd="dbl" algn="ctr">
              <a:solidFill>
                <a:schemeClr val="accent1"/>
              </a:solidFill>
              <a:miter lim="800000"/>
            </a:ln>
            <a:effectLst/>
          </c:spPr>
          <c:marker>
            <c:symbol val="none"/>
          </c:marker>
          <c:dLbls>
            <c:dLbl>
              <c:idx val="0"/>
              <c:layout>
                <c:manualLayout>
                  <c:x val="-1.6203703703703703E-2"/>
                  <c:y val="-7.936507936507936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592592592592587E-3"/>
                  <c:y val="-7.936507936507940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574074074074158E-2"/>
                  <c:y val="-5.952380952380956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574074074074073E-2"/>
                  <c:y val="-4.365079365079364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c:v>
                </c:pt>
                <c:pt idx="1">
                  <c:v>2015.</c:v>
                </c:pt>
                <c:pt idx="2">
                  <c:v>2016.</c:v>
                </c:pt>
                <c:pt idx="3">
                  <c:v>2017.</c:v>
                </c:pt>
              </c:strCache>
            </c:strRef>
          </c:cat>
          <c:val>
            <c:numRef>
              <c:f>Sheet1!$B$2:$B$5</c:f>
              <c:numCache>
                <c:formatCode>General</c:formatCode>
                <c:ptCount val="4"/>
                <c:pt idx="0">
                  <c:v>39.9</c:v>
                </c:pt>
                <c:pt idx="1">
                  <c:v>41.4</c:v>
                </c:pt>
                <c:pt idx="2">
                  <c:v>42.8</c:v>
                </c:pt>
                <c:pt idx="3">
                  <c:v>43.8</c:v>
                </c:pt>
              </c:numCache>
            </c:numRef>
          </c:val>
          <c:smooth val="0"/>
        </c:ser>
        <c:ser>
          <c:idx val="1"/>
          <c:order val="1"/>
          <c:tx>
            <c:strRef>
              <c:f>Sheet1!$C$1</c:f>
              <c:strCache>
                <c:ptCount val="1"/>
                <c:pt idx="0">
                  <c:v>ES-28</c:v>
                </c:pt>
              </c:strCache>
            </c:strRef>
          </c:tx>
          <c:spPr>
            <a:ln w="38100" cap="flat" cmpd="dbl" algn="ctr">
              <a:solidFill>
                <a:srgbClr val="7030A0"/>
              </a:solidFill>
              <a:miter lim="800000"/>
            </a:ln>
            <a:effectLst/>
          </c:spPr>
          <c:marker>
            <c:symbol val="none"/>
          </c:marker>
          <c:dLbls>
            <c:dLbl>
              <c:idx val="0"/>
              <c:layout>
                <c:manualLayout>
                  <c:x val="-6.9444444444444441E-3"/>
                  <c:y val="3.9682539682539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96825396825396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7144E-3"/>
                  <c:y val="4.761904761904761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518518518518687E-2"/>
                  <c:y val="4.76190476190476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c:v>
                </c:pt>
                <c:pt idx="1">
                  <c:v>2015.</c:v>
                </c:pt>
                <c:pt idx="2">
                  <c:v>2016.</c:v>
                </c:pt>
                <c:pt idx="3">
                  <c:v>2017.</c:v>
                </c:pt>
              </c:strCache>
            </c:strRef>
          </c:cat>
          <c:val>
            <c:numRef>
              <c:f>Sheet1!$C$2:$C$5</c:f>
              <c:numCache>
                <c:formatCode>General</c:formatCode>
                <c:ptCount val="4"/>
                <c:pt idx="0">
                  <c:v>37.9</c:v>
                </c:pt>
                <c:pt idx="1">
                  <c:v>38.700000000000003</c:v>
                </c:pt>
                <c:pt idx="2">
                  <c:v>39.1</c:v>
                </c:pt>
                <c:pt idx="3">
                  <c:v>39.9</c:v>
                </c:pt>
              </c:numCache>
            </c:numRef>
          </c:val>
          <c:smooth val="0"/>
        </c:ser>
        <c:dLbls>
          <c:showLegendKey val="0"/>
          <c:showVal val="0"/>
          <c:showCatName val="0"/>
          <c:showSerName val="0"/>
          <c:showPercent val="0"/>
          <c:showBubbleSize val="0"/>
        </c:dLbls>
        <c:smooth val="0"/>
        <c:axId val="266298328"/>
        <c:axId val="266294408"/>
      </c:lineChart>
      <c:catAx>
        <c:axId val="266298328"/>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66294408"/>
        <c:crosses val="autoZero"/>
        <c:auto val="1"/>
        <c:lblAlgn val="ctr"/>
        <c:lblOffset val="100"/>
        <c:noMultiLvlLbl val="0"/>
      </c:catAx>
      <c:valAx>
        <c:axId val="266294408"/>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62983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38100" cap="flat" cmpd="dbl" algn="ctr">
              <a:solidFill>
                <a:srgbClr val="7030A0"/>
              </a:solidFill>
              <a:miter lim="800000"/>
            </a:ln>
            <a:effectLst/>
          </c:spPr>
          <c:marker>
            <c:symbol val="none"/>
          </c:marker>
          <c:dLbls>
            <c:dLbl>
              <c:idx val="0"/>
              <c:layout>
                <c:manualLayout>
                  <c:x val="-3.5335689045936418E-2"/>
                  <c:y val="-7.380073800738017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4195620652314E-2"/>
                  <c:y val="-7.13933290527525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7419562065231358E-2"/>
                  <c:y val="-7.631374404379709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832700108290657E-2"/>
                  <c:y val="-7.209038784315061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195804195804196E-2"/>
                  <c:y val="-6.86695278969957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2013./2014.</c:v>
                </c:pt>
                <c:pt idx="1">
                  <c:v>2014./2015.</c:v>
                </c:pt>
                <c:pt idx="2">
                  <c:v>2015./2016.</c:v>
                </c:pt>
                <c:pt idx="3">
                  <c:v>2016./2017.</c:v>
                </c:pt>
                <c:pt idx="4">
                  <c:v>2017/2018.</c:v>
                </c:pt>
              </c:strCache>
            </c:strRef>
          </c:cat>
          <c:val>
            <c:numRef>
              <c:f>Sheet1!$B$2:$B$6</c:f>
              <c:numCache>
                <c:formatCode>General</c:formatCode>
                <c:ptCount val="5"/>
                <c:pt idx="0">
                  <c:v>34.76</c:v>
                </c:pt>
                <c:pt idx="1">
                  <c:v>36.54</c:v>
                </c:pt>
                <c:pt idx="2">
                  <c:v>38.72</c:v>
                </c:pt>
                <c:pt idx="3">
                  <c:v>40.93</c:v>
                </c:pt>
                <c:pt idx="4">
                  <c:v>42.14</c:v>
                </c:pt>
              </c:numCache>
            </c:numRef>
          </c:val>
          <c:smooth val="0"/>
        </c:ser>
        <c:dLbls>
          <c:showLegendKey val="0"/>
          <c:showVal val="0"/>
          <c:showCatName val="0"/>
          <c:showSerName val="0"/>
          <c:showPercent val="0"/>
          <c:showBubbleSize val="0"/>
        </c:dLbls>
        <c:smooth val="0"/>
        <c:axId val="266299112"/>
        <c:axId val="266295192"/>
      </c:lineChart>
      <c:catAx>
        <c:axId val="266299112"/>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66295192"/>
        <c:crosses val="autoZero"/>
        <c:auto val="1"/>
        <c:lblAlgn val="ctr"/>
        <c:lblOffset val="100"/>
        <c:noMultiLvlLbl val="0"/>
      </c:catAx>
      <c:valAx>
        <c:axId val="266295192"/>
        <c:scaling>
          <c:orientation val="minMax"/>
          <c:max val="100"/>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6299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84106153397494E-2"/>
          <c:y val="0.13515123109611299"/>
          <c:w val="0.92831219014289879"/>
          <c:h val="0.77279215098112741"/>
        </c:manualLayout>
      </c:layout>
      <c:lineChart>
        <c:grouping val="standard"/>
        <c:varyColors val="0"/>
        <c:ser>
          <c:idx val="0"/>
          <c:order val="0"/>
          <c:tx>
            <c:strRef>
              <c:f>Sheet1!$B$1</c:f>
              <c:strCache>
                <c:ptCount val="1"/>
                <c:pt idx="0">
                  <c:v>Latvija</c:v>
                </c:pt>
              </c:strCache>
            </c:strRef>
          </c:tx>
          <c:spPr>
            <a:ln w="38100" cap="flat" cmpd="dbl" algn="ctr">
              <a:solidFill>
                <a:srgbClr val="7030A0"/>
              </a:solidFill>
              <a:miter lim="800000"/>
            </a:ln>
            <a:effectLst/>
          </c:spPr>
          <c:marker>
            <c:symbol val="none"/>
          </c:marker>
          <c:dLbls>
            <c:dLbl>
              <c:idx val="0"/>
              <c:layout>
                <c:manualLayout>
                  <c:x val="-3.5590368912219304E-2"/>
                  <c:y val="4.761904761904754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5590368912219346E-2"/>
                  <c:y val="5.15873015873015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2407407407407406E-2"/>
                  <c:y val="5.952380952380945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5590368912219304E-2"/>
                  <c:y val="5.952380952380952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c:v>
                </c:pt>
                <c:pt idx="1">
                  <c:v>2015.</c:v>
                </c:pt>
                <c:pt idx="2">
                  <c:v>2016.</c:v>
                </c:pt>
                <c:pt idx="3">
                  <c:v>2017.</c:v>
                </c:pt>
              </c:strCache>
            </c:strRef>
          </c:cat>
          <c:val>
            <c:numRef>
              <c:f>Sheet1!$B$2:$B$5</c:f>
              <c:numCache>
                <c:formatCode>General</c:formatCode>
                <c:ptCount val="4"/>
                <c:pt idx="0">
                  <c:v>8.5</c:v>
                </c:pt>
                <c:pt idx="1">
                  <c:v>9.9</c:v>
                </c:pt>
                <c:pt idx="2">
                  <c:v>10</c:v>
                </c:pt>
                <c:pt idx="3">
                  <c:v>8.6</c:v>
                </c:pt>
              </c:numCache>
            </c:numRef>
          </c:val>
          <c:smooth val="0"/>
        </c:ser>
        <c:ser>
          <c:idx val="1"/>
          <c:order val="1"/>
          <c:tx>
            <c:strRef>
              <c:f>Sheet1!$C$1</c:f>
              <c:strCache>
                <c:ptCount val="1"/>
                <c:pt idx="0">
                  <c:v>ES-28</c:v>
                </c:pt>
              </c:strCache>
            </c:strRef>
          </c:tx>
          <c:spPr>
            <a:ln w="38100" cap="flat" cmpd="dbl" algn="ctr">
              <a:solidFill>
                <a:schemeClr val="accent1">
                  <a:lumMod val="75000"/>
                </a:schemeClr>
              </a:solidFill>
              <a:miter lim="800000"/>
            </a:ln>
            <a:effectLst/>
          </c:spPr>
          <c:marker>
            <c:symbol val="none"/>
          </c:marker>
          <c:dLbls>
            <c:dLbl>
              <c:idx val="0"/>
              <c:layout>
                <c:manualLayout>
                  <c:x val="-4.1956109652960066E-2"/>
                  <c:y val="-4.76190476190476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2407407407407406E-2"/>
                  <c:y val="-4.36507936507936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9641294838145318E-2"/>
                  <c:y val="-5.15873015873016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1956109652960219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2014.</c:v>
                </c:pt>
                <c:pt idx="1">
                  <c:v>2015.</c:v>
                </c:pt>
                <c:pt idx="2">
                  <c:v>2016.</c:v>
                </c:pt>
                <c:pt idx="3">
                  <c:v>2017.</c:v>
                </c:pt>
              </c:strCache>
            </c:strRef>
          </c:cat>
          <c:val>
            <c:numRef>
              <c:f>Sheet1!$C$2:$C$5</c:f>
              <c:numCache>
                <c:formatCode>General</c:formatCode>
                <c:ptCount val="4"/>
                <c:pt idx="0">
                  <c:v>11.2</c:v>
                </c:pt>
                <c:pt idx="1">
                  <c:v>11</c:v>
                </c:pt>
                <c:pt idx="2">
                  <c:v>10.7</c:v>
                </c:pt>
                <c:pt idx="3">
                  <c:v>10.6</c:v>
                </c:pt>
              </c:numCache>
            </c:numRef>
          </c:val>
          <c:smooth val="0"/>
        </c:ser>
        <c:dLbls>
          <c:dLblPos val="ctr"/>
          <c:showLegendKey val="0"/>
          <c:showVal val="1"/>
          <c:showCatName val="0"/>
          <c:showSerName val="0"/>
          <c:showPercent val="0"/>
          <c:showBubbleSize val="0"/>
        </c:dLbls>
        <c:smooth val="0"/>
        <c:axId val="266297152"/>
        <c:axId val="266291664"/>
      </c:lineChart>
      <c:catAx>
        <c:axId val="266297152"/>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66291664"/>
        <c:crosses val="autoZero"/>
        <c:auto val="1"/>
        <c:lblAlgn val="ctr"/>
        <c:lblOffset val="100"/>
        <c:noMultiLvlLbl val="0"/>
      </c:catAx>
      <c:valAx>
        <c:axId val="266291664"/>
        <c:scaling>
          <c:orientation val="minMax"/>
          <c:max val="20"/>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629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Latvija</c:v>
                </c:pt>
              </c:strCache>
            </c:strRef>
          </c:tx>
          <c:spPr>
            <a:ln w="38100" cap="flat" cmpd="dbl" algn="ctr">
              <a:solidFill>
                <a:srgbClr val="7030A0"/>
              </a:solidFill>
              <a:miter lim="800000"/>
            </a:ln>
            <a:effectLst/>
          </c:spPr>
          <c:marker>
            <c:symbol val="none"/>
          </c:marker>
          <c:dLbls>
            <c:dLbl>
              <c:idx val="0"/>
              <c:layout>
                <c:manualLayout>
                  <c:x val="-1.1574074074074096E-2"/>
                  <c:y val="4.761904761904754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074074074073E-2"/>
                  <c:y val="5.952380952380945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7144E-3"/>
                  <c:y val="5.158730158730151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441E-3"/>
                  <c:y val="5.55555555555555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c:v>
                </c:pt>
                <c:pt idx="1">
                  <c:v>2015.</c:v>
                </c:pt>
                <c:pt idx="2">
                  <c:v>2016.</c:v>
                </c:pt>
                <c:pt idx="3">
                  <c:v>2017.</c:v>
                </c:pt>
              </c:strCache>
            </c:strRef>
          </c:cat>
          <c:val>
            <c:numRef>
              <c:f>Sheet1!$B$2:$B$5</c:f>
              <c:numCache>
                <c:formatCode>General</c:formatCode>
                <c:ptCount val="4"/>
                <c:pt idx="0">
                  <c:v>5.6</c:v>
                </c:pt>
                <c:pt idx="1">
                  <c:v>5.7</c:v>
                </c:pt>
                <c:pt idx="2">
                  <c:v>7.3</c:v>
                </c:pt>
                <c:pt idx="3">
                  <c:v>7.5</c:v>
                </c:pt>
              </c:numCache>
            </c:numRef>
          </c:val>
          <c:smooth val="0"/>
        </c:ser>
        <c:ser>
          <c:idx val="1"/>
          <c:order val="1"/>
          <c:tx>
            <c:strRef>
              <c:f>Sheet1!$C$1</c:f>
              <c:strCache>
                <c:ptCount val="1"/>
                <c:pt idx="0">
                  <c:v>ES-28</c:v>
                </c:pt>
              </c:strCache>
            </c:strRef>
          </c:tx>
          <c:spPr>
            <a:ln w="38100" cap="flat" cmpd="dbl" algn="ctr">
              <a:solidFill>
                <a:srgbClr val="92D050"/>
              </a:solidFill>
              <a:miter lim="800000"/>
            </a:ln>
            <a:effectLst/>
          </c:spPr>
          <c:marker>
            <c:symbol val="none"/>
          </c:marker>
          <c:dLbls>
            <c:dLbl>
              <c:idx val="0"/>
              <c:layout>
                <c:manualLayout>
                  <c:x val="-1.1574074074074096E-2"/>
                  <c:y val="-5.55555555555555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952380952380956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4875562720133283E-17"/>
                  <c:y val="-5.952380952380956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2592592592592587E-3"/>
                  <c:y val="-3.9682539682539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2014.</c:v>
                </c:pt>
                <c:pt idx="1">
                  <c:v>2015.</c:v>
                </c:pt>
                <c:pt idx="2">
                  <c:v>2016.</c:v>
                </c:pt>
                <c:pt idx="3">
                  <c:v>2017.</c:v>
                </c:pt>
              </c:strCache>
            </c:strRef>
          </c:cat>
          <c:val>
            <c:numRef>
              <c:f>Sheet1!$C$2:$C$5</c:f>
              <c:numCache>
                <c:formatCode>General</c:formatCode>
                <c:ptCount val="4"/>
                <c:pt idx="0">
                  <c:v>10.8</c:v>
                </c:pt>
                <c:pt idx="1">
                  <c:v>10.7</c:v>
                </c:pt>
                <c:pt idx="2">
                  <c:v>10.8</c:v>
                </c:pt>
                <c:pt idx="3">
                  <c:v>10.9</c:v>
                </c:pt>
              </c:numCache>
            </c:numRef>
          </c:val>
          <c:smooth val="0"/>
        </c:ser>
        <c:dLbls>
          <c:showLegendKey val="0"/>
          <c:showVal val="0"/>
          <c:showCatName val="0"/>
          <c:showSerName val="0"/>
          <c:showPercent val="0"/>
          <c:showBubbleSize val="0"/>
        </c:dLbls>
        <c:smooth val="0"/>
        <c:axId val="266297936"/>
        <c:axId val="135713608"/>
      </c:lineChart>
      <c:catAx>
        <c:axId val="266297936"/>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5713608"/>
        <c:crosses val="autoZero"/>
        <c:auto val="1"/>
        <c:lblAlgn val="ctr"/>
        <c:lblOffset val="100"/>
        <c:noMultiLvlLbl val="0"/>
      </c:catAx>
      <c:valAx>
        <c:axId val="135713608"/>
        <c:scaling>
          <c:orientation val="minMax"/>
          <c:max val="15"/>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6297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Latvija</c:v>
                </c:pt>
              </c:strCache>
            </c:strRef>
          </c:tx>
          <c:spPr>
            <a:ln w="38100" cap="flat" cmpd="dbl" algn="ctr">
              <a:solidFill>
                <a:schemeClr val="accent1"/>
              </a:solidFill>
              <a:miter lim="800000"/>
            </a:ln>
            <a:effectLst/>
          </c:spPr>
          <c:marker>
            <c:symbol val="none"/>
          </c:marker>
          <c:dLbls>
            <c:dLbl>
              <c:idx val="0"/>
              <c:layout>
                <c:manualLayout>
                  <c:x val="-4.1956109652960066E-2"/>
                  <c:y val="-5.15873015873015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8900554097404493E-2"/>
                  <c:y val="-5.95238095238095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384E-2"/>
                  <c:y val="-4.761904761904765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1215368912219304E-2"/>
                  <c:y val="-5.952380952380956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2013.</c:v>
                </c:pt>
                <c:pt idx="1">
                  <c:v>2014.</c:v>
                </c:pt>
                <c:pt idx="2">
                  <c:v>2015.</c:v>
                </c:pt>
                <c:pt idx="3">
                  <c:v>2016.</c:v>
                </c:pt>
              </c:strCache>
            </c:strRef>
          </c:cat>
          <c:val>
            <c:numRef>
              <c:f>Sheet1!$B$2:$B$5</c:f>
              <c:numCache>
                <c:formatCode>General</c:formatCode>
                <c:ptCount val="4"/>
                <c:pt idx="0">
                  <c:v>94.1</c:v>
                </c:pt>
                <c:pt idx="1">
                  <c:v>94.4</c:v>
                </c:pt>
                <c:pt idx="2">
                  <c:v>95</c:v>
                </c:pt>
                <c:pt idx="3">
                  <c:v>95.5</c:v>
                </c:pt>
              </c:numCache>
            </c:numRef>
          </c:val>
          <c:smooth val="0"/>
        </c:ser>
        <c:ser>
          <c:idx val="1"/>
          <c:order val="1"/>
          <c:tx>
            <c:strRef>
              <c:f>Sheet1!$C$1</c:f>
              <c:strCache>
                <c:ptCount val="1"/>
                <c:pt idx="0">
                  <c:v>ES-28</c:v>
                </c:pt>
              </c:strCache>
            </c:strRef>
          </c:tx>
          <c:spPr>
            <a:ln w="38100" cap="flat" cmpd="dbl" algn="ctr">
              <a:solidFill>
                <a:srgbClr val="92D050"/>
              </a:solidFill>
              <a:miter lim="800000"/>
            </a:ln>
            <a:effectLst/>
          </c:spPr>
          <c:marker>
            <c:symbol val="none"/>
          </c:marker>
          <c:dLbls>
            <c:dLbl>
              <c:idx val="0"/>
              <c:layout>
                <c:manualLayout>
                  <c:x val="-4.4270924467774864E-2"/>
                  <c:y val="5.15873015873015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7326480023330499E-2"/>
                  <c:y val="4.36507936507936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8067220764071074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269685039370096E-2"/>
                  <c:y val="6.349206349206348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2013.</c:v>
                </c:pt>
                <c:pt idx="1">
                  <c:v>2014.</c:v>
                </c:pt>
                <c:pt idx="2">
                  <c:v>2015.</c:v>
                </c:pt>
                <c:pt idx="3">
                  <c:v>2016.</c:v>
                </c:pt>
              </c:strCache>
            </c:strRef>
          </c:cat>
          <c:val>
            <c:numRef>
              <c:f>Sheet1!$C$2:$C$5</c:f>
              <c:numCache>
                <c:formatCode>General</c:formatCode>
                <c:ptCount val="4"/>
                <c:pt idx="0">
                  <c:v>94.1</c:v>
                </c:pt>
                <c:pt idx="1">
                  <c:v>94.2</c:v>
                </c:pt>
                <c:pt idx="2">
                  <c:v>94.9</c:v>
                </c:pt>
                <c:pt idx="3">
                  <c:v>95.5</c:v>
                </c:pt>
              </c:numCache>
            </c:numRef>
          </c:val>
          <c:smooth val="0"/>
        </c:ser>
        <c:dLbls>
          <c:dLblPos val="ctr"/>
          <c:showLegendKey val="0"/>
          <c:showVal val="1"/>
          <c:showCatName val="0"/>
          <c:showSerName val="0"/>
          <c:showPercent val="0"/>
          <c:showBubbleSize val="0"/>
        </c:dLbls>
        <c:smooth val="0"/>
        <c:axId val="261838712"/>
        <c:axId val="261843808"/>
      </c:lineChart>
      <c:catAx>
        <c:axId val="261838712"/>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61843808"/>
        <c:crosses val="autoZero"/>
        <c:auto val="1"/>
        <c:lblAlgn val="ctr"/>
        <c:lblOffset val="100"/>
        <c:noMultiLvlLbl val="0"/>
      </c:catAx>
      <c:valAx>
        <c:axId val="261843808"/>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18387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93BF-346D-47FA-9840-2663D3AB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38</Pages>
  <Words>80468</Words>
  <Characters>45868</Characters>
  <Application>Microsoft Office Word</Application>
  <DocSecurity>0</DocSecurity>
  <Lines>382</Lines>
  <Paragraphs>252</Paragraphs>
  <ScaleCrop>false</ScaleCrop>
  <HeadingPairs>
    <vt:vector size="2" baseType="variant">
      <vt:variant>
        <vt:lpstr>Title</vt:lpstr>
      </vt:variant>
      <vt:variant>
        <vt:i4>1</vt:i4>
      </vt:variant>
    </vt:vector>
  </HeadingPairs>
  <TitlesOfParts>
    <vt:vector size="1" baseType="lpstr">
      <vt:lpstr>IZMZino_140119_IAP</vt:lpstr>
    </vt:vector>
  </TitlesOfParts>
  <Company/>
  <LinksUpToDate>false</LinksUpToDate>
  <CharactersWithSpaces>126084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IZMZino_230119_IAP</dc:title>
  <dc:subject/>
  <dc:creator>IZM</dc:creator>
  <cp:keywords/>
  <dc:description>A.Babiča, 67047703
alona.babica@izm.gov.lv</dc:description>
  <cp:lastModifiedBy>Aļona Babiča</cp:lastModifiedBy>
  <cp:revision>45</cp:revision>
  <cp:lastPrinted>2018-08-15T06:56:00Z</cp:lastPrinted>
  <dcterms:created xsi:type="dcterms:W3CDTF">2019-01-09T10:19:00Z</dcterms:created>
  <dcterms:modified xsi:type="dcterms:W3CDTF">2019-01-23T14:34:00Z</dcterms:modified>
</cp:coreProperties>
</file>