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183A4" w14:textId="50A29FB7" w:rsidR="00153ED4" w:rsidRPr="00202450" w:rsidRDefault="00153ED4" w:rsidP="00153ED4">
      <w:pPr>
        <w:jc w:val="center"/>
        <w:rPr>
          <w:b/>
          <w:lang w:val="lv-LV"/>
        </w:rPr>
      </w:pPr>
      <w:bookmarkStart w:id="0" w:name="_GoBack"/>
      <w:bookmarkEnd w:id="0"/>
      <w:r w:rsidRPr="00202450">
        <w:rPr>
          <w:rFonts w:eastAsia="Times New Roman"/>
          <w:b/>
          <w:bCs/>
          <w:lang w:val="lv-LV" w:eastAsia="lv-LV"/>
        </w:rPr>
        <w:t>Ministru kabineta noteikumu projekta “</w:t>
      </w:r>
      <w:r w:rsidRPr="00202450">
        <w:rPr>
          <w:rFonts w:eastAsiaTheme="minorEastAsia"/>
          <w:b/>
          <w:lang w:val="lv-LV" w:eastAsia="lv-LV"/>
        </w:rPr>
        <w:t xml:space="preserve">Grozījumi Ministru kabineta 2013. gada 19. marta noteikumos Nr. 144 „Profesionālās izglītības kompetences centra statusa piešķiršanas un anulēšanas kārtība”” </w:t>
      </w:r>
      <w:r w:rsidRPr="00202450">
        <w:rPr>
          <w:b/>
          <w:lang w:val="lv-LV"/>
        </w:rPr>
        <w:t>sākotnējās ietekmes novērtējuma ziņojums (anotācija)</w:t>
      </w:r>
    </w:p>
    <w:p w14:paraId="28B4065E" w14:textId="77777777" w:rsidR="00153ED4" w:rsidRPr="00202450" w:rsidRDefault="00153ED4" w:rsidP="00153ED4">
      <w:pPr>
        <w:jc w:val="center"/>
        <w:rPr>
          <w:b/>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45"/>
        <w:gridCol w:w="5595"/>
      </w:tblGrid>
      <w:tr w:rsidR="00153ED4" w:rsidRPr="00202450" w14:paraId="486AC50B" w14:textId="77777777" w:rsidTr="0027546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650B2F" w14:textId="77777777" w:rsidR="00153ED4" w:rsidRPr="00202450" w:rsidRDefault="00153ED4" w:rsidP="00275468">
            <w:pPr>
              <w:jc w:val="center"/>
              <w:rPr>
                <w:rFonts w:eastAsia="Times New Roman"/>
                <w:b/>
                <w:bCs/>
                <w:iCs/>
                <w:lang w:val="lv-LV" w:eastAsia="lv-LV"/>
              </w:rPr>
            </w:pPr>
            <w:r w:rsidRPr="00202450">
              <w:rPr>
                <w:rFonts w:eastAsia="Times New Roman"/>
                <w:b/>
                <w:bCs/>
                <w:iCs/>
                <w:lang w:val="lv-LV" w:eastAsia="lv-LV"/>
              </w:rPr>
              <w:t>Tiesību akta projekta anotācijas kopsavilkums</w:t>
            </w:r>
          </w:p>
        </w:tc>
      </w:tr>
      <w:tr w:rsidR="00153ED4" w:rsidRPr="00B24A47" w14:paraId="455F6BA1" w14:textId="77777777" w:rsidTr="00275468">
        <w:trPr>
          <w:trHeight w:val="1427"/>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3160EF6" w14:textId="77777777" w:rsidR="00153ED4" w:rsidRPr="00202450" w:rsidRDefault="00153ED4" w:rsidP="00275468">
            <w:pPr>
              <w:rPr>
                <w:rFonts w:eastAsia="Times New Roman"/>
                <w:iCs/>
                <w:lang w:val="lv-LV" w:eastAsia="lv-LV"/>
              </w:rPr>
            </w:pPr>
            <w:r w:rsidRPr="00202450">
              <w:rPr>
                <w:rFonts w:eastAsia="Times New Roman"/>
                <w:iCs/>
                <w:lang w:val="lv-LV"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048D6A6" w14:textId="2D6BB29F" w:rsidR="00153ED4" w:rsidRPr="00202450" w:rsidRDefault="00204C3A" w:rsidP="00275468">
            <w:pPr>
              <w:jc w:val="both"/>
              <w:rPr>
                <w:rFonts w:eastAsia="Times New Roman"/>
                <w:iCs/>
                <w:lang w:val="lv-LV" w:eastAsia="lv-LV"/>
              </w:rPr>
            </w:pPr>
            <w:r>
              <w:rPr>
                <w:rFonts w:eastAsia="Times New Roman"/>
                <w:iCs/>
                <w:lang w:val="lv-LV" w:eastAsia="lv-LV"/>
              </w:rPr>
              <w:t xml:space="preserve"> </w:t>
            </w:r>
            <w:r w:rsidR="00153ED4" w:rsidRPr="00202450">
              <w:rPr>
                <w:rFonts w:eastAsia="Times New Roman"/>
                <w:iCs/>
                <w:lang w:val="lv-LV" w:eastAsia="lv-LV"/>
              </w:rPr>
              <w:t>Saskaņā ar Ministru kabineta 2009. gada 15. decembra instrukcijas Nr. 19 “Tiesību akta projekta sākotnējās ietekmes izvērtēšanas kārtība” 5.</w:t>
            </w:r>
            <w:r w:rsidR="00153ED4" w:rsidRPr="00202450">
              <w:rPr>
                <w:rFonts w:eastAsia="Times New Roman"/>
                <w:iCs/>
                <w:vertAlign w:val="superscript"/>
                <w:lang w:val="lv-LV" w:eastAsia="lv-LV"/>
              </w:rPr>
              <w:t xml:space="preserve">1 </w:t>
            </w:r>
            <w:r w:rsidR="00153ED4" w:rsidRPr="00202450">
              <w:rPr>
                <w:rFonts w:eastAsia="Times New Roman"/>
                <w:iCs/>
                <w:lang w:val="lv-LV" w:eastAsia="lv-LV"/>
              </w:rPr>
              <w:t>punktu anotācijas kopsavilkums nav jāaizpilda, jo projekta anotācijas I. sadaļas 2. punkts nepārsniedz divas lapaspuses.</w:t>
            </w:r>
          </w:p>
        </w:tc>
      </w:tr>
    </w:tbl>
    <w:p w14:paraId="78B0EAB5" w14:textId="77777777" w:rsidR="00153ED4" w:rsidRPr="00FC7D50" w:rsidRDefault="00153ED4" w:rsidP="00153ED4">
      <w:pPr>
        <w:outlineLvl w:val="3"/>
        <w:rPr>
          <w:rFonts w:eastAsia="Times New Roman"/>
          <w:b/>
          <w:bCs/>
          <w:lang w:val="lv-LV" w:eastAsia="lv-LV"/>
        </w:rPr>
      </w:pPr>
    </w:p>
    <w:tbl>
      <w:tblPr>
        <w:tblStyle w:val="TableGrid"/>
        <w:tblpPr w:leftFromText="180" w:rightFromText="180" w:vertAnchor="text" w:tblpY="1"/>
        <w:tblOverlap w:val="never"/>
        <w:tblW w:w="5000" w:type="pct"/>
        <w:tblLook w:val="04A0" w:firstRow="1" w:lastRow="0" w:firstColumn="1" w:lastColumn="0" w:noHBand="0" w:noVBand="1"/>
      </w:tblPr>
      <w:tblGrid>
        <w:gridCol w:w="396"/>
        <w:gridCol w:w="3432"/>
        <w:gridCol w:w="5518"/>
      </w:tblGrid>
      <w:tr w:rsidR="00153ED4" w:rsidRPr="00202450" w14:paraId="629E2A9C" w14:textId="77777777" w:rsidTr="00275468">
        <w:tc>
          <w:tcPr>
            <w:tcW w:w="5000" w:type="pct"/>
            <w:gridSpan w:val="3"/>
            <w:hideMark/>
          </w:tcPr>
          <w:p w14:paraId="36291F2F" w14:textId="77777777" w:rsidR="00153ED4" w:rsidRPr="00202450" w:rsidRDefault="00153ED4" w:rsidP="00275468">
            <w:pPr>
              <w:jc w:val="center"/>
              <w:rPr>
                <w:rFonts w:eastAsia="Times New Roman"/>
                <w:b/>
                <w:bCs/>
                <w:sz w:val="24"/>
                <w:szCs w:val="24"/>
                <w:lang w:val="lv-LV" w:eastAsia="lv-LV"/>
              </w:rPr>
            </w:pPr>
            <w:r w:rsidRPr="00202450">
              <w:rPr>
                <w:rFonts w:eastAsia="Times New Roman"/>
                <w:b/>
                <w:bCs/>
                <w:sz w:val="24"/>
                <w:szCs w:val="24"/>
                <w:lang w:val="lv-LV" w:eastAsia="lv-LV"/>
              </w:rPr>
              <w:t>I. Tiesību akta projekta izstrādes nepieciešamība</w:t>
            </w:r>
          </w:p>
        </w:tc>
      </w:tr>
      <w:tr w:rsidR="00153ED4" w:rsidRPr="00B24A47" w14:paraId="08842946" w14:textId="77777777" w:rsidTr="00153ED4">
        <w:tc>
          <w:tcPr>
            <w:tcW w:w="212" w:type="pct"/>
            <w:hideMark/>
          </w:tcPr>
          <w:p w14:paraId="68D58906"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1.</w:t>
            </w:r>
          </w:p>
        </w:tc>
        <w:tc>
          <w:tcPr>
            <w:tcW w:w="1836" w:type="pct"/>
            <w:hideMark/>
          </w:tcPr>
          <w:p w14:paraId="62F689AA"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Pamatojums</w:t>
            </w:r>
          </w:p>
        </w:tc>
        <w:tc>
          <w:tcPr>
            <w:tcW w:w="2952" w:type="pct"/>
          </w:tcPr>
          <w:p w14:paraId="16605406" w14:textId="5FB59118" w:rsidR="00153ED4" w:rsidRPr="00202450" w:rsidRDefault="00153ED4" w:rsidP="00EC67D3">
            <w:pPr>
              <w:jc w:val="both"/>
              <w:rPr>
                <w:rFonts w:eastAsia="Times New Roman"/>
                <w:sz w:val="24"/>
                <w:szCs w:val="24"/>
                <w:lang w:val="lv-LV" w:eastAsia="lv-LV"/>
              </w:rPr>
            </w:pPr>
            <w:r w:rsidRPr="00202450">
              <w:rPr>
                <w:rFonts w:eastAsia="Times New Roman"/>
                <w:sz w:val="24"/>
                <w:szCs w:val="24"/>
                <w:lang w:val="lv-LV" w:eastAsia="lv-LV"/>
              </w:rPr>
              <w:t>Ministru kabineta noteikumu projekts “Grozījumi Ministru kabineta 2013.gada 19.marta noteikumos Nr.144 “Profesionālās izglītības kompetences centra statusa piešķiršanas un anulēšanas kārtība” (turpmāk – noteikumu projekts) izstrādāts pēc Izglītības un zinātnes ministrijas (turpmāk – ministrija) iniciatīvas.</w:t>
            </w:r>
          </w:p>
        </w:tc>
      </w:tr>
      <w:tr w:rsidR="00153ED4" w:rsidRPr="00B24A47" w14:paraId="6A895D65" w14:textId="77777777" w:rsidTr="00153ED4">
        <w:tc>
          <w:tcPr>
            <w:tcW w:w="212" w:type="pct"/>
            <w:hideMark/>
          </w:tcPr>
          <w:p w14:paraId="513013A8"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2.</w:t>
            </w:r>
          </w:p>
        </w:tc>
        <w:tc>
          <w:tcPr>
            <w:tcW w:w="1836" w:type="pct"/>
            <w:hideMark/>
          </w:tcPr>
          <w:p w14:paraId="3C6EFAD5" w14:textId="77777777" w:rsidR="00153ED4" w:rsidRPr="00202450" w:rsidRDefault="00153ED4" w:rsidP="00275468">
            <w:pPr>
              <w:jc w:val="both"/>
              <w:rPr>
                <w:rFonts w:eastAsia="Times New Roman"/>
                <w:sz w:val="24"/>
                <w:szCs w:val="24"/>
                <w:lang w:val="lv-LV" w:eastAsia="lv-LV"/>
              </w:rPr>
            </w:pPr>
            <w:r w:rsidRPr="00202450">
              <w:rPr>
                <w:sz w:val="24"/>
                <w:szCs w:val="24"/>
                <w:lang w:val="lv-LV"/>
              </w:rPr>
              <w:t>Pašreizējā situācija un problēmas, kuru risināšanai tiesību akta projekts izstrādāts, tiesiskā regulējuma mērķis un būtība</w:t>
            </w:r>
          </w:p>
        </w:tc>
        <w:tc>
          <w:tcPr>
            <w:tcW w:w="2952" w:type="pct"/>
          </w:tcPr>
          <w:p w14:paraId="064E846D" w14:textId="12C249F4" w:rsidR="005508C3" w:rsidRDefault="00153ED4" w:rsidP="00153ED4">
            <w:pPr>
              <w:jc w:val="both"/>
              <w:rPr>
                <w:rFonts w:eastAsiaTheme="minorHAnsi"/>
                <w:iCs/>
                <w:color w:val="000000" w:themeColor="text1"/>
                <w:sz w:val="24"/>
                <w:szCs w:val="24"/>
                <w:lang w:val="lv-LV"/>
              </w:rPr>
            </w:pPr>
            <w:r w:rsidRPr="00202450">
              <w:rPr>
                <w:rFonts w:eastAsiaTheme="minorHAnsi"/>
                <w:iCs/>
                <w:color w:val="000000" w:themeColor="text1"/>
                <w:sz w:val="24"/>
                <w:szCs w:val="24"/>
                <w:lang w:val="lv-LV"/>
              </w:rPr>
              <w:t xml:space="preserve"> </w:t>
            </w:r>
            <w:r w:rsidR="005508C3" w:rsidRPr="005508C3">
              <w:rPr>
                <w:rFonts w:eastAsiaTheme="minorHAnsi"/>
                <w:iCs/>
                <w:color w:val="000000" w:themeColor="text1"/>
                <w:sz w:val="24"/>
                <w:szCs w:val="24"/>
                <w:lang w:val="lv-LV"/>
              </w:rPr>
              <w:t xml:space="preserve">Ministru kabineta 2013.gada 19.marta noteikumos Nr.144 “Profesionālās izglītības kompetences centra statusa piešķiršanas un anulēšanas kārtība” </w:t>
            </w:r>
            <w:r w:rsidR="005508C3">
              <w:rPr>
                <w:rFonts w:eastAsiaTheme="minorHAnsi"/>
                <w:iCs/>
                <w:color w:val="000000" w:themeColor="text1"/>
                <w:sz w:val="24"/>
                <w:szCs w:val="24"/>
                <w:lang w:val="lv-LV"/>
              </w:rPr>
              <w:t xml:space="preserve">(turpmāk – noteikumi) ir noteikti kritēriji, kuriem ir jāatbilst, lai profesionālajai izglītības iestādei (turpmāk – iestāde) piešķirtu vai saglabātu profesionālās izglītības kompetences centra (turpmāk – kompetences centrs) statusu. </w:t>
            </w:r>
          </w:p>
          <w:p w14:paraId="321BDE1E" w14:textId="1F555D5A" w:rsidR="0056528B" w:rsidRDefault="0056528B" w:rsidP="00153ED4">
            <w:pPr>
              <w:jc w:val="both"/>
              <w:rPr>
                <w:rFonts w:eastAsiaTheme="minorHAnsi"/>
                <w:iCs/>
                <w:color w:val="000000" w:themeColor="text1"/>
                <w:sz w:val="24"/>
                <w:szCs w:val="24"/>
                <w:lang w:val="lv-LV"/>
              </w:rPr>
            </w:pPr>
            <w:r w:rsidRPr="0056528B">
              <w:rPr>
                <w:rFonts w:eastAsiaTheme="minorHAnsi"/>
                <w:iCs/>
                <w:color w:val="000000" w:themeColor="text1"/>
                <w:sz w:val="24"/>
                <w:szCs w:val="24"/>
                <w:lang w:val="lv-LV"/>
              </w:rPr>
              <w:t>Pašlaik ministrijas padotībā ir 18 kompetences centri.</w:t>
            </w:r>
          </w:p>
          <w:p w14:paraId="675D01D7" w14:textId="4768A484" w:rsidR="00D63079" w:rsidRDefault="00D63079" w:rsidP="00153ED4">
            <w:pPr>
              <w:jc w:val="both"/>
              <w:rPr>
                <w:rFonts w:eastAsiaTheme="minorHAnsi"/>
                <w:iCs/>
                <w:color w:val="000000" w:themeColor="text1"/>
                <w:sz w:val="24"/>
                <w:szCs w:val="24"/>
                <w:lang w:val="lv-LV"/>
              </w:rPr>
            </w:pPr>
            <w:r>
              <w:rPr>
                <w:rFonts w:eastAsiaTheme="minorHAnsi"/>
                <w:iCs/>
                <w:color w:val="000000" w:themeColor="text1"/>
                <w:sz w:val="24"/>
                <w:szCs w:val="24"/>
                <w:lang w:val="lv-LV"/>
              </w:rPr>
              <w:t>Kultūras ministrijas padotībā ir 4 kompetences centri. Kompetences centra statusa piešķiršanu Kultūras jomas iestādēm un kompetences centru statusa saglabāšanu reglamentē speciāls normatīvais akts – Ministru kabineta noteikumi Nr.495 “Kārtība, kādā piešķir un anulē profesionālās izglītības kompetences centra statusu mākslas, mūzikas vai dejas jomā”, kas izdots saskaņā ar Profesionālās izglītības likuma 7.panta 11.punktu un 15.¹ panta 1.¹ daļu</w:t>
            </w:r>
            <w:r w:rsidR="00C60998">
              <w:rPr>
                <w:rFonts w:eastAsiaTheme="minorHAnsi"/>
                <w:iCs/>
                <w:color w:val="000000" w:themeColor="text1"/>
                <w:sz w:val="24"/>
                <w:szCs w:val="24"/>
                <w:lang w:val="lv-LV"/>
              </w:rPr>
              <w:t>.</w:t>
            </w:r>
          </w:p>
          <w:p w14:paraId="6C17D1A5" w14:textId="77777777" w:rsidR="00004F47" w:rsidRDefault="005508C3" w:rsidP="00153ED4">
            <w:pPr>
              <w:jc w:val="both"/>
              <w:rPr>
                <w:rFonts w:eastAsiaTheme="minorHAnsi"/>
                <w:iCs/>
                <w:color w:val="000000" w:themeColor="text1"/>
                <w:sz w:val="24"/>
                <w:szCs w:val="24"/>
                <w:lang w:val="lv-LV"/>
              </w:rPr>
            </w:pPr>
            <w:r>
              <w:rPr>
                <w:rFonts w:eastAsiaTheme="minorHAnsi"/>
                <w:iCs/>
                <w:color w:val="000000" w:themeColor="text1"/>
                <w:sz w:val="24"/>
                <w:szCs w:val="24"/>
                <w:lang w:val="lv-LV"/>
              </w:rPr>
              <w:t>Noteikumu 2.1.apakšpunkts nosaka, kādam ir jābūt izglītojamo skaitam, kuri iegūst profesionālo vidējo izglītību, lai iestāde iegūtu vai saglab</w:t>
            </w:r>
            <w:r w:rsidR="0056528B">
              <w:rPr>
                <w:rFonts w:eastAsiaTheme="minorHAnsi"/>
                <w:iCs/>
                <w:color w:val="000000" w:themeColor="text1"/>
                <w:sz w:val="24"/>
                <w:szCs w:val="24"/>
                <w:lang w:val="lv-LV"/>
              </w:rPr>
              <w:t xml:space="preserve">ātu </w:t>
            </w:r>
            <w:r>
              <w:rPr>
                <w:rFonts w:eastAsiaTheme="minorHAnsi"/>
                <w:iCs/>
                <w:color w:val="000000" w:themeColor="text1"/>
                <w:sz w:val="24"/>
                <w:szCs w:val="24"/>
                <w:lang w:val="lv-LV"/>
              </w:rPr>
              <w:t xml:space="preserve">kompetences centra statusu. </w:t>
            </w:r>
            <w:r w:rsidR="0056528B">
              <w:rPr>
                <w:rFonts w:eastAsiaTheme="minorHAnsi"/>
                <w:iCs/>
                <w:color w:val="000000" w:themeColor="text1"/>
                <w:sz w:val="24"/>
                <w:szCs w:val="24"/>
                <w:lang w:val="lv-LV"/>
              </w:rPr>
              <w:t>Līdz ar to kompetences centri, lai izpildītu noteikumu 2.1.apakšpuntā minēto prasību,  attīsta pamatā tikai profesionālo vidējo izglītību</w:t>
            </w:r>
            <w:r w:rsidR="00004F47">
              <w:rPr>
                <w:rFonts w:eastAsiaTheme="minorHAnsi"/>
                <w:iCs/>
                <w:color w:val="000000" w:themeColor="text1"/>
                <w:sz w:val="24"/>
                <w:szCs w:val="24"/>
                <w:lang w:val="lv-LV"/>
              </w:rPr>
              <w:t>.</w:t>
            </w:r>
          </w:p>
          <w:p w14:paraId="26666479" w14:textId="2C252284" w:rsidR="0012493F" w:rsidRPr="0012493F" w:rsidRDefault="00004F47" w:rsidP="0012493F">
            <w:pPr>
              <w:jc w:val="both"/>
              <w:rPr>
                <w:rFonts w:eastAsiaTheme="minorHAnsi"/>
                <w:iCs/>
                <w:color w:val="000000" w:themeColor="text1"/>
                <w:sz w:val="24"/>
                <w:szCs w:val="24"/>
                <w:lang w:val="lv-LV"/>
              </w:rPr>
            </w:pPr>
            <w:r>
              <w:rPr>
                <w:rFonts w:eastAsiaTheme="minorHAnsi"/>
                <w:iCs/>
                <w:color w:val="000000" w:themeColor="text1"/>
                <w:sz w:val="24"/>
                <w:szCs w:val="24"/>
                <w:lang w:val="lv-LV"/>
              </w:rPr>
              <w:t xml:space="preserve"> </w:t>
            </w:r>
            <w:r w:rsidR="0012493F" w:rsidRPr="0012493F">
              <w:rPr>
                <w:rFonts w:eastAsiaTheme="minorHAnsi"/>
                <w:iCs/>
                <w:color w:val="000000" w:themeColor="text1"/>
                <w:sz w:val="24"/>
                <w:szCs w:val="24"/>
                <w:lang w:val="lv-LV"/>
              </w:rPr>
              <w:t xml:space="preserve">Saskaņā ar Ekonomikas ministrijas izstrādātajām darba tirgus vidēja un ilgtermiņa prognozēm ir liels jauniešu īpatsvars, kuri nonāk darba tirgū bez konkrētas specialitātes un prasmēm. Gandrīz 30% no vispārējo vidējo izglītību beigušiem neturpina mācības augstākā izglītības līmenī, savukārt pieprasījums pēc šāda darbaspēka samazinās. Darba tirgū ir arī samērā liels ekonomiski aktīvo iedzīvotāju īpatsvars ar pamatizglītību, un to skaits 2020.gadā var pārsniegt 120 </w:t>
            </w:r>
            <w:r w:rsidR="0012493F" w:rsidRPr="0012493F">
              <w:rPr>
                <w:rFonts w:eastAsiaTheme="minorHAnsi"/>
                <w:iCs/>
                <w:color w:val="000000" w:themeColor="text1"/>
                <w:sz w:val="24"/>
                <w:szCs w:val="24"/>
                <w:lang w:val="lv-LV"/>
              </w:rPr>
              <w:lastRenderedPageBreak/>
              <w:t>tūkstošus. Turpretim pieprasījums pēc šāda darbaspēka mazināsies, līdz 2020.gadam noslīdot līdz nepilniem 70 tūkstošiem.</w:t>
            </w:r>
          </w:p>
          <w:p w14:paraId="0E50546D" w14:textId="7A085155" w:rsidR="00004F47" w:rsidRDefault="0012493F" w:rsidP="0012493F">
            <w:pPr>
              <w:jc w:val="both"/>
              <w:rPr>
                <w:rFonts w:eastAsiaTheme="minorHAnsi"/>
                <w:iCs/>
                <w:color w:val="000000" w:themeColor="text1"/>
                <w:sz w:val="24"/>
                <w:szCs w:val="24"/>
                <w:lang w:val="lv-LV"/>
              </w:rPr>
            </w:pPr>
            <w:r w:rsidRPr="0012493F">
              <w:rPr>
                <w:rFonts w:eastAsiaTheme="minorHAnsi"/>
                <w:iCs/>
                <w:color w:val="000000" w:themeColor="text1"/>
                <w:sz w:val="24"/>
                <w:szCs w:val="24"/>
                <w:lang w:val="lv-LV"/>
              </w:rPr>
              <w:t>Lai nodrošinātu jauniešu un ekonomiski aktīvo iedzīvotāju profesijas ieguvi atbilstoši tautsaimniecības vajadzībām, nepieciešams ātri reaģēt uz darba tirgus pieprasījumu un sagatavot tautsaimniecībai nepieciešamos speciālistus īsā laikā. Nozaru ekspertu padomju pārstāvji norāda, ka, lai iegūtu profesionālo kvalifikāciju nav nepieciešams mācīties četrus gadus, apgūstot profesionālās vidējās izglītības programmu. Ņemot vērā iepriekš minēto un</w:t>
            </w:r>
            <w:r>
              <w:rPr>
                <w:rFonts w:eastAsiaTheme="minorHAnsi"/>
                <w:iCs/>
                <w:color w:val="000000" w:themeColor="text1"/>
                <w:sz w:val="24"/>
                <w:szCs w:val="24"/>
                <w:lang w:val="lv-LV"/>
              </w:rPr>
              <w:t xml:space="preserve"> darba tirgus pieprasījumu, kompetences centru statusa</w:t>
            </w:r>
            <w:r w:rsidRPr="0012493F">
              <w:rPr>
                <w:rFonts w:eastAsiaTheme="minorHAnsi"/>
                <w:iCs/>
                <w:color w:val="000000" w:themeColor="text1"/>
                <w:sz w:val="24"/>
                <w:szCs w:val="24"/>
                <w:lang w:val="lv-LV"/>
              </w:rPr>
              <w:t xml:space="preserve"> kritēriju izvērtēšanā jāiekļauj arī arodizglītības programmas, kur profesiju var iegūt viena, divu vai trīs gadu laikā atkarībā no profesionālās izglītības programmas satura.</w:t>
            </w:r>
          </w:p>
          <w:p w14:paraId="347806DD" w14:textId="77777777" w:rsidR="001B04D1" w:rsidRDefault="005A1FC0" w:rsidP="00153ED4">
            <w:pPr>
              <w:jc w:val="both"/>
              <w:rPr>
                <w:rFonts w:eastAsiaTheme="minorHAnsi"/>
                <w:iCs/>
                <w:color w:val="000000" w:themeColor="text1"/>
                <w:sz w:val="24"/>
                <w:szCs w:val="24"/>
                <w:lang w:val="lv-LV"/>
              </w:rPr>
            </w:pPr>
            <w:r>
              <w:rPr>
                <w:rFonts w:eastAsiaTheme="minorHAnsi"/>
                <w:iCs/>
                <w:color w:val="000000" w:themeColor="text1"/>
                <w:sz w:val="24"/>
                <w:szCs w:val="24"/>
                <w:lang w:val="lv-LV"/>
              </w:rPr>
              <w:t>Ņemot vērā minēto</w:t>
            </w:r>
            <w:r w:rsidR="001B04D1">
              <w:rPr>
                <w:rFonts w:eastAsiaTheme="minorHAnsi"/>
                <w:iCs/>
                <w:color w:val="000000" w:themeColor="text1"/>
                <w:sz w:val="24"/>
                <w:szCs w:val="24"/>
                <w:lang w:val="lv-LV"/>
              </w:rPr>
              <w:t>,</w:t>
            </w:r>
            <w:r w:rsidR="00004F47">
              <w:rPr>
                <w:rFonts w:eastAsiaTheme="minorHAnsi"/>
                <w:iCs/>
                <w:color w:val="000000" w:themeColor="text1"/>
                <w:sz w:val="24"/>
                <w:szCs w:val="24"/>
                <w:lang w:val="lv-LV"/>
              </w:rPr>
              <w:t xml:space="preserve"> noteikumu projekts </w:t>
            </w:r>
            <w:r>
              <w:rPr>
                <w:rFonts w:eastAsiaTheme="minorHAnsi"/>
                <w:iCs/>
                <w:color w:val="000000" w:themeColor="text1"/>
                <w:sz w:val="24"/>
                <w:szCs w:val="24"/>
                <w:lang w:val="lv-LV"/>
              </w:rPr>
              <w:t xml:space="preserve">paredz papildināt noteikumu 2.1.apakšpunktu, nosakot, ka noteikumos minētajam izglītojam skaitam ir jābūt </w:t>
            </w:r>
            <w:r w:rsidR="001B04D1" w:rsidRPr="001B04D1">
              <w:rPr>
                <w:lang w:val="lv-LV"/>
              </w:rPr>
              <w:t xml:space="preserve"> </w:t>
            </w:r>
            <w:r w:rsidR="001B04D1">
              <w:rPr>
                <w:rFonts w:eastAsiaTheme="minorHAnsi"/>
                <w:iCs/>
                <w:color w:val="000000" w:themeColor="text1"/>
                <w:sz w:val="24"/>
                <w:szCs w:val="24"/>
                <w:lang w:val="lv-LV"/>
              </w:rPr>
              <w:t>iestādē, lai</w:t>
            </w:r>
            <w:r w:rsidR="001B04D1" w:rsidRPr="001B04D1">
              <w:rPr>
                <w:rFonts w:eastAsiaTheme="minorHAnsi"/>
                <w:iCs/>
                <w:color w:val="000000" w:themeColor="text1"/>
                <w:sz w:val="24"/>
                <w:szCs w:val="24"/>
                <w:lang w:val="lv-LV"/>
              </w:rPr>
              <w:t xml:space="preserve"> iegūtu vai saglab</w:t>
            </w:r>
            <w:r w:rsidR="001B04D1">
              <w:rPr>
                <w:rFonts w:eastAsiaTheme="minorHAnsi"/>
                <w:iCs/>
                <w:color w:val="000000" w:themeColor="text1"/>
                <w:sz w:val="24"/>
                <w:szCs w:val="24"/>
                <w:lang w:val="lv-LV"/>
              </w:rPr>
              <w:t xml:space="preserve">ātu kompetences centra statusu, </w:t>
            </w:r>
            <w:r>
              <w:rPr>
                <w:rFonts w:eastAsiaTheme="minorHAnsi"/>
                <w:iCs/>
                <w:color w:val="000000" w:themeColor="text1"/>
                <w:sz w:val="24"/>
                <w:szCs w:val="24"/>
                <w:lang w:val="lv-LV"/>
              </w:rPr>
              <w:t>profesionālajā vidējā</w:t>
            </w:r>
            <w:r w:rsidR="001B04D1">
              <w:rPr>
                <w:rFonts w:eastAsiaTheme="minorHAnsi"/>
                <w:iCs/>
                <w:color w:val="000000" w:themeColor="text1"/>
                <w:sz w:val="24"/>
                <w:szCs w:val="24"/>
                <w:lang w:val="lv-LV"/>
              </w:rPr>
              <w:t xml:space="preserve"> izglītībā un</w:t>
            </w:r>
            <w:r>
              <w:rPr>
                <w:rFonts w:eastAsiaTheme="minorHAnsi"/>
                <w:iCs/>
                <w:color w:val="000000" w:themeColor="text1"/>
                <w:sz w:val="24"/>
                <w:szCs w:val="24"/>
                <w:lang w:val="lv-LV"/>
              </w:rPr>
              <w:t xml:space="preserve"> arodizglītībā. Tas veicin</w:t>
            </w:r>
            <w:r w:rsidR="001B04D1">
              <w:rPr>
                <w:rFonts w:eastAsiaTheme="minorHAnsi"/>
                <w:iCs/>
                <w:color w:val="000000" w:themeColor="text1"/>
                <w:sz w:val="24"/>
                <w:szCs w:val="24"/>
                <w:lang w:val="lv-LV"/>
              </w:rPr>
              <w:t>ās iestādēm</w:t>
            </w:r>
            <w:r>
              <w:rPr>
                <w:rFonts w:eastAsiaTheme="minorHAnsi"/>
                <w:iCs/>
                <w:color w:val="000000" w:themeColor="text1"/>
                <w:sz w:val="24"/>
                <w:szCs w:val="24"/>
                <w:lang w:val="lv-LV"/>
              </w:rPr>
              <w:t xml:space="preserve">, </w:t>
            </w:r>
            <w:r w:rsidR="001B04D1">
              <w:rPr>
                <w:rFonts w:eastAsiaTheme="minorHAnsi"/>
                <w:iCs/>
                <w:color w:val="000000" w:themeColor="text1"/>
                <w:sz w:val="24"/>
                <w:szCs w:val="24"/>
                <w:lang w:val="lv-LV"/>
              </w:rPr>
              <w:t xml:space="preserve">kas plāno iegūt kompetences centra statusu, un kompetences centriem, lai saglabātu statusu, attīstīt </w:t>
            </w:r>
            <w:r>
              <w:rPr>
                <w:rFonts w:eastAsiaTheme="minorHAnsi"/>
                <w:iCs/>
                <w:color w:val="000000" w:themeColor="text1"/>
                <w:sz w:val="24"/>
                <w:szCs w:val="24"/>
                <w:lang w:val="lv-LV"/>
              </w:rPr>
              <w:t>arodizglītību</w:t>
            </w:r>
            <w:r w:rsidR="001B04D1">
              <w:rPr>
                <w:rFonts w:eastAsiaTheme="minorHAnsi"/>
                <w:iCs/>
                <w:color w:val="000000" w:themeColor="text1"/>
                <w:sz w:val="24"/>
                <w:szCs w:val="24"/>
                <w:lang w:val="lv-LV"/>
              </w:rPr>
              <w:t xml:space="preserve"> un izpildīt nozares pārstāvju pieprasījumu darba tirgum nepieciešamo speciālistu sagatavošanai.</w:t>
            </w:r>
            <w:r>
              <w:rPr>
                <w:rFonts w:eastAsiaTheme="minorHAnsi"/>
                <w:iCs/>
                <w:color w:val="000000" w:themeColor="text1"/>
                <w:sz w:val="24"/>
                <w:szCs w:val="24"/>
                <w:lang w:val="lv-LV"/>
              </w:rPr>
              <w:t xml:space="preserve"> </w:t>
            </w:r>
          </w:p>
          <w:p w14:paraId="29CE4DBF" w14:textId="04D69875" w:rsidR="00153ED4" w:rsidRPr="00202450" w:rsidRDefault="00C7553E" w:rsidP="000E11B9">
            <w:pPr>
              <w:jc w:val="both"/>
              <w:rPr>
                <w:color w:val="000000" w:themeColor="text1"/>
                <w:sz w:val="24"/>
                <w:szCs w:val="24"/>
                <w:lang w:val="lv-LV"/>
              </w:rPr>
            </w:pPr>
            <w:r w:rsidRPr="00202450">
              <w:rPr>
                <w:rFonts w:eastAsiaTheme="minorHAnsi"/>
                <w:iCs/>
                <w:color w:val="000000" w:themeColor="text1"/>
                <w:sz w:val="24"/>
                <w:szCs w:val="24"/>
                <w:lang w:val="lv-LV"/>
              </w:rPr>
              <w:t>Ievērojot to, ka Profesionālās izglītības likuma 17.</w:t>
            </w:r>
            <w:r w:rsidRPr="00202450">
              <w:rPr>
                <w:rFonts w:eastAsiaTheme="minorHAnsi"/>
                <w:iCs/>
                <w:color w:val="000000" w:themeColor="text1"/>
                <w:sz w:val="24"/>
                <w:szCs w:val="24"/>
                <w:vertAlign w:val="superscript"/>
                <w:lang w:val="lv-LV"/>
              </w:rPr>
              <w:t>1</w:t>
            </w:r>
            <w:r w:rsidR="00B23117">
              <w:rPr>
                <w:rFonts w:eastAsiaTheme="minorHAnsi"/>
                <w:iCs/>
                <w:color w:val="000000" w:themeColor="text1"/>
                <w:sz w:val="24"/>
                <w:szCs w:val="24"/>
                <w:lang w:val="lv-LV"/>
              </w:rPr>
              <w:t xml:space="preserve">panta piektā </w:t>
            </w:r>
            <w:r w:rsidRPr="00202450">
              <w:rPr>
                <w:rFonts w:eastAsiaTheme="minorHAnsi"/>
                <w:iCs/>
                <w:color w:val="000000" w:themeColor="text1"/>
                <w:sz w:val="24"/>
                <w:szCs w:val="24"/>
                <w:lang w:val="lv-LV"/>
              </w:rPr>
              <w:t>daļā</w:t>
            </w:r>
            <w:r w:rsidR="00B23117">
              <w:rPr>
                <w:rFonts w:eastAsiaTheme="minorHAnsi"/>
                <w:iCs/>
                <w:color w:val="000000" w:themeColor="text1"/>
                <w:sz w:val="24"/>
                <w:szCs w:val="24"/>
                <w:lang w:val="lv-LV"/>
              </w:rPr>
              <w:t xml:space="preserve"> (4.apakšpunktā)</w:t>
            </w:r>
            <w:r w:rsidRPr="00202450">
              <w:rPr>
                <w:rFonts w:eastAsiaTheme="minorHAnsi"/>
                <w:iCs/>
                <w:color w:val="000000" w:themeColor="text1"/>
                <w:sz w:val="24"/>
                <w:szCs w:val="24"/>
                <w:lang w:val="lv-LV"/>
              </w:rPr>
              <w:t>, kā vi</w:t>
            </w:r>
            <w:r w:rsidR="009272DA">
              <w:rPr>
                <w:rFonts w:eastAsiaTheme="minorHAnsi"/>
                <w:iCs/>
                <w:color w:val="000000" w:themeColor="text1"/>
                <w:sz w:val="24"/>
                <w:szCs w:val="24"/>
                <w:lang w:val="lv-LV"/>
              </w:rPr>
              <w:t xml:space="preserve">ena no </w:t>
            </w:r>
            <w:r w:rsidRPr="00202450">
              <w:rPr>
                <w:rFonts w:eastAsiaTheme="minorHAnsi"/>
                <w:iCs/>
                <w:color w:val="000000" w:themeColor="text1"/>
                <w:sz w:val="24"/>
                <w:szCs w:val="24"/>
                <w:lang w:val="lv-LV"/>
              </w:rPr>
              <w:t>iestādes konventa f</w:t>
            </w:r>
            <w:r w:rsidR="00202450" w:rsidRPr="00202450">
              <w:rPr>
                <w:rFonts w:eastAsiaTheme="minorHAnsi"/>
                <w:iCs/>
                <w:color w:val="000000" w:themeColor="text1"/>
                <w:sz w:val="24"/>
                <w:szCs w:val="24"/>
                <w:lang w:val="lv-LV"/>
              </w:rPr>
              <w:t>unkcijām ir minēta sadarbības ve</w:t>
            </w:r>
            <w:r w:rsidRPr="00202450">
              <w:rPr>
                <w:rFonts w:eastAsiaTheme="minorHAnsi"/>
                <w:iCs/>
                <w:color w:val="000000" w:themeColor="text1"/>
                <w:sz w:val="24"/>
                <w:szCs w:val="24"/>
                <w:lang w:val="lv-LV"/>
              </w:rPr>
              <w:t xml:space="preserve">icināšana ar </w:t>
            </w:r>
            <w:r w:rsidR="0030497B" w:rsidRPr="00202450">
              <w:rPr>
                <w:rFonts w:eastAsia="Times New Roman"/>
                <w:color w:val="000000" w:themeColor="text1"/>
                <w:sz w:val="24"/>
                <w:szCs w:val="24"/>
                <w:shd w:val="clear" w:color="auto" w:fill="FFFFFF"/>
                <w:lang w:val="lv-LV"/>
              </w:rPr>
              <w:t xml:space="preserve"> </w:t>
            </w:r>
            <w:r w:rsidR="00202450" w:rsidRPr="00202450">
              <w:rPr>
                <w:rFonts w:eastAsia="Times New Roman"/>
                <w:color w:val="000000" w:themeColor="text1"/>
                <w:sz w:val="24"/>
                <w:szCs w:val="24"/>
                <w:shd w:val="clear" w:color="auto" w:fill="FFFFFF"/>
                <w:lang w:val="lv-LV"/>
              </w:rPr>
              <w:t xml:space="preserve">reģiona komersantiem </w:t>
            </w:r>
            <w:r w:rsidR="0030497B" w:rsidRPr="00202450">
              <w:rPr>
                <w:rFonts w:eastAsia="Times New Roman"/>
                <w:color w:val="000000" w:themeColor="text1"/>
                <w:sz w:val="24"/>
                <w:szCs w:val="24"/>
                <w:shd w:val="clear" w:color="auto" w:fill="FFFFFF"/>
                <w:lang w:val="lv-LV"/>
              </w:rPr>
              <w:t xml:space="preserve"> prakses un darba vidē balstītu mācību organizēšanā</w:t>
            </w:r>
            <w:r w:rsidR="00202450" w:rsidRPr="00202450">
              <w:rPr>
                <w:rFonts w:eastAsia="Times New Roman"/>
                <w:color w:val="000000" w:themeColor="text1"/>
                <w:sz w:val="24"/>
                <w:szCs w:val="24"/>
                <w:shd w:val="clear" w:color="auto" w:fill="FFFFFF"/>
                <w:lang w:val="lv-LV"/>
              </w:rPr>
              <w:t xml:space="preserve">, </w:t>
            </w:r>
            <w:r w:rsidR="00B23117">
              <w:rPr>
                <w:rFonts w:eastAsia="Times New Roman"/>
                <w:color w:val="000000" w:themeColor="text1"/>
                <w:sz w:val="24"/>
                <w:szCs w:val="24"/>
                <w:shd w:val="clear" w:color="auto" w:fill="FFFFFF"/>
                <w:lang w:val="lv-LV"/>
              </w:rPr>
              <w:t xml:space="preserve">noteikumu projektā ir precizēts noteikumu 2.4.apakšpunkts un noteikts, ka iestādei ir jāsaņem ne tikai darba devēju vai to apvienību un nozares komersantu, bet arī iestādes konventa rakstisks vērtējums par sadarbību, prakses un darba vidē balstītu mācību īstenošanu. </w:t>
            </w:r>
          </w:p>
        </w:tc>
      </w:tr>
      <w:tr w:rsidR="00153ED4" w:rsidRPr="00202450" w14:paraId="0C34E7A7" w14:textId="77777777" w:rsidTr="00153ED4">
        <w:tc>
          <w:tcPr>
            <w:tcW w:w="212" w:type="pct"/>
          </w:tcPr>
          <w:p w14:paraId="32D0DC33" w14:textId="67472FD6"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lastRenderedPageBreak/>
              <w:t>3.</w:t>
            </w:r>
          </w:p>
        </w:tc>
        <w:tc>
          <w:tcPr>
            <w:tcW w:w="1836" w:type="pct"/>
          </w:tcPr>
          <w:p w14:paraId="119C4CEC"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Projekta izstrādē iesaistītās institūcijas un publiskas personas kapitālsabiedrības</w:t>
            </w:r>
          </w:p>
        </w:tc>
        <w:tc>
          <w:tcPr>
            <w:tcW w:w="2952" w:type="pct"/>
          </w:tcPr>
          <w:p w14:paraId="343FBCA5" w14:textId="3B7A4B93" w:rsidR="00153ED4" w:rsidRPr="00202450" w:rsidRDefault="00F17169" w:rsidP="00F17169">
            <w:pPr>
              <w:rPr>
                <w:rFonts w:eastAsia="Times New Roman"/>
                <w:sz w:val="24"/>
                <w:szCs w:val="24"/>
                <w:lang w:val="lv-LV" w:eastAsia="lv-LV"/>
              </w:rPr>
            </w:pPr>
            <w:r>
              <w:rPr>
                <w:rFonts w:eastAsia="Times New Roman"/>
                <w:bCs/>
                <w:sz w:val="24"/>
                <w:szCs w:val="24"/>
                <w:lang w:val="lv-LV" w:eastAsia="lv-LV"/>
              </w:rPr>
              <w:t xml:space="preserve">Ministrija </w:t>
            </w:r>
            <w:r w:rsidR="002D7EF5">
              <w:rPr>
                <w:rFonts w:eastAsia="Times New Roman"/>
                <w:bCs/>
                <w:sz w:val="24"/>
                <w:szCs w:val="24"/>
                <w:lang w:val="lv-LV" w:eastAsia="lv-LV"/>
              </w:rPr>
              <w:t>un Profesionālās izglītības biedrība</w:t>
            </w:r>
            <w:r w:rsidR="00153ED4" w:rsidRPr="00202450">
              <w:rPr>
                <w:rFonts w:eastAsia="Times New Roman"/>
                <w:bCs/>
                <w:sz w:val="24"/>
                <w:szCs w:val="24"/>
                <w:lang w:val="lv-LV" w:eastAsia="lv-LV"/>
              </w:rPr>
              <w:t>.</w:t>
            </w:r>
          </w:p>
        </w:tc>
      </w:tr>
      <w:tr w:rsidR="00153ED4" w:rsidRPr="00202450" w14:paraId="3280CEBA" w14:textId="77777777" w:rsidTr="00153ED4">
        <w:tc>
          <w:tcPr>
            <w:tcW w:w="212" w:type="pct"/>
          </w:tcPr>
          <w:p w14:paraId="64A79FBF"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4.</w:t>
            </w:r>
          </w:p>
        </w:tc>
        <w:tc>
          <w:tcPr>
            <w:tcW w:w="1836" w:type="pct"/>
          </w:tcPr>
          <w:p w14:paraId="0DA8576E"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Cita informācija</w:t>
            </w:r>
          </w:p>
        </w:tc>
        <w:tc>
          <w:tcPr>
            <w:tcW w:w="2952" w:type="pct"/>
          </w:tcPr>
          <w:p w14:paraId="0E2EBFCD" w14:textId="77777777" w:rsidR="00153ED4" w:rsidRPr="00202450" w:rsidRDefault="00153ED4" w:rsidP="00275468">
            <w:pPr>
              <w:jc w:val="both"/>
              <w:rPr>
                <w:rFonts w:eastAsia="Times New Roman"/>
                <w:sz w:val="24"/>
                <w:szCs w:val="24"/>
                <w:lang w:val="lv-LV" w:eastAsia="lv-LV"/>
              </w:rPr>
            </w:pPr>
            <w:r w:rsidRPr="00202450">
              <w:rPr>
                <w:rFonts w:eastAsia="Times New Roman"/>
                <w:sz w:val="24"/>
                <w:szCs w:val="24"/>
                <w:lang w:val="lv-LV" w:eastAsia="lv-LV"/>
              </w:rPr>
              <w:t>Nav.</w:t>
            </w:r>
          </w:p>
        </w:tc>
      </w:tr>
    </w:tbl>
    <w:p w14:paraId="12877257" w14:textId="77777777" w:rsidR="00153ED4" w:rsidRPr="00202450" w:rsidRDefault="00153ED4" w:rsidP="00153ED4">
      <w:pPr>
        <w:spacing w:line="360" w:lineRule="auto"/>
        <w:rPr>
          <w:i/>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5"/>
        <w:gridCol w:w="3781"/>
        <w:gridCol w:w="5094"/>
      </w:tblGrid>
      <w:tr w:rsidR="00153ED4" w:rsidRPr="00202450" w14:paraId="60C32DBC" w14:textId="77777777" w:rsidTr="00275468">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13A32FE" w14:textId="77777777" w:rsidR="00153ED4" w:rsidRPr="00202450" w:rsidRDefault="00153ED4" w:rsidP="00275468">
            <w:pPr>
              <w:spacing w:before="100" w:beforeAutospacing="1" w:after="100" w:afterAutospacing="1" w:line="293" w:lineRule="atLeast"/>
              <w:jc w:val="center"/>
              <w:rPr>
                <w:b/>
                <w:bCs/>
                <w:lang w:val="lv-LV"/>
              </w:rPr>
            </w:pPr>
            <w:r w:rsidRPr="00202450">
              <w:rPr>
                <w:lang w:val="lv-LV"/>
              </w:rPr>
              <w:t> </w:t>
            </w:r>
            <w:r w:rsidRPr="00202450">
              <w:rPr>
                <w:b/>
                <w:bCs/>
                <w:lang w:val="lv-LV"/>
              </w:rPr>
              <w:t>II. Tiesību akta projekta ietekme uz sabiedrību, tautsaimniecības attīstību un administratīvo slogu</w:t>
            </w:r>
          </w:p>
        </w:tc>
      </w:tr>
      <w:tr w:rsidR="00153ED4" w:rsidRPr="00B24A47" w14:paraId="44FB6DC6" w14:textId="77777777" w:rsidTr="00275468">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3ABE820E" w14:textId="77777777" w:rsidR="00153ED4" w:rsidRPr="00202450" w:rsidRDefault="00153ED4" w:rsidP="00275468">
            <w:pPr>
              <w:rPr>
                <w:lang w:val="lv-LV"/>
              </w:rPr>
            </w:pPr>
            <w:r w:rsidRPr="00202450">
              <w:rPr>
                <w:lang w:val="lv-LV"/>
              </w:rPr>
              <w:t>1.</w:t>
            </w:r>
          </w:p>
        </w:tc>
        <w:tc>
          <w:tcPr>
            <w:tcW w:w="2024" w:type="pct"/>
            <w:tcBorders>
              <w:top w:val="outset" w:sz="6" w:space="0" w:color="414142"/>
              <w:left w:val="outset" w:sz="6" w:space="0" w:color="414142"/>
              <w:bottom w:val="outset" w:sz="6" w:space="0" w:color="414142"/>
              <w:right w:val="outset" w:sz="6" w:space="0" w:color="414142"/>
            </w:tcBorders>
            <w:hideMark/>
          </w:tcPr>
          <w:p w14:paraId="3990171F" w14:textId="77777777" w:rsidR="00153ED4" w:rsidRPr="00202450" w:rsidRDefault="00153ED4" w:rsidP="00275468">
            <w:pPr>
              <w:rPr>
                <w:lang w:val="lv-LV"/>
              </w:rPr>
            </w:pPr>
            <w:r w:rsidRPr="00202450">
              <w:rPr>
                <w:lang w:val="lv-LV"/>
              </w:rPr>
              <w:t xml:space="preserve">Sabiedrības </w:t>
            </w:r>
            <w:proofErr w:type="spellStart"/>
            <w:r w:rsidRPr="00202450">
              <w:rPr>
                <w:lang w:val="lv-LV"/>
              </w:rPr>
              <w:t>mērķgrupas</w:t>
            </w:r>
            <w:proofErr w:type="spellEnd"/>
            <w:r w:rsidRPr="00202450">
              <w:rPr>
                <w:lang w:val="lv-LV"/>
              </w:rPr>
              <w:t>, kuras tiesiskais regulējums ietekmē vai varētu ietekmēt</w:t>
            </w:r>
          </w:p>
        </w:tc>
        <w:tc>
          <w:tcPr>
            <w:tcW w:w="2728" w:type="pct"/>
            <w:tcBorders>
              <w:top w:val="outset" w:sz="6" w:space="0" w:color="414142"/>
              <w:left w:val="outset" w:sz="6" w:space="0" w:color="414142"/>
              <w:bottom w:val="outset" w:sz="6" w:space="0" w:color="414142"/>
              <w:right w:val="outset" w:sz="6" w:space="0" w:color="414142"/>
            </w:tcBorders>
          </w:tcPr>
          <w:p w14:paraId="67D3D767" w14:textId="5B159FDC" w:rsidR="00153ED4" w:rsidRPr="00202450" w:rsidRDefault="00204C3A" w:rsidP="00153ED4">
            <w:pPr>
              <w:jc w:val="both"/>
              <w:rPr>
                <w:lang w:val="lv-LV"/>
              </w:rPr>
            </w:pPr>
            <w:r>
              <w:rPr>
                <w:lang w:val="lv-LV"/>
              </w:rPr>
              <w:t xml:space="preserve"> </w:t>
            </w:r>
            <w:r w:rsidR="00153ED4" w:rsidRPr="00202450">
              <w:rPr>
                <w:lang w:val="lv-LV"/>
              </w:rPr>
              <w:t xml:space="preserve">Noteikumu projekts attiecas uz profesionālās izglītības iestādēm, to personālu un izglītojamajiem. </w:t>
            </w:r>
          </w:p>
        </w:tc>
      </w:tr>
      <w:tr w:rsidR="00153ED4" w:rsidRPr="00B24A47" w14:paraId="39F28E72" w14:textId="77777777" w:rsidTr="00275468">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7CAF1938" w14:textId="77777777" w:rsidR="00153ED4" w:rsidRPr="00202450" w:rsidRDefault="00153ED4" w:rsidP="00275468">
            <w:pPr>
              <w:rPr>
                <w:lang w:val="lv-LV"/>
              </w:rPr>
            </w:pPr>
            <w:r w:rsidRPr="00202450">
              <w:rPr>
                <w:lang w:val="lv-LV"/>
              </w:rPr>
              <w:t>2.</w:t>
            </w:r>
          </w:p>
        </w:tc>
        <w:tc>
          <w:tcPr>
            <w:tcW w:w="2024" w:type="pct"/>
            <w:tcBorders>
              <w:top w:val="outset" w:sz="6" w:space="0" w:color="414142"/>
              <w:left w:val="outset" w:sz="6" w:space="0" w:color="414142"/>
              <w:bottom w:val="outset" w:sz="6" w:space="0" w:color="414142"/>
              <w:right w:val="outset" w:sz="6" w:space="0" w:color="414142"/>
            </w:tcBorders>
            <w:hideMark/>
          </w:tcPr>
          <w:p w14:paraId="646786CE" w14:textId="77777777" w:rsidR="00153ED4" w:rsidRPr="00202450" w:rsidRDefault="00153ED4" w:rsidP="00275468">
            <w:pPr>
              <w:rPr>
                <w:lang w:val="lv-LV"/>
              </w:rPr>
            </w:pPr>
            <w:r w:rsidRPr="00202450">
              <w:rPr>
                <w:lang w:val="lv-LV"/>
              </w:rPr>
              <w:t>Tiesiskā regulējuma ietekme uz tautsaimniecību un administratīvo slogu</w:t>
            </w:r>
          </w:p>
        </w:tc>
        <w:tc>
          <w:tcPr>
            <w:tcW w:w="2728" w:type="pct"/>
            <w:tcBorders>
              <w:top w:val="outset" w:sz="6" w:space="0" w:color="414142"/>
              <w:left w:val="outset" w:sz="6" w:space="0" w:color="414142"/>
              <w:bottom w:val="outset" w:sz="6" w:space="0" w:color="414142"/>
              <w:right w:val="outset" w:sz="6" w:space="0" w:color="414142"/>
            </w:tcBorders>
          </w:tcPr>
          <w:p w14:paraId="72AB8AA3" w14:textId="2C1BCCA5" w:rsidR="00153ED4" w:rsidRPr="00202450" w:rsidRDefault="00B24A47" w:rsidP="00B24A47">
            <w:pPr>
              <w:jc w:val="both"/>
              <w:rPr>
                <w:lang w:val="lv-LV"/>
              </w:rPr>
            </w:pPr>
            <w:r w:rsidRPr="00B24A47">
              <w:rPr>
                <w:lang w:val="lv-LV"/>
              </w:rPr>
              <w:t>Noteikumu projekts šo jomu neskar</w:t>
            </w:r>
            <w:r>
              <w:rPr>
                <w:lang w:val="lv-LV"/>
              </w:rPr>
              <w:t xml:space="preserve">. </w:t>
            </w:r>
          </w:p>
        </w:tc>
      </w:tr>
      <w:tr w:rsidR="00153ED4" w:rsidRPr="00202450" w14:paraId="625D22A9" w14:textId="77777777" w:rsidTr="00275468">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294F6F60" w14:textId="77777777" w:rsidR="00153ED4" w:rsidRPr="00202450" w:rsidRDefault="00153ED4" w:rsidP="00275468">
            <w:pPr>
              <w:rPr>
                <w:lang w:val="lv-LV"/>
              </w:rPr>
            </w:pPr>
            <w:r w:rsidRPr="00202450">
              <w:rPr>
                <w:lang w:val="lv-LV"/>
              </w:rPr>
              <w:lastRenderedPageBreak/>
              <w:t>3.</w:t>
            </w:r>
          </w:p>
        </w:tc>
        <w:tc>
          <w:tcPr>
            <w:tcW w:w="2024" w:type="pct"/>
            <w:tcBorders>
              <w:top w:val="outset" w:sz="6" w:space="0" w:color="414142"/>
              <w:left w:val="outset" w:sz="6" w:space="0" w:color="414142"/>
              <w:bottom w:val="outset" w:sz="6" w:space="0" w:color="414142"/>
              <w:right w:val="outset" w:sz="6" w:space="0" w:color="414142"/>
            </w:tcBorders>
            <w:hideMark/>
          </w:tcPr>
          <w:p w14:paraId="6770860C" w14:textId="77777777" w:rsidR="00153ED4" w:rsidRPr="00202450" w:rsidRDefault="00153ED4" w:rsidP="00275468">
            <w:pPr>
              <w:rPr>
                <w:lang w:val="lv-LV"/>
              </w:rPr>
            </w:pPr>
            <w:r w:rsidRPr="00202450">
              <w:rPr>
                <w:lang w:val="lv-LV"/>
              </w:rPr>
              <w:t>Administratīvo izmaksu monetārs novērtējums</w:t>
            </w:r>
          </w:p>
        </w:tc>
        <w:tc>
          <w:tcPr>
            <w:tcW w:w="2728" w:type="pct"/>
            <w:tcBorders>
              <w:top w:val="outset" w:sz="6" w:space="0" w:color="414142"/>
              <w:left w:val="outset" w:sz="6" w:space="0" w:color="414142"/>
              <w:bottom w:val="outset" w:sz="6" w:space="0" w:color="414142"/>
              <w:right w:val="outset" w:sz="6" w:space="0" w:color="414142"/>
            </w:tcBorders>
            <w:hideMark/>
          </w:tcPr>
          <w:p w14:paraId="62D361D5" w14:textId="77777777" w:rsidR="00153ED4" w:rsidRPr="00202450" w:rsidRDefault="00153ED4" w:rsidP="00275468">
            <w:pPr>
              <w:jc w:val="both"/>
              <w:rPr>
                <w:lang w:val="lv-LV"/>
              </w:rPr>
            </w:pPr>
            <w:r w:rsidRPr="00202450">
              <w:rPr>
                <w:lang w:val="lv-LV"/>
              </w:rPr>
              <w:t>Noteikumu projekts šo jomu neskar.</w:t>
            </w:r>
          </w:p>
        </w:tc>
      </w:tr>
      <w:tr w:rsidR="00153ED4" w:rsidRPr="00202450" w14:paraId="3333ED32" w14:textId="77777777" w:rsidTr="00275468">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2A079805" w14:textId="77777777" w:rsidR="00153ED4" w:rsidRPr="00202450" w:rsidRDefault="00153ED4" w:rsidP="00275468">
            <w:pPr>
              <w:rPr>
                <w:lang w:val="lv-LV"/>
              </w:rPr>
            </w:pPr>
            <w:r w:rsidRPr="00202450">
              <w:rPr>
                <w:lang w:val="lv-LV"/>
              </w:rPr>
              <w:t>4.</w:t>
            </w:r>
          </w:p>
        </w:tc>
        <w:tc>
          <w:tcPr>
            <w:tcW w:w="2024" w:type="pct"/>
            <w:tcBorders>
              <w:top w:val="outset" w:sz="6" w:space="0" w:color="414142"/>
              <w:left w:val="outset" w:sz="6" w:space="0" w:color="414142"/>
              <w:bottom w:val="outset" w:sz="6" w:space="0" w:color="414142"/>
              <w:right w:val="outset" w:sz="6" w:space="0" w:color="414142"/>
            </w:tcBorders>
            <w:hideMark/>
          </w:tcPr>
          <w:p w14:paraId="005FBD81" w14:textId="77777777" w:rsidR="00153ED4" w:rsidRPr="00202450" w:rsidRDefault="00153ED4" w:rsidP="00275468">
            <w:pPr>
              <w:rPr>
                <w:lang w:val="lv-LV"/>
              </w:rPr>
            </w:pPr>
            <w:r w:rsidRPr="00202450">
              <w:rPr>
                <w:lang w:val="lv-LV"/>
              </w:rPr>
              <w:t>Cita informācija</w:t>
            </w:r>
          </w:p>
        </w:tc>
        <w:tc>
          <w:tcPr>
            <w:tcW w:w="2728" w:type="pct"/>
            <w:tcBorders>
              <w:top w:val="outset" w:sz="6" w:space="0" w:color="414142"/>
              <w:left w:val="outset" w:sz="6" w:space="0" w:color="414142"/>
              <w:bottom w:val="outset" w:sz="6" w:space="0" w:color="414142"/>
              <w:right w:val="outset" w:sz="6" w:space="0" w:color="414142"/>
            </w:tcBorders>
            <w:hideMark/>
          </w:tcPr>
          <w:p w14:paraId="73F5AE7D" w14:textId="77777777" w:rsidR="00153ED4" w:rsidRPr="00202450" w:rsidRDefault="00153ED4" w:rsidP="00275468">
            <w:pPr>
              <w:spacing w:before="100" w:beforeAutospacing="1" w:after="100" w:afterAutospacing="1" w:line="293" w:lineRule="atLeast"/>
              <w:rPr>
                <w:lang w:val="lv-LV"/>
              </w:rPr>
            </w:pPr>
            <w:r w:rsidRPr="00202450">
              <w:rPr>
                <w:lang w:val="lv-LV"/>
              </w:rPr>
              <w:t>Nav</w:t>
            </w:r>
          </w:p>
        </w:tc>
      </w:tr>
    </w:tbl>
    <w:p w14:paraId="6A1F5BB9" w14:textId="77777777" w:rsidR="00153ED4" w:rsidRPr="00202450" w:rsidRDefault="00153ED4" w:rsidP="00153ED4">
      <w:pPr>
        <w:jc w:val="both"/>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53ED4" w:rsidRPr="00B24A47" w14:paraId="5D938AB6" w14:textId="77777777" w:rsidTr="00275468">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00EA9C3" w14:textId="77777777" w:rsidR="00153ED4" w:rsidRPr="00202450" w:rsidRDefault="00153ED4" w:rsidP="00275468">
            <w:pPr>
              <w:spacing w:before="100" w:beforeAutospacing="1" w:after="100" w:afterAutospacing="1" w:line="293" w:lineRule="atLeast"/>
              <w:jc w:val="center"/>
              <w:rPr>
                <w:b/>
                <w:bCs/>
                <w:lang w:val="lv-LV"/>
              </w:rPr>
            </w:pPr>
            <w:r w:rsidRPr="00202450">
              <w:rPr>
                <w:lang w:val="lv-LV"/>
              </w:rPr>
              <w:t> </w:t>
            </w:r>
            <w:r w:rsidRPr="00202450">
              <w:rPr>
                <w:b/>
                <w:bCs/>
                <w:lang w:val="lv-LV"/>
              </w:rPr>
              <w:t>III. Tiesību akta projekta ietekme uz valsts budžetu un pašvaldību budžetiem</w:t>
            </w:r>
          </w:p>
        </w:tc>
      </w:tr>
      <w:tr w:rsidR="00153ED4" w:rsidRPr="00202450" w14:paraId="48A80AB8" w14:textId="77777777" w:rsidTr="00275468">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003D3F0A" w14:textId="6CFD1D01" w:rsidR="00153ED4" w:rsidRPr="00202450" w:rsidRDefault="00B24A47" w:rsidP="00B24A47">
            <w:pPr>
              <w:jc w:val="center"/>
              <w:rPr>
                <w:lang w:val="lv-LV"/>
              </w:rPr>
            </w:pPr>
            <w:r w:rsidRPr="00B24A47">
              <w:rPr>
                <w:lang w:val="lv-LV"/>
              </w:rPr>
              <w:t>Noteikumu projekts šo jomu neskar</w:t>
            </w:r>
            <w:r>
              <w:rPr>
                <w:lang w:val="lv-LV"/>
              </w:rPr>
              <w:t xml:space="preserve">. </w:t>
            </w:r>
          </w:p>
        </w:tc>
      </w:tr>
    </w:tbl>
    <w:p w14:paraId="71B01580" w14:textId="77777777" w:rsidR="00153ED4" w:rsidRPr="00202450" w:rsidRDefault="00153ED4" w:rsidP="00153ED4">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53ED4" w:rsidRPr="00B24A47" w14:paraId="28A7D293" w14:textId="77777777" w:rsidTr="00275468">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0B35C3DE" w14:textId="77777777" w:rsidR="00153ED4" w:rsidRPr="00202450" w:rsidRDefault="00153ED4" w:rsidP="00275468">
            <w:pPr>
              <w:spacing w:before="100" w:beforeAutospacing="1" w:after="100" w:afterAutospacing="1" w:line="293" w:lineRule="atLeast"/>
              <w:jc w:val="center"/>
              <w:rPr>
                <w:b/>
                <w:bCs/>
                <w:lang w:val="lv-LV"/>
              </w:rPr>
            </w:pPr>
            <w:r w:rsidRPr="00202450">
              <w:rPr>
                <w:lang w:val="lv-LV"/>
              </w:rPr>
              <w:t> </w:t>
            </w:r>
            <w:r w:rsidRPr="00202450">
              <w:rPr>
                <w:b/>
                <w:bCs/>
                <w:lang w:val="lv-LV"/>
              </w:rPr>
              <w:t>IV. Tiesību akta projekta ietekme uz spēkā esošo tiesību normu sistēmu</w:t>
            </w:r>
          </w:p>
        </w:tc>
      </w:tr>
      <w:tr w:rsidR="00153ED4" w:rsidRPr="00202450" w14:paraId="1F07D3F9" w14:textId="77777777" w:rsidTr="00275468">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49460A59" w14:textId="2180E1E1" w:rsidR="00153ED4" w:rsidRPr="00202450" w:rsidRDefault="00B24A47" w:rsidP="00B24A47">
            <w:pPr>
              <w:jc w:val="center"/>
              <w:rPr>
                <w:lang w:val="lv-LV"/>
              </w:rPr>
            </w:pPr>
            <w:r w:rsidRPr="00B24A47">
              <w:rPr>
                <w:lang w:val="lv-LV"/>
              </w:rPr>
              <w:t>Noteikumu projekts šo jomu neskar</w:t>
            </w:r>
            <w:r>
              <w:rPr>
                <w:lang w:val="lv-LV"/>
              </w:rPr>
              <w:t xml:space="preserve">. </w:t>
            </w:r>
          </w:p>
        </w:tc>
      </w:tr>
    </w:tbl>
    <w:p w14:paraId="0A5BB08E" w14:textId="77777777" w:rsidR="00153ED4" w:rsidRPr="00202450" w:rsidRDefault="00153ED4" w:rsidP="00153ED4">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53ED4" w:rsidRPr="00202450" w14:paraId="26F23B54" w14:textId="77777777" w:rsidTr="00275468">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A90FACB" w14:textId="77777777" w:rsidR="00153ED4" w:rsidRPr="00202450" w:rsidRDefault="00153ED4" w:rsidP="00275468">
            <w:pPr>
              <w:spacing w:before="100" w:beforeAutospacing="1" w:after="100" w:afterAutospacing="1" w:line="293" w:lineRule="atLeast"/>
              <w:jc w:val="center"/>
              <w:rPr>
                <w:b/>
                <w:bCs/>
                <w:lang w:val="lv-LV"/>
              </w:rPr>
            </w:pPr>
            <w:r w:rsidRPr="00202450">
              <w:rPr>
                <w:lang w:val="lv-LV"/>
              </w:rPr>
              <w:t> </w:t>
            </w:r>
            <w:r w:rsidRPr="00202450">
              <w:rPr>
                <w:b/>
                <w:bCs/>
                <w:lang w:val="lv-LV"/>
              </w:rPr>
              <w:t>V. Tiesību akta projekta atbilstība Latvijas Republikas starptautiskajām saistībām</w:t>
            </w:r>
          </w:p>
        </w:tc>
      </w:tr>
      <w:tr w:rsidR="00153ED4" w:rsidRPr="00202450" w14:paraId="25701D7F" w14:textId="77777777" w:rsidTr="00275468">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35DAC97A" w14:textId="10EA16A7" w:rsidR="00153ED4" w:rsidRPr="00202450" w:rsidRDefault="00B24A47" w:rsidP="00B24A47">
            <w:pPr>
              <w:jc w:val="center"/>
              <w:rPr>
                <w:lang w:val="lv-LV"/>
              </w:rPr>
            </w:pPr>
            <w:r w:rsidRPr="00B24A47">
              <w:rPr>
                <w:lang w:val="lv-LV"/>
              </w:rPr>
              <w:t>Noteikumu projekts šo jomu neskar</w:t>
            </w:r>
            <w:r>
              <w:rPr>
                <w:lang w:val="lv-LV"/>
              </w:rPr>
              <w:t xml:space="preserve">. </w:t>
            </w:r>
          </w:p>
        </w:tc>
      </w:tr>
    </w:tbl>
    <w:p w14:paraId="59285240" w14:textId="77777777" w:rsidR="00153ED4" w:rsidRPr="00202450" w:rsidRDefault="00153ED4" w:rsidP="00153ED4">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153ED4" w:rsidRPr="00B24A47" w14:paraId="394C9D3F" w14:textId="77777777" w:rsidTr="00275468">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AE8352B" w14:textId="77777777" w:rsidR="00153ED4" w:rsidRPr="00202450" w:rsidRDefault="00153ED4" w:rsidP="00275468">
            <w:pPr>
              <w:spacing w:before="100" w:beforeAutospacing="1" w:after="100" w:afterAutospacing="1" w:line="293" w:lineRule="atLeast"/>
              <w:jc w:val="center"/>
              <w:rPr>
                <w:b/>
                <w:bCs/>
                <w:lang w:val="lv-LV"/>
              </w:rPr>
            </w:pPr>
            <w:r w:rsidRPr="00202450">
              <w:rPr>
                <w:lang w:val="lv-LV"/>
              </w:rPr>
              <w:t> </w:t>
            </w:r>
            <w:r w:rsidRPr="00202450">
              <w:rPr>
                <w:b/>
                <w:bCs/>
                <w:lang w:val="lv-LV"/>
              </w:rPr>
              <w:t>VI. Sabiedrības līdzdalība un komunikācijas aktivitātes</w:t>
            </w:r>
          </w:p>
        </w:tc>
      </w:tr>
      <w:tr w:rsidR="00153ED4" w:rsidRPr="00202450" w14:paraId="6E4B7AE6" w14:textId="77777777" w:rsidTr="00275468">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4B393FA5" w14:textId="47F17C63" w:rsidR="00153ED4" w:rsidRPr="00202450" w:rsidRDefault="00B24A47" w:rsidP="00275468">
            <w:pPr>
              <w:jc w:val="center"/>
              <w:rPr>
                <w:lang w:val="lv-LV"/>
              </w:rPr>
            </w:pPr>
            <w:r>
              <w:rPr>
                <w:lang w:val="lv-LV"/>
              </w:rPr>
              <w:t>Noteikumu p</w:t>
            </w:r>
            <w:r w:rsidR="00153ED4" w:rsidRPr="00202450">
              <w:rPr>
                <w:lang w:val="lv-LV"/>
              </w:rPr>
              <w:t>rojekts šo jomu neskar.</w:t>
            </w:r>
          </w:p>
        </w:tc>
      </w:tr>
    </w:tbl>
    <w:p w14:paraId="60B6C137" w14:textId="77777777" w:rsidR="00153ED4" w:rsidRPr="00202450" w:rsidRDefault="00153ED4" w:rsidP="00153ED4">
      <w:pPr>
        <w:rPr>
          <w:rFonts w:eastAsia="Times New Roman"/>
          <w:lang w:val="lv-LV" w:eastAsia="lv-LV"/>
        </w:rPr>
      </w:pPr>
    </w:p>
    <w:tbl>
      <w:tblPr>
        <w:tblStyle w:val="TableGrid"/>
        <w:tblW w:w="5000" w:type="pct"/>
        <w:tblLook w:val="04A0" w:firstRow="1" w:lastRow="0" w:firstColumn="1" w:lastColumn="0" w:noHBand="0" w:noVBand="1"/>
      </w:tblPr>
      <w:tblGrid>
        <w:gridCol w:w="467"/>
        <w:gridCol w:w="3780"/>
        <w:gridCol w:w="5099"/>
      </w:tblGrid>
      <w:tr w:rsidR="00153ED4" w:rsidRPr="00B24A47" w14:paraId="6EB2E887" w14:textId="77777777" w:rsidTr="00275468">
        <w:trPr>
          <w:trHeight w:val="375"/>
        </w:trPr>
        <w:tc>
          <w:tcPr>
            <w:tcW w:w="0" w:type="auto"/>
            <w:gridSpan w:val="3"/>
            <w:hideMark/>
          </w:tcPr>
          <w:p w14:paraId="5E1F37F7" w14:textId="77777777" w:rsidR="00153ED4" w:rsidRPr="00202450" w:rsidRDefault="00153ED4" w:rsidP="00275468">
            <w:pPr>
              <w:spacing w:before="100" w:beforeAutospacing="1" w:after="100" w:afterAutospacing="1" w:line="360" w:lineRule="auto"/>
              <w:ind w:firstLine="300"/>
              <w:jc w:val="center"/>
              <w:rPr>
                <w:rFonts w:eastAsia="Times New Roman"/>
                <w:b/>
                <w:bCs/>
                <w:sz w:val="24"/>
                <w:szCs w:val="24"/>
                <w:lang w:val="lv-LV" w:eastAsia="lv-LV"/>
              </w:rPr>
            </w:pPr>
            <w:r w:rsidRPr="00202450">
              <w:rPr>
                <w:rFonts w:eastAsia="Times New Roman"/>
                <w:b/>
                <w:bCs/>
                <w:sz w:val="24"/>
                <w:szCs w:val="24"/>
                <w:lang w:val="lv-LV" w:eastAsia="lv-LV"/>
              </w:rPr>
              <w:t>VII. Tiesību akta projekta izpildes nodrošināšana un tās ietekme uz institūcijām</w:t>
            </w:r>
          </w:p>
        </w:tc>
      </w:tr>
      <w:tr w:rsidR="00153ED4" w:rsidRPr="00202450" w14:paraId="359D6730" w14:textId="77777777" w:rsidTr="00275468">
        <w:trPr>
          <w:trHeight w:val="420"/>
        </w:trPr>
        <w:tc>
          <w:tcPr>
            <w:tcW w:w="250" w:type="pct"/>
            <w:hideMark/>
          </w:tcPr>
          <w:p w14:paraId="608F6F2A"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1.</w:t>
            </w:r>
          </w:p>
        </w:tc>
        <w:tc>
          <w:tcPr>
            <w:tcW w:w="2022" w:type="pct"/>
            <w:hideMark/>
          </w:tcPr>
          <w:p w14:paraId="79A87C4A"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Projekta izpildē iesaistītās institūcijas</w:t>
            </w:r>
          </w:p>
        </w:tc>
        <w:tc>
          <w:tcPr>
            <w:tcW w:w="2728" w:type="pct"/>
            <w:hideMark/>
          </w:tcPr>
          <w:p w14:paraId="72D37787" w14:textId="1CDA7C13" w:rsidR="00153ED4" w:rsidRPr="00202450" w:rsidRDefault="00153ED4" w:rsidP="000E11B9">
            <w:pPr>
              <w:jc w:val="both"/>
              <w:rPr>
                <w:rFonts w:eastAsia="Times New Roman"/>
                <w:sz w:val="24"/>
                <w:szCs w:val="24"/>
                <w:lang w:val="lv-LV" w:eastAsia="lv-LV"/>
              </w:rPr>
            </w:pPr>
            <w:r w:rsidRPr="00202450">
              <w:rPr>
                <w:rFonts w:eastAsia="Times New Roman"/>
                <w:sz w:val="24"/>
                <w:szCs w:val="24"/>
                <w:lang w:val="lv-LV" w:eastAsia="lv-LV"/>
              </w:rPr>
              <w:t xml:space="preserve">Projekta izpildē būs iesaistītas </w:t>
            </w:r>
            <w:r w:rsidRPr="00202450">
              <w:rPr>
                <w:sz w:val="24"/>
                <w:szCs w:val="24"/>
                <w:lang w:val="lv-LV"/>
              </w:rPr>
              <w:t>profesionālās izglītības iestādes, to personāls un izglītojamie, ministrija.</w:t>
            </w:r>
            <w:r w:rsidRPr="00202450">
              <w:rPr>
                <w:rFonts w:eastAsia="Times New Roman"/>
                <w:sz w:val="24"/>
                <w:szCs w:val="24"/>
                <w:lang w:val="lv-LV" w:eastAsia="lv-LV"/>
              </w:rPr>
              <w:t xml:space="preserve"> </w:t>
            </w:r>
          </w:p>
        </w:tc>
      </w:tr>
      <w:tr w:rsidR="00153ED4" w:rsidRPr="00202450" w14:paraId="6F1C0B91" w14:textId="77777777" w:rsidTr="00275468">
        <w:trPr>
          <w:trHeight w:val="450"/>
        </w:trPr>
        <w:tc>
          <w:tcPr>
            <w:tcW w:w="250" w:type="pct"/>
            <w:hideMark/>
          </w:tcPr>
          <w:p w14:paraId="728C5AB3"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2.</w:t>
            </w:r>
          </w:p>
        </w:tc>
        <w:tc>
          <w:tcPr>
            <w:tcW w:w="2022" w:type="pct"/>
            <w:hideMark/>
          </w:tcPr>
          <w:p w14:paraId="0D80830F" w14:textId="77777777" w:rsidR="00153ED4" w:rsidRPr="00202450" w:rsidRDefault="00153ED4" w:rsidP="00275468">
            <w:pPr>
              <w:jc w:val="both"/>
              <w:rPr>
                <w:rFonts w:eastAsia="Times New Roman"/>
                <w:sz w:val="24"/>
                <w:szCs w:val="24"/>
                <w:lang w:val="lv-LV" w:eastAsia="lv-LV"/>
              </w:rPr>
            </w:pPr>
            <w:r w:rsidRPr="00202450">
              <w:rPr>
                <w:rFonts w:eastAsia="Times New Roman"/>
                <w:sz w:val="24"/>
                <w:szCs w:val="24"/>
                <w:lang w:val="lv-LV" w:eastAsia="lv-LV"/>
              </w:rPr>
              <w:t>Projekta izpildes ietekme uz pārvaldes funkcijām un institucionālo struktūru. Jaunu institūciju izveide, esošu institūciju likvidācija vai reorganizācija, to ietekme uz institūcijas cilvēkresursiem</w:t>
            </w:r>
          </w:p>
        </w:tc>
        <w:tc>
          <w:tcPr>
            <w:tcW w:w="2728" w:type="pct"/>
            <w:hideMark/>
          </w:tcPr>
          <w:p w14:paraId="16309E02" w14:textId="39927916" w:rsidR="00153ED4" w:rsidRPr="00202450" w:rsidRDefault="00204C3A" w:rsidP="00275468">
            <w:pPr>
              <w:jc w:val="both"/>
              <w:rPr>
                <w:rFonts w:eastAsia="Times New Roman"/>
                <w:sz w:val="24"/>
                <w:szCs w:val="24"/>
                <w:lang w:val="lv-LV" w:eastAsia="lv-LV"/>
              </w:rPr>
            </w:pPr>
            <w:r>
              <w:rPr>
                <w:rFonts w:eastAsia="Times New Roman"/>
                <w:sz w:val="24"/>
                <w:szCs w:val="24"/>
                <w:lang w:val="lv-LV" w:eastAsia="lv-LV"/>
              </w:rPr>
              <w:t xml:space="preserve"> </w:t>
            </w:r>
            <w:r w:rsidR="00153ED4" w:rsidRPr="00202450">
              <w:rPr>
                <w:rFonts w:eastAsia="Times New Roman"/>
                <w:sz w:val="24"/>
                <w:szCs w:val="24"/>
                <w:lang w:val="lv-LV" w:eastAsia="lv-LV"/>
              </w:rPr>
              <w:t>Projektam nav ietekmes uz valsts pārvaldes funkcijām un institucionālo struktūru.</w:t>
            </w:r>
          </w:p>
          <w:p w14:paraId="622A781C" w14:textId="77777777" w:rsidR="00153ED4" w:rsidRPr="00202450" w:rsidRDefault="00153ED4" w:rsidP="00275468">
            <w:pPr>
              <w:jc w:val="both"/>
              <w:rPr>
                <w:rFonts w:eastAsia="Times New Roman"/>
                <w:sz w:val="24"/>
                <w:szCs w:val="24"/>
                <w:lang w:val="lv-LV" w:eastAsia="lv-LV"/>
              </w:rPr>
            </w:pPr>
            <w:r w:rsidRPr="00202450">
              <w:rPr>
                <w:rFonts w:eastAsia="Times New Roman"/>
                <w:sz w:val="24"/>
                <w:szCs w:val="24"/>
                <w:lang w:val="lv-LV" w:eastAsia="lv-LV"/>
              </w:rPr>
              <w:t>Jaunas institūcijas netiek veidotas.</w:t>
            </w:r>
          </w:p>
          <w:p w14:paraId="124EABA8" w14:textId="433C209A" w:rsidR="00153ED4" w:rsidRPr="00202450" w:rsidRDefault="00153ED4" w:rsidP="00275468">
            <w:pPr>
              <w:jc w:val="both"/>
              <w:rPr>
                <w:rFonts w:eastAsia="Times New Roman"/>
                <w:sz w:val="24"/>
                <w:szCs w:val="24"/>
                <w:lang w:val="lv-LV" w:eastAsia="lv-LV"/>
              </w:rPr>
            </w:pPr>
            <w:r w:rsidRPr="00202450">
              <w:rPr>
                <w:rFonts w:eastAsia="Times New Roman"/>
                <w:sz w:val="24"/>
                <w:szCs w:val="24"/>
                <w:lang w:val="lv-LV" w:eastAsia="lv-LV"/>
              </w:rPr>
              <w:t>Esošās institūcijas netiek likvidētas vai reorganizētas.</w:t>
            </w:r>
          </w:p>
        </w:tc>
      </w:tr>
      <w:tr w:rsidR="00153ED4" w:rsidRPr="00202450" w14:paraId="14AB1222" w14:textId="77777777" w:rsidTr="00275468">
        <w:trPr>
          <w:trHeight w:val="390"/>
        </w:trPr>
        <w:tc>
          <w:tcPr>
            <w:tcW w:w="250" w:type="pct"/>
            <w:hideMark/>
          </w:tcPr>
          <w:p w14:paraId="21F4BB14"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3.</w:t>
            </w:r>
          </w:p>
        </w:tc>
        <w:tc>
          <w:tcPr>
            <w:tcW w:w="2022" w:type="pct"/>
            <w:hideMark/>
          </w:tcPr>
          <w:p w14:paraId="44B9BC6A" w14:textId="77777777" w:rsidR="00153ED4" w:rsidRPr="00202450" w:rsidRDefault="00153ED4" w:rsidP="00275468">
            <w:pPr>
              <w:rPr>
                <w:rFonts w:eastAsia="Times New Roman"/>
                <w:sz w:val="24"/>
                <w:szCs w:val="24"/>
                <w:lang w:val="lv-LV" w:eastAsia="lv-LV"/>
              </w:rPr>
            </w:pPr>
            <w:r w:rsidRPr="00202450">
              <w:rPr>
                <w:rFonts w:eastAsia="Times New Roman"/>
                <w:sz w:val="24"/>
                <w:szCs w:val="24"/>
                <w:lang w:val="lv-LV" w:eastAsia="lv-LV"/>
              </w:rPr>
              <w:t>Cita informācija</w:t>
            </w:r>
          </w:p>
        </w:tc>
        <w:tc>
          <w:tcPr>
            <w:tcW w:w="2728" w:type="pct"/>
            <w:hideMark/>
          </w:tcPr>
          <w:p w14:paraId="247E19A8" w14:textId="77777777" w:rsidR="00153ED4" w:rsidRPr="00202450" w:rsidRDefault="00153ED4" w:rsidP="00275468">
            <w:pPr>
              <w:spacing w:before="100" w:beforeAutospacing="1" w:after="100" w:afterAutospacing="1" w:line="360" w:lineRule="auto"/>
              <w:rPr>
                <w:rFonts w:eastAsia="Times New Roman"/>
                <w:sz w:val="24"/>
                <w:szCs w:val="24"/>
                <w:lang w:val="lv-LV" w:eastAsia="lv-LV"/>
              </w:rPr>
            </w:pPr>
            <w:r w:rsidRPr="00202450">
              <w:rPr>
                <w:rFonts w:eastAsia="Times New Roman"/>
                <w:sz w:val="24"/>
                <w:szCs w:val="24"/>
                <w:lang w:val="lv-LV" w:eastAsia="lv-LV"/>
              </w:rPr>
              <w:t>Nav.</w:t>
            </w:r>
          </w:p>
        </w:tc>
      </w:tr>
    </w:tbl>
    <w:p w14:paraId="01E35C80" w14:textId="77777777" w:rsidR="00153ED4" w:rsidRPr="00202450" w:rsidRDefault="00153ED4" w:rsidP="00153ED4">
      <w:pPr>
        <w:autoSpaceDE w:val="0"/>
        <w:autoSpaceDN w:val="0"/>
        <w:adjustRightInd w:val="0"/>
        <w:rPr>
          <w:lang w:val="lv-LV"/>
        </w:rPr>
      </w:pPr>
    </w:p>
    <w:p w14:paraId="2B57449A" w14:textId="77777777" w:rsidR="00153ED4" w:rsidRPr="00202450" w:rsidRDefault="00153ED4" w:rsidP="00153ED4">
      <w:pPr>
        <w:autoSpaceDE w:val="0"/>
        <w:autoSpaceDN w:val="0"/>
        <w:adjustRightInd w:val="0"/>
        <w:rPr>
          <w:lang w:val="lv-LV"/>
        </w:rPr>
      </w:pPr>
    </w:p>
    <w:p w14:paraId="4DEF81C8" w14:textId="59B3FC9D" w:rsidR="00153ED4" w:rsidRPr="00202450" w:rsidRDefault="00153ED4" w:rsidP="00153ED4">
      <w:pPr>
        <w:jc w:val="both"/>
        <w:rPr>
          <w:rFonts w:eastAsia="Times New Roman"/>
          <w:lang w:val="lv-LV" w:eastAsia="lv-LV"/>
        </w:rPr>
      </w:pPr>
      <w:r w:rsidRPr="00202450">
        <w:rPr>
          <w:rFonts w:eastAsia="Times New Roman"/>
          <w:lang w:val="lv-LV" w:eastAsia="lv-LV"/>
        </w:rPr>
        <w:t>Izglītības un zinātnes ministre</w:t>
      </w:r>
      <w:r w:rsidRPr="00202450">
        <w:rPr>
          <w:rFonts w:eastAsia="Times New Roman"/>
          <w:lang w:val="lv-LV" w:eastAsia="lv-LV"/>
        </w:rPr>
        <w:tab/>
        <w:t xml:space="preserve"> </w:t>
      </w:r>
      <w:r w:rsidRPr="00202450">
        <w:rPr>
          <w:rFonts w:eastAsia="Times New Roman"/>
          <w:lang w:val="lv-LV" w:eastAsia="lv-LV"/>
        </w:rPr>
        <w:tab/>
      </w:r>
      <w:r w:rsidRPr="00202450">
        <w:rPr>
          <w:rFonts w:eastAsia="Times New Roman"/>
          <w:lang w:val="lv-LV" w:eastAsia="lv-LV"/>
        </w:rPr>
        <w:tab/>
      </w:r>
      <w:r w:rsidRPr="00202450">
        <w:rPr>
          <w:rFonts w:eastAsia="Times New Roman"/>
          <w:lang w:val="lv-LV" w:eastAsia="lv-LV"/>
        </w:rPr>
        <w:tab/>
        <w:t xml:space="preserve">    </w:t>
      </w:r>
      <w:r w:rsidRPr="00202450">
        <w:rPr>
          <w:rFonts w:eastAsia="Times New Roman"/>
          <w:lang w:val="lv-LV" w:eastAsia="lv-LV"/>
        </w:rPr>
        <w:tab/>
      </w:r>
      <w:r w:rsidR="004F56C7">
        <w:rPr>
          <w:rFonts w:eastAsia="Times New Roman"/>
          <w:lang w:val="lv-LV" w:eastAsia="lv-LV"/>
        </w:rPr>
        <w:t xml:space="preserve">                       </w:t>
      </w:r>
      <w:r w:rsidRPr="00202450">
        <w:rPr>
          <w:rFonts w:eastAsia="Times New Roman"/>
          <w:lang w:val="lv-LV" w:eastAsia="lv-LV"/>
        </w:rPr>
        <w:t>Ilga Šuplinska</w:t>
      </w:r>
    </w:p>
    <w:p w14:paraId="1627E817" w14:textId="77777777" w:rsidR="00153ED4" w:rsidRPr="00202450" w:rsidRDefault="00153ED4" w:rsidP="00153ED4">
      <w:pPr>
        <w:jc w:val="both"/>
        <w:rPr>
          <w:rFonts w:eastAsia="Times New Roman"/>
          <w:lang w:val="lv-LV" w:eastAsia="lv-LV"/>
        </w:rPr>
      </w:pPr>
    </w:p>
    <w:p w14:paraId="13FF7939" w14:textId="77777777" w:rsidR="00153ED4" w:rsidRPr="00202450" w:rsidRDefault="00153ED4" w:rsidP="00153ED4">
      <w:pPr>
        <w:jc w:val="both"/>
        <w:rPr>
          <w:rFonts w:eastAsia="Times New Roman"/>
          <w:lang w:val="lv-LV" w:eastAsia="lv-LV"/>
        </w:rPr>
      </w:pPr>
      <w:r w:rsidRPr="00202450">
        <w:rPr>
          <w:rFonts w:eastAsia="Times New Roman"/>
          <w:lang w:val="lv-LV" w:eastAsia="lv-LV"/>
        </w:rPr>
        <w:t>Vizē:</w:t>
      </w:r>
    </w:p>
    <w:p w14:paraId="4ADA4265" w14:textId="68EEE5FB" w:rsidR="00153ED4" w:rsidRPr="00202450" w:rsidRDefault="00153ED4" w:rsidP="00153ED4">
      <w:pPr>
        <w:jc w:val="both"/>
        <w:rPr>
          <w:rFonts w:eastAsia="Times New Roman"/>
          <w:lang w:val="lv-LV" w:eastAsia="lv-LV"/>
        </w:rPr>
      </w:pPr>
      <w:r w:rsidRPr="00202450">
        <w:rPr>
          <w:rFonts w:eastAsia="Times New Roman"/>
          <w:bCs/>
          <w:kern w:val="32"/>
          <w:lang w:val="lv-LV" w:eastAsia="lv-LV"/>
        </w:rPr>
        <w:t>Valsts sekretāre</w:t>
      </w:r>
      <w:r w:rsidRPr="00202450">
        <w:rPr>
          <w:rFonts w:eastAsia="Times New Roman"/>
          <w:bCs/>
          <w:kern w:val="32"/>
          <w:lang w:val="lv-LV" w:eastAsia="lv-LV"/>
        </w:rPr>
        <w:tab/>
      </w:r>
      <w:r w:rsidRPr="00202450">
        <w:rPr>
          <w:rFonts w:eastAsia="Times New Roman"/>
          <w:bCs/>
          <w:kern w:val="32"/>
          <w:lang w:val="lv-LV" w:eastAsia="lv-LV"/>
        </w:rPr>
        <w:tab/>
      </w:r>
      <w:r w:rsidRPr="00202450">
        <w:rPr>
          <w:rFonts w:eastAsia="Times New Roman"/>
          <w:bCs/>
          <w:kern w:val="32"/>
          <w:lang w:val="lv-LV" w:eastAsia="lv-LV"/>
        </w:rPr>
        <w:tab/>
      </w:r>
      <w:r w:rsidRPr="00202450">
        <w:rPr>
          <w:rFonts w:eastAsia="Times New Roman"/>
          <w:bCs/>
          <w:kern w:val="32"/>
          <w:lang w:val="lv-LV" w:eastAsia="lv-LV"/>
        </w:rPr>
        <w:tab/>
      </w:r>
      <w:r w:rsidRPr="00202450">
        <w:rPr>
          <w:rFonts w:eastAsia="Times New Roman"/>
          <w:bCs/>
          <w:kern w:val="32"/>
          <w:lang w:val="lv-LV" w:eastAsia="lv-LV"/>
        </w:rPr>
        <w:tab/>
      </w:r>
      <w:r w:rsidRPr="00202450">
        <w:rPr>
          <w:rFonts w:eastAsia="Times New Roman"/>
          <w:bCs/>
          <w:kern w:val="32"/>
          <w:lang w:val="lv-LV" w:eastAsia="lv-LV"/>
        </w:rPr>
        <w:tab/>
      </w:r>
      <w:r w:rsidRPr="00202450">
        <w:rPr>
          <w:rFonts w:eastAsia="Times New Roman"/>
          <w:bCs/>
          <w:kern w:val="32"/>
          <w:lang w:val="lv-LV" w:eastAsia="lv-LV"/>
        </w:rPr>
        <w:tab/>
      </w:r>
      <w:r w:rsidR="004F56C7">
        <w:rPr>
          <w:rFonts w:eastAsia="Times New Roman"/>
          <w:bCs/>
          <w:kern w:val="32"/>
          <w:lang w:val="lv-LV" w:eastAsia="lv-LV"/>
        </w:rPr>
        <w:t xml:space="preserve">                           </w:t>
      </w:r>
      <w:r w:rsidRPr="00202450">
        <w:rPr>
          <w:rFonts w:eastAsia="Times New Roman"/>
          <w:bCs/>
          <w:kern w:val="32"/>
          <w:lang w:val="lv-LV" w:eastAsia="lv-LV"/>
        </w:rPr>
        <w:t>Līga Lejiņa</w:t>
      </w:r>
    </w:p>
    <w:p w14:paraId="4A682D6C" w14:textId="77777777" w:rsidR="001F36D6" w:rsidRPr="00D63079" w:rsidRDefault="001F36D6" w:rsidP="001F36D6">
      <w:pPr>
        <w:rPr>
          <w:sz w:val="20"/>
          <w:szCs w:val="20"/>
          <w:lang w:val="lv-LV"/>
        </w:rPr>
      </w:pPr>
    </w:p>
    <w:p w14:paraId="4FF4DFF2" w14:textId="77777777" w:rsidR="001F36D6" w:rsidRPr="00D63079" w:rsidRDefault="001F36D6" w:rsidP="001F36D6">
      <w:pPr>
        <w:rPr>
          <w:sz w:val="20"/>
          <w:szCs w:val="20"/>
          <w:lang w:val="lv-LV"/>
        </w:rPr>
      </w:pPr>
      <w:proofErr w:type="spellStart"/>
      <w:r w:rsidRPr="00D63079">
        <w:rPr>
          <w:sz w:val="20"/>
          <w:szCs w:val="20"/>
          <w:lang w:val="lv-LV"/>
        </w:rPr>
        <w:t>Dz.Gorbunova</w:t>
      </w:r>
      <w:proofErr w:type="spellEnd"/>
    </w:p>
    <w:p w14:paraId="1F809485" w14:textId="4DB05A52" w:rsidR="00A24C3D" w:rsidRPr="00D63079" w:rsidRDefault="001F36D6" w:rsidP="001F36D6">
      <w:pPr>
        <w:rPr>
          <w:sz w:val="20"/>
          <w:szCs w:val="20"/>
          <w:lang w:val="lv-LV"/>
        </w:rPr>
      </w:pPr>
      <w:r w:rsidRPr="00D63079">
        <w:rPr>
          <w:sz w:val="20"/>
          <w:szCs w:val="20"/>
          <w:lang w:val="lv-LV"/>
        </w:rPr>
        <w:t xml:space="preserve">67047855, </w:t>
      </w:r>
      <w:hyperlink r:id="rId6" w:history="1">
        <w:r w:rsidR="004F56C7" w:rsidRPr="001F1919">
          <w:rPr>
            <w:rStyle w:val="Hyperlink"/>
            <w:sz w:val="20"/>
            <w:szCs w:val="20"/>
            <w:lang w:val="lv-LV"/>
          </w:rPr>
          <w:t>Dzintra.Gorbunova@izm.gov.lv</w:t>
        </w:r>
      </w:hyperlink>
    </w:p>
    <w:p w14:paraId="19A358B6" w14:textId="2EA1D493" w:rsidR="001F36D6" w:rsidRPr="00D63079" w:rsidRDefault="001F36D6" w:rsidP="001F36D6">
      <w:pPr>
        <w:rPr>
          <w:sz w:val="20"/>
          <w:szCs w:val="20"/>
          <w:lang w:val="lv-LV"/>
        </w:rPr>
      </w:pPr>
      <w:proofErr w:type="spellStart"/>
      <w:r w:rsidRPr="00D63079">
        <w:rPr>
          <w:sz w:val="20"/>
          <w:szCs w:val="20"/>
          <w:lang w:val="lv-LV"/>
        </w:rPr>
        <w:t>I.Terinka</w:t>
      </w:r>
      <w:proofErr w:type="spellEnd"/>
    </w:p>
    <w:p w14:paraId="687A15C3" w14:textId="5D671633" w:rsidR="001F36D6" w:rsidRPr="004F56C7" w:rsidRDefault="001F36D6" w:rsidP="001F36D6">
      <w:pPr>
        <w:rPr>
          <w:sz w:val="20"/>
          <w:szCs w:val="20"/>
          <w:lang w:val="lv-LV"/>
        </w:rPr>
      </w:pPr>
      <w:r w:rsidRPr="004F56C7">
        <w:rPr>
          <w:sz w:val="20"/>
          <w:szCs w:val="20"/>
          <w:lang w:val="lv-LV"/>
        </w:rPr>
        <w:t xml:space="preserve">67047975, </w:t>
      </w:r>
      <w:hyperlink r:id="rId7" w:history="1">
        <w:r w:rsidR="004F56C7" w:rsidRPr="001F1919">
          <w:rPr>
            <w:rStyle w:val="Hyperlink"/>
            <w:sz w:val="20"/>
            <w:szCs w:val="20"/>
            <w:lang w:val="lv-LV"/>
          </w:rPr>
          <w:t>Inese.Terinka@izm.gov.lv</w:t>
        </w:r>
      </w:hyperlink>
    </w:p>
    <w:p w14:paraId="2FF9AAF2" w14:textId="4B75238D" w:rsidR="004F56C7" w:rsidRPr="004F56C7" w:rsidRDefault="004F56C7" w:rsidP="001F36D6">
      <w:pPr>
        <w:rPr>
          <w:sz w:val="20"/>
          <w:szCs w:val="20"/>
          <w:lang w:val="lv-LV"/>
        </w:rPr>
      </w:pPr>
      <w:proofErr w:type="spellStart"/>
      <w:r w:rsidRPr="004F56C7">
        <w:rPr>
          <w:sz w:val="20"/>
          <w:szCs w:val="20"/>
          <w:lang w:val="lv-LV"/>
        </w:rPr>
        <w:t>A.Imanta</w:t>
      </w:r>
      <w:proofErr w:type="spellEnd"/>
    </w:p>
    <w:p w14:paraId="4C2C175E" w14:textId="5A8F5634" w:rsidR="004F56C7" w:rsidRPr="004F56C7" w:rsidRDefault="004F56C7" w:rsidP="001F36D6">
      <w:pPr>
        <w:rPr>
          <w:sz w:val="20"/>
          <w:szCs w:val="20"/>
          <w:lang w:val="lv-LV"/>
        </w:rPr>
      </w:pPr>
      <w:r>
        <w:rPr>
          <w:sz w:val="20"/>
          <w:szCs w:val="20"/>
          <w:lang w:val="lv-LV"/>
        </w:rPr>
        <w:t xml:space="preserve">67047955, </w:t>
      </w:r>
      <w:hyperlink r:id="rId8" w:history="1">
        <w:r w:rsidRPr="001F1919">
          <w:rPr>
            <w:rStyle w:val="Hyperlink"/>
            <w:sz w:val="20"/>
            <w:szCs w:val="20"/>
            <w:lang w:val="lv-LV"/>
          </w:rPr>
          <w:t>Alla.Imanta@izm.gov.lv</w:t>
        </w:r>
      </w:hyperlink>
    </w:p>
    <w:sectPr w:rsidR="004F56C7" w:rsidRPr="004F56C7" w:rsidSect="00DF12C5">
      <w:headerReference w:type="default" r:id="rId9"/>
      <w:footerReference w:type="default" r:id="rId10"/>
      <w:footerReference w:type="first" r:id="rId11"/>
      <w:pgSz w:w="11906" w:h="16838"/>
      <w:pgMar w:top="567" w:right="1274" w:bottom="1560" w:left="1276"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4C195" w14:textId="77777777" w:rsidR="004545CC" w:rsidRDefault="004545CC" w:rsidP="00AE2EB4">
      <w:r>
        <w:separator/>
      </w:r>
    </w:p>
  </w:endnote>
  <w:endnote w:type="continuationSeparator" w:id="0">
    <w:p w14:paraId="28E0243C" w14:textId="77777777" w:rsidR="004545CC" w:rsidRDefault="004545CC" w:rsidP="00AE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E2E6" w14:textId="5E3A482D" w:rsidR="0012493F" w:rsidRPr="00F96729" w:rsidRDefault="003602FD">
    <w:pPr>
      <w:pStyle w:val="Footer"/>
      <w:rPr>
        <w:rFonts w:ascii="Times New Roman" w:hAnsi="Times New Roman"/>
        <w:sz w:val="20"/>
        <w:szCs w:val="20"/>
      </w:rPr>
    </w:pPr>
    <w:r>
      <w:rPr>
        <w:rFonts w:ascii="Times New Roman" w:hAnsi="Times New Roman"/>
        <w:sz w:val="20"/>
        <w:szCs w:val="20"/>
      </w:rPr>
      <w:t>IZMA</w:t>
    </w:r>
    <w:r w:rsidR="0012493F" w:rsidRPr="00F96729">
      <w:rPr>
        <w:rFonts w:ascii="Times New Roman" w:hAnsi="Times New Roman"/>
        <w:sz w:val="20"/>
        <w:szCs w:val="20"/>
      </w:rPr>
      <w:t>not_200919_PIKC</w:t>
    </w:r>
    <w:r w:rsidR="00567552" w:rsidRPr="00F96729">
      <w:rPr>
        <w:rFonts w:ascii="Times New Roman" w:hAnsi="Times New Roman"/>
        <w:sz w:val="20"/>
        <w:szCs w:val="20"/>
      </w:rPr>
      <w:t>_144</w:t>
    </w:r>
  </w:p>
  <w:p w14:paraId="415D3A1A" w14:textId="43EC3332" w:rsidR="004A53C8" w:rsidRPr="00045D0E" w:rsidRDefault="004545CC" w:rsidP="00045D0E">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44F9" w14:textId="17AC4095" w:rsidR="003E5801" w:rsidRPr="00045D0E" w:rsidRDefault="003602FD" w:rsidP="003E5801">
    <w:pPr>
      <w:pStyle w:val="Footer"/>
      <w:jc w:val="both"/>
    </w:pPr>
    <w:r>
      <w:rPr>
        <w:rFonts w:ascii="Times New Roman" w:eastAsia="Times New Roman" w:hAnsi="Times New Roman"/>
        <w:bCs/>
        <w:sz w:val="20"/>
        <w:szCs w:val="20"/>
        <w:lang w:eastAsia="lv-LV"/>
      </w:rPr>
      <w:t>IZMA</w:t>
    </w:r>
    <w:r w:rsidR="00567552" w:rsidRPr="00567552">
      <w:rPr>
        <w:rFonts w:ascii="Times New Roman" w:eastAsia="Times New Roman" w:hAnsi="Times New Roman"/>
        <w:bCs/>
        <w:sz w:val="20"/>
        <w:szCs w:val="20"/>
        <w:lang w:eastAsia="lv-LV"/>
      </w:rPr>
      <w:t>not_200919_PIKC</w:t>
    </w:r>
    <w:r w:rsidR="00567552">
      <w:rPr>
        <w:rFonts w:ascii="Times New Roman" w:eastAsia="Times New Roman" w:hAnsi="Times New Roman"/>
        <w:bCs/>
        <w:sz w:val="20"/>
        <w:szCs w:val="20"/>
        <w:lang w:eastAsia="lv-LV"/>
      </w:rPr>
      <w:t>_144</w:t>
    </w:r>
  </w:p>
  <w:p w14:paraId="276AF839" w14:textId="77777777" w:rsidR="00F4546D" w:rsidRPr="003E5801" w:rsidRDefault="004545CC" w:rsidP="003E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F6C92" w14:textId="77777777" w:rsidR="004545CC" w:rsidRDefault="004545CC" w:rsidP="00AE2EB4">
      <w:r>
        <w:separator/>
      </w:r>
    </w:p>
  </w:footnote>
  <w:footnote w:type="continuationSeparator" w:id="0">
    <w:p w14:paraId="36C33D96" w14:textId="77777777" w:rsidR="004545CC" w:rsidRDefault="004545CC" w:rsidP="00AE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E987" w14:textId="77777777" w:rsidR="00F4546D" w:rsidRDefault="00050378"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2340F5">
      <w:rPr>
        <w:rFonts w:ascii="Times New Roman" w:hAnsi="Times New Roman"/>
        <w:noProof/>
        <w:sz w:val="24"/>
        <w:szCs w:val="24"/>
      </w:rPr>
      <w:t>3</w:t>
    </w:r>
    <w:r w:rsidRPr="00F4546D">
      <w:rPr>
        <w:rFonts w:ascii="Times New Roman" w:hAnsi="Times New Roman"/>
        <w:sz w:val="24"/>
        <w:szCs w:val="24"/>
      </w:rPr>
      <w:fldChar w:fldCharType="end"/>
    </w:r>
  </w:p>
  <w:p w14:paraId="69979730" w14:textId="77777777" w:rsidR="00F4546D" w:rsidRPr="00F4546D" w:rsidRDefault="004545CC" w:rsidP="00F4546D">
    <w:pPr>
      <w:pStyle w:val="Header"/>
      <w:spacing w:after="0"/>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5D"/>
    <w:rsid w:val="00004F47"/>
    <w:rsid w:val="00050378"/>
    <w:rsid w:val="00080197"/>
    <w:rsid w:val="000E11B9"/>
    <w:rsid w:val="0012493F"/>
    <w:rsid w:val="00153ED4"/>
    <w:rsid w:val="001B04D1"/>
    <w:rsid w:val="001F1C90"/>
    <w:rsid w:val="001F36D6"/>
    <w:rsid w:val="00202450"/>
    <w:rsid w:val="00204C3A"/>
    <w:rsid w:val="002340F5"/>
    <w:rsid w:val="00294DA8"/>
    <w:rsid w:val="002D7EF5"/>
    <w:rsid w:val="0030497B"/>
    <w:rsid w:val="003602FD"/>
    <w:rsid w:val="00385A23"/>
    <w:rsid w:val="004545CC"/>
    <w:rsid w:val="00484F50"/>
    <w:rsid w:val="004D10F9"/>
    <w:rsid w:val="004F56C7"/>
    <w:rsid w:val="005508C3"/>
    <w:rsid w:val="0056528B"/>
    <w:rsid w:val="00567552"/>
    <w:rsid w:val="005A1FC0"/>
    <w:rsid w:val="00902C5D"/>
    <w:rsid w:val="00906232"/>
    <w:rsid w:val="009272DA"/>
    <w:rsid w:val="00A24C3D"/>
    <w:rsid w:val="00A47775"/>
    <w:rsid w:val="00A86973"/>
    <w:rsid w:val="00AE2EB4"/>
    <w:rsid w:val="00B23117"/>
    <w:rsid w:val="00B24A47"/>
    <w:rsid w:val="00BB10C7"/>
    <w:rsid w:val="00C60998"/>
    <w:rsid w:val="00C7553E"/>
    <w:rsid w:val="00D10ADC"/>
    <w:rsid w:val="00D63079"/>
    <w:rsid w:val="00DC0B5A"/>
    <w:rsid w:val="00E9474E"/>
    <w:rsid w:val="00EC67D3"/>
    <w:rsid w:val="00F03DF9"/>
    <w:rsid w:val="00F17169"/>
    <w:rsid w:val="00F63D1C"/>
    <w:rsid w:val="00F96729"/>
    <w:rsid w:val="00FC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41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D4"/>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D4"/>
    <w:pPr>
      <w:tabs>
        <w:tab w:val="center" w:pos="4153"/>
        <w:tab w:val="right" w:pos="8306"/>
      </w:tabs>
      <w:spacing w:after="200" w:line="276" w:lineRule="auto"/>
    </w:pPr>
    <w:rPr>
      <w:rFonts w:ascii="Calibri" w:eastAsia="Calibri" w:hAnsi="Calibri"/>
      <w:sz w:val="22"/>
      <w:szCs w:val="22"/>
      <w:lang w:val="lv-LV" w:eastAsia="en-US"/>
    </w:rPr>
  </w:style>
  <w:style w:type="character" w:customStyle="1" w:styleId="HeaderChar">
    <w:name w:val="Header Char"/>
    <w:basedOn w:val="DefaultParagraphFont"/>
    <w:link w:val="Header"/>
    <w:uiPriority w:val="99"/>
    <w:rsid w:val="00153ED4"/>
    <w:rPr>
      <w:rFonts w:ascii="Calibri" w:eastAsia="Calibri" w:hAnsi="Calibri" w:cs="Times New Roman"/>
      <w:sz w:val="22"/>
      <w:szCs w:val="22"/>
      <w:lang w:val="lv-LV"/>
    </w:rPr>
  </w:style>
  <w:style w:type="paragraph" w:styleId="Footer">
    <w:name w:val="footer"/>
    <w:basedOn w:val="Normal"/>
    <w:link w:val="FooterChar"/>
    <w:uiPriority w:val="99"/>
    <w:unhideWhenUsed/>
    <w:rsid w:val="00153ED4"/>
    <w:pPr>
      <w:tabs>
        <w:tab w:val="center" w:pos="4153"/>
        <w:tab w:val="right" w:pos="8306"/>
      </w:tabs>
      <w:spacing w:after="200" w:line="276" w:lineRule="auto"/>
    </w:pPr>
    <w:rPr>
      <w:rFonts w:ascii="Calibri" w:eastAsia="Calibri" w:hAnsi="Calibri"/>
      <w:sz w:val="22"/>
      <w:szCs w:val="22"/>
      <w:lang w:val="lv-LV" w:eastAsia="en-US"/>
    </w:rPr>
  </w:style>
  <w:style w:type="character" w:customStyle="1" w:styleId="FooterChar">
    <w:name w:val="Footer Char"/>
    <w:basedOn w:val="DefaultParagraphFont"/>
    <w:link w:val="Footer"/>
    <w:uiPriority w:val="99"/>
    <w:rsid w:val="00153ED4"/>
    <w:rPr>
      <w:rFonts w:ascii="Calibri" w:eastAsia="Calibri" w:hAnsi="Calibri" w:cs="Times New Roman"/>
      <w:sz w:val="22"/>
      <w:szCs w:val="22"/>
      <w:lang w:val="lv-LV"/>
    </w:rPr>
  </w:style>
  <w:style w:type="table" w:styleId="TableGrid">
    <w:name w:val="Table Grid"/>
    <w:basedOn w:val="TableNormal"/>
    <w:uiPriority w:val="59"/>
    <w:rsid w:val="00153ED4"/>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6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8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Imanta@izm.gov.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ese.Terinka@izm.gov.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ntra.Gorbunova@izm.gov.lv"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4329</Words>
  <Characters>2469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Inese Strode</cp:lastModifiedBy>
  <cp:revision>2</cp:revision>
  <dcterms:created xsi:type="dcterms:W3CDTF">2019-09-26T07:28:00Z</dcterms:created>
  <dcterms:modified xsi:type="dcterms:W3CDTF">2019-09-26T07:28:00Z</dcterms:modified>
</cp:coreProperties>
</file>