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12FF" w14:textId="371ED0B9" w:rsidR="00503509" w:rsidRPr="00A844B6" w:rsidRDefault="00456FCB" w:rsidP="00F7543D">
      <w:pPr>
        <w:shd w:val="clear" w:color="auto" w:fill="FFFFFF"/>
        <w:spacing w:before="130"/>
        <w:jc w:val="center"/>
        <w:rPr>
          <w:b/>
          <w:bCs/>
        </w:rPr>
      </w:pPr>
      <w:r>
        <w:rPr>
          <w:b/>
          <w:bCs/>
        </w:rPr>
        <w:t xml:space="preserve">Ministru kabineta </w:t>
      </w:r>
      <w:r w:rsidR="00CC428F">
        <w:rPr>
          <w:b/>
          <w:bCs/>
        </w:rPr>
        <w:t>noteikumu projekta “</w:t>
      </w:r>
      <w:r w:rsidR="00F93EDE" w:rsidRPr="00F93EDE">
        <w:rPr>
          <w:b/>
          <w:bCs/>
        </w:rPr>
        <w:t>Noteikumi par</w:t>
      </w:r>
      <w:r w:rsidR="00465F93">
        <w:rPr>
          <w:b/>
          <w:bCs/>
        </w:rPr>
        <w:t xml:space="preserve"> oficiālās statistikas veidlapu </w:t>
      </w:r>
      <w:r w:rsidR="00F93EDE" w:rsidRPr="00F93EDE">
        <w:rPr>
          <w:b/>
          <w:bCs/>
        </w:rPr>
        <w:t>paraugiem izglītības jomā</w:t>
      </w:r>
      <w:r w:rsidR="00635FF9">
        <w:rPr>
          <w:b/>
          <w:bCs/>
        </w:rPr>
        <w:t>”</w:t>
      </w:r>
      <w:r w:rsidR="00F93EDE">
        <w:rPr>
          <w:b/>
          <w:bCs/>
        </w:rPr>
        <w:t xml:space="preserve"> </w:t>
      </w:r>
      <w:r w:rsidR="00503509" w:rsidRPr="00A844B6">
        <w:rPr>
          <w:b/>
          <w:bCs/>
        </w:rPr>
        <w:t>sākotnējā</w:t>
      </w:r>
      <w:r w:rsidR="00465F93">
        <w:rPr>
          <w:b/>
          <w:bCs/>
        </w:rPr>
        <w:t xml:space="preserve">s ietekmes novērtējuma ziņojums </w:t>
      </w:r>
      <w:r w:rsidR="00503509" w:rsidRPr="00A844B6">
        <w:rPr>
          <w:b/>
          <w:bCs/>
        </w:rPr>
        <w:t>(anotācija)</w:t>
      </w:r>
    </w:p>
    <w:p w14:paraId="7412B2AD" w14:textId="77777777" w:rsidR="00503509" w:rsidRPr="00A844B6" w:rsidRDefault="00503509" w:rsidP="00F7543D">
      <w:pPr>
        <w:pStyle w:val="Title"/>
        <w:spacing w:before="130"/>
        <w:ind w:firstLine="53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5"/>
        <w:gridCol w:w="5806"/>
      </w:tblGrid>
      <w:tr w:rsidR="00503509" w:rsidRPr="00A844B6" w14:paraId="7A59836B" w14:textId="77777777" w:rsidTr="00BF2D02">
        <w:trPr>
          <w:cantSplit/>
        </w:trPr>
        <w:tc>
          <w:tcPr>
            <w:tcW w:w="9581" w:type="dxa"/>
            <w:gridSpan w:val="2"/>
            <w:shd w:val="clear" w:color="auto" w:fill="FFFFFF"/>
            <w:vAlign w:val="center"/>
            <w:hideMark/>
          </w:tcPr>
          <w:p w14:paraId="0C5D8239" w14:textId="77777777" w:rsidR="00503509" w:rsidRPr="00A844B6" w:rsidRDefault="00503509" w:rsidP="00F7543D">
            <w:pPr>
              <w:jc w:val="center"/>
              <w:rPr>
                <w:b/>
                <w:iCs/>
                <w:lang w:eastAsia="en-US"/>
              </w:rPr>
            </w:pPr>
            <w:r w:rsidRPr="00A844B6">
              <w:rPr>
                <w:b/>
                <w:iCs/>
                <w:lang w:eastAsia="en-US"/>
              </w:rPr>
              <w:t>Tiesību akta projekta anotācijas kopsavilkums</w:t>
            </w:r>
          </w:p>
        </w:tc>
      </w:tr>
      <w:tr w:rsidR="00503509" w:rsidRPr="00A844B6" w14:paraId="51454AEF" w14:textId="77777777" w:rsidTr="00CC428F">
        <w:trPr>
          <w:cantSplit/>
          <w:trHeight w:val="2006"/>
        </w:trPr>
        <w:tc>
          <w:tcPr>
            <w:tcW w:w="3430" w:type="dxa"/>
            <w:shd w:val="clear" w:color="auto" w:fill="FFFFFF"/>
            <w:hideMark/>
          </w:tcPr>
          <w:p w14:paraId="5713A159" w14:textId="77777777" w:rsidR="00503509" w:rsidRPr="00A844B6" w:rsidRDefault="00503509" w:rsidP="00F7543D">
            <w:pPr>
              <w:jc w:val="both"/>
              <w:rPr>
                <w:iCs/>
                <w:lang w:eastAsia="en-US"/>
              </w:rPr>
            </w:pPr>
            <w:r w:rsidRPr="00A844B6">
              <w:rPr>
                <w:iCs/>
                <w:lang w:eastAsia="en-US"/>
              </w:rPr>
              <w:t>Mērķis, risinājums un projekta spēkā stāšanās laiks (500 zīmes bez atstarpēm)</w:t>
            </w:r>
          </w:p>
        </w:tc>
        <w:tc>
          <w:tcPr>
            <w:tcW w:w="6151" w:type="dxa"/>
            <w:shd w:val="clear" w:color="auto" w:fill="FFFFFF"/>
            <w:hideMark/>
          </w:tcPr>
          <w:p w14:paraId="77D3DC5A" w14:textId="1FE2DE26" w:rsidR="0097556A" w:rsidRDefault="00CC428F" w:rsidP="00F7543D">
            <w:pPr>
              <w:jc w:val="both"/>
              <w:rPr>
                <w:color w:val="000000" w:themeColor="text1"/>
                <w:lang w:eastAsia="en-US"/>
              </w:rPr>
            </w:pPr>
            <w:r>
              <w:rPr>
                <w:color w:val="000000" w:themeColor="text1"/>
                <w:lang w:eastAsia="en-US"/>
              </w:rPr>
              <w:t>Ministru kabineta noteikumu projekta “</w:t>
            </w:r>
            <w:r w:rsidRPr="00CC428F">
              <w:rPr>
                <w:color w:val="000000" w:themeColor="text1"/>
                <w:lang w:eastAsia="en-US"/>
              </w:rPr>
              <w:t>Noteikumi par oficiālās statistikas veidlapu paraugiem izglītības jomā</w:t>
            </w:r>
            <w:r>
              <w:rPr>
                <w:color w:val="000000" w:themeColor="text1"/>
                <w:lang w:eastAsia="en-US"/>
              </w:rPr>
              <w:t xml:space="preserve">” </w:t>
            </w:r>
            <w:r w:rsidRPr="00CC428F">
              <w:rPr>
                <w:color w:val="000000" w:themeColor="text1"/>
                <w:lang w:eastAsia="en-US"/>
              </w:rPr>
              <w:t xml:space="preserve">(turpmāk – noteikumu projekts) </w:t>
            </w:r>
            <w:r>
              <w:rPr>
                <w:color w:val="000000" w:themeColor="text1"/>
                <w:lang w:eastAsia="en-US"/>
              </w:rPr>
              <w:t xml:space="preserve">mērķis ir </w:t>
            </w:r>
            <w:r w:rsidR="0097556A">
              <w:rPr>
                <w:color w:val="000000" w:themeColor="text1"/>
                <w:lang w:eastAsia="en-US"/>
              </w:rPr>
              <w:t>aktualizēt oficiālās statistikas veidlapas, pielāgojot tās aktuālajai situācijai izglītības jomā</w:t>
            </w:r>
            <w:r w:rsidR="0097556A" w:rsidRPr="0097556A">
              <w:rPr>
                <w:color w:val="000000" w:themeColor="text1"/>
                <w:lang w:eastAsia="en-US"/>
              </w:rPr>
              <w:t xml:space="preserve"> un statistiskās informācijas lietotāju vajadzībām, kā arī </w:t>
            </w:r>
            <w:r w:rsidR="0097556A">
              <w:rPr>
                <w:color w:val="000000" w:themeColor="text1"/>
                <w:lang w:eastAsia="en-US"/>
              </w:rPr>
              <w:t xml:space="preserve">samazināt </w:t>
            </w:r>
            <w:r w:rsidR="0097556A" w:rsidRPr="0097556A">
              <w:rPr>
                <w:color w:val="000000" w:themeColor="text1"/>
                <w:lang w:eastAsia="en-US"/>
              </w:rPr>
              <w:t>sniedzamās informācijas apjomu</w:t>
            </w:r>
            <w:r w:rsidR="0097556A">
              <w:rPr>
                <w:color w:val="000000" w:themeColor="text1"/>
                <w:lang w:eastAsia="en-US"/>
              </w:rPr>
              <w:t xml:space="preserve"> un</w:t>
            </w:r>
            <w:r w:rsidR="0097556A" w:rsidRPr="0097556A">
              <w:rPr>
                <w:color w:val="000000" w:themeColor="text1"/>
                <w:lang w:eastAsia="en-US"/>
              </w:rPr>
              <w:t xml:space="preserve"> respondentu noslodzi.</w:t>
            </w:r>
          </w:p>
          <w:p w14:paraId="2721A861" w14:textId="66DC6E88" w:rsidR="00CC428F" w:rsidRPr="0097556A" w:rsidRDefault="00A85C6F" w:rsidP="00F7543D">
            <w:pPr>
              <w:jc w:val="both"/>
            </w:pPr>
            <w:r>
              <w:rPr>
                <w:color w:val="000000" w:themeColor="text1"/>
                <w:lang w:eastAsia="en-US"/>
              </w:rPr>
              <w:t>N</w:t>
            </w:r>
            <w:r w:rsidR="00CC428F" w:rsidRPr="00CC428F">
              <w:rPr>
                <w:color w:val="000000" w:themeColor="text1"/>
                <w:lang w:eastAsia="en-US"/>
              </w:rPr>
              <w:t>oteikum</w:t>
            </w:r>
            <w:r>
              <w:rPr>
                <w:color w:val="000000" w:themeColor="text1"/>
                <w:lang w:eastAsia="en-US"/>
              </w:rPr>
              <w:t>i</w:t>
            </w:r>
            <w:r w:rsidR="00CC428F" w:rsidRPr="00CC428F">
              <w:rPr>
                <w:color w:val="000000" w:themeColor="text1"/>
                <w:lang w:eastAsia="en-US"/>
              </w:rPr>
              <w:t xml:space="preserve"> </w:t>
            </w:r>
            <w:r>
              <w:rPr>
                <w:color w:val="000000" w:themeColor="text1"/>
                <w:lang w:eastAsia="en-US"/>
              </w:rPr>
              <w:t xml:space="preserve">stāsies </w:t>
            </w:r>
            <w:r w:rsidR="00CC428F">
              <w:rPr>
                <w:color w:val="000000" w:themeColor="text1"/>
                <w:lang w:eastAsia="en-US"/>
              </w:rPr>
              <w:t xml:space="preserve">spēkā </w:t>
            </w:r>
            <w:r>
              <w:rPr>
                <w:color w:val="000000" w:themeColor="text1"/>
                <w:lang w:eastAsia="en-US"/>
              </w:rPr>
              <w:t>nākamajā dienā pēc to izsludināšanas.</w:t>
            </w:r>
          </w:p>
        </w:tc>
      </w:tr>
    </w:tbl>
    <w:p w14:paraId="6A58876A" w14:textId="205824EF" w:rsidR="00503509" w:rsidRPr="00A844B6" w:rsidRDefault="00503509" w:rsidP="00F7543D">
      <w:pPr>
        <w:pStyle w:val="Title"/>
        <w:spacing w:before="130"/>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503509" w:rsidRPr="00A844B6" w14:paraId="52C98C01" w14:textId="77777777" w:rsidTr="00F13AAB">
        <w:trPr>
          <w:cantSplit/>
        </w:trPr>
        <w:tc>
          <w:tcPr>
            <w:tcW w:w="5000" w:type="pct"/>
            <w:gridSpan w:val="3"/>
            <w:vAlign w:val="center"/>
            <w:hideMark/>
          </w:tcPr>
          <w:p w14:paraId="614FF07B" w14:textId="77777777" w:rsidR="00503509" w:rsidRPr="00A844B6" w:rsidRDefault="00503509" w:rsidP="00F7543D">
            <w:pPr>
              <w:jc w:val="center"/>
              <w:rPr>
                <w:b/>
                <w:bCs/>
              </w:rPr>
            </w:pPr>
            <w:r w:rsidRPr="00A844B6">
              <w:rPr>
                <w:b/>
                <w:bCs/>
              </w:rPr>
              <w:t>I. Tiesību akta projekta izstrādes nepieciešamība</w:t>
            </w:r>
          </w:p>
        </w:tc>
      </w:tr>
      <w:tr w:rsidR="00503509" w:rsidRPr="00A844B6" w14:paraId="6F52E4BB" w14:textId="77777777" w:rsidTr="00B00883">
        <w:trPr>
          <w:trHeight w:val="2798"/>
        </w:trPr>
        <w:tc>
          <w:tcPr>
            <w:tcW w:w="311" w:type="pct"/>
            <w:hideMark/>
          </w:tcPr>
          <w:p w14:paraId="190CDCBB" w14:textId="77777777" w:rsidR="00503509" w:rsidRPr="00A844B6" w:rsidRDefault="00503509" w:rsidP="00F7543D">
            <w:pPr>
              <w:jc w:val="center"/>
            </w:pPr>
            <w:r w:rsidRPr="00A844B6">
              <w:t>1.</w:t>
            </w:r>
          </w:p>
        </w:tc>
        <w:tc>
          <w:tcPr>
            <w:tcW w:w="1479" w:type="pct"/>
            <w:hideMark/>
          </w:tcPr>
          <w:p w14:paraId="1D7CA7A9" w14:textId="77777777" w:rsidR="00503509" w:rsidRPr="00A844B6" w:rsidRDefault="00503509" w:rsidP="00F7543D">
            <w:pPr>
              <w:jc w:val="both"/>
            </w:pPr>
            <w:r w:rsidRPr="00A844B6">
              <w:t>Pamatojums</w:t>
            </w:r>
          </w:p>
        </w:tc>
        <w:tc>
          <w:tcPr>
            <w:tcW w:w="3210" w:type="pct"/>
            <w:hideMark/>
          </w:tcPr>
          <w:p w14:paraId="65685A08" w14:textId="296FD147" w:rsidR="00CB40A3" w:rsidRPr="00D0722F" w:rsidRDefault="00A85C6F" w:rsidP="00F7543D">
            <w:pPr>
              <w:jc w:val="both"/>
              <w:rPr>
                <w:color w:val="000000" w:themeColor="text1"/>
              </w:rPr>
            </w:pPr>
            <w:r>
              <w:rPr>
                <w:color w:val="000000" w:themeColor="text1"/>
              </w:rPr>
              <w:t>Noteikumu projekts</w:t>
            </w:r>
            <w:r w:rsidR="007F7C43" w:rsidRPr="00D0722F">
              <w:rPr>
                <w:color w:val="000000" w:themeColor="text1"/>
              </w:rPr>
              <w:t xml:space="preserve"> </w:t>
            </w:r>
            <w:r w:rsidRPr="00D0722F">
              <w:rPr>
                <w:color w:val="000000" w:themeColor="text1"/>
              </w:rPr>
              <w:t>izstrādāt</w:t>
            </w:r>
            <w:r>
              <w:rPr>
                <w:color w:val="000000" w:themeColor="text1"/>
              </w:rPr>
              <w:t>s</w:t>
            </w:r>
            <w:r w:rsidRPr="00D0722F">
              <w:rPr>
                <w:color w:val="000000" w:themeColor="text1"/>
              </w:rPr>
              <w:t xml:space="preserve"> </w:t>
            </w:r>
            <w:r w:rsidR="007F7C43" w:rsidRPr="00D0722F">
              <w:rPr>
                <w:color w:val="000000" w:themeColor="text1"/>
              </w:rPr>
              <w:t>pēc Izglītības un zinātnes ministrijas iniciatīvas</w:t>
            </w:r>
            <w:r>
              <w:rPr>
                <w:color w:val="000000" w:themeColor="text1"/>
              </w:rPr>
              <w:t>,</w:t>
            </w:r>
            <w:r w:rsidR="007F7C43" w:rsidRPr="00D0722F">
              <w:rPr>
                <w:color w:val="000000" w:themeColor="text1"/>
              </w:rPr>
              <w:t xml:space="preserve"> aktualizējot statistikas veidlapu paraugus atbilstoši </w:t>
            </w:r>
            <w:r w:rsidR="00A22EE1" w:rsidRPr="00D0722F">
              <w:rPr>
                <w:color w:val="000000" w:themeColor="text1"/>
              </w:rPr>
              <w:t>Diasporas likumam</w:t>
            </w:r>
            <w:r w:rsidR="004724B3">
              <w:rPr>
                <w:color w:val="000000" w:themeColor="text1"/>
              </w:rPr>
              <w:t xml:space="preserve">, </w:t>
            </w:r>
            <w:r>
              <w:rPr>
                <w:color w:val="000000" w:themeColor="text1"/>
              </w:rPr>
              <w:t xml:space="preserve">Ministru kabineta </w:t>
            </w:r>
            <w:r w:rsidR="004724B3">
              <w:rPr>
                <w:color w:val="000000" w:themeColor="text1"/>
              </w:rPr>
              <w:t>2016. gada 5. </w:t>
            </w:r>
            <w:r w:rsidR="00A22EE1" w:rsidRPr="00D0722F">
              <w:rPr>
                <w:color w:val="000000" w:themeColor="text1"/>
              </w:rPr>
              <w:t xml:space="preserve">jūlija </w:t>
            </w:r>
            <w:r w:rsidR="004724B3">
              <w:rPr>
                <w:color w:val="000000" w:themeColor="text1"/>
              </w:rPr>
              <w:t>noteikumiem Nr. </w:t>
            </w:r>
            <w:r w:rsidR="00A22EE1" w:rsidRPr="00D0722F">
              <w:rPr>
                <w:color w:val="000000" w:themeColor="text1"/>
              </w:rPr>
              <w:t>445 “Pedagogu darba samaksas noteikumi”</w:t>
            </w:r>
            <w:r w:rsidR="004724B3">
              <w:rPr>
                <w:color w:val="000000" w:themeColor="text1"/>
              </w:rPr>
              <w:t xml:space="preserve">, </w:t>
            </w:r>
            <w:r>
              <w:rPr>
                <w:color w:val="000000" w:themeColor="text1"/>
              </w:rPr>
              <w:t xml:space="preserve">Ministru kabineta </w:t>
            </w:r>
            <w:r w:rsidR="004724B3" w:rsidRPr="004724B3">
              <w:rPr>
                <w:color w:val="000000" w:themeColor="text1"/>
              </w:rPr>
              <w:t>2015.</w:t>
            </w:r>
            <w:r w:rsidR="00BA6E29">
              <w:rPr>
                <w:color w:val="000000" w:themeColor="text1"/>
              </w:rPr>
              <w:t> </w:t>
            </w:r>
            <w:r w:rsidR="004724B3" w:rsidRPr="004724B3">
              <w:rPr>
                <w:color w:val="000000" w:themeColor="text1"/>
              </w:rPr>
              <w:t>ga</w:t>
            </w:r>
            <w:r w:rsidR="00BA6E29">
              <w:rPr>
                <w:color w:val="000000" w:themeColor="text1"/>
              </w:rPr>
              <w:t>da 13. </w:t>
            </w:r>
            <w:r w:rsidR="004724B3">
              <w:rPr>
                <w:color w:val="000000" w:themeColor="text1"/>
              </w:rPr>
              <w:t>oktobra noteikumi</w:t>
            </w:r>
            <w:r w:rsidR="00F13AAB">
              <w:rPr>
                <w:color w:val="000000" w:themeColor="text1"/>
              </w:rPr>
              <w:t>em</w:t>
            </w:r>
            <w:r w:rsidR="004724B3">
              <w:rPr>
                <w:color w:val="000000" w:themeColor="text1"/>
              </w:rPr>
              <w:t xml:space="preserve"> Nr. </w:t>
            </w:r>
            <w:r w:rsidR="004724B3" w:rsidRPr="004724B3">
              <w:rPr>
                <w:color w:val="000000" w:themeColor="text1"/>
              </w:rPr>
              <w:t>591 “Kārtība, kādā izglītojamie tiek uzņemti vispārējās izglītības programmās, speciālajās izglītības iestādēs un speciālajās pirmsskolas izglītības grupās un atskaitīti no tām, k</w:t>
            </w:r>
            <w:r w:rsidR="004724B3">
              <w:rPr>
                <w:color w:val="000000" w:themeColor="text1"/>
              </w:rPr>
              <w:t>ā arī pārcelti uz nākamo klasi”</w:t>
            </w:r>
            <w:r w:rsidR="00A22EE1" w:rsidRPr="00D0722F">
              <w:rPr>
                <w:color w:val="000000" w:themeColor="text1"/>
              </w:rPr>
              <w:t>,</w:t>
            </w:r>
            <w:r w:rsidR="007F7C43" w:rsidRPr="00D0722F">
              <w:rPr>
                <w:color w:val="000000" w:themeColor="text1"/>
              </w:rPr>
              <w:t xml:space="preserve"> kā arī </w:t>
            </w:r>
            <w:r w:rsidR="00294137" w:rsidRPr="00D0722F">
              <w:rPr>
                <w:color w:val="000000" w:themeColor="text1"/>
              </w:rPr>
              <w:t>pielāgojoties statistiskās informācijas lietotāju vajadz</w:t>
            </w:r>
            <w:r w:rsidR="004724B3">
              <w:rPr>
                <w:color w:val="000000" w:themeColor="text1"/>
              </w:rPr>
              <w:t>ībām un ņemot vērā respondentu ierosinājumus.</w:t>
            </w:r>
          </w:p>
        </w:tc>
      </w:tr>
      <w:tr w:rsidR="00503509" w:rsidRPr="00A844B6" w14:paraId="6B8E3EBC" w14:textId="77777777" w:rsidTr="00B00883">
        <w:tc>
          <w:tcPr>
            <w:tcW w:w="311" w:type="pct"/>
            <w:hideMark/>
          </w:tcPr>
          <w:p w14:paraId="5A1DD57D" w14:textId="0082EB00" w:rsidR="00503509" w:rsidRPr="00A844B6" w:rsidRDefault="00503509" w:rsidP="00F7543D">
            <w:pPr>
              <w:jc w:val="center"/>
            </w:pPr>
            <w:r w:rsidRPr="00A844B6">
              <w:t>2.</w:t>
            </w:r>
          </w:p>
        </w:tc>
        <w:tc>
          <w:tcPr>
            <w:tcW w:w="1479" w:type="pct"/>
            <w:hideMark/>
          </w:tcPr>
          <w:p w14:paraId="0C1BA1D6" w14:textId="4FEA28AB" w:rsidR="00F7543D" w:rsidRDefault="00503509" w:rsidP="003B0500">
            <w:pPr>
              <w:jc w:val="both"/>
            </w:pPr>
            <w:r w:rsidRPr="00A844B6">
              <w:t>Pašreizējā situācija un problēmas, kuru risināšanai tiesību akta projekts izstrādāts, tiesiskā regulējuma mērķis un būtība</w:t>
            </w:r>
          </w:p>
          <w:p w14:paraId="69194AC9" w14:textId="77777777" w:rsidR="00503509" w:rsidRPr="00F7543D" w:rsidRDefault="00503509" w:rsidP="00F7543D">
            <w:pPr>
              <w:ind w:firstLine="720"/>
            </w:pPr>
          </w:p>
        </w:tc>
        <w:tc>
          <w:tcPr>
            <w:tcW w:w="3210" w:type="pct"/>
            <w:hideMark/>
          </w:tcPr>
          <w:p w14:paraId="5B62E401" w14:textId="77777777" w:rsidR="00A34DF0" w:rsidRPr="00D0722F" w:rsidRDefault="00A34DF0" w:rsidP="00F7543D">
            <w:pPr>
              <w:ind w:left="6" w:firstLine="6"/>
              <w:jc w:val="both"/>
              <w:rPr>
                <w:color w:val="000000" w:themeColor="text1"/>
                <w:szCs w:val="28"/>
              </w:rPr>
            </w:pPr>
            <w:r w:rsidRPr="00D0722F">
              <w:rPr>
                <w:color w:val="000000" w:themeColor="text1"/>
                <w:szCs w:val="28"/>
              </w:rPr>
              <w:t>Statistikas likuma 11.pants paredz, ka Ministru kabinets apstiprina statistikas iestāžu izstrādāto oficiālo statistikas veidlapu paraugus un nosaka veidlapu iesniegšanas un aizpildīšanas kārtību.</w:t>
            </w:r>
          </w:p>
          <w:p w14:paraId="7BD1D399" w14:textId="46A7EA8C" w:rsidR="00A34DF0" w:rsidRPr="00D0722F" w:rsidRDefault="00A34DF0" w:rsidP="00F7543D">
            <w:pPr>
              <w:ind w:left="6" w:firstLine="6"/>
              <w:jc w:val="both"/>
              <w:rPr>
                <w:color w:val="000000" w:themeColor="text1"/>
                <w:szCs w:val="28"/>
              </w:rPr>
            </w:pPr>
            <w:r w:rsidRPr="00D0722F">
              <w:rPr>
                <w:color w:val="000000" w:themeColor="text1"/>
                <w:szCs w:val="28"/>
              </w:rPr>
              <w:t xml:space="preserve">Izglītības un zinātnes ministrija ir atbildīga par oficiālās statistikas veidlapu izglītības jomā uzturēšanu, apkopošanu, apstrādi un iegūto datu analīzi. </w:t>
            </w:r>
          </w:p>
          <w:p w14:paraId="2C2D8FBD" w14:textId="67D34771" w:rsidR="004D1FC6" w:rsidRPr="00D0722F" w:rsidRDefault="004D1FC6" w:rsidP="00F7543D">
            <w:pPr>
              <w:jc w:val="both"/>
              <w:rPr>
                <w:color w:val="000000" w:themeColor="text1"/>
              </w:rPr>
            </w:pPr>
            <w:r w:rsidRPr="00D0722F">
              <w:rPr>
                <w:color w:val="000000" w:themeColor="text1"/>
              </w:rPr>
              <w:t xml:space="preserve">Ministru kabineta 2017. gada </w:t>
            </w:r>
            <w:r w:rsidR="00F13AAB">
              <w:rPr>
                <w:color w:val="000000" w:themeColor="text1"/>
              </w:rPr>
              <w:t>22. augusta noteikumi Nr. 486 “</w:t>
            </w:r>
            <w:r w:rsidRPr="00D0722F">
              <w:rPr>
                <w:color w:val="000000" w:themeColor="text1"/>
              </w:rPr>
              <w:t xml:space="preserve">Noteikumi par oficiālās statistikas veidlapu paraugiem izglītības jomā” </w:t>
            </w:r>
            <w:r w:rsidR="00A85C6F">
              <w:rPr>
                <w:color w:val="000000" w:themeColor="text1"/>
              </w:rPr>
              <w:t xml:space="preserve">(turpmāk – noteikumi Nr. 486) </w:t>
            </w:r>
            <w:r w:rsidRPr="00D0722F">
              <w:rPr>
                <w:color w:val="000000" w:themeColor="text1"/>
              </w:rPr>
              <w:t xml:space="preserve">nosaka izglītības valsts statistikas veidlapu paraugus, kurus </w:t>
            </w:r>
            <w:r w:rsidR="00157A3F" w:rsidRPr="00D0722F">
              <w:rPr>
                <w:color w:val="000000" w:themeColor="text1"/>
              </w:rPr>
              <w:t>sagatavo un iesniedz</w:t>
            </w:r>
            <w:r w:rsidR="00157A3F">
              <w:rPr>
                <w:color w:val="000000" w:themeColor="text1"/>
              </w:rPr>
              <w:t xml:space="preserve"> izglītības iestādes, kuras īsteno vispārējās izglītības programmas, interešu izglītības programmas un sporta profesionālās ievirzes izglītības programmas</w:t>
            </w:r>
            <w:r w:rsidRPr="00D0722F">
              <w:rPr>
                <w:color w:val="000000" w:themeColor="text1"/>
              </w:rPr>
              <w:t>, lai nodrošinātu nepieciešamo informāciju saskaņā ar Oficiālās statistikas programmu, kā arī sta</w:t>
            </w:r>
            <w:r w:rsidR="00EC491F">
              <w:rPr>
                <w:color w:val="000000" w:themeColor="text1"/>
              </w:rPr>
              <w:t>tistiskās informācijas iegūšanu</w:t>
            </w:r>
            <w:r w:rsidRPr="00D0722F">
              <w:rPr>
                <w:color w:val="000000" w:themeColor="text1"/>
              </w:rPr>
              <w:t>, kuras gatavošana izriet no starptautisko institūci</w:t>
            </w:r>
            <w:r w:rsidR="00852412">
              <w:rPr>
                <w:color w:val="000000" w:themeColor="text1"/>
              </w:rPr>
              <w:t xml:space="preserve">ju regulāriem pieprasījumiem un </w:t>
            </w:r>
            <w:r w:rsidRPr="00D0722F">
              <w:rPr>
                <w:color w:val="000000" w:themeColor="text1"/>
              </w:rPr>
              <w:t>iekšzemes lietotāju prasībām.</w:t>
            </w:r>
          </w:p>
          <w:p w14:paraId="1C118BCC" w14:textId="343A14A9" w:rsidR="00503509" w:rsidRPr="00D0722F" w:rsidRDefault="00A85C6F" w:rsidP="00F7543D">
            <w:pPr>
              <w:jc w:val="both"/>
              <w:rPr>
                <w:color w:val="000000" w:themeColor="text1"/>
              </w:rPr>
            </w:pPr>
            <w:r>
              <w:rPr>
                <w:color w:val="000000" w:themeColor="text1"/>
              </w:rPr>
              <w:t>Noteikumu</w:t>
            </w:r>
            <w:r w:rsidR="00A22EE1" w:rsidRPr="00D0722F">
              <w:rPr>
                <w:color w:val="000000" w:themeColor="text1"/>
              </w:rPr>
              <w:t xml:space="preserve"> projekts izstrādāts, lai aktualizētu oficiālās statistikas veidlapas, pielāgojot tās aktuālajai situācijai izglītības jomā un statistiskās informācijas lietotāju </w:t>
            </w:r>
            <w:r w:rsidR="00A22EE1" w:rsidRPr="00D0722F">
              <w:rPr>
                <w:color w:val="000000" w:themeColor="text1"/>
              </w:rPr>
              <w:lastRenderedPageBreak/>
              <w:t>vajadzībām</w:t>
            </w:r>
            <w:r w:rsidR="004D1FC6" w:rsidRPr="00D0722F">
              <w:rPr>
                <w:color w:val="000000" w:themeColor="text1"/>
              </w:rPr>
              <w:t>, kā arī izvērtējot sniedzamās informācijas apjomu, samazinot respondentu noslodzi.</w:t>
            </w:r>
            <w:r>
              <w:rPr>
                <w:color w:val="000000" w:themeColor="text1"/>
              </w:rPr>
              <w:t xml:space="preserve"> Noteikumu projektā ietvertais regulējums pamatā atbilst noteikumos Nr.</w:t>
            </w:r>
            <w:r w:rsidR="00E626D5">
              <w:rPr>
                <w:color w:val="000000" w:themeColor="text1"/>
              </w:rPr>
              <w:t> </w:t>
            </w:r>
            <w:r>
              <w:rPr>
                <w:color w:val="000000" w:themeColor="text1"/>
              </w:rPr>
              <w:t>486 ietvertajam regulējumam, taču, ievērojot to, ka grozījumi veicami noteikumu Nr. 486 tekstā un visos to pielikumos, izstrādāts jauns noteikumu projekts.</w:t>
            </w:r>
          </w:p>
          <w:p w14:paraId="5B6762D1" w14:textId="3A2075DB" w:rsidR="00BF30EA" w:rsidRPr="00D0722F" w:rsidRDefault="00DF5123" w:rsidP="00F7543D">
            <w:pPr>
              <w:jc w:val="both"/>
              <w:rPr>
                <w:color w:val="000000" w:themeColor="text1"/>
              </w:rPr>
            </w:pPr>
            <w:r w:rsidRPr="00D0722F">
              <w:rPr>
                <w:color w:val="000000" w:themeColor="text1"/>
              </w:rPr>
              <w:t xml:space="preserve">Balstoties uz datu lietotāju pieprasījumu un lai nodrošinātu </w:t>
            </w:r>
            <w:r w:rsidR="00F75C44" w:rsidRPr="00D0722F">
              <w:rPr>
                <w:color w:val="000000" w:themeColor="text1"/>
              </w:rPr>
              <w:t xml:space="preserve">iespēju </w:t>
            </w:r>
            <w:r w:rsidR="004B6E56">
              <w:rPr>
                <w:color w:val="000000" w:themeColor="text1"/>
              </w:rPr>
              <w:t xml:space="preserve">precīzāk </w:t>
            </w:r>
            <w:r w:rsidR="00F75C44" w:rsidRPr="00D0722F">
              <w:rPr>
                <w:color w:val="000000" w:themeColor="text1"/>
              </w:rPr>
              <w:t xml:space="preserve">noteikt faktisko </w:t>
            </w:r>
            <w:r w:rsidR="004B6E56">
              <w:rPr>
                <w:color w:val="000000" w:themeColor="text1"/>
              </w:rPr>
              <w:t>pedagogu</w:t>
            </w:r>
            <w:r w:rsidR="004B6E56" w:rsidRPr="00D0722F">
              <w:rPr>
                <w:color w:val="000000" w:themeColor="text1"/>
              </w:rPr>
              <w:t xml:space="preserve"> </w:t>
            </w:r>
            <w:r w:rsidR="00F75C44" w:rsidRPr="00D0722F">
              <w:rPr>
                <w:color w:val="000000" w:themeColor="text1"/>
              </w:rPr>
              <w:t xml:space="preserve">skaitu </w:t>
            </w:r>
            <w:r w:rsidR="004B6E56">
              <w:rPr>
                <w:color w:val="000000" w:themeColor="text1"/>
              </w:rPr>
              <w:t>un</w:t>
            </w:r>
            <w:r w:rsidR="006649E0">
              <w:rPr>
                <w:color w:val="000000" w:themeColor="text1"/>
              </w:rPr>
              <w:t xml:space="preserve"> novēršot </w:t>
            </w:r>
            <w:r w:rsidR="004B6E56">
              <w:rPr>
                <w:color w:val="000000" w:themeColor="text1"/>
              </w:rPr>
              <w:t>tā</w:t>
            </w:r>
            <w:r w:rsidR="006649E0">
              <w:rPr>
                <w:color w:val="000000" w:themeColor="text1"/>
              </w:rPr>
              <w:t xml:space="preserve"> dublēšanos vairākās izglītības iestādēs,</w:t>
            </w:r>
            <w:r w:rsidR="00EC1F44">
              <w:rPr>
                <w:color w:val="000000" w:themeColor="text1"/>
              </w:rPr>
              <w:t xml:space="preserve"> ņemot vērā, ka pedagogs var strādāt vairākās izglītības iestādēs vienla</w:t>
            </w:r>
            <w:r w:rsidR="008332DB">
              <w:rPr>
                <w:color w:val="000000" w:themeColor="text1"/>
              </w:rPr>
              <w:t>i</w:t>
            </w:r>
            <w:r w:rsidR="00EC1F44">
              <w:rPr>
                <w:color w:val="000000" w:themeColor="text1"/>
              </w:rPr>
              <w:t>kus,</w:t>
            </w:r>
            <w:r w:rsidR="004B6E56">
              <w:rPr>
                <w:color w:val="000000" w:themeColor="text1"/>
              </w:rPr>
              <w:t xml:space="preserve"> </w:t>
            </w:r>
            <w:r w:rsidR="00F75C44" w:rsidRPr="00D0722F">
              <w:rPr>
                <w:color w:val="000000" w:themeColor="text1"/>
              </w:rPr>
              <w:t xml:space="preserve">noteikumu projekta 1., </w:t>
            </w:r>
            <w:r w:rsidR="00CF34EA" w:rsidRPr="00D0722F">
              <w:rPr>
                <w:color w:val="000000" w:themeColor="text1"/>
              </w:rPr>
              <w:t>2.</w:t>
            </w:r>
            <w:r w:rsidR="00F75C44" w:rsidRPr="00D0722F">
              <w:rPr>
                <w:color w:val="000000" w:themeColor="text1"/>
              </w:rPr>
              <w:t>, 3. un 4. </w:t>
            </w:r>
            <w:r w:rsidR="00CF34EA" w:rsidRPr="00D0722F">
              <w:rPr>
                <w:color w:val="000000" w:themeColor="text1"/>
              </w:rPr>
              <w:t>pielikumā ir veikti precizējumi</w:t>
            </w:r>
            <w:r w:rsidR="00A85C6F">
              <w:rPr>
                <w:color w:val="000000" w:themeColor="text1"/>
              </w:rPr>
              <w:t xml:space="preserve"> salīdzinājumā ar noteikumu Nr. 486 pielikumiem</w:t>
            </w:r>
            <w:r w:rsidR="00CF34EA" w:rsidRPr="00D0722F">
              <w:rPr>
                <w:color w:val="000000" w:themeColor="text1"/>
              </w:rPr>
              <w:t>, lai iegūtu informāciju par pedagogu skaitu ar algas nodokļa grāmatiņu</w:t>
            </w:r>
            <w:r w:rsidR="00F75C44" w:rsidRPr="00D0722F">
              <w:rPr>
                <w:color w:val="000000" w:themeColor="text1"/>
              </w:rPr>
              <w:t xml:space="preserve"> izglītības iestādēs.</w:t>
            </w:r>
            <w:r w:rsidR="006649E0">
              <w:rPr>
                <w:color w:val="000000" w:themeColor="text1"/>
              </w:rPr>
              <w:t xml:space="preserve"> </w:t>
            </w:r>
          </w:p>
          <w:p w14:paraId="7BE57DE9" w14:textId="321CA510" w:rsidR="00F625DE" w:rsidRDefault="00A85C6F" w:rsidP="00F7543D">
            <w:pPr>
              <w:jc w:val="both"/>
              <w:rPr>
                <w:color w:val="000000" w:themeColor="text1"/>
              </w:rPr>
            </w:pPr>
            <w:r>
              <w:rPr>
                <w:color w:val="000000" w:themeColor="text1"/>
              </w:rPr>
              <w:t>Ar n</w:t>
            </w:r>
            <w:r w:rsidR="00BF30EA" w:rsidRPr="00D0722F">
              <w:rPr>
                <w:color w:val="000000" w:themeColor="text1"/>
              </w:rPr>
              <w:t>oteikumu projekta 2. </w:t>
            </w:r>
            <w:r w:rsidRPr="00D0722F">
              <w:rPr>
                <w:color w:val="000000" w:themeColor="text1"/>
              </w:rPr>
              <w:t>pielikum</w:t>
            </w:r>
            <w:r>
              <w:rPr>
                <w:color w:val="000000" w:themeColor="text1"/>
              </w:rPr>
              <w:t>u tajā ietverti</w:t>
            </w:r>
            <w:r w:rsidRPr="00D0722F">
              <w:rPr>
                <w:color w:val="000000" w:themeColor="text1"/>
              </w:rPr>
              <w:t xml:space="preserve"> </w:t>
            </w:r>
            <w:r w:rsidR="00BF30EA" w:rsidRPr="00D0722F">
              <w:rPr>
                <w:color w:val="000000" w:themeColor="text1"/>
              </w:rPr>
              <w:t>papildus rādītāji – pedagogu palīgi un aukles, lai iegūtu pilnīgāku informāciju par pirmsskolas izglītības</w:t>
            </w:r>
            <w:r w:rsidR="00D41071" w:rsidRPr="00D0722F">
              <w:rPr>
                <w:color w:val="000000" w:themeColor="text1"/>
              </w:rPr>
              <w:t xml:space="preserve"> iestāžu darbinieku amatiem un tajos</w:t>
            </w:r>
            <w:r w:rsidR="00BF30EA" w:rsidRPr="00D0722F">
              <w:rPr>
                <w:color w:val="000000" w:themeColor="text1"/>
              </w:rPr>
              <w:t xml:space="preserve"> esošo personu skaitu.</w:t>
            </w:r>
          </w:p>
          <w:p w14:paraId="078CFD96" w14:textId="74481B0A" w:rsidR="006F0934" w:rsidRPr="00D0722F" w:rsidRDefault="00A85C6F" w:rsidP="00F7543D">
            <w:pPr>
              <w:jc w:val="both"/>
              <w:rPr>
                <w:color w:val="000000" w:themeColor="text1"/>
              </w:rPr>
            </w:pPr>
            <w:r>
              <w:rPr>
                <w:color w:val="000000" w:themeColor="text1"/>
              </w:rPr>
              <w:t>Ar</w:t>
            </w:r>
            <w:r w:rsidR="00B00883">
              <w:rPr>
                <w:color w:val="000000" w:themeColor="text1"/>
              </w:rPr>
              <w:t xml:space="preserve"> </w:t>
            </w:r>
            <w:r w:rsidR="006F0934">
              <w:rPr>
                <w:color w:val="000000" w:themeColor="text1"/>
              </w:rPr>
              <w:t>noteikumu projekta 2. </w:t>
            </w:r>
            <w:r w:rsidR="00BA6E29">
              <w:rPr>
                <w:color w:val="000000" w:themeColor="text1"/>
              </w:rPr>
              <w:t>pielikumu noteikumu Nr. 486 2. </w:t>
            </w:r>
            <w:r>
              <w:rPr>
                <w:color w:val="000000" w:themeColor="text1"/>
              </w:rPr>
              <w:t xml:space="preserve">pielikumā </w:t>
            </w:r>
            <w:r w:rsidR="006F0934">
              <w:rPr>
                <w:color w:val="000000" w:themeColor="text1"/>
              </w:rPr>
              <w:t xml:space="preserve">esošais rādītājs </w:t>
            </w:r>
            <w:r>
              <w:rPr>
                <w:color w:val="000000" w:themeColor="text1"/>
              </w:rPr>
              <w:t xml:space="preserve">precizēts </w:t>
            </w:r>
            <w:r w:rsidR="006F0934">
              <w:rPr>
                <w:color w:val="000000" w:themeColor="text1"/>
              </w:rPr>
              <w:t>no “grupās, kurās ir trīsgadīgi un vecāki bērni” uz “grupās, kurās ir trīsgadīgi vai vecāki bērni”, mazinot iespējamību izglītības iestādēm kļūdaini interpretēt norādāmā rādītāja saturu.</w:t>
            </w:r>
          </w:p>
          <w:p w14:paraId="4510E49E" w14:textId="62CCB8CB" w:rsidR="00F75C44" w:rsidRDefault="00D84933" w:rsidP="00F7543D">
            <w:pPr>
              <w:jc w:val="both"/>
              <w:rPr>
                <w:color w:val="000000" w:themeColor="text1"/>
              </w:rPr>
            </w:pPr>
            <w:r w:rsidRPr="00D0722F">
              <w:rPr>
                <w:color w:val="000000" w:themeColor="text1"/>
              </w:rPr>
              <w:t>2019. gada 7. maijā ir stājies spēkā Ministru kabineta rīkojums Nr.</w:t>
            </w:r>
            <w:r w:rsidR="00F478A2" w:rsidRPr="00D0722F">
              <w:rPr>
                <w:color w:val="000000" w:themeColor="text1"/>
              </w:rPr>
              <w:t> </w:t>
            </w:r>
            <w:r w:rsidRPr="00D0722F">
              <w:rPr>
                <w:color w:val="000000" w:themeColor="text1"/>
              </w:rPr>
              <w:t>210 “Par Valdības rīcības plānu Deklarācijas par Artura Krišjāņa Kariņa vadītā Ministru kabineta iecerēto darbību īstenošana</w:t>
            </w:r>
            <w:r w:rsidR="00F478A2" w:rsidRPr="00D0722F">
              <w:rPr>
                <w:color w:val="000000" w:themeColor="text1"/>
              </w:rPr>
              <w:t>i”. Valdības rīcības plāna 165. 4.</w:t>
            </w:r>
            <w:r w:rsidR="00A85C6F">
              <w:rPr>
                <w:color w:val="000000" w:themeColor="text1"/>
              </w:rPr>
              <w:t> </w:t>
            </w:r>
            <w:r w:rsidR="00F478A2" w:rsidRPr="00D0722F">
              <w:rPr>
                <w:color w:val="000000" w:themeColor="text1"/>
              </w:rPr>
              <w:t>pasākums paredz</w:t>
            </w:r>
            <w:r w:rsidRPr="00D0722F">
              <w:rPr>
                <w:color w:val="000000" w:themeColor="text1"/>
              </w:rPr>
              <w:t xml:space="preserve"> nodrošināt pastāvīgu un sistēmisku atbalstu latviskajai izglītībai diasporā, </w:t>
            </w:r>
            <w:proofErr w:type="spellStart"/>
            <w:r w:rsidRPr="00D0722F">
              <w:rPr>
                <w:color w:val="000000" w:themeColor="text1"/>
              </w:rPr>
              <w:t>remigrācijas</w:t>
            </w:r>
            <w:proofErr w:type="spellEnd"/>
            <w:r w:rsidRPr="00D0722F">
              <w:rPr>
                <w:color w:val="000000" w:themeColor="text1"/>
              </w:rPr>
              <w:t xml:space="preserve"> veicināšanai un latviešu valodas un kultūr</w:t>
            </w:r>
            <w:r w:rsidR="00F478A2" w:rsidRPr="00D0722F">
              <w:rPr>
                <w:color w:val="000000" w:themeColor="text1"/>
              </w:rPr>
              <w:t xml:space="preserve">as apguvei ārvalstu augstskolās. Lai nodrošinātu nepieciešamo statistisko informāciju atbilstošajos normatīvajos aktos </w:t>
            </w:r>
            <w:r w:rsidR="00BF30EA" w:rsidRPr="00D0722F">
              <w:rPr>
                <w:color w:val="000000" w:themeColor="text1"/>
              </w:rPr>
              <w:t>(t. sk.</w:t>
            </w:r>
            <w:r w:rsidR="00F478A2" w:rsidRPr="00D0722F">
              <w:rPr>
                <w:color w:val="000000" w:themeColor="text1"/>
              </w:rPr>
              <w:t xml:space="preserve"> Diasporas likums un </w:t>
            </w:r>
            <w:r w:rsidR="00A85C6F">
              <w:rPr>
                <w:color w:val="000000" w:themeColor="text1"/>
              </w:rPr>
              <w:t xml:space="preserve">Ministru kabineta </w:t>
            </w:r>
            <w:r w:rsidR="00F478A2" w:rsidRPr="00D0722F">
              <w:rPr>
                <w:color w:val="000000" w:themeColor="text1"/>
              </w:rPr>
              <w:t xml:space="preserve">2015. gada 13. oktobra noteikumi Nr. 591 “Kārtība, kādā izglītojamie tiek uzņemti vispārējās izglītības programmās, speciālajās izglītības iestādēs un speciālajās pirmsskolas izglītības grupās un atskaitīti no tām, kā arī pārcelti uz nākamo klasi”) minēto mērķu sasniegšanai, </w:t>
            </w:r>
            <w:r w:rsidR="00A85C6F">
              <w:rPr>
                <w:color w:val="000000" w:themeColor="text1"/>
              </w:rPr>
              <w:t xml:space="preserve">noteikumu projekta 1. un 2. pielikumā ir ietverts rādītājs </w:t>
            </w:r>
            <w:r w:rsidR="00F478A2" w:rsidRPr="00D0722F">
              <w:rPr>
                <w:color w:val="000000" w:themeColor="text1"/>
              </w:rPr>
              <w:t xml:space="preserve">par </w:t>
            </w:r>
            <w:proofErr w:type="spellStart"/>
            <w:r w:rsidR="00F478A2" w:rsidRPr="00D0722F">
              <w:rPr>
                <w:color w:val="000000" w:themeColor="text1"/>
              </w:rPr>
              <w:t>remigrējušo</w:t>
            </w:r>
            <w:proofErr w:type="spellEnd"/>
            <w:r w:rsidR="00F478A2" w:rsidRPr="00D0722F">
              <w:rPr>
                <w:color w:val="000000" w:themeColor="text1"/>
              </w:rPr>
              <w:t xml:space="preserve"> izglītojamo skaitu.</w:t>
            </w:r>
          </w:p>
          <w:p w14:paraId="2D63C11E" w14:textId="0296A420" w:rsidR="003E0764" w:rsidRPr="002A73BA" w:rsidRDefault="003E0764" w:rsidP="00F7543D">
            <w:pPr>
              <w:jc w:val="both"/>
              <w:rPr>
                <w:color w:val="000000" w:themeColor="text1"/>
              </w:rPr>
            </w:pPr>
            <w:r w:rsidRPr="002A73BA">
              <w:rPr>
                <w:color w:val="000000" w:themeColor="text1"/>
              </w:rPr>
              <w:t xml:space="preserve">Noteikumu projekta 1., 2., 3. un 4. pielikumā ir salāgoti darba slodžu intervāli, precizējot pilnas slodzes attēlojumu saskaņā ar </w:t>
            </w:r>
            <w:r w:rsidR="0019232F">
              <w:rPr>
                <w:color w:val="000000" w:themeColor="text1"/>
              </w:rPr>
              <w:t xml:space="preserve">Ministru kabineta </w:t>
            </w:r>
            <w:r w:rsidRPr="002A73BA">
              <w:rPr>
                <w:color w:val="000000" w:themeColor="text1"/>
              </w:rPr>
              <w:t>2016. gada 5. jūlija noteikumiem Nr. 445 “Pedagogu darba samaksas noteikumi”</w:t>
            </w:r>
            <w:r w:rsidR="009E1719" w:rsidRPr="002A73BA">
              <w:rPr>
                <w:color w:val="000000" w:themeColor="text1"/>
              </w:rPr>
              <w:t>.</w:t>
            </w:r>
          </w:p>
          <w:p w14:paraId="6387226F" w14:textId="62DA3170" w:rsidR="00CF34EA" w:rsidRPr="00D0722F" w:rsidRDefault="00CF34EA" w:rsidP="00F7543D">
            <w:pPr>
              <w:jc w:val="both"/>
              <w:rPr>
                <w:color w:val="000000" w:themeColor="text1"/>
              </w:rPr>
            </w:pPr>
            <w:r w:rsidRPr="002A73BA">
              <w:rPr>
                <w:color w:val="000000" w:themeColor="text1"/>
              </w:rPr>
              <w:t>Veidlapu optimizācijas nolūkos ar mērķi</w:t>
            </w:r>
            <w:r w:rsidRPr="00D0722F">
              <w:rPr>
                <w:color w:val="000000" w:themeColor="text1"/>
              </w:rPr>
              <w:t xml:space="preserve"> samazināt respondentu noslodzi ir izņemti rādītāji, kas ir zaudējuši savu aktualitāti, piemēram, izglītojamo skaits, kuri mācās 2. maiņā, datortehnikas skaita sadalījums pa datorklasēm</w:t>
            </w:r>
            <w:r w:rsidR="00A874C4">
              <w:rPr>
                <w:color w:val="000000" w:themeColor="text1"/>
              </w:rPr>
              <w:t xml:space="preserve">, </w:t>
            </w:r>
            <w:r w:rsidRPr="00D0722F">
              <w:rPr>
                <w:color w:val="000000" w:themeColor="text1"/>
              </w:rPr>
              <w:t>interneta lietošanas rādītāji</w:t>
            </w:r>
            <w:r w:rsidR="00A874C4">
              <w:rPr>
                <w:color w:val="000000" w:themeColor="text1"/>
              </w:rPr>
              <w:t xml:space="preserve"> un datortehnikas ražošanas gads</w:t>
            </w:r>
            <w:r w:rsidRPr="00D0722F">
              <w:rPr>
                <w:color w:val="000000" w:themeColor="text1"/>
              </w:rPr>
              <w:t>.</w:t>
            </w:r>
          </w:p>
          <w:p w14:paraId="6EB618FA" w14:textId="432577F2" w:rsidR="00DF5123" w:rsidRPr="00D0722F" w:rsidRDefault="00DF5123" w:rsidP="00F7543D">
            <w:pPr>
              <w:jc w:val="both"/>
              <w:rPr>
                <w:color w:val="000000" w:themeColor="text1"/>
              </w:rPr>
            </w:pPr>
            <w:r w:rsidRPr="00D0722F">
              <w:rPr>
                <w:color w:val="000000" w:themeColor="text1"/>
              </w:rPr>
              <w:lastRenderedPageBreak/>
              <w:t>Ir pārtraukts apkopot informāciju par rādītājiem, kuru gala apstrādājamība nav korekti iespējama nepilnīgas saņemtās informācijas dēļ, piemēram</w:t>
            </w:r>
            <w:r w:rsidR="00CF34EA" w:rsidRPr="00D0722F">
              <w:rPr>
                <w:color w:val="000000" w:themeColor="text1"/>
              </w:rPr>
              <w:t xml:space="preserve">, izglītojamo </w:t>
            </w:r>
            <w:r w:rsidRPr="00D0722F">
              <w:rPr>
                <w:color w:val="000000" w:themeColor="text1"/>
              </w:rPr>
              <w:t>skaita sadalījums pēc tautības un bērnu skaits, kuru vecāki devušies uz ārzemēm, jo izglītības iestādēm nav pamata šādu informāciju pieprasīt un uzglabāt.</w:t>
            </w:r>
          </w:p>
          <w:p w14:paraId="0FD04C8F" w14:textId="474BED24" w:rsidR="00CF34EA" w:rsidRPr="00D0722F" w:rsidRDefault="00DF5123" w:rsidP="00F7543D">
            <w:pPr>
              <w:jc w:val="both"/>
              <w:rPr>
                <w:color w:val="000000" w:themeColor="text1"/>
              </w:rPr>
            </w:pPr>
            <w:r w:rsidRPr="00D0722F">
              <w:rPr>
                <w:color w:val="000000" w:themeColor="text1"/>
              </w:rPr>
              <w:t>Ņemot vērā respondentu ierosinājumus</w:t>
            </w:r>
            <w:r w:rsidR="00CF34EA" w:rsidRPr="00D0722F">
              <w:rPr>
                <w:color w:val="000000" w:themeColor="text1"/>
              </w:rPr>
              <w:t xml:space="preserve">, ir </w:t>
            </w:r>
            <w:r w:rsidR="00105A50">
              <w:rPr>
                <w:color w:val="000000" w:themeColor="text1"/>
              </w:rPr>
              <w:t xml:space="preserve">papildināts </w:t>
            </w:r>
            <w:r w:rsidR="00D46E99">
              <w:rPr>
                <w:color w:val="000000" w:themeColor="text1"/>
              </w:rPr>
              <w:t xml:space="preserve"> noteikumu projekta 3. </w:t>
            </w:r>
            <w:r w:rsidRPr="00D0722F">
              <w:rPr>
                <w:color w:val="000000" w:themeColor="text1"/>
              </w:rPr>
              <w:t>pielikumā esošais interešu izgl</w:t>
            </w:r>
            <w:r w:rsidR="00D46E99">
              <w:rPr>
                <w:color w:val="000000" w:themeColor="text1"/>
              </w:rPr>
              <w:t>ītības programmu klasifikators.</w:t>
            </w:r>
          </w:p>
          <w:p w14:paraId="2C197CBA" w14:textId="77777777" w:rsidR="00D46E99" w:rsidRDefault="00F625DE" w:rsidP="00F7543D">
            <w:pPr>
              <w:jc w:val="both"/>
              <w:rPr>
                <w:color w:val="000000" w:themeColor="text1"/>
              </w:rPr>
            </w:pPr>
            <w:r w:rsidRPr="00D0722F">
              <w:rPr>
                <w:color w:val="000000" w:themeColor="text1"/>
              </w:rPr>
              <w:t xml:space="preserve">Lai iegūtu pēc iespējas salīdzināmāku informāciju, veikta noteikumu projekta pielikumu tabulu salāgošana, piemēram, </w:t>
            </w:r>
            <w:r w:rsidR="00D46E99">
              <w:rPr>
                <w:color w:val="000000" w:themeColor="text1"/>
              </w:rPr>
              <w:t>saistībā ar pedagogu skaita sadalījumu</w:t>
            </w:r>
            <w:r w:rsidRPr="00D0722F">
              <w:rPr>
                <w:color w:val="000000" w:themeColor="text1"/>
              </w:rPr>
              <w:t xml:space="preserve"> pēc izglītības.</w:t>
            </w:r>
          </w:p>
          <w:p w14:paraId="0A16611C" w14:textId="77777777" w:rsidR="00670B08" w:rsidRDefault="00105A50" w:rsidP="00F7543D">
            <w:pPr>
              <w:jc w:val="both"/>
              <w:rPr>
                <w:color w:val="000000" w:themeColor="text1"/>
              </w:rPr>
            </w:pPr>
            <w:r>
              <w:rPr>
                <w:color w:val="000000" w:themeColor="text1"/>
              </w:rPr>
              <w:t>2018. gada 22. martā tika pieņemts likums “Grozījumi Izglītības likumā”, saskaņā ar kuru no 2019. gada 1.</w:t>
            </w:r>
            <w:r w:rsidR="00BA6E29">
              <w:rPr>
                <w:color w:val="000000" w:themeColor="text1"/>
              </w:rPr>
              <w:t> </w:t>
            </w:r>
            <w:r>
              <w:rPr>
                <w:color w:val="000000" w:themeColor="text1"/>
              </w:rPr>
              <w:t>septembra pakāpeniski pamatizglītības posmā tiks piemērota konkrēta valsts valodas lietojuma proporcija mazākumtautību izglītības programmu īstenošanā, kā arī tiks izslēgta mazākumtautību izglītības programmu īstenošana vidējās izglītības pakāpē (skatīt Izglītības likuma pārejas noteikumu 66. punktu). Ievērojot to, ka uz atsevišķām klasēm vēl vairākus gadus attieksies noteikumu projektā paredzētais, kas saistīts ar mazākumtautību izglītības programmu īstenošanu, attiecīgais regulējums ir iekļauts noteikumu projektā, taču vienlaikus jāņem vērā Izglītības likumā noteiktais par pārejas periodu, kurā attiecīgajās klasēs var tikt īstenotas mazākumtautību izglītības programmas.</w:t>
            </w:r>
          </w:p>
          <w:p w14:paraId="33E1D71E" w14:textId="600BC27F" w:rsidR="00DA15F6" w:rsidRDefault="00670B08" w:rsidP="00F7543D">
            <w:pPr>
              <w:jc w:val="both"/>
              <w:rPr>
                <w:color w:val="000000" w:themeColor="text1"/>
              </w:rPr>
            </w:pPr>
            <w:r>
              <w:rPr>
                <w:color w:val="000000" w:themeColor="text1"/>
              </w:rPr>
              <w:t xml:space="preserve">Līdztekus Vispārējās izglītības likuma pārejas noteikumu 33. punkts paredz, </w:t>
            </w:r>
            <w:r w:rsidR="00287898">
              <w:rPr>
                <w:color w:val="000000" w:themeColor="text1"/>
              </w:rPr>
              <w:t>ka no likuma regulējums par vakara (maiņu) vidusskolām tiks izslēgts 2020. gada 1. septembrī. Līdz ar to, noteikumu projektā ietvertais regulējums, kas attiecināms konkrēti uz vakara (maiņu) vidusskolām, būs piemērojams līdz minētajam termiņam.</w:t>
            </w:r>
          </w:p>
          <w:p w14:paraId="5BD73EBA" w14:textId="2C5A5244" w:rsidR="008123FE" w:rsidRPr="00D0722F" w:rsidRDefault="008123FE" w:rsidP="0019232F">
            <w:pPr>
              <w:jc w:val="both"/>
              <w:rPr>
                <w:color w:val="000000" w:themeColor="text1"/>
              </w:rPr>
            </w:pPr>
            <w:r w:rsidRPr="008123FE">
              <w:rPr>
                <w:color w:val="000000" w:themeColor="text1"/>
              </w:rPr>
              <w:t>A</w:t>
            </w:r>
            <w:r w:rsidR="00670B08">
              <w:rPr>
                <w:color w:val="000000" w:themeColor="text1"/>
              </w:rPr>
              <w:t>r noteikumu projek</w:t>
            </w:r>
            <w:r w:rsidR="00287898">
              <w:rPr>
                <w:color w:val="000000" w:themeColor="text1"/>
              </w:rPr>
              <w:t>t</w:t>
            </w:r>
            <w:r w:rsidR="00670B08">
              <w:rPr>
                <w:color w:val="000000" w:themeColor="text1"/>
              </w:rPr>
              <w:t>u paredzēts a</w:t>
            </w:r>
            <w:r w:rsidRPr="008123FE">
              <w:rPr>
                <w:color w:val="000000" w:themeColor="text1"/>
              </w:rPr>
              <w:t xml:space="preserve">tzīt par spēku zaudējušiem </w:t>
            </w:r>
            <w:r w:rsidR="0019232F">
              <w:rPr>
                <w:color w:val="000000" w:themeColor="text1"/>
              </w:rPr>
              <w:t>noteikumus Nr. 486</w:t>
            </w:r>
            <w:r w:rsidR="00C2430E">
              <w:rPr>
                <w:color w:val="000000" w:themeColor="text1"/>
              </w:rPr>
              <w:t>.</w:t>
            </w:r>
          </w:p>
        </w:tc>
      </w:tr>
      <w:tr w:rsidR="00503509" w:rsidRPr="00A844B6" w14:paraId="573829FD" w14:textId="77777777" w:rsidTr="00F13AAB">
        <w:trPr>
          <w:cantSplit/>
        </w:trPr>
        <w:tc>
          <w:tcPr>
            <w:tcW w:w="311" w:type="pct"/>
            <w:hideMark/>
          </w:tcPr>
          <w:p w14:paraId="4B0991FB" w14:textId="0F22D2B7" w:rsidR="00503509" w:rsidRPr="00A844B6" w:rsidRDefault="00503509" w:rsidP="00F7543D">
            <w:pPr>
              <w:jc w:val="center"/>
            </w:pPr>
            <w:r w:rsidRPr="00A844B6">
              <w:lastRenderedPageBreak/>
              <w:t>3.</w:t>
            </w:r>
          </w:p>
        </w:tc>
        <w:tc>
          <w:tcPr>
            <w:tcW w:w="1479" w:type="pct"/>
            <w:hideMark/>
          </w:tcPr>
          <w:p w14:paraId="49322260" w14:textId="77777777" w:rsidR="00503509" w:rsidRPr="00A844B6" w:rsidRDefault="00503509" w:rsidP="00F7543D">
            <w:pPr>
              <w:jc w:val="both"/>
            </w:pPr>
            <w:r w:rsidRPr="00A844B6">
              <w:t>Projekta izstrādē iesaistītās institūcijas un publiskas personas kapitālsabiedrības</w:t>
            </w:r>
          </w:p>
        </w:tc>
        <w:tc>
          <w:tcPr>
            <w:tcW w:w="3210" w:type="pct"/>
            <w:hideMark/>
          </w:tcPr>
          <w:p w14:paraId="235D8EB3" w14:textId="3A6737E6" w:rsidR="00503509" w:rsidRPr="002F3A01" w:rsidRDefault="00A85C6F" w:rsidP="00F7543D">
            <w:pPr>
              <w:jc w:val="both"/>
              <w:rPr>
                <w:color w:val="000000" w:themeColor="text1"/>
              </w:rPr>
            </w:pPr>
            <w:r>
              <w:rPr>
                <w:color w:val="000000" w:themeColor="text1"/>
              </w:rPr>
              <w:t>Izglītības un zinātnes ministrija, konsultējoties</w:t>
            </w:r>
            <w:r w:rsidR="002F3A01" w:rsidRPr="002F3A01">
              <w:rPr>
                <w:color w:val="000000" w:themeColor="text1"/>
              </w:rPr>
              <w:t xml:space="preserve"> ar Centrāl</w:t>
            </w:r>
            <w:r w:rsidR="00593A9B">
              <w:rPr>
                <w:color w:val="000000" w:themeColor="text1"/>
              </w:rPr>
              <w:t>o</w:t>
            </w:r>
            <w:r w:rsidR="002F3A01" w:rsidRPr="002F3A01">
              <w:rPr>
                <w:color w:val="000000" w:themeColor="text1"/>
              </w:rPr>
              <w:t xml:space="preserve"> </w:t>
            </w:r>
            <w:r w:rsidR="00A22EE1">
              <w:rPr>
                <w:color w:val="000000" w:themeColor="text1"/>
              </w:rPr>
              <w:t>s</w:t>
            </w:r>
            <w:r w:rsidR="002F3A01" w:rsidRPr="002F3A01">
              <w:rPr>
                <w:color w:val="000000" w:themeColor="text1"/>
              </w:rPr>
              <w:t xml:space="preserve">tatistikas pārvaldi, Valsts izglītības satura centru, </w:t>
            </w:r>
            <w:r>
              <w:rPr>
                <w:color w:val="000000" w:themeColor="text1"/>
              </w:rPr>
              <w:t>b</w:t>
            </w:r>
            <w:r w:rsidRPr="002F3A01">
              <w:rPr>
                <w:color w:val="000000" w:themeColor="text1"/>
              </w:rPr>
              <w:t xml:space="preserve">ērnu </w:t>
            </w:r>
            <w:r w:rsidR="002F3A01" w:rsidRPr="002F3A01">
              <w:rPr>
                <w:color w:val="000000" w:themeColor="text1"/>
              </w:rPr>
              <w:t>un jauniešu interešu izglītības iestādēm.</w:t>
            </w:r>
          </w:p>
        </w:tc>
      </w:tr>
      <w:tr w:rsidR="00503509" w:rsidRPr="00A844B6" w14:paraId="7A52E96E" w14:textId="77777777" w:rsidTr="00F13AAB">
        <w:trPr>
          <w:cantSplit/>
        </w:trPr>
        <w:tc>
          <w:tcPr>
            <w:tcW w:w="311" w:type="pct"/>
            <w:hideMark/>
          </w:tcPr>
          <w:p w14:paraId="20AFBB42" w14:textId="77777777" w:rsidR="00503509" w:rsidRPr="00A844B6" w:rsidRDefault="00503509" w:rsidP="00F7543D">
            <w:pPr>
              <w:jc w:val="center"/>
            </w:pPr>
            <w:r w:rsidRPr="00A844B6">
              <w:t>4.</w:t>
            </w:r>
          </w:p>
        </w:tc>
        <w:tc>
          <w:tcPr>
            <w:tcW w:w="1479" w:type="pct"/>
            <w:hideMark/>
          </w:tcPr>
          <w:p w14:paraId="10AF9F7B" w14:textId="77777777" w:rsidR="00503509" w:rsidRPr="00A844B6" w:rsidRDefault="00503509" w:rsidP="00F7543D">
            <w:pPr>
              <w:jc w:val="both"/>
            </w:pPr>
            <w:r w:rsidRPr="00A844B6">
              <w:t>Cita informācija</w:t>
            </w:r>
          </w:p>
        </w:tc>
        <w:tc>
          <w:tcPr>
            <w:tcW w:w="3210" w:type="pct"/>
            <w:hideMark/>
          </w:tcPr>
          <w:p w14:paraId="3C85F69E" w14:textId="55DF08F1" w:rsidR="00503509" w:rsidRPr="002F3A01" w:rsidRDefault="002F3A01" w:rsidP="00F7543D">
            <w:pPr>
              <w:rPr>
                <w:color w:val="000000" w:themeColor="text1"/>
              </w:rPr>
            </w:pPr>
            <w:r w:rsidRPr="002F3A01">
              <w:rPr>
                <w:color w:val="000000" w:themeColor="text1"/>
              </w:rPr>
              <w:t>Nav.</w:t>
            </w:r>
          </w:p>
        </w:tc>
      </w:tr>
    </w:tbl>
    <w:p w14:paraId="59D21F97" w14:textId="77777777" w:rsidR="00503509" w:rsidRPr="00A844B6" w:rsidRDefault="00503509" w:rsidP="00F7543D">
      <w:pPr>
        <w:pStyle w:val="Title"/>
        <w:spacing w:before="130"/>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503509" w:rsidRPr="00A844B6" w14:paraId="02E1A8E4" w14:textId="77777777" w:rsidTr="00BF2D02">
        <w:trPr>
          <w:cantSplit/>
        </w:trPr>
        <w:tc>
          <w:tcPr>
            <w:tcW w:w="5000" w:type="pct"/>
            <w:gridSpan w:val="3"/>
            <w:vAlign w:val="center"/>
            <w:hideMark/>
          </w:tcPr>
          <w:p w14:paraId="6D12BCCB" w14:textId="77777777" w:rsidR="00503509" w:rsidRPr="00A844B6" w:rsidRDefault="00503509" w:rsidP="00F7543D">
            <w:pPr>
              <w:jc w:val="center"/>
              <w:rPr>
                <w:b/>
                <w:bCs/>
              </w:rPr>
            </w:pPr>
            <w:r w:rsidRPr="00A844B6">
              <w:rPr>
                <w:b/>
                <w:bCs/>
              </w:rPr>
              <w:t>II. Tiesību akta projekta ietekme uz sabiedrību, tautsaimniecības attīstību un administratīvo slogu</w:t>
            </w:r>
          </w:p>
        </w:tc>
      </w:tr>
      <w:tr w:rsidR="00895029" w:rsidRPr="00A844B6" w14:paraId="6140409E" w14:textId="77777777" w:rsidTr="00BF2D02">
        <w:trPr>
          <w:cantSplit/>
        </w:trPr>
        <w:tc>
          <w:tcPr>
            <w:tcW w:w="311" w:type="pct"/>
            <w:hideMark/>
          </w:tcPr>
          <w:p w14:paraId="2618F118" w14:textId="77777777" w:rsidR="00895029" w:rsidRPr="00A844B6" w:rsidRDefault="00895029" w:rsidP="00F7543D">
            <w:pPr>
              <w:jc w:val="center"/>
            </w:pPr>
            <w:r w:rsidRPr="00A844B6">
              <w:t>1.</w:t>
            </w:r>
          </w:p>
        </w:tc>
        <w:tc>
          <w:tcPr>
            <w:tcW w:w="1479" w:type="pct"/>
            <w:hideMark/>
          </w:tcPr>
          <w:p w14:paraId="25E5FD64" w14:textId="77777777" w:rsidR="00895029" w:rsidRPr="00566C6B" w:rsidRDefault="00895029" w:rsidP="00F7543D">
            <w:pPr>
              <w:jc w:val="both"/>
              <w:rPr>
                <w:color w:val="000000" w:themeColor="text1"/>
              </w:rPr>
            </w:pPr>
            <w:r w:rsidRPr="00566C6B">
              <w:rPr>
                <w:color w:val="000000" w:themeColor="text1"/>
              </w:rPr>
              <w:t xml:space="preserve">Sabiedrības </w:t>
            </w:r>
            <w:proofErr w:type="spellStart"/>
            <w:r w:rsidRPr="00566C6B">
              <w:rPr>
                <w:color w:val="000000" w:themeColor="text1"/>
              </w:rPr>
              <w:t>mērķgrupas</w:t>
            </w:r>
            <w:proofErr w:type="spellEnd"/>
            <w:r w:rsidRPr="00566C6B">
              <w:rPr>
                <w:color w:val="000000" w:themeColor="text1"/>
              </w:rPr>
              <w:t>, kuras tiesiskais regulējums ietekmē vai varētu ietekmēt</w:t>
            </w:r>
          </w:p>
        </w:tc>
        <w:tc>
          <w:tcPr>
            <w:tcW w:w="3210" w:type="pct"/>
            <w:hideMark/>
          </w:tcPr>
          <w:p w14:paraId="03369D61" w14:textId="0F49BA53" w:rsidR="00895029" w:rsidRPr="00895029" w:rsidRDefault="00BA3267" w:rsidP="00F7543D">
            <w:pPr>
              <w:jc w:val="both"/>
              <w:rPr>
                <w:szCs w:val="28"/>
              </w:rPr>
            </w:pPr>
            <w:r>
              <w:rPr>
                <w:color w:val="000000" w:themeColor="text1"/>
              </w:rPr>
              <w:t>Izglītības iestādes, kuras īsteno vispārējās izglītības programmas, interešu izglītības programmas</w:t>
            </w:r>
            <w:r w:rsidR="006522E4">
              <w:rPr>
                <w:color w:val="000000" w:themeColor="text1"/>
              </w:rPr>
              <w:t xml:space="preserve"> (izņemot augstākās izglītības iestādes)</w:t>
            </w:r>
            <w:r>
              <w:rPr>
                <w:color w:val="000000" w:themeColor="text1"/>
              </w:rPr>
              <w:t xml:space="preserve"> </w:t>
            </w:r>
            <w:r w:rsidR="00DF4400">
              <w:rPr>
                <w:color w:val="000000" w:themeColor="text1"/>
              </w:rPr>
              <w:t>un</w:t>
            </w:r>
            <w:r>
              <w:rPr>
                <w:color w:val="000000" w:themeColor="text1"/>
              </w:rPr>
              <w:t xml:space="preserve"> profesionālās ievirzes izglītības programmas sportā</w:t>
            </w:r>
            <w:r>
              <w:rPr>
                <w:szCs w:val="28"/>
              </w:rPr>
              <w:t>,</w:t>
            </w:r>
            <w:r w:rsidR="006D137B">
              <w:rPr>
                <w:szCs w:val="28"/>
              </w:rPr>
              <w:t xml:space="preserve"> šo izglītības iestāžu </w:t>
            </w:r>
            <w:r w:rsidR="00B00883">
              <w:rPr>
                <w:szCs w:val="28"/>
              </w:rPr>
              <w:t>administrācija</w:t>
            </w:r>
            <w:r w:rsidR="00DF4400">
              <w:rPr>
                <w:szCs w:val="28"/>
              </w:rPr>
              <w:t xml:space="preserve"> un dibinātāji</w:t>
            </w:r>
            <w:r w:rsidR="006D137B">
              <w:rPr>
                <w:szCs w:val="28"/>
              </w:rPr>
              <w:t>.</w:t>
            </w:r>
          </w:p>
        </w:tc>
      </w:tr>
      <w:tr w:rsidR="00895029" w:rsidRPr="00A844B6" w14:paraId="17F1A185" w14:textId="77777777" w:rsidTr="00B00883">
        <w:tc>
          <w:tcPr>
            <w:tcW w:w="311" w:type="pct"/>
            <w:hideMark/>
          </w:tcPr>
          <w:p w14:paraId="78FBD7F2" w14:textId="04BB4275" w:rsidR="00895029" w:rsidRPr="00A844B6" w:rsidRDefault="00895029" w:rsidP="00F7543D">
            <w:pPr>
              <w:jc w:val="center"/>
            </w:pPr>
            <w:r w:rsidRPr="00A844B6">
              <w:lastRenderedPageBreak/>
              <w:t>2.</w:t>
            </w:r>
          </w:p>
        </w:tc>
        <w:tc>
          <w:tcPr>
            <w:tcW w:w="1479" w:type="pct"/>
            <w:hideMark/>
          </w:tcPr>
          <w:p w14:paraId="70985AFE" w14:textId="77777777" w:rsidR="00895029" w:rsidRPr="00A844B6" w:rsidRDefault="00895029" w:rsidP="00F7543D">
            <w:pPr>
              <w:jc w:val="both"/>
            </w:pPr>
            <w:r w:rsidRPr="00A844B6">
              <w:t>Tiesiskā regulējuma ietekme uz tautsaimniecību un administratīvo slogu</w:t>
            </w:r>
          </w:p>
        </w:tc>
        <w:tc>
          <w:tcPr>
            <w:tcW w:w="3210" w:type="pct"/>
            <w:hideMark/>
          </w:tcPr>
          <w:p w14:paraId="1FE7BAAF" w14:textId="77777777" w:rsidR="00895029" w:rsidRPr="00A553E5" w:rsidRDefault="00EF6D52" w:rsidP="00F7543D">
            <w:pPr>
              <w:jc w:val="both"/>
              <w:rPr>
                <w:color w:val="FF0000"/>
              </w:rPr>
            </w:pPr>
            <w:r w:rsidRPr="00EF6D52">
              <w:rPr>
                <w:szCs w:val="28"/>
              </w:rPr>
              <w:t>Sabiedrības grupām un institūcijām projekta tiesiskais regulējums nemaina tiesības un pienākumus, kā arī veicamās darbības.</w:t>
            </w:r>
          </w:p>
        </w:tc>
      </w:tr>
      <w:tr w:rsidR="00895029" w:rsidRPr="00A844B6" w14:paraId="5FBE410C" w14:textId="77777777" w:rsidTr="00B00883">
        <w:tc>
          <w:tcPr>
            <w:tcW w:w="311" w:type="pct"/>
            <w:hideMark/>
          </w:tcPr>
          <w:p w14:paraId="2BCE2BE8" w14:textId="77777777" w:rsidR="00895029" w:rsidRPr="00A844B6" w:rsidRDefault="00895029" w:rsidP="00F7543D">
            <w:pPr>
              <w:jc w:val="center"/>
            </w:pPr>
            <w:r w:rsidRPr="00A844B6">
              <w:t>3.</w:t>
            </w:r>
          </w:p>
        </w:tc>
        <w:tc>
          <w:tcPr>
            <w:tcW w:w="1479" w:type="pct"/>
            <w:hideMark/>
          </w:tcPr>
          <w:p w14:paraId="1F772CCA" w14:textId="77777777" w:rsidR="00895029" w:rsidRPr="00A844B6" w:rsidRDefault="00895029" w:rsidP="00F7543D">
            <w:pPr>
              <w:jc w:val="both"/>
            </w:pPr>
            <w:r w:rsidRPr="00A844B6">
              <w:t>Administratīvo izmaksu monetārs novērtējums</w:t>
            </w:r>
          </w:p>
        </w:tc>
        <w:tc>
          <w:tcPr>
            <w:tcW w:w="3210" w:type="pct"/>
            <w:hideMark/>
          </w:tcPr>
          <w:p w14:paraId="1CBBEED9" w14:textId="77777777" w:rsidR="00895029" w:rsidRPr="00A71F0F" w:rsidRDefault="00CA0856" w:rsidP="00F7543D">
            <w:pPr>
              <w:jc w:val="both"/>
              <w:rPr>
                <w:color w:val="000000" w:themeColor="text1"/>
              </w:rPr>
            </w:pPr>
            <w:r w:rsidRPr="00A71F0F">
              <w:rPr>
                <w:color w:val="000000" w:themeColor="text1"/>
              </w:rPr>
              <w:t>Administratīvā sloga aprēķinam tiek izmantota vienas stundas darbaspēka izmaksas, kas ir 7,53 EUR apmērā darbības veidā – izglītība (NACE 2red, P), par 2018. gada 4. ceturksni.</w:t>
            </w:r>
          </w:p>
          <w:p w14:paraId="62EE8FF8" w14:textId="77777777" w:rsidR="00CA0856" w:rsidRPr="00A71F0F" w:rsidRDefault="00CA0856" w:rsidP="00F7543D">
            <w:pPr>
              <w:jc w:val="both"/>
              <w:rPr>
                <w:color w:val="000000" w:themeColor="text1"/>
              </w:rPr>
            </w:pPr>
            <w:r w:rsidRPr="00A71F0F">
              <w:rPr>
                <w:color w:val="000000" w:themeColor="text1"/>
              </w:rPr>
              <w:t>Zemāk uzrādītas aptuvenās administratīvās izmaksas, kas rodas respondentiem, aizpildot un iesniedzot statistikas veidlapas Izglītības un zinātnes ministrijā:</w:t>
            </w:r>
          </w:p>
          <w:p w14:paraId="08CAB1AB" w14:textId="24D83C5C" w:rsidR="00CA0856" w:rsidRPr="00A71F0F" w:rsidRDefault="00CA0856" w:rsidP="00F7543D">
            <w:pPr>
              <w:pStyle w:val="ListParagraph"/>
              <w:numPr>
                <w:ilvl w:val="0"/>
                <w:numId w:val="8"/>
              </w:numPr>
              <w:ind w:left="265" w:hanging="295"/>
              <w:jc w:val="both"/>
              <w:rPr>
                <w:color w:val="000000" w:themeColor="text1"/>
              </w:rPr>
            </w:pPr>
            <w:r w:rsidRPr="00A71F0F">
              <w:rPr>
                <w:color w:val="000000" w:themeColor="text1"/>
              </w:rPr>
              <w:t xml:space="preserve">Noteikumu projekta 1. pielikums – 7,53 </w:t>
            </w:r>
            <w:proofErr w:type="spellStart"/>
            <w:r w:rsidRPr="00A71F0F">
              <w:rPr>
                <w:color w:val="000000" w:themeColor="text1"/>
              </w:rPr>
              <w:t>Eur</w:t>
            </w:r>
            <w:proofErr w:type="spellEnd"/>
            <w:r w:rsidRPr="00A71F0F">
              <w:rPr>
                <w:color w:val="000000" w:themeColor="text1"/>
              </w:rPr>
              <w:t xml:space="preserve"> x 2 (patērētais h skaits) x 1 (veidlapas iesniegšanas reižu skaits gadā) x 995 (iesniedzamo veidlapu skaits) = 14984,7</w:t>
            </w:r>
            <w:r w:rsidR="00E54CF0">
              <w:rPr>
                <w:color w:val="000000" w:themeColor="text1"/>
              </w:rPr>
              <w:t>0</w:t>
            </w:r>
            <w:r w:rsidRPr="00A71F0F">
              <w:rPr>
                <w:color w:val="000000" w:themeColor="text1"/>
              </w:rPr>
              <w:t xml:space="preserve"> </w:t>
            </w:r>
            <w:proofErr w:type="spellStart"/>
            <w:r w:rsidRPr="00A71F0F">
              <w:rPr>
                <w:color w:val="000000" w:themeColor="text1"/>
              </w:rPr>
              <w:t>Eur</w:t>
            </w:r>
            <w:proofErr w:type="spellEnd"/>
            <w:r w:rsidRPr="00A71F0F">
              <w:rPr>
                <w:color w:val="000000" w:themeColor="text1"/>
              </w:rPr>
              <w:t>;</w:t>
            </w:r>
          </w:p>
          <w:p w14:paraId="1CB5DFB1" w14:textId="77777777" w:rsidR="008F0A7C" w:rsidRPr="00A71F0F" w:rsidRDefault="00CA0856" w:rsidP="00F7543D">
            <w:pPr>
              <w:pStyle w:val="ListParagraph"/>
              <w:numPr>
                <w:ilvl w:val="0"/>
                <w:numId w:val="8"/>
              </w:numPr>
              <w:ind w:left="265" w:hanging="295"/>
              <w:jc w:val="both"/>
              <w:rPr>
                <w:color w:val="000000" w:themeColor="text1"/>
              </w:rPr>
            </w:pPr>
            <w:r w:rsidRPr="00A71F0F">
              <w:rPr>
                <w:color w:val="000000" w:themeColor="text1"/>
              </w:rPr>
              <w:t xml:space="preserve">Noteikumu projekta 2. pielikums – 7,53 </w:t>
            </w:r>
            <w:proofErr w:type="spellStart"/>
            <w:r w:rsidRPr="00A71F0F">
              <w:rPr>
                <w:color w:val="000000" w:themeColor="text1"/>
              </w:rPr>
              <w:t>Eur</w:t>
            </w:r>
            <w:proofErr w:type="spellEnd"/>
            <w:r w:rsidRPr="00A71F0F">
              <w:rPr>
                <w:color w:val="000000" w:themeColor="text1"/>
              </w:rPr>
              <w:t xml:space="preserve"> x 1.5 (patērētais h skaits) x 1 (veidlapas iesniegšanas reižu skaits gadā) x  650 (iesniedzamo veidlapu skaits) =  </w:t>
            </w:r>
            <w:r w:rsidR="008F0A7C" w:rsidRPr="00A71F0F">
              <w:rPr>
                <w:color w:val="000000" w:themeColor="text1"/>
              </w:rPr>
              <w:t>7341,75</w:t>
            </w:r>
            <w:r w:rsidRPr="00A71F0F">
              <w:rPr>
                <w:color w:val="000000" w:themeColor="text1"/>
              </w:rPr>
              <w:t xml:space="preserve"> </w:t>
            </w:r>
            <w:proofErr w:type="spellStart"/>
            <w:r w:rsidRPr="00A71F0F">
              <w:rPr>
                <w:color w:val="000000" w:themeColor="text1"/>
              </w:rPr>
              <w:t>Eur</w:t>
            </w:r>
            <w:proofErr w:type="spellEnd"/>
            <w:r w:rsidRPr="00A71F0F">
              <w:rPr>
                <w:color w:val="000000" w:themeColor="text1"/>
              </w:rPr>
              <w:t>;</w:t>
            </w:r>
          </w:p>
          <w:p w14:paraId="27A1CEB4" w14:textId="16906C0B" w:rsidR="008F0A7C" w:rsidRPr="00A71F0F" w:rsidRDefault="00CA0856" w:rsidP="00F7543D">
            <w:pPr>
              <w:pStyle w:val="ListParagraph"/>
              <w:numPr>
                <w:ilvl w:val="0"/>
                <w:numId w:val="8"/>
              </w:numPr>
              <w:ind w:left="265" w:hanging="295"/>
              <w:jc w:val="both"/>
              <w:rPr>
                <w:color w:val="000000" w:themeColor="text1"/>
              </w:rPr>
            </w:pPr>
            <w:r w:rsidRPr="00A71F0F">
              <w:rPr>
                <w:color w:val="000000" w:themeColor="text1"/>
              </w:rPr>
              <w:t>Noteikumu projekta 3.</w:t>
            </w:r>
            <w:r w:rsidR="008F0A7C" w:rsidRPr="00A71F0F">
              <w:rPr>
                <w:color w:val="000000" w:themeColor="text1"/>
              </w:rPr>
              <w:t> </w:t>
            </w:r>
            <w:r w:rsidRPr="00A71F0F">
              <w:rPr>
                <w:color w:val="000000" w:themeColor="text1"/>
              </w:rPr>
              <w:t xml:space="preserve">pielikums – 7,53 </w:t>
            </w:r>
            <w:proofErr w:type="spellStart"/>
            <w:r w:rsidRPr="00A71F0F">
              <w:rPr>
                <w:color w:val="000000" w:themeColor="text1"/>
              </w:rPr>
              <w:t>Eur</w:t>
            </w:r>
            <w:proofErr w:type="spellEnd"/>
            <w:r w:rsidRPr="00A71F0F">
              <w:rPr>
                <w:color w:val="000000" w:themeColor="text1"/>
              </w:rPr>
              <w:t xml:space="preserve"> x 1 (patērētais h skaits) x 1 (veidlapas iesnie</w:t>
            </w:r>
            <w:r w:rsidR="008F0A7C" w:rsidRPr="00A71F0F">
              <w:rPr>
                <w:color w:val="000000" w:themeColor="text1"/>
              </w:rPr>
              <w:t>gšanas reižu skaits gadā) x  890</w:t>
            </w:r>
            <w:r w:rsidRPr="00A71F0F">
              <w:rPr>
                <w:color w:val="000000" w:themeColor="text1"/>
              </w:rPr>
              <w:t xml:space="preserve"> (iesniedzamo veidlapu skaits) =  </w:t>
            </w:r>
            <w:r w:rsidR="008F0A7C" w:rsidRPr="00A71F0F">
              <w:rPr>
                <w:color w:val="000000" w:themeColor="text1"/>
              </w:rPr>
              <w:t>6701,7</w:t>
            </w:r>
            <w:r w:rsidR="00E54CF0">
              <w:rPr>
                <w:color w:val="000000" w:themeColor="text1"/>
              </w:rPr>
              <w:t>0</w:t>
            </w:r>
            <w:r w:rsidRPr="00A71F0F">
              <w:rPr>
                <w:color w:val="000000" w:themeColor="text1"/>
              </w:rPr>
              <w:t xml:space="preserve"> </w:t>
            </w:r>
            <w:proofErr w:type="spellStart"/>
            <w:r w:rsidRPr="00A71F0F">
              <w:rPr>
                <w:color w:val="000000" w:themeColor="text1"/>
              </w:rPr>
              <w:t>Eur</w:t>
            </w:r>
            <w:proofErr w:type="spellEnd"/>
            <w:r w:rsidRPr="00A71F0F">
              <w:rPr>
                <w:color w:val="000000" w:themeColor="text1"/>
              </w:rPr>
              <w:t>;</w:t>
            </w:r>
          </w:p>
          <w:p w14:paraId="39FDFC21" w14:textId="6B5B0FE8" w:rsidR="00CA0856" w:rsidRPr="008F0A7C" w:rsidRDefault="00CA0856" w:rsidP="00F7543D">
            <w:pPr>
              <w:pStyle w:val="ListParagraph"/>
              <w:numPr>
                <w:ilvl w:val="0"/>
                <w:numId w:val="8"/>
              </w:numPr>
              <w:ind w:left="265" w:hanging="295"/>
              <w:jc w:val="both"/>
              <w:rPr>
                <w:color w:val="FF0000"/>
              </w:rPr>
            </w:pPr>
            <w:r w:rsidRPr="00A71F0F">
              <w:rPr>
                <w:color w:val="000000" w:themeColor="text1"/>
              </w:rPr>
              <w:t>Noteikumu projekta 4.</w:t>
            </w:r>
            <w:r w:rsidR="008F0A7C" w:rsidRPr="00A71F0F">
              <w:rPr>
                <w:color w:val="000000" w:themeColor="text1"/>
              </w:rPr>
              <w:t> </w:t>
            </w:r>
            <w:r w:rsidRPr="00A71F0F">
              <w:rPr>
                <w:color w:val="000000" w:themeColor="text1"/>
              </w:rPr>
              <w:t xml:space="preserve">pielikums – 7,53 </w:t>
            </w:r>
            <w:proofErr w:type="spellStart"/>
            <w:r w:rsidRPr="00A71F0F">
              <w:rPr>
                <w:color w:val="000000" w:themeColor="text1"/>
              </w:rPr>
              <w:t>Eur</w:t>
            </w:r>
            <w:proofErr w:type="spellEnd"/>
            <w:r w:rsidRPr="00A71F0F">
              <w:rPr>
                <w:color w:val="000000" w:themeColor="text1"/>
              </w:rPr>
              <w:t xml:space="preserve"> x 1 (patērētais h skaits) x 1 (veidlapas iesniegšanas reižu skaits gadā) x  75 (iesniedzamo veidlapu skaits) =  </w:t>
            </w:r>
            <w:r w:rsidR="008F0A7C" w:rsidRPr="00A71F0F">
              <w:rPr>
                <w:color w:val="000000" w:themeColor="text1"/>
              </w:rPr>
              <w:t>564,75</w:t>
            </w:r>
            <w:r w:rsidRPr="00A71F0F">
              <w:rPr>
                <w:color w:val="000000" w:themeColor="text1"/>
              </w:rPr>
              <w:t xml:space="preserve"> </w:t>
            </w:r>
            <w:proofErr w:type="spellStart"/>
            <w:r w:rsidRPr="00A71F0F">
              <w:rPr>
                <w:color w:val="000000" w:themeColor="text1"/>
              </w:rPr>
              <w:t>Eur</w:t>
            </w:r>
            <w:proofErr w:type="spellEnd"/>
            <w:r w:rsidRPr="00A71F0F">
              <w:rPr>
                <w:color w:val="000000" w:themeColor="text1"/>
              </w:rPr>
              <w:t>.</w:t>
            </w:r>
          </w:p>
        </w:tc>
      </w:tr>
      <w:tr w:rsidR="00895029" w:rsidRPr="00A844B6" w14:paraId="45908E9A" w14:textId="77777777" w:rsidTr="00BF2D02">
        <w:trPr>
          <w:cantSplit/>
        </w:trPr>
        <w:tc>
          <w:tcPr>
            <w:tcW w:w="311" w:type="pct"/>
            <w:hideMark/>
          </w:tcPr>
          <w:p w14:paraId="20D25901" w14:textId="70C6AF81" w:rsidR="00895029" w:rsidRPr="00A844B6" w:rsidRDefault="00895029" w:rsidP="00F7543D">
            <w:pPr>
              <w:jc w:val="center"/>
            </w:pPr>
            <w:r w:rsidRPr="00A844B6">
              <w:t>4.</w:t>
            </w:r>
          </w:p>
        </w:tc>
        <w:tc>
          <w:tcPr>
            <w:tcW w:w="1479" w:type="pct"/>
            <w:hideMark/>
          </w:tcPr>
          <w:p w14:paraId="40AD4791" w14:textId="77777777" w:rsidR="00895029" w:rsidRPr="00A844B6" w:rsidRDefault="00895029" w:rsidP="00F7543D">
            <w:pPr>
              <w:jc w:val="both"/>
            </w:pPr>
            <w:r w:rsidRPr="00A844B6">
              <w:t>Atbilstības izmaksu monetārs novērtējums</w:t>
            </w:r>
          </w:p>
        </w:tc>
        <w:tc>
          <w:tcPr>
            <w:tcW w:w="3210" w:type="pct"/>
            <w:hideMark/>
          </w:tcPr>
          <w:p w14:paraId="529F5519" w14:textId="4A61C668" w:rsidR="00895029" w:rsidRPr="00A71F0F" w:rsidRDefault="00A85C6F" w:rsidP="00F7543D">
            <w:pPr>
              <w:rPr>
                <w:color w:val="000000" w:themeColor="text1"/>
              </w:rPr>
            </w:pPr>
            <w:r>
              <w:rPr>
                <w:color w:val="000000" w:themeColor="text1"/>
              </w:rPr>
              <w:t>Noteikumu p</w:t>
            </w:r>
            <w:r w:rsidRPr="00A71F0F">
              <w:rPr>
                <w:color w:val="000000" w:themeColor="text1"/>
              </w:rPr>
              <w:t xml:space="preserve">rojekts </w:t>
            </w:r>
            <w:r w:rsidR="00A71F0F" w:rsidRPr="00A71F0F">
              <w:rPr>
                <w:color w:val="000000" w:themeColor="text1"/>
              </w:rPr>
              <w:t>šo jomu neskar.</w:t>
            </w:r>
          </w:p>
        </w:tc>
      </w:tr>
      <w:tr w:rsidR="00895029" w:rsidRPr="00A844B6" w14:paraId="053DFE37" w14:textId="77777777" w:rsidTr="00BF2D02">
        <w:trPr>
          <w:cantSplit/>
        </w:trPr>
        <w:tc>
          <w:tcPr>
            <w:tcW w:w="311" w:type="pct"/>
            <w:hideMark/>
          </w:tcPr>
          <w:p w14:paraId="55BB80B6" w14:textId="77777777" w:rsidR="00895029" w:rsidRPr="00A844B6" w:rsidRDefault="00895029" w:rsidP="00F7543D">
            <w:pPr>
              <w:jc w:val="center"/>
            </w:pPr>
            <w:r w:rsidRPr="00A844B6">
              <w:t>5.</w:t>
            </w:r>
          </w:p>
        </w:tc>
        <w:tc>
          <w:tcPr>
            <w:tcW w:w="1479" w:type="pct"/>
            <w:hideMark/>
          </w:tcPr>
          <w:p w14:paraId="1545ACFF" w14:textId="77777777" w:rsidR="00895029" w:rsidRPr="005B5211" w:rsidRDefault="00895029" w:rsidP="00F7543D">
            <w:pPr>
              <w:rPr>
                <w:color w:val="000000" w:themeColor="text1"/>
              </w:rPr>
            </w:pPr>
            <w:r w:rsidRPr="005B5211">
              <w:rPr>
                <w:color w:val="000000" w:themeColor="text1"/>
              </w:rPr>
              <w:t>Cita informācija</w:t>
            </w:r>
          </w:p>
        </w:tc>
        <w:tc>
          <w:tcPr>
            <w:tcW w:w="3210" w:type="pct"/>
            <w:hideMark/>
          </w:tcPr>
          <w:p w14:paraId="2D0A752D" w14:textId="2D6FDE40" w:rsidR="00895029" w:rsidRPr="00A71F0F" w:rsidRDefault="005B5211" w:rsidP="00F7543D">
            <w:pPr>
              <w:rPr>
                <w:color w:val="000000" w:themeColor="text1"/>
              </w:rPr>
            </w:pPr>
            <w:r w:rsidRPr="00A71F0F">
              <w:rPr>
                <w:color w:val="000000" w:themeColor="text1"/>
              </w:rPr>
              <w:t>Nav.</w:t>
            </w:r>
          </w:p>
        </w:tc>
      </w:tr>
    </w:tbl>
    <w:p w14:paraId="364E46AB" w14:textId="237EBF53" w:rsidR="00503509" w:rsidRDefault="00503509" w:rsidP="00F754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5F3C26" w:rsidRPr="00A844B6" w14:paraId="5350708A" w14:textId="77777777" w:rsidTr="0058094A">
        <w:trPr>
          <w:cantSplit/>
        </w:trPr>
        <w:tc>
          <w:tcPr>
            <w:tcW w:w="5000" w:type="pct"/>
            <w:vAlign w:val="center"/>
            <w:hideMark/>
          </w:tcPr>
          <w:p w14:paraId="73F9DAEB" w14:textId="77777777" w:rsidR="005F3C26" w:rsidRPr="00A844B6" w:rsidRDefault="005F3C26" w:rsidP="00F7543D">
            <w:pPr>
              <w:jc w:val="center"/>
              <w:rPr>
                <w:b/>
                <w:bCs/>
              </w:rPr>
            </w:pPr>
            <w:r w:rsidRPr="00A844B6">
              <w:rPr>
                <w:b/>
                <w:bCs/>
                <w:lang w:eastAsia="en-US"/>
              </w:rPr>
              <w:t>III. Tiesību akta projekta ietekme uz valsts budžetu un pašvaldību budžetiem</w:t>
            </w:r>
          </w:p>
        </w:tc>
      </w:tr>
      <w:tr w:rsidR="005F3C26" w:rsidRPr="00A844B6" w14:paraId="512A701F" w14:textId="77777777" w:rsidTr="0058094A">
        <w:trPr>
          <w:cantSplit/>
        </w:trPr>
        <w:tc>
          <w:tcPr>
            <w:tcW w:w="5000" w:type="pct"/>
            <w:vAlign w:val="center"/>
          </w:tcPr>
          <w:p w14:paraId="4FFA520C" w14:textId="77777777" w:rsidR="005F3C26" w:rsidRPr="00A844B6" w:rsidRDefault="005F3C26" w:rsidP="00F7543D">
            <w:pPr>
              <w:jc w:val="center"/>
              <w:rPr>
                <w:b/>
                <w:bCs/>
              </w:rPr>
            </w:pPr>
            <w:r>
              <w:rPr>
                <w:iCs/>
              </w:rPr>
              <w:t xml:space="preserve">Noteikumu projekts </w:t>
            </w:r>
            <w:r>
              <w:rPr>
                <w:bCs/>
                <w:iCs/>
              </w:rPr>
              <w:t>šo jomu neskar.</w:t>
            </w:r>
          </w:p>
        </w:tc>
      </w:tr>
    </w:tbl>
    <w:p w14:paraId="2BC2E207" w14:textId="77777777" w:rsidR="005F3C26" w:rsidRPr="006715F3" w:rsidRDefault="005F3C26" w:rsidP="00F754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5F3C26" w:rsidRPr="00A844B6" w14:paraId="585D95F7" w14:textId="77777777" w:rsidTr="0058094A">
        <w:trPr>
          <w:cantSplit/>
        </w:trPr>
        <w:tc>
          <w:tcPr>
            <w:tcW w:w="5000" w:type="pct"/>
            <w:vAlign w:val="center"/>
            <w:hideMark/>
          </w:tcPr>
          <w:p w14:paraId="6E65F464" w14:textId="77777777" w:rsidR="005F3C26" w:rsidRPr="00A844B6" w:rsidRDefault="005F3C26" w:rsidP="00F7543D">
            <w:pPr>
              <w:jc w:val="center"/>
              <w:rPr>
                <w:b/>
                <w:bCs/>
              </w:rPr>
            </w:pPr>
            <w:r w:rsidRPr="00A844B6">
              <w:rPr>
                <w:b/>
                <w:bCs/>
              </w:rPr>
              <w:t>IV. Tiesību akta projekta ietekme uz spēkā esošo tiesību normu sistēmu</w:t>
            </w:r>
          </w:p>
        </w:tc>
      </w:tr>
      <w:tr w:rsidR="005F3C26" w:rsidRPr="00A844B6" w14:paraId="07916CD1" w14:textId="77777777" w:rsidTr="0058094A">
        <w:trPr>
          <w:cantSplit/>
        </w:trPr>
        <w:tc>
          <w:tcPr>
            <w:tcW w:w="5000" w:type="pct"/>
            <w:vAlign w:val="center"/>
          </w:tcPr>
          <w:p w14:paraId="194F0577" w14:textId="77777777" w:rsidR="005F3C26" w:rsidRPr="00A844B6" w:rsidRDefault="005F3C26" w:rsidP="00F7543D">
            <w:pPr>
              <w:jc w:val="center"/>
              <w:rPr>
                <w:b/>
                <w:bCs/>
              </w:rPr>
            </w:pPr>
            <w:r>
              <w:rPr>
                <w:iCs/>
              </w:rPr>
              <w:t xml:space="preserve">Noteikumu projekts </w:t>
            </w:r>
            <w:r>
              <w:rPr>
                <w:bCs/>
                <w:iCs/>
              </w:rPr>
              <w:t>šo jomu neskar.</w:t>
            </w:r>
          </w:p>
        </w:tc>
      </w:tr>
    </w:tbl>
    <w:p w14:paraId="71084572" w14:textId="77777777" w:rsidR="005F3C26" w:rsidRDefault="005F3C26" w:rsidP="00F754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5F3C26" w:rsidRPr="00A844B6" w14:paraId="3F4C47D7" w14:textId="77777777" w:rsidTr="0058094A">
        <w:trPr>
          <w:cantSplit/>
        </w:trPr>
        <w:tc>
          <w:tcPr>
            <w:tcW w:w="5000" w:type="pct"/>
            <w:vAlign w:val="center"/>
            <w:hideMark/>
          </w:tcPr>
          <w:p w14:paraId="655D171B" w14:textId="77777777" w:rsidR="005F3C26" w:rsidRPr="00A844B6" w:rsidRDefault="005F3C26" w:rsidP="00F7543D">
            <w:pPr>
              <w:jc w:val="center"/>
              <w:rPr>
                <w:b/>
                <w:bCs/>
              </w:rPr>
            </w:pPr>
            <w:r w:rsidRPr="00A844B6">
              <w:rPr>
                <w:b/>
                <w:bCs/>
              </w:rPr>
              <w:t>V. Tiesību akta projekta atbilstība Latvijas Republikas starptautiskajām saistībām</w:t>
            </w:r>
          </w:p>
        </w:tc>
      </w:tr>
      <w:tr w:rsidR="005F3C26" w:rsidRPr="00A844B6" w14:paraId="28AF92B7" w14:textId="77777777" w:rsidTr="0058094A">
        <w:trPr>
          <w:cantSplit/>
        </w:trPr>
        <w:tc>
          <w:tcPr>
            <w:tcW w:w="5000" w:type="pct"/>
            <w:vAlign w:val="center"/>
          </w:tcPr>
          <w:p w14:paraId="6C6CE58F" w14:textId="77777777" w:rsidR="005F3C26" w:rsidRPr="00A844B6" w:rsidRDefault="005F3C26" w:rsidP="00F7543D">
            <w:pPr>
              <w:jc w:val="center"/>
              <w:rPr>
                <w:b/>
                <w:bCs/>
              </w:rPr>
            </w:pPr>
            <w:r>
              <w:rPr>
                <w:iCs/>
              </w:rPr>
              <w:t xml:space="preserve">Noteikumu projekts </w:t>
            </w:r>
            <w:r>
              <w:rPr>
                <w:bCs/>
                <w:iCs/>
              </w:rPr>
              <w:t>šo jomu neskar.</w:t>
            </w:r>
          </w:p>
        </w:tc>
      </w:tr>
    </w:tbl>
    <w:p w14:paraId="6FAB8383" w14:textId="77777777" w:rsidR="005F3C26" w:rsidRPr="00A844B6" w:rsidRDefault="005F3C26" w:rsidP="00F754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503509" w:rsidRPr="00A844B6" w14:paraId="581E9790" w14:textId="77777777" w:rsidTr="00BF2D02">
        <w:trPr>
          <w:cantSplit/>
        </w:trPr>
        <w:tc>
          <w:tcPr>
            <w:tcW w:w="5000" w:type="pct"/>
            <w:gridSpan w:val="3"/>
            <w:vAlign w:val="center"/>
            <w:hideMark/>
          </w:tcPr>
          <w:p w14:paraId="21E13798" w14:textId="77777777" w:rsidR="00503509" w:rsidRPr="00A844B6" w:rsidRDefault="00503509" w:rsidP="00F7543D">
            <w:pPr>
              <w:jc w:val="center"/>
              <w:rPr>
                <w:b/>
                <w:bCs/>
              </w:rPr>
            </w:pPr>
            <w:r w:rsidRPr="00A844B6">
              <w:rPr>
                <w:b/>
                <w:bCs/>
              </w:rPr>
              <w:t>VI. Sabiedrības līdzdalība un komunikācijas aktivitātes</w:t>
            </w:r>
          </w:p>
        </w:tc>
      </w:tr>
      <w:tr w:rsidR="00503509" w:rsidRPr="00A844B6" w14:paraId="45C945CE" w14:textId="77777777" w:rsidTr="00BF2D02">
        <w:trPr>
          <w:cantSplit/>
        </w:trPr>
        <w:tc>
          <w:tcPr>
            <w:tcW w:w="311" w:type="pct"/>
            <w:hideMark/>
          </w:tcPr>
          <w:p w14:paraId="28A944E2" w14:textId="77777777" w:rsidR="00503509" w:rsidRPr="00A844B6" w:rsidRDefault="00503509" w:rsidP="00F7543D">
            <w:pPr>
              <w:jc w:val="center"/>
            </w:pPr>
            <w:r w:rsidRPr="00A844B6">
              <w:t>1.</w:t>
            </w:r>
          </w:p>
        </w:tc>
        <w:tc>
          <w:tcPr>
            <w:tcW w:w="1479" w:type="pct"/>
            <w:hideMark/>
          </w:tcPr>
          <w:p w14:paraId="00C45637" w14:textId="77777777" w:rsidR="00503509" w:rsidRPr="003F3195" w:rsidRDefault="00503509" w:rsidP="00F7543D">
            <w:pPr>
              <w:jc w:val="both"/>
              <w:rPr>
                <w:color w:val="000000" w:themeColor="text1"/>
              </w:rPr>
            </w:pPr>
            <w:r w:rsidRPr="003F3195">
              <w:rPr>
                <w:color w:val="000000" w:themeColor="text1"/>
              </w:rPr>
              <w:t>Plānotās sabiedrības līdzdalības un komunikācijas aktivitātes saistībā ar projektu</w:t>
            </w:r>
          </w:p>
        </w:tc>
        <w:tc>
          <w:tcPr>
            <w:tcW w:w="3210" w:type="pct"/>
            <w:hideMark/>
          </w:tcPr>
          <w:p w14:paraId="6C1B134A" w14:textId="12A377B4" w:rsidR="003F3195" w:rsidRPr="003F3195" w:rsidRDefault="003F0EDD" w:rsidP="00F7543D">
            <w:pPr>
              <w:jc w:val="both"/>
              <w:rPr>
                <w:color w:val="000000" w:themeColor="text1"/>
              </w:rPr>
            </w:pPr>
            <w:r>
              <w:rPr>
                <w:color w:val="000000" w:themeColor="text1"/>
              </w:rPr>
              <w:t xml:space="preserve">Konsultācijas ar </w:t>
            </w:r>
            <w:r w:rsidR="003F3195" w:rsidRPr="003F3195">
              <w:rPr>
                <w:color w:val="000000" w:themeColor="text1"/>
              </w:rPr>
              <w:t>Centrāl</w:t>
            </w:r>
            <w:r w:rsidR="00593A9B">
              <w:rPr>
                <w:color w:val="000000" w:themeColor="text1"/>
              </w:rPr>
              <w:t>o</w:t>
            </w:r>
            <w:r w:rsidR="003F3195" w:rsidRPr="003F3195">
              <w:rPr>
                <w:color w:val="000000" w:themeColor="text1"/>
              </w:rPr>
              <w:t xml:space="preserve"> </w:t>
            </w:r>
            <w:r w:rsidR="00E62004">
              <w:rPr>
                <w:color w:val="000000" w:themeColor="text1"/>
              </w:rPr>
              <w:t>s</w:t>
            </w:r>
            <w:r w:rsidR="00E62004" w:rsidRPr="003F3195">
              <w:rPr>
                <w:color w:val="000000" w:themeColor="text1"/>
              </w:rPr>
              <w:t xml:space="preserve">tatistikas </w:t>
            </w:r>
            <w:r w:rsidR="003F3195" w:rsidRPr="003F3195">
              <w:rPr>
                <w:color w:val="000000" w:themeColor="text1"/>
              </w:rPr>
              <w:t xml:space="preserve">pārvaldi, Valsts izglītības satura centru, </w:t>
            </w:r>
            <w:r w:rsidR="00A85C6F">
              <w:rPr>
                <w:color w:val="000000" w:themeColor="text1"/>
              </w:rPr>
              <w:t>b</w:t>
            </w:r>
            <w:r w:rsidR="00A85C6F" w:rsidRPr="003F3195">
              <w:rPr>
                <w:color w:val="000000" w:themeColor="text1"/>
              </w:rPr>
              <w:t xml:space="preserve">ērnu </w:t>
            </w:r>
            <w:r w:rsidR="003F3195" w:rsidRPr="003F3195">
              <w:rPr>
                <w:color w:val="000000" w:themeColor="text1"/>
              </w:rPr>
              <w:t>un jauniešu interešu izglītības iestādēm</w:t>
            </w:r>
            <w:r>
              <w:rPr>
                <w:color w:val="000000" w:themeColor="text1"/>
              </w:rPr>
              <w:t>.</w:t>
            </w:r>
          </w:p>
          <w:p w14:paraId="072C33BB" w14:textId="3A4576EB" w:rsidR="00503509" w:rsidRPr="003F3195" w:rsidRDefault="003F3195" w:rsidP="00F7543D">
            <w:pPr>
              <w:jc w:val="both"/>
              <w:rPr>
                <w:color w:val="000000" w:themeColor="text1"/>
              </w:rPr>
            </w:pPr>
            <w:r w:rsidRPr="003F3195">
              <w:rPr>
                <w:color w:val="000000" w:themeColor="text1"/>
              </w:rPr>
              <w:t xml:space="preserve">Par </w:t>
            </w:r>
            <w:r w:rsidR="00A85C6F">
              <w:rPr>
                <w:color w:val="000000" w:themeColor="text1"/>
              </w:rPr>
              <w:t>jaunajiem</w:t>
            </w:r>
            <w:r w:rsidR="00A85C6F" w:rsidRPr="003F3195">
              <w:rPr>
                <w:color w:val="000000" w:themeColor="text1"/>
              </w:rPr>
              <w:t xml:space="preserve"> </w:t>
            </w:r>
            <w:r w:rsidR="00A71F0F">
              <w:rPr>
                <w:color w:val="000000" w:themeColor="text1"/>
              </w:rPr>
              <w:t xml:space="preserve">Ministru kabineta </w:t>
            </w:r>
            <w:r w:rsidRPr="003F3195">
              <w:rPr>
                <w:color w:val="000000" w:themeColor="text1"/>
              </w:rPr>
              <w:t>noteikumiem tiks informētas republikas pilsētu un novadu izglītības pārvaldes, izglītības iestādes.</w:t>
            </w:r>
          </w:p>
        </w:tc>
      </w:tr>
      <w:tr w:rsidR="00503509" w:rsidRPr="00A844B6" w14:paraId="0C87982C" w14:textId="77777777" w:rsidTr="00BF2D02">
        <w:trPr>
          <w:cantSplit/>
        </w:trPr>
        <w:tc>
          <w:tcPr>
            <w:tcW w:w="311" w:type="pct"/>
            <w:hideMark/>
          </w:tcPr>
          <w:p w14:paraId="5587D001" w14:textId="77777777" w:rsidR="00503509" w:rsidRPr="00A844B6" w:rsidRDefault="00503509" w:rsidP="00F7543D">
            <w:pPr>
              <w:jc w:val="center"/>
            </w:pPr>
            <w:r w:rsidRPr="00A844B6">
              <w:lastRenderedPageBreak/>
              <w:t>2.</w:t>
            </w:r>
          </w:p>
        </w:tc>
        <w:tc>
          <w:tcPr>
            <w:tcW w:w="1479" w:type="pct"/>
            <w:hideMark/>
          </w:tcPr>
          <w:p w14:paraId="5643A88E" w14:textId="77777777" w:rsidR="00503509" w:rsidRPr="00A844B6" w:rsidRDefault="00503509" w:rsidP="00F7543D">
            <w:pPr>
              <w:jc w:val="both"/>
            </w:pPr>
            <w:r w:rsidRPr="00A844B6">
              <w:t>Sabiedrības līdzdalība projekta izstrādē</w:t>
            </w:r>
          </w:p>
        </w:tc>
        <w:tc>
          <w:tcPr>
            <w:tcW w:w="3210" w:type="pct"/>
            <w:hideMark/>
          </w:tcPr>
          <w:p w14:paraId="0F0F0477" w14:textId="2433DF2D" w:rsidR="00503509" w:rsidRDefault="003F0EDD" w:rsidP="00F7543D">
            <w:pPr>
              <w:jc w:val="both"/>
              <w:rPr>
                <w:color w:val="000000" w:themeColor="text1"/>
              </w:rPr>
            </w:pPr>
            <w:r w:rsidRPr="003F3195">
              <w:rPr>
                <w:color w:val="000000" w:themeColor="text1"/>
              </w:rPr>
              <w:t>Notika elektronis</w:t>
            </w:r>
            <w:r w:rsidR="00A71F0F">
              <w:rPr>
                <w:color w:val="000000" w:themeColor="text1"/>
              </w:rPr>
              <w:t>kas konsultācijas ar Centrāl</w:t>
            </w:r>
            <w:r w:rsidR="00593A9B">
              <w:rPr>
                <w:color w:val="000000" w:themeColor="text1"/>
              </w:rPr>
              <w:t>o</w:t>
            </w:r>
            <w:r w:rsidR="00A71F0F">
              <w:rPr>
                <w:color w:val="000000" w:themeColor="text1"/>
              </w:rPr>
              <w:t xml:space="preserve"> s</w:t>
            </w:r>
            <w:r w:rsidRPr="003F3195">
              <w:rPr>
                <w:color w:val="000000" w:themeColor="text1"/>
              </w:rPr>
              <w:t xml:space="preserve">tatistikas pārvaldi, Valsts izglītības satura centru, </w:t>
            </w:r>
            <w:r w:rsidR="00A85C6F">
              <w:rPr>
                <w:color w:val="000000" w:themeColor="text1"/>
              </w:rPr>
              <w:t>b</w:t>
            </w:r>
            <w:r w:rsidR="00A85C6F" w:rsidRPr="003F3195">
              <w:rPr>
                <w:color w:val="000000" w:themeColor="text1"/>
              </w:rPr>
              <w:t xml:space="preserve">ērnu </w:t>
            </w:r>
            <w:r w:rsidRPr="003F3195">
              <w:rPr>
                <w:color w:val="000000" w:themeColor="text1"/>
              </w:rPr>
              <w:t>un jauniešu interešu izglītības iestādēm par nepieciešamo informāciju statistikas veidlapās, to grozīšanu, rādītāju saskaņošana.</w:t>
            </w:r>
          </w:p>
          <w:p w14:paraId="7CA62287" w14:textId="7690ABA3" w:rsidR="00A85C6F" w:rsidRPr="00D46E99" w:rsidRDefault="00A85C6F" w:rsidP="00F97808">
            <w:pPr>
              <w:jc w:val="both"/>
              <w:rPr>
                <w:color w:val="000000" w:themeColor="text1"/>
              </w:rPr>
            </w:pPr>
            <w:r w:rsidRPr="0031791B">
              <w:rPr>
                <w:color w:val="000000" w:themeColor="text1"/>
              </w:rPr>
              <w:t xml:space="preserve">Noteikumu projekts publicēts </w:t>
            </w:r>
            <w:r w:rsidR="006D137B" w:rsidRPr="0031791B">
              <w:rPr>
                <w:color w:val="000000" w:themeColor="text1"/>
              </w:rPr>
              <w:t>Izglītības un zinātnes ministrijas mājas lapā 2019.</w:t>
            </w:r>
            <w:r w:rsidR="0031791B" w:rsidRPr="0031791B">
              <w:rPr>
                <w:color w:val="000000" w:themeColor="text1"/>
              </w:rPr>
              <w:t> </w:t>
            </w:r>
            <w:r w:rsidR="006D137B" w:rsidRPr="0031791B">
              <w:rPr>
                <w:color w:val="000000" w:themeColor="text1"/>
              </w:rPr>
              <w:t>gada</w:t>
            </w:r>
            <w:r w:rsidR="00F97808">
              <w:rPr>
                <w:color w:val="000000" w:themeColor="text1"/>
              </w:rPr>
              <w:t xml:space="preserve"> 19</w:t>
            </w:r>
            <w:r w:rsidR="0031791B" w:rsidRPr="0031791B">
              <w:rPr>
                <w:color w:val="000000" w:themeColor="text1"/>
              </w:rPr>
              <w:t>. augustā.</w:t>
            </w:r>
          </w:p>
        </w:tc>
      </w:tr>
      <w:tr w:rsidR="00503509" w:rsidRPr="00A844B6" w14:paraId="208AEFEE" w14:textId="77777777" w:rsidTr="00BF2D02">
        <w:trPr>
          <w:cantSplit/>
        </w:trPr>
        <w:tc>
          <w:tcPr>
            <w:tcW w:w="311" w:type="pct"/>
            <w:hideMark/>
          </w:tcPr>
          <w:p w14:paraId="48E57EAA" w14:textId="77777777" w:rsidR="00503509" w:rsidRPr="00A844B6" w:rsidRDefault="00503509" w:rsidP="00F7543D">
            <w:pPr>
              <w:jc w:val="center"/>
            </w:pPr>
            <w:r w:rsidRPr="00A844B6">
              <w:t>3.</w:t>
            </w:r>
          </w:p>
        </w:tc>
        <w:tc>
          <w:tcPr>
            <w:tcW w:w="1479" w:type="pct"/>
            <w:hideMark/>
          </w:tcPr>
          <w:p w14:paraId="27391FD1" w14:textId="77777777" w:rsidR="00503509" w:rsidRPr="00A844B6" w:rsidRDefault="00503509" w:rsidP="00F7543D">
            <w:pPr>
              <w:jc w:val="both"/>
            </w:pPr>
            <w:r w:rsidRPr="00A844B6">
              <w:t>Sabiedrības līdzdalības rezultāti</w:t>
            </w:r>
          </w:p>
        </w:tc>
        <w:tc>
          <w:tcPr>
            <w:tcW w:w="3210" w:type="pct"/>
            <w:hideMark/>
          </w:tcPr>
          <w:p w14:paraId="3BF82F84" w14:textId="00AF0E87" w:rsidR="003F0EDD" w:rsidRDefault="003F0EDD" w:rsidP="00F7543D">
            <w:pPr>
              <w:jc w:val="both"/>
              <w:rPr>
                <w:color w:val="000000" w:themeColor="text1"/>
              </w:rPr>
            </w:pPr>
            <w:r w:rsidRPr="003F0EDD">
              <w:rPr>
                <w:color w:val="000000" w:themeColor="text1"/>
              </w:rPr>
              <w:t xml:space="preserve">Ņemti vērā </w:t>
            </w:r>
            <w:r w:rsidR="006D137B">
              <w:rPr>
                <w:color w:val="000000" w:themeColor="text1"/>
              </w:rPr>
              <w:t xml:space="preserve">konsultāciju laikā izteiktie </w:t>
            </w:r>
            <w:r w:rsidRPr="003F0EDD">
              <w:rPr>
                <w:color w:val="000000" w:themeColor="text1"/>
              </w:rPr>
              <w:t>ierosinājumi par konkrētu tabulu papildinājumiem ar nepieciešami</w:t>
            </w:r>
            <w:r w:rsidR="00A71F0F">
              <w:rPr>
                <w:color w:val="000000" w:themeColor="text1"/>
              </w:rPr>
              <w:t>em rādītājiem un to nosaukumiem, piemēram, paplašināts</w:t>
            </w:r>
            <w:r w:rsidR="006D137B">
              <w:rPr>
                <w:color w:val="000000" w:themeColor="text1"/>
              </w:rPr>
              <w:t xml:space="preserve"> noteikumu projekta</w:t>
            </w:r>
            <w:r w:rsidR="00A71F0F">
              <w:rPr>
                <w:color w:val="000000" w:themeColor="text1"/>
              </w:rPr>
              <w:t xml:space="preserve"> 3. pielikumā </w:t>
            </w:r>
            <w:r w:rsidR="006D137B">
              <w:rPr>
                <w:color w:val="000000" w:themeColor="text1"/>
              </w:rPr>
              <w:t xml:space="preserve">ietvertais </w:t>
            </w:r>
            <w:r w:rsidR="00A71F0F">
              <w:rPr>
                <w:color w:val="000000" w:themeColor="text1"/>
              </w:rPr>
              <w:t>interešu izglītības programmu klasifikators</w:t>
            </w:r>
            <w:r w:rsidR="00BA6E29">
              <w:rPr>
                <w:color w:val="000000" w:themeColor="text1"/>
              </w:rPr>
              <w:t xml:space="preserve"> salīdzinājumā ar noteikumu Nr. 486 3. </w:t>
            </w:r>
            <w:r w:rsidR="006D137B">
              <w:rPr>
                <w:color w:val="000000" w:themeColor="text1"/>
              </w:rPr>
              <w:t>pielikumā ietverto.</w:t>
            </w:r>
          </w:p>
          <w:p w14:paraId="55866985" w14:textId="5DAB7A0D" w:rsidR="006D137B" w:rsidRPr="00A71F0F" w:rsidRDefault="006D137B" w:rsidP="00F7543D">
            <w:pPr>
              <w:jc w:val="both"/>
              <w:rPr>
                <w:color w:val="000000" w:themeColor="text1"/>
              </w:rPr>
            </w:pPr>
            <w:r>
              <w:rPr>
                <w:color w:val="000000" w:themeColor="text1"/>
              </w:rPr>
              <w:t>Šīs sadaļas 1. punktā minētie sabiedrības pārstāvji kopumā atbalsta noteikumu projekta tālāku virzību.</w:t>
            </w:r>
          </w:p>
        </w:tc>
      </w:tr>
      <w:tr w:rsidR="00503509" w:rsidRPr="00A844B6" w14:paraId="056A2503" w14:textId="77777777" w:rsidTr="00BF2D02">
        <w:trPr>
          <w:cantSplit/>
        </w:trPr>
        <w:tc>
          <w:tcPr>
            <w:tcW w:w="311" w:type="pct"/>
            <w:hideMark/>
          </w:tcPr>
          <w:p w14:paraId="0D23446C" w14:textId="55C1CD17" w:rsidR="00503509" w:rsidRPr="00A844B6" w:rsidRDefault="00503509" w:rsidP="00F7543D">
            <w:pPr>
              <w:jc w:val="center"/>
            </w:pPr>
            <w:r w:rsidRPr="00A844B6">
              <w:t>4.</w:t>
            </w:r>
          </w:p>
        </w:tc>
        <w:tc>
          <w:tcPr>
            <w:tcW w:w="1479" w:type="pct"/>
            <w:hideMark/>
          </w:tcPr>
          <w:p w14:paraId="1D04973D" w14:textId="77777777" w:rsidR="00503509" w:rsidRPr="00A844B6" w:rsidRDefault="00503509" w:rsidP="00F7543D">
            <w:r w:rsidRPr="00A844B6">
              <w:t>Cita informācija</w:t>
            </w:r>
          </w:p>
        </w:tc>
        <w:tc>
          <w:tcPr>
            <w:tcW w:w="3210" w:type="pct"/>
            <w:hideMark/>
          </w:tcPr>
          <w:p w14:paraId="542AB4E2" w14:textId="0867C545" w:rsidR="00503509" w:rsidRPr="00A553E5" w:rsidRDefault="003F3195" w:rsidP="00F7543D">
            <w:pPr>
              <w:rPr>
                <w:color w:val="FF0000"/>
              </w:rPr>
            </w:pPr>
            <w:r w:rsidRPr="003F0EDD">
              <w:rPr>
                <w:color w:val="000000" w:themeColor="text1"/>
              </w:rPr>
              <w:t>Nav.</w:t>
            </w:r>
          </w:p>
        </w:tc>
      </w:tr>
    </w:tbl>
    <w:p w14:paraId="1A2B719E" w14:textId="77777777" w:rsidR="00232D59" w:rsidRPr="00A844B6" w:rsidRDefault="00232D59" w:rsidP="00F7543D">
      <w:pPr>
        <w:pStyle w:val="Title"/>
        <w:spacing w:before="130"/>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503509" w:rsidRPr="00A844B6" w14:paraId="39C8F7D8" w14:textId="77777777" w:rsidTr="00BF2D02">
        <w:trPr>
          <w:cantSplit/>
        </w:trPr>
        <w:tc>
          <w:tcPr>
            <w:tcW w:w="5000" w:type="pct"/>
            <w:gridSpan w:val="3"/>
            <w:vAlign w:val="center"/>
            <w:hideMark/>
          </w:tcPr>
          <w:p w14:paraId="19DC76DF" w14:textId="77777777" w:rsidR="00503509" w:rsidRPr="00A844B6" w:rsidRDefault="00503509" w:rsidP="00F7543D">
            <w:pPr>
              <w:jc w:val="center"/>
              <w:rPr>
                <w:b/>
                <w:bCs/>
              </w:rPr>
            </w:pPr>
            <w:r w:rsidRPr="00A844B6">
              <w:rPr>
                <w:b/>
                <w:bCs/>
              </w:rPr>
              <w:t>VII. Tiesību akta projekta izpildes nodrošināšana un tās ietekme uz institūcijām</w:t>
            </w:r>
          </w:p>
        </w:tc>
      </w:tr>
      <w:tr w:rsidR="00503509" w:rsidRPr="00A844B6" w14:paraId="26D6A27B" w14:textId="77777777" w:rsidTr="00BF2D02">
        <w:trPr>
          <w:cantSplit/>
        </w:trPr>
        <w:tc>
          <w:tcPr>
            <w:tcW w:w="311" w:type="pct"/>
            <w:hideMark/>
          </w:tcPr>
          <w:p w14:paraId="6DD8E119" w14:textId="77777777" w:rsidR="00503509" w:rsidRPr="00A844B6" w:rsidRDefault="00503509" w:rsidP="00F7543D">
            <w:pPr>
              <w:jc w:val="both"/>
            </w:pPr>
            <w:r w:rsidRPr="00A844B6">
              <w:t>1.</w:t>
            </w:r>
          </w:p>
        </w:tc>
        <w:tc>
          <w:tcPr>
            <w:tcW w:w="1479" w:type="pct"/>
            <w:hideMark/>
          </w:tcPr>
          <w:p w14:paraId="34406ECC" w14:textId="77777777" w:rsidR="00503509" w:rsidRPr="00A844B6" w:rsidRDefault="00503509" w:rsidP="00F7543D">
            <w:pPr>
              <w:jc w:val="both"/>
            </w:pPr>
            <w:r w:rsidRPr="00A844B6">
              <w:t>Projekta izpildē iesaistītās institūcijas</w:t>
            </w:r>
          </w:p>
        </w:tc>
        <w:tc>
          <w:tcPr>
            <w:tcW w:w="3210" w:type="pct"/>
            <w:hideMark/>
          </w:tcPr>
          <w:p w14:paraId="26E7658C" w14:textId="77777777" w:rsidR="00503509" w:rsidRDefault="003C5DF4" w:rsidP="00F7543D">
            <w:pPr>
              <w:jc w:val="both"/>
              <w:rPr>
                <w:color w:val="000000" w:themeColor="text1"/>
              </w:rPr>
            </w:pPr>
            <w:r>
              <w:rPr>
                <w:color w:val="000000" w:themeColor="text1"/>
              </w:rPr>
              <w:t>Izglītības un zinātnes ministrija;</w:t>
            </w:r>
          </w:p>
          <w:p w14:paraId="39AC6CCC" w14:textId="19EB0DAB" w:rsidR="00B00883" w:rsidRPr="003C5DF4" w:rsidRDefault="00033F5C" w:rsidP="00F7543D">
            <w:pPr>
              <w:jc w:val="both"/>
              <w:rPr>
                <w:color w:val="000000" w:themeColor="text1"/>
              </w:rPr>
            </w:pPr>
            <w:r w:rsidRPr="00033F5C">
              <w:rPr>
                <w:color w:val="000000" w:themeColor="text1"/>
              </w:rPr>
              <w:t xml:space="preserve">Izglītības iestādes, kuras īsteno vispārējās izglītības programmas, interešu izglītības programmas (izņemot augstākās izglītības iestādes) un profesionālās ievirzes izglītības programmas sportā, </w:t>
            </w:r>
            <w:r w:rsidR="00DF4400">
              <w:rPr>
                <w:color w:val="000000" w:themeColor="text1"/>
              </w:rPr>
              <w:t>to dibinātāji</w:t>
            </w:r>
            <w:r w:rsidR="00BA3267">
              <w:rPr>
                <w:color w:val="000000" w:themeColor="text1"/>
              </w:rPr>
              <w:t>.</w:t>
            </w:r>
          </w:p>
        </w:tc>
      </w:tr>
      <w:tr w:rsidR="00503509" w:rsidRPr="00A844B6" w14:paraId="0F28C727" w14:textId="77777777" w:rsidTr="00BF2D02">
        <w:trPr>
          <w:cantSplit/>
        </w:trPr>
        <w:tc>
          <w:tcPr>
            <w:tcW w:w="311" w:type="pct"/>
            <w:hideMark/>
          </w:tcPr>
          <w:p w14:paraId="13241065" w14:textId="6F9BB452" w:rsidR="00503509" w:rsidRPr="00A844B6" w:rsidRDefault="00503509" w:rsidP="00F7543D">
            <w:pPr>
              <w:jc w:val="both"/>
            </w:pPr>
            <w:r w:rsidRPr="00A844B6">
              <w:t>2.</w:t>
            </w:r>
          </w:p>
        </w:tc>
        <w:tc>
          <w:tcPr>
            <w:tcW w:w="1479" w:type="pct"/>
            <w:hideMark/>
          </w:tcPr>
          <w:p w14:paraId="69959FA5" w14:textId="77777777" w:rsidR="00503509" w:rsidRPr="00A844B6" w:rsidRDefault="00503509" w:rsidP="00F7543D">
            <w:pPr>
              <w:jc w:val="both"/>
            </w:pPr>
            <w:r w:rsidRPr="00A844B6">
              <w:t>Projekta izpildes ietekme uz pārvaldes funkcijām un institucionālo struktūru.</w:t>
            </w:r>
            <w:r w:rsidRPr="00A844B6">
              <w:br/>
              <w:t>Jaunu institūciju izveide, esošu institūciju likvidācija vai reorganizācija, to ietekme uz institūcijas cilvēkresursiem</w:t>
            </w:r>
          </w:p>
        </w:tc>
        <w:tc>
          <w:tcPr>
            <w:tcW w:w="3210" w:type="pct"/>
            <w:hideMark/>
          </w:tcPr>
          <w:p w14:paraId="2C1A7C8C" w14:textId="12EAF2FE" w:rsidR="00503509" w:rsidRPr="00A553E5" w:rsidRDefault="006D137B" w:rsidP="00F7543D">
            <w:pPr>
              <w:jc w:val="both"/>
              <w:rPr>
                <w:color w:val="FF0000"/>
              </w:rPr>
            </w:pPr>
            <w:r>
              <w:rPr>
                <w:szCs w:val="28"/>
              </w:rPr>
              <w:t>Noteikumu projekts tiešā veidā neparedz p</w:t>
            </w:r>
            <w:r w:rsidR="00511285" w:rsidRPr="00511285">
              <w:rPr>
                <w:szCs w:val="28"/>
              </w:rPr>
              <w:t xml:space="preserve">ārvaldes </w:t>
            </w:r>
            <w:r w:rsidRPr="00511285">
              <w:rPr>
                <w:szCs w:val="28"/>
              </w:rPr>
              <w:t>funkcij</w:t>
            </w:r>
            <w:r>
              <w:rPr>
                <w:szCs w:val="28"/>
              </w:rPr>
              <w:t>u</w:t>
            </w:r>
            <w:r w:rsidRPr="00511285">
              <w:rPr>
                <w:szCs w:val="28"/>
              </w:rPr>
              <w:t xml:space="preserve"> </w:t>
            </w:r>
            <w:r w:rsidR="00511285" w:rsidRPr="00511285">
              <w:rPr>
                <w:szCs w:val="28"/>
              </w:rPr>
              <w:t xml:space="preserve">un </w:t>
            </w:r>
            <w:r w:rsidRPr="00511285">
              <w:rPr>
                <w:szCs w:val="28"/>
              </w:rPr>
              <w:t>uzdevum</w:t>
            </w:r>
            <w:r>
              <w:rPr>
                <w:szCs w:val="28"/>
              </w:rPr>
              <w:t>u</w:t>
            </w:r>
            <w:r w:rsidRPr="00511285">
              <w:rPr>
                <w:szCs w:val="28"/>
              </w:rPr>
              <w:t xml:space="preserve"> grozī</w:t>
            </w:r>
            <w:r>
              <w:rPr>
                <w:szCs w:val="28"/>
              </w:rPr>
              <w:t>šanu</w:t>
            </w:r>
            <w:r w:rsidR="00511285" w:rsidRPr="00511285">
              <w:rPr>
                <w:szCs w:val="28"/>
              </w:rPr>
              <w:t>, institucionālā</w:t>
            </w:r>
            <w:r>
              <w:rPr>
                <w:szCs w:val="28"/>
              </w:rPr>
              <w:t>s</w:t>
            </w:r>
            <w:r w:rsidR="00511285" w:rsidRPr="00511285">
              <w:rPr>
                <w:szCs w:val="28"/>
              </w:rPr>
              <w:t xml:space="preserve"> struktūra</w:t>
            </w:r>
            <w:r>
              <w:rPr>
                <w:szCs w:val="28"/>
              </w:rPr>
              <w:t>s</w:t>
            </w:r>
            <w:r w:rsidR="00511285" w:rsidRPr="00511285">
              <w:rPr>
                <w:szCs w:val="28"/>
              </w:rPr>
              <w:t xml:space="preserve"> </w:t>
            </w:r>
            <w:r w:rsidRPr="00511285">
              <w:rPr>
                <w:szCs w:val="28"/>
              </w:rPr>
              <w:t>mai</w:t>
            </w:r>
            <w:r>
              <w:rPr>
                <w:szCs w:val="28"/>
              </w:rPr>
              <w:t>ņu,</w:t>
            </w:r>
            <w:r w:rsidR="00511285" w:rsidRPr="00511285">
              <w:rPr>
                <w:szCs w:val="28"/>
              </w:rPr>
              <w:t xml:space="preserve"> </w:t>
            </w:r>
            <w:r>
              <w:rPr>
                <w:szCs w:val="28"/>
              </w:rPr>
              <w:t>j</w:t>
            </w:r>
            <w:r w:rsidRPr="00511285">
              <w:rPr>
                <w:szCs w:val="28"/>
              </w:rPr>
              <w:t>aun</w:t>
            </w:r>
            <w:r>
              <w:rPr>
                <w:szCs w:val="28"/>
              </w:rPr>
              <w:t>u</w:t>
            </w:r>
            <w:r w:rsidRPr="00511285">
              <w:rPr>
                <w:szCs w:val="28"/>
              </w:rPr>
              <w:t xml:space="preserve"> institūcij</w:t>
            </w:r>
            <w:r>
              <w:rPr>
                <w:szCs w:val="28"/>
              </w:rPr>
              <w:t>u</w:t>
            </w:r>
            <w:r w:rsidRPr="00511285">
              <w:rPr>
                <w:szCs w:val="28"/>
              </w:rPr>
              <w:t xml:space="preserve"> izveido</w:t>
            </w:r>
            <w:r>
              <w:rPr>
                <w:szCs w:val="28"/>
              </w:rPr>
              <w:t>šanu un</w:t>
            </w:r>
            <w:r w:rsidRPr="00511285">
              <w:rPr>
                <w:szCs w:val="28"/>
              </w:rPr>
              <w:t xml:space="preserve"> </w:t>
            </w:r>
            <w:r>
              <w:rPr>
                <w:szCs w:val="28"/>
              </w:rPr>
              <w:t>e</w:t>
            </w:r>
            <w:r w:rsidR="00511285" w:rsidRPr="00511285">
              <w:rPr>
                <w:szCs w:val="28"/>
              </w:rPr>
              <w:t>soš</w:t>
            </w:r>
            <w:r>
              <w:rPr>
                <w:szCs w:val="28"/>
              </w:rPr>
              <w:t>o</w:t>
            </w:r>
            <w:r w:rsidR="00511285" w:rsidRPr="00511285">
              <w:rPr>
                <w:szCs w:val="28"/>
              </w:rPr>
              <w:t xml:space="preserve"> </w:t>
            </w:r>
            <w:r w:rsidRPr="00511285">
              <w:rPr>
                <w:szCs w:val="28"/>
              </w:rPr>
              <w:t>institūcij</w:t>
            </w:r>
            <w:r>
              <w:rPr>
                <w:szCs w:val="28"/>
              </w:rPr>
              <w:t>u</w:t>
            </w:r>
            <w:r w:rsidRPr="00511285">
              <w:rPr>
                <w:szCs w:val="28"/>
              </w:rPr>
              <w:t xml:space="preserve"> likvid</w:t>
            </w:r>
            <w:r>
              <w:rPr>
                <w:szCs w:val="28"/>
              </w:rPr>
              <w:t>āciju</w:t>
            </w:r>
            <w:r w:rsidRPr="00511285">
              <w:rPr>
                <w:szCs w:val="28"/>
              </w:rPr>
              <w:t xml:space="preserve"> </w:t>
            </w:r>
            <w:r w:rsidR="00511285" w:rsidRPr="00511285">
              <w:rPr>
                <w:szCs w:val="28"/>
              </w:rPr>
              <w:t xml:space="preserve">vai </w:t>
            </w:r>
            <w:r w:rsidRPr="00511285">
              <w:rPr>
                <w:szCs w:val="28"/>
              </w:rPr>
              <w:t>reorganiz</w:t>
            </w:r>
            <w:r>
              <w:rPr>
                <w:szCs w:val="28"/>
              </w:rPr>
              <w:t>āciju</w:t>
            </w:r>
            <w:r w:rsidR="00511285" w:rsidRPr="00511285">
              <w:rPr>
                <w:szCs w:val="28"/>
              </w:rPr>
              <w:t>.</w:t>
            </w:r>
          </w:p>
        </w:tc>
      </w:tr>
      <w:tr w:rsidR="00503509" w:rsidRPr="00A844B6" w14:paraId="56BCE502" w14:textId="77777777" w:rsidTr="00BF2D02">
        <w:trPr>
          <w:cantSplit/>
        </w:trPr>
        <w:tc>
          <w:tcPr>
            <w:tcW w:w="311" w:type="pct"/>
            <w:hideMark/>
          </w:tcPr>
          <w:p w14:paraId="2A6CD0CD" w14:textId="77777777" w:rsidR="00503509" w:rsidRPr="00A844B6" w:rsidRDefault="00503509" w:rsidP="00F7543D">
            <w:pPr>
              <w:jc w:val="center"/>
            </w:pPr>
            <w:r w:rsidRPr="00A844B6">
              <w:t>3.</w:t>
            </w:r>
          </w:p>
        </w:tc>
        <w:tc>
          <w:tcPr>
            <w:tcW w:w="1479" w:type="pct"/>
            <w:hideMark/>
          </w:tcPr>
          <w:p w14:paraId="2B9313B4" w14:textId="77777777" w:rsidR="00503509" w:rsidRPr="00511285" w:rsidRDefault="00503509" w:rsidP="00F7543D">
            <w:pPr>
              <w:rPr>
                <w:color w:val="000000" w:themeColor="text1"/>
              </w:rPr>
            </w:pPr>
            <w:r w:rsidRPr="00511285">
              <w:rPr>
                <w:color w:val="000000" w:themeColor="text1"/>
              </w:rPr>
              <w:t>Cita informācija</w:t>
            </w:r>
          </w:p>
        </w:tc>
        <w:tc>
          <w:tcPr>
            <w:tcW w:w="3210" w:type="pct"/>
            <w:hideMark/>
          </w:tcPr>
          <w:p w14:paraId="4467A1F4" w14:textId="77777777" w:rsidR="00503509" w:rsidRPr="00511285" w:rsidRDefault="00511285" w:rsidP="00F7543D">
            <w:pPr>
              <w:rPr>
                <w:color w:val="000000" w:themeColor="text1"/>
              </w:rPr>
            </w:pPr>
            <w:r w:rsidRPr="00511285">
              <w:rPr>
                <w:color w:val="000000" w:themeColor="text1"/>
              </w:rPr>
              <w:t>Nav.</w:t>
            </w:r>
          </w:p>
        </w:tc>
      </w:tr>
    </w:tbl>
    <w:p w14:paraId="27AA4FA0" w14:textId="77777777" w:rsidR="00503509" w:rsidRPr="00A844B6" w:rsidRDefault="00503509" w:rsidP="00F7543D"/>
    <w:p w14:paraId="4BBD750E" w14:textId="77777777" w:rsidR="00090A71" w:rsidRDefault="00090A71" w:rsidP="00F7543D"/>
    <w:p w14:paraId="3E408250" w14:textId="77777777" w:rsidR="00DD3FA2" w:rsidRPr="00936457" w:rsidRDefault="00DD3FA2" w:rsidP="00F7543D">
      <w:pPr>
        <w:rPr>
          <w:sz w:val="26"/>
          <w:szCs w:val="28"/>
        </w:rPr>
      </w:pPr>
      <w:r w:rsidRPr="00936457">
        <w:rPr>
          <w:sz w:val="26"/>
          <w:szCs w:val="28"/>
        </w:rPr>
        <w:t>Iesniedzējs:</w:t>
      </w:r>
    </w:p>
    <w:p w14:paraId="4BD403F0" w14:textId="77777777" w:rsidR="00DD3FA2" w:rsidRPr="00936457" w:rsidRDefault="00DD3FA2" w:rsidP="00F7543D">
      <w:pPr>
        <w:rPr>
          <w:sz w:val="26"/>
          <w:szCs w:val="28"/>
        </w:rPr>
      </w:pPr>
    </w:p>
    <w:p w14:paraId="1FA7F5F7" w14:textId="22D5C23B" w:rsidR="00DD3FA2" w:rsidRPr="00936457" w:rsidRDefault="00DD3FA2" w:rsidP="00F7543D">
      <w:pPr>
        <w:tabs>
          <w:tab w:val="left" w:pos="7230"/>
        </w:tabs>
        <w:rPr>
          <w:sz w:val="26"/>
          <w:szCs w:val="28"/>
        </w:rPr>
      </w:pPr>
      <w:r w:rsidRPr="00936457">
        <w:rPr>
          <w:sz w:val="26"/>
          <w:szCs w:val="28"/>
        </w:rPr>
        <w:t>Izglītības un zinātnes ministre</w:t>
      </w:r>
      <w:r w:rsidR="009935CD">
        <w:rPr>
          <w:sz w:val="26"/>
          <w:szCs w:val="28"/>
        </w:rPr>
        <w:tab/>
      </w:r>
      <w:r w:rsidRPr="00936457">
        <w:rPr>
          <w:sz w:val="26"/>
          <w:szCs w:val="28"/>
        </w:rPr>
        <w:t>I.</w:t>
      </w:r>
      <w:r w:rsidR="00371D4F">
        <w:rPr>
          <w:sz w:val="26"/>
          <w:szCs w:val="28"/>
        </w:rPr>
        <w:t> </w:t>
      </w:r>
      <w:proofErr w:type="spellStart"/>
      <w:r w:rsidRPr="00936457">
        <w:rPr>
          <w:sz w:val="26"/>
          <w:szCs w:val="28"/>
        </w:rPr>
        <w:t>Šuplinska</w:t>
      </w:r>
      <w:proofErr w:type="spellEnd"/>
    </w:p>
    <w:p w14:paraId="0993CE2A" w14:textId="77777777" w:rsidR="00DD3FA2" w:rsidRPr="00936457" w:rsidRDefault="00DD3FA2" w:rsidP="00F7543D">
      <w:pPr>
        <w:rPr>
          <w:sz w:val="26"/>
          <w:szCs w:val="28"/>
        </w:rPr>
      </w:pPr>
    </w:p>
    <w:p w14:paraId="0658D50A" w14:textId="77777777" w:rsidR="00DD3FA2" w:rsidRPr="00936457" w:rsidRDefault="00DD3FA2" w:rsidP="00F7543D">
      <w:pPr>
        <w:rPr>
          <w:sz w:val="26"/>
          <w:szCs w:val="28"/>
        </w:rPr>
      </w:pPr>
      <w:r w:rsidRPr="00936457">
        <w:rPr>
          <w:sz w:val="26"/>
          <w:szCs w:val="28"/>
        </w:rPr>
        <w:t>Vizē:</w:t>
      </w:r>
    </w:p>
    <w:p w14:paraId="18F18174" w14:textId="77777777" w:rsidR="00DD3FA2" w:rsidRPr="00936457" w:rsidRDefault="00DD3FA2" w:rsidP="00F7543D">
      <w:pPr>
        <w:rPr>
          <w:sz w:val="26"/>
          <w:szCs w:val="28"/>
        </w:rPr>
      </w:pPr>
    </w:p>
    <w:p w14:paraId="0400080D" w14:textId="7D8912C5" w:rsidR="00DD3FA2" w:rsidRPr="00936457" w:rsidRDefault="009935CD" w:rsidP="00F7543D">
      <w:pPr>
        <w:tabs>
          <w:tab w:val="left" w:pos="7230"/>
        </w:tabs>
        <w:rPr>
          <w:sz w:val="26"/>
          <w:szCs w:val="28"/>
        </w:rPr>
      </w:pPr>
      <w:r>
        <w:rPr>
          <w:sz w:val="26"/>
          <w:szCs w:val="28"/>
        </w:rPr>
        <w:t>Valsts sekretāre</w:t>
      </w:r>
      <w:r>
        <w:rPr>
          <w:sz w:val="26"/>
          <w:szCs w:val="28"/>
        </w:rPr>
        <w:tab/>
      </w:r>
      <w:r w:rsidR="00DD3FA2" w:rsidRPr="00936457">
        <w:rPr>
          <w:sz w:val="26"/>
          <w:szCs w:val="28"/>
        </w:rPr>
        <w:t>L</w:t>
      </w:r>
      <w:r w:rsidR="00DD3FA2">
        <w:rPr>
          <w:sz w:val="26"/>
          <w:szCs w:val="28"/>
        </w:rPr>
        <w:t>.</w:t>
      </w:r>
      <w:r w:rsidR="00371D4F">
        <w:rPr>
          <w:sz w:val="26"/>
          <w:szCs w:val="28"/>
        </w:rPr>
        <w:t> </w:t>
      </w:r>
      <w:r w:rsidR="00DD3FA2" w:rsidRPr="00936457">
        <w:rPr>
          <w:sz w:val="26"/>
          <w:szCs w:val="28"/>
        </w:rPr>
        <w:t>Lejiņa</w:t>
      </w:r>
    </w:p>
    <w:p w14:paraId="10418416" w14:textId="77777777" w:rsidR="00DD3FA2" w:rsidRPr="00936457" w:rsidRDefault="00DD3FA2" w:rsidP="00F7543D">
      <w:pPr>
        <w:rPr>
          <w:sz w:val="26"/>
          <w:szCs w:val="28"/>
        </w:rPr>
      </w:pPr>
    </w:p>
    <w:p w14:paraId="3C74FDA9" w14:textId="77777777" w:rsidR="00DD3FA2" w:rsidRDefault="00DD3FA2" w:rsidP="00F7543D">
      <w:pPr>
        <w:rPr>
          <w:sz w:val="28"/>
          <w:szCs w:val="28"/>
        </w:rPr>
      </w:pPr>
    </w:p>
    <w:p w14:paraId="6F3402AD" w14:textId="77777777" w:rsidR="00DD3FA2" w:rsidRDefault="00DD3FA2" w:rsidP="00F7543D"/>
    <w:p w14:paraId="39578F39" w14:textId="77777777" w:rsidR="00DD3FA2" w:rsidRPr="006715F3" w:rsidRDefault="00DD3FA2" w:rsidP="00F7543D">
      <w:r>
        <w:t>Grava</w:t>
      </w:r>
      <w:r w:rsidRPr="006715F3">
        <w:t xml:space="preserve"> 67047</w:t>
      </w:r>
      <w:r>
        <w:t>972</w:t>
      </w:r>
    </w:p>
    <w:p w14:paraId="6F1E5898" w14:textId="77777777" w:rsidR="00DD3FA2" w:rsidRPr="006715F3" w:rsidRDefault="00AF3CC8" w:rsidP="00F7543D">
      <w:hyperlink r:id="rId8" w:history="1">
        <w:r w:rsidR="00DD3FA2" w:rsidRPr="00E63887">
          <w:rPr>
            <w:rStyle w:val="Hyperlink"/>
          </w:rPr>
          <w:t>ieva.grava@izm.gov.lv</w:t>
        </w:r>
      </w:hyperlink>
      <w:r w:rsidR="00DD3FA2" w:rsidRPr="006715F3">
        <w:t>;</w:t>
      </w:r>
    </w:p>
    <w:p w14:paraId="7A39A5B8" w14:textId="77777777" w:rsidR="00DD3FA2" w:rsidRPr="006715F3" w:rsidRDefault="00DD3FA2" w:rsidP="00F7543D">
      <w:r>
        <w:t>Ervalde</w:t>
      </w:r>
      <w:r w:rsidRPr="006715F3">
        <w:t xml:space="preserve"> 6</w:t>
      </w:r>
      <w:r>
        <w:t>5804933</w:t>
      </w:r>
    </w:p>
    <w:p w14:paraId="1CBAB440" w14:textId="56CCEFC3" w:rsidR="005F3C26" w:rsidRDefault="00AF3CC8" w:rsidP="00F7543D">
      <w:hyperlink r:id="rId9" w:history="1">
        <w:r w:rsidR="00871B0B" w:rsidRPr="00243E16">
          <w:rPr>
            <w:rStyle w:val="Hyperlink"/>
          </w:rPr>
          <w:t>ieva.ervalde@izm.gov.lv</w:t>
        </w:r>
      </w:hyperlink>
    </w:p>
    <w:sectPr w:rsidR="005F3C26" w:rsidSect="006D137B">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DEA1C" w16cid:durableId="20FAC6F4"/>
  <w16cid:commentId w16cid:paraId="5FA4CD82" w16cid:durableId="20FAC734"/>
  <w16cid:commentId w16cid:paraId="23584868" w16cid:durableId="20FAD1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E86E1" w14:textId="77777777" w:rsidR="00AF3CC8" w:rsidRDefault="00AF3CC8" w:rsidP="00DD3FA2">
      <w:r>
        <w:separator/>
      </w:r>
    </w:p>
  </w:endnote>
  <w:endnote w:type="continuationSeparator" w:id="0">
    <w:p w14:paraId="05E30DE5" w14:textId="77777777" w:rsidR="00AF3CC8" w:rsidRDefault="00AF3CC8" w:rsidP="00DD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CC241" w14:textId="77777777" w:rsidR="002B1C22" w:rsidRDefault="002B1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387D3" w14:textId="48DDA3CE" w:rsidR="00DD3FA2" w:rsidRPr="002B1C22" w:rsidRDefault="002B1C22" w:rsidP="002B1C22">
    <w:pPr>
      <w:pStyle w:val="Footer"/>
    </w:pPr>
    <w:r w:rsidRPr="002B1C22">
      <w:t>IZMAnot_190819_vei</w:t>
    </w:r>
    <w:bookmarkStart w:id="0" w:name="_GoBack"/>
    <w:bookmarkEnd w:id="0"/>
    <w:r w:rsidRPr="002B1C22">
      <w:t>dl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755E0" w14:textId="283900B6" w:rsidR="00FD7632" w:rsidRPr="002B1C22" w:rsidRDefault="002B1C22" w:rsidP="002B1C22">
    <w:pPr>
      <w:pStyle w:val="Footer"/>
    </w:pPr>
    <w:r w:rsidRPr="002B1C22">
      <w:t>IZMAnot_190819_veidl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8D45D" w14:textId="77777777" w:rsidR="00AF3CC8" w:rsidRDefault="00AF3CC8" w:rsidP="00DD3FA2">
      <w:r>
        <w:separator/>
      </w:r>
    </w:p>
  </w:footnote>
  <w:footnote w:type="continuationSeparator" w:id="0">
    <w:p w14:paraId="3F5711E0" w14:textId="77777777" w:rsidR="00AF3CC8" w:rsidRDefault="00AF3CC8" w:rsidP="00DD3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E381C" w14:textId="77777777" w:rsidR="002B1C22" w:rsidRDefault="002B1C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085701"/>
      <w:docPartObj>
        <w:docPartGallery w:val="Page Numbers (Top of Page)"/>
        <w:docPartUnique/>
      </w:docPartObj>
    </w:sdtPr>
    <w:sdtEndPr>
      <w:rPr>
        <w:noProof/>
      </w:rPr>
    </w:sdtEndPr>
    <w:sdtContent>
      <w:p w14:paraId="64E8934C" w14:textId="2872DD92" w:rsidR="00A85C6F" w:rsidRDefault="00A85C6F">
        <w:pPr>
          <w:pStyle w:val="Header"/>
          <w:jc w:val="center"/>
        </w:pPr>
        <w:r>
          <w:fldChar w:fldCharType="begin"/>
        </w:r>
        <w:r>
          <w:instrText xml:space="preserve"> PAGE   \* MERGEFORMAT </w:instrText>
        </w:r>
        <w:r>
          <w:fldChar w:fldCharType="separate"/>
        </w:r>
        <w:r w:rsidR="002B1C22">
          <w:rPr>
            <w:noProof/>
          </w:rPr>
          <w:t>4</w:t>
        </w:r>
        <w:r>
          <w:rPr>
            <w:noProof/>
          </w:rPr>
          <w:fldChar w:fldCharType="end"/>
        </w:r>
      </w:p>
    </w:sdtContent>
  </w:sdt>
  <w:p w14:paraId="2E559436" w14:textId="77777777" w:rsidR="00A85C6F" w:rsidRDefault="00A85C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00B03" w14:textId="77777777" w:rsidR="002B1C22" w:rsidRDefault="002B1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4B6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4467838"/>
    <w:multiLevelType w:val="hybridMultilevel"/>
    <w:tmpl w:val="E4867DFA"/>
    <w:lvl w:ilvl="0" w:tplc="2EE6B6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520129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A263A6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2C56CC"/>
    <w:multiLevelType w:val="hybridMultilevel"/>
    <w:tmpl w:val="6CC4FB74"/>
    <w:lvl w:ilvl="0" w:tplc="5574A9DE">
      <w:start w:val="1"/>
      <w:numFmt w:val="decimal"/>
      <w:lvlText w:val="%1."/>
      <w:lvlJc w:val="left"/>
      <w:pPr>
        <w:ind w:left="1080" w:hanging="72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AE643F5"/>
    <w:multiLevelType w:val="hybridMultilevel"/>
    <w:tmpl w:val="A0DCC6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626673D"/>
    <w:multiLevelType w:val="hybridMultilevel"/>
    <w:tmpl w:val="5BA2DD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9D659C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7"/>
  </w:num>
  <w:num w:numId="3">
    <w:abstractNumId w:val="3"/>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09"/>
    <w:rsid w:val="0000034C"/>
    <w:rsid w:val="0002227A"/>
    <w:rsid w:val="00033F5C"/>
    <w:rsid w:val="00044761"/>
    <w:rsid w:val="00090A71"/>
    <w:rsid w:val="000943E7"/>
    <w:rsid w:val="000B4547"/>
    <w:rsid w:val="000C2026"/>
    <w:rsid w:val="000D1D50"/>
    <w:rsid w:val="000E7877"/>
    <w:rsid w:val="000F15B3"/>
    <w:rsid w:val="001030C7"/>
    <w:rsid w:val="00105A50"/>
    <w:rsid w:val="0013611C"/>
    <w:rsid w:val="00157A3F"/>
    <w:rsid w:val="00160150"/>
    <w:rsid w:val="0019232F"/>
    <w:rsid w:val="001E0FBB"/>
    <w:rsid w:val="001F3C8A"/>
    <w:rsid w:val="00203C46"/>
    <w:rsid w:val="00205705"/>
    <w:rsid w:val="00213FAF"/>
    <w:rsid w:val="00232D59"/>
    <w:rsid w:val="002470AC"/>
    <w:rsid w:val="00253447"/>
    <w:rsid w:val="00262375"/>
    <w:rsid w:val="00287898"/>
    <w:rsid w:val="00294137"/>
    <w:rsid w:val="002A5DAA"/>
    <w:rsid w:val="002A73BA"/>
    <w:rsid w:val="002B1C22"/>
    <w:rsid w:val="002B2239"/>
    <w:rsid w:val="002D3457"/>
    <w:rsid w:val="002F3A01"/>
    <w:rsid w:val="00302A7F"/>
    <w:rsid w:val="00307A07"/>
    <w:rsid w:val="0031791B"/>
    <w:rsid w:val="00321700"/>
    <w:rsid w:val="003229D5"/>
    <w:rsid w:val="00333020"/>
    <w:rsid w:val="003516FA"/>
    <w:rsid w:val="00360F06"/>
    <w:rsid w:val="00362D05"/>
    <w:rsid w:val="00371D4F"/>
    <w:rsid w:val="00381CDD"/>
    <w:rsid w:val="003A59A2"/>
    <w:rsid w:val="003B0500"/>
    <w:rsid w:val="003B4A62"/>
    <w:rsid w:val="003C5DF4"/>
    <w:rsid w:val="003E0764"/>
    <w:rsid w:val="003F0EDD"/>
    <w:rsid w:val="003F3195"/>
    <w:rsid w:val="003F7BE2"/>
    <w:rsid w:val="0041013C"/>
    <w:rsid w:val="00420C0C"/>
    <w:rsid w:val="004444E9"/>
    <w:rsid w:val="00444590"/>
    <w:rsid w:val="00456FCB"/>
    <w:rsid w:val="00462650"/>
    <w:rsid w:val="00465F93"/>
    <w:rsid w:val="00467AAD"/>
    <w:rsid w:val="004724B3"/>
    <w:rsid w:val="004B5C6D"/>
    <w:rsid w:val="004B6E56"/>
    <w:rsid w:val="004C28C4"/>
    <w:rsid w:val="004D1FC6"/>
    <w:rsid w:val="00503509"/>
    <w:rsid w:val="00511285"/>
    <w:rsid w:val="00516360"/>
    <w:rsid w:val="005206F5"/>
    <w:rsid w:val="00542ED9"/>
    <w:rsid w:val="005466E9"/>
    <w:rsid w:val="00560192"/>
    <w:rsid w:val="00566C6B"/>
    <w:rsid w:val="00567632"/>
    <w:rsid w:val="00583E5F"/>
    <w:rsid w:val="00593A9B"/>
    <w:rsid w:val="005A52CF"/>
    <w:rsid w:val="005B5211"/>
    <w:rsid w:val="005C2C26"/>
    <w:rsid w:val="005D4C3B"/>
    <w:rsid w:val="005F3C26"/>
    <w:rsid w:val="00617726"/>
    <w:rsid w:val="006273B7"/>
    <w:rsid w:val="00635FF9"/>
    <w:rsid w:val="006522E4"/>
    <w:rsid w:val="006649E0"/>
    <w:rsid w:val="00670B08"/>
    <w:rsid w:val="0068223E"/>
    <w:rsid w:val="006A4C0C"/>
    <w:rsid w:val="006A516B"/>
    <w:rsid w:val="006A5598"/>
    <w:rsid w:val="006C7396"/>
    <w:rsid w:val="006D137B"/>
    <w:rsid w:val="006F0934"/>
    <w:rsid w:val="006F50E2"/>
    <w:rsid w:val="0073754E"/>
    <w:rsid w:val="00742013"/>
    <w:rsid w:val="00745BEB"/>
    <w:rsid w:val="007570CD"/>
    <w:rsid w:val="00767F3B"/>
    <w:rsid w:val="007720EC"/>
    <w:rsid w:val="007B58A1"/>
    <w:rsid w:val="007C5646"/>
    <w:rsid w:val="007E4801"/>
    <w:rsid w:val="007F7C43"/>
    <w:rsid w:val="00804F8C"/>
    <w:rsid w:val="008123FE"/>
    <w:rsid w:val="00824E97"/>
    <w:rsid w:val="008332DB"/>
    <w:rsid w:val="00852412"/>
    <w:rsid w:val="00871B0B"/>
    <w:rsid w:val="00875CE8"/>
    <w:rsid w:val="00876BC9"/>
    <w:rsid w:val="00895029"/>
    <w:rsid w:val="008A0686"/>
    <w:rsid w:val="008A6702"/>
    <w:rsid w:val="008B2550"/>
    <w:rsid w:val="008C60A3"/>
    <w:rsid w:val="008F0A7C"/>
    <w:rsid w:val="00910DE7"/>
    <w:rsid w:val="00954046"/>
    <w:rsid w:val="009639EE"/>
    <w:rsid w:val="0097556A"/>
    <w:rsid w:val="0098639A"/>
    <w:rsid w:val="009935CD"/>
    <w:rsid w:val="009E1719"/>
    <w:rsid w:val="00A20DF6"/>
    <w:rsid w:val="00A22EE1"/>
    <w:rsid w:val="00A34DF0"/>
    <w:rsid w:val="00A553E5"/>
    <w:rsid w:val="00A71F0F"/>
    <w:rsid w:val="00A855EB"/>
    <w:rsid w:val="00A85C6F"/>
    <w:rsid w:val="00A874C4"/>
    <w:rsid w:val="00A97677"/>
    <w:rsid w:val="00AA3AA9"/>
    <w:rsid w:val="00AB03B2"/>
    <w:rsid w:val="00AB5D09"/>
    <w:rsid w:val="00AC63EF"/>
    <w:rsid w:val="00AD2B8A"/>
    <w:rsid w:val="00AF1D8F"/>
    <w:rsid w:val="00AF3CC8"/>
    <w:rsid w:val="00AF71CA"/>
    <w:rsid w:val="00B00883"/>
    <w:rsid w:val="00B31E8D"/>
    <w:rsid w:val="00B337F8"/>
    <w:rsid w:val="00B5217A"/>
    <w:rsid w:val="00B63D48"/>
    <w:rsid w:val="00B70A6E"/>
    <w:rsid w:val="00B73BD1"/>
    <w:rsid w:val="00B85A8E"/>
    <w:rsid w:val="00BA3267"/>
    <w:rsid w:val="00BA6E29"/>
    <w:rsid w:val="00BF30EA"/>
    <w:rsid w:val="00C2430E"/>
    <w:rsid w:val="00C25427"/>
    <w:rsid w:val="00C41F2E"/>
    <w:rsid w:val="00C53EB3"/>
    <w:rsid w:val="00CA0856"/>
    <w:rsid w:val="00CB40A3"/>
    <w:rsid w:val="00CC428F"/>
    <w:rsid w:val="00CF34EA"/>
    <w:rsid w:val="00CF526D"/>
    <w:rsid w:val="00D0722F"/>
    <w:rsid w:val="00D41071"/>
    <w:rsid w:val="00D46E99"/>
    <w:rsid w:val="00D54516"/>
    <w:rsid w:val="00D84933"/>
    <w:rsid w:val="00DA15F6"/>
    <w:rsid w:val="00DD3FA2"/>
    <w:rsid w:val="00DD6604"/>
    <w:rsid w:val="00DE69DC"/>
    <w:rsid w:val="00DF4400"/>
    <w:rsid w:val="00DF5123"/>
    <w:rsid w:val="00E023B6"/>
    <w:rsid w:val="00E10ADB"/>
    <w:rsid w:val="00E32438"/>
    <w:rsid w:val="00E54CF0"/>
    <w:rsid w:val="00E62004"/>
    <w:rsid w:val="00E626D5"/>
    <w:rsid w:val="00E6779B"/>
    <w:rsid w:val="00E70E52"/>
    <w:rsid w:val="00E749B2"/>
    <w:rsid w:val="00EA6CF2"/>
    <w:rsid w:val="00EC1F44"/>
    <w:rsid w:val="00EC40EB"/>
    <w:rsid w:val="00EC491F"/>
    <w:rsid w:val="00ED3280"/>
    <w:rsid w:val="00ED724E"/>
    <w:rsid w:val="00EF673F"/>
    <w:rsid w:val="00EF6D52"/>
    <w:rsid w:val="00F13AAB"/>
    <w:rsid w:val="00F15D0B"/>
    <w:rsid w:val="00F22777"/>
    <w:rsid w:val="00F35750"/>
    <w:rsid w:val="00F40E11"/>
    <w:rsid w:val="00F4577D"/>
    <w:rsid w:val="00F478A2"/>
    <w:rsid w:val="00F47C5A"/>
    <w:rsid w:val="00F625DE"/>
    <w:rsid w:val="00F72A97"/>
    <w:rsid w:val="00F7543D"/>
    <w:rsid w:val="00F75C44"/>
    <w:rsid w:val="00F93EDE"/>
    <w:rsid w:val="00F97808"/>
    <w:rsid w:val="00FC1E22"/>
    <w:rsid w:val="00FD343A"/>
    <w:rsid w:val="00FD7632"/>
    <w:rsid w:val="00FF45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4E2C6"/>
  <w15:chartTrackingRefBased/>
  <w15:docId w15:val="{A6CF0545-97C1-4D24-A7AA-92470615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50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3509"/>
    <w:pPr>
      <w:jc w:val="center"/>
    </w:pPr>
    <w:rPr>
      <w:sz w:val="28"/>
      <w:szCs w:val="20"/>
      <w:lang w:eastAsia="en-US"/>
    </w:rPr>
  </w:style>
  <w:style w:type="character" w:customStyle="1" w:styleId="TitleChar">
    <w:name w:val="Title Char"/>
    <w:basedOn w:val="DefaultParagraphFont"/>
    <w:link w:val="Title"/>
    <w:rsid w:val="00503509"/>
    <w:rPr>
      <w:rFonts w:ascii="Times New Roman" w:eastAsia="Times New Roman" w:hAnsi="Times New Roman" w:cs="Times New Roman"/>
      <w:sz w:val="28"/>
      <w:szCs w:val="20"/>
    </w:rPr>
  </w:style>
  <w:style w:type="character" w:styleId="Hyperlink">
    <w:name w:val="Hyperlink"/>
    <w:basedOn w:val="DefaultParagraphFont"/>
    <w:uiPriority w:val="99"/>
    <w:unhideWhenUsed/>
    <w:rsid w:val="00503509"/>
    <w:rPr>
      <w:color w:val="0000FF"/>
      <w:u w:val="single"/>
    </w:rPr>
  </w:style>
  <w:style w:type="paragraph" w:styleId="Header">
    <w:name w:val="header"/>
    <w:basedOn w:val="Normal"/>
    <w:link w:val="HeaderChar"/>
    <w:uiPriority w:val="99"/>
    <w:unhideWhenUsed/>
    <w:rsid w:val="00DD3FA2"/>
    <w:pPr>
      <w:tabs>
        <w:tab w:val="center" w:pos="4153"/>
        <w:tab w:val="right" w:pos="8306"/>
      </w:tabs>
    </w:pPr>
  </w:style>
  <w:style w:type="character" w:customStyle="1" w:styleId="HeaderChar">
    <w:name w:val="Header Char"/>
    <w:basedOn w:val="DefaultParagraphFont"/>
    <w:link w:val="Header"/>
    <w:uiPriority w:val="99"/>
    <w:rsid w:val="00DD3FA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D3FA2"/>
    <w:pPr>
      <w:tabs>
        <w:tab w:val="center" w:pos="4153"/>
        <w:tab w:val="right" w:pos="8306"/>
      </w:tabs>
    </w:pPr>
  </w:style>
  <w:style w:type="character" w:customStyle="1" w:styleId="FooterChar">
    <w:name w:val="Footer Char"/>
    <w:basedOn w:val="DefaultParagraphFont"/>
    <w:link w:val="Footer"/>
    <w:uiPriority w:val="99"/>
    <w:rsid w:val="00DD3FA2"/>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CB40A3"/>
    <w:pPr>
      <w:ind w:left="720"/>
      <w:contextualSpacing/>
    </w:pPr>
  </w:style>
  <w:style w:type="character" w:styleId="CommentReference">
    <w:name w:val="annotation reference"/>
    <w:basedOn w:val="DefaultParagraphFont"/>
    <w:uiPriority w:val="99"/>
    <w:semiHidden/>
    <w:unhideWhenUsed/>
    <w:rsid w:val="00F35750"/>
    <w:rPr>
      <w:sz w:val="16"/>
      <w:szCs w:val="16"/>
    </w:rPr>
  </w:style>
  <w:style w:type="paragraph" w:styleId="CommentText">
    <w:name w:val="annotation text"/>
    <w:basedOn w:val="Normal"/>
    <w:link w:val="CommentTextChar"/>
    <w:uiPriority w:val="99"/>
    <w:semiHidden/>
    <w:unhideWhenUsed/>
    <w:rsid w:val="00F35750"/>
    <w:rPr>
      <w:sz w:val="20"/>
      <w:szCs w:val="20"/>
    </w:rPr>
  </w:style>
  <w:style w:type="character" w:customStyle="1" w:styleId="CommentTextChar">
    <w:name w:val="Comment Text Char"/>
    <w:basedOn w:val="DefaultParagraphFont"/>
    <w:link w:val="CommentText"/>
    <w:uiPriority w:val="99"/>
    <w:semiHidden/>
    <w:rsid w:val="00F3575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35750"/>
    <w:rPr>
      <w:b/>
      <w:bCs/>
    </w:rPr>
  </w:style>
  <w:style w:type="character" w:customStyle="1" w:styleId="CommentSubjectChar">
    <w:name w:val="Comment Subject Char"/>
    <w:basedOn w:val="CommentTextChar"/>
    <w:link w:val="CommentSubject"/>
    <w:uiPriority w:val="99"/>
    <w:semiHidden/>
    <w:rsid w:val="00F35750"/>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35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750"/>
    <w:rPr>
      <w:rFonts w:ascii="Segoe UI" w:eastAsia="Times New Roman" w:hAnsi="Segoe UI" w:cs="Segoe UI"/>
      <w:sz w:val="18"/>
      <w:szCs w:val="18"/>
      <w:lang w:eastAsia="lv-LV"/>
    </w:rPr>
  </w:style>
  <w:style w:type="paragraph" w:styleId="EndnoteText">
    <w:name w:val="endnote text"/>
    <w:basedOn w:val="Normal"/>
    <w:link w:val="EndnoteTextChar"/>
    <w:uiPriority w:val="99"/>
    <w:semiHidden/>
    <w:unhideWhenUsed/>
    <w:rsid w:val="00670B08"/>
    <w:rPr>
      <w:sz w:val="20"/>
      <w:szCs w:val="20"/>
    </w:rPr>
  </w:style>
  <w:style w:type="character" w:customStyle="1" w:styleId="EndnoteTextChar">
    <w:name w:val="Endnote Text Char"/>
    <w:basedOn w:val="DefaultParagraphFont"/>
    <w:link w:val="EndnoteText"/>
    <w:uiPriority w:val="99"/>
    <w:semiHidden/>
    <w:rsid w:val="00670B08"/>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670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grava@izm.gov.lv"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eva.ervalde@izm.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6317-53F2-4AFB-A7B9-7C86BE65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7620</Words>
  <Characters>4344</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Ervalde</dc:creator>
  <cp:keywords/>
  <dc:description/>
  <cp:lastModifiedBy>Ieva Ervalde</cp:lastModifiedBy>
  <cp:revision>45</cp:revision>
  <dcterms:created xsi:type="dcterms:W3CDTF">2019-07-12T10:22:00Z</dcterms:created>
  <dcterms:modified xsi:type="dcterms:W3CDTF">2019-08-27T07:49:00Z</dcterms:modified>
</cp:coreProperties>
</file>