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drawings/drawing2.xml" ContentType="application/vnd.openxmlformats-officedocument.drawingml.chartshapes+xml"/>
  <Override PartName="/word/header3.xml" ContentType="application/vnd.openxmlformats-officedocument.wordprocessingml.header+xml"/>
  <Override PartName="/word/footer2.xml" ContentType="application/vnd.openxmlformats-officedocument.wordprocessingml.footer+xml"/>
  <Override PartName="/word/charts/chart14.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6.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8C4BF" w14:textId="77777777" w:rsidR="002B567E" w:rsidRDefault="002B567E" w:rsidP="002B567E">
      <w:pPr>
        <w:spacing w:before="240" w:after="240"/>
        <w:jc w:val="center"/>
        <w:rPr>
          <w:rFonts w:eastAsia="Calibri"/>
          <w:b/>
          <w:sz w:val="36"/>
          <w:szCs w:val="36"/>
        </w:rPr>
      </w:pPr>
    </w:p>
    <w:p w14:paraId="6770A3C8" w14:textId="77777777" w:rsidR="002B567E" w:rsidRDefault="002B567E" w:rsidP="002B567E">
      <w:pPr>
        <w:spacing w:before="240" w:after="240"/>
        <w:jc w:val="center"/>
        <w:rPr>
          <w:rFonts w:eastAsia="Calibri"/>
          <w:b/>
          <w:sz w:val="36"/>
          <w:szCs w:val="36"/>
        </w:rPr>
      </w:pPr>
    </w:p>
    <w:p w14:paraId="67482C09" w14:textId="77777777" w:rsidR="002B567E" w:rsidRDefault="00D3580A" w:rsidP="002B567E">
      <w:pPr>
        <w:spacing w:before="240" w:after="240"/>
        <w:jc w:val="center"/>
        <w:rPr>
          <w:rFonts w:eastAsia="Calibri"/>
          <w:b/>
          <w:sz w:val="36"/>
          <w:szCs w:val="36"/>
        </w:rPr>
      </w:pPr>
      <w:r>
        <w:rPr>
          <w:rFonts w:eastAsia="Calibri"/>
          <w:b/>
          <w:noProof/>
          <w:sz w:val="36"/>
          <w:szCs w:val="36"/>
          <w:lang w:eastAsia="lv-LV"/>
        </w:rPr>
        <w:drawing>
          <wp:inline distT="0" distB="0" distL="0" distR="0" wp14:anchorId="510E1951" wp14:editId="24EE0F1F">
            <wp:extent cx="2390775" cy="26955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390775" cy="2695575"/>
                    </a:xfrm>
                    <a:prstGeom prst="rect">
                      <a:avLst/>
                    </a:prstGeom>
                    <a:noFill/>
                    <a:ln w="9525">
                      <a:noFill/>
                      <a:miter lim="800000"/>
                      <a:headEnd/>
                      <a:tailEnd/>
                    </a:ln>
                  </pic:spPr>
                </pic:pic>
              </a:graphicData>
            </a:graphic>
          </wp:inline>
        </w:drawing>
      </w:r>
    </w:p>
    <w:p w14:paraId="56CE4330" w14:textId="77777777" w:rsidR="002B567E" w:rsidRDefault="002B567E" w:rsidP="00F14A97">
      <w:pPr>
        <w:spacing w:before="240" w:after="240"/>
        <w:rPr>
          <w:rFonts w:eastAsia="Calibri"/>
          <w:b/>
          <w:sz w:val="36"/>
          <w:szCs w:val="36"/>
        </w:rPr>
      </w:pPr>
    </w:p>
    <w:p w14:paraId="41F4742F" w14:textId="77777777" w:rsidR="002B567E" w:rsidRPr="00762944" w:rsidRDefault="0028052D" w:rsidP="002B567E">
      <w:pPr>
        <w:spacing w:before="240" w:after="240"/>
        <w:jc w:val="center"/>
        <w:rPr>
          <w:rFonts w:eastAsia="Calibri"/>
          <w:b/>
          <w:sz w:val="36"/>
          <w:szCs w:val="36"/>
        </w:rPr>
      </w:pPr>
      <w:r>
        <w:rPr>
          <w:rFonts w:eastAsia="Calibri"/>
          <w:b/>
          <w:sz w:val="36"/>
          <w:szCs w:val="36"/>
        </w:rPr>
        <w:t>8.1.1. s</w:t>
      </w:r>
      <w:r w:rsidR="002B567E" w:rsidRPr="00F010A1">
        <w:rPr>
          <w:rFonts w:eastAsia="Calibri"/>
          <w:b/>
          <w:sz w:val="36"/>
          <w:szCs w:val="36"/>
        </w:rPr>
        <w:t>pecifiskā atbalsta mērķa</w:t>
      </w:r>
    </w:p>
    <w:p w14:paraId="5A1A108E" w14:textId="77777777" w:rsidR="002B567E" w:rsidRPr="00F010A1" w:rsidRDefault="00C9130B" w:rsidP="002B567E">
      <w:pPr>
        <w:spacing w:before="240" w:after="240"/>
        <w:jc w:val="center"/>
        <w:rPr>
          <w:rFonts w:eastAsia="Calibri"/>
          <w:b/>
          <w:sz w:val="36"/>
          <w:szCs w:val="36"/>
        </w:rPr>
      </w:pPr>
      <w:r>
        <w:rPr>
          <w:rFonts w:eastAsia="Calibri"/>
          <w:b/>
          <w:sz w:val="36"/>
          <w:szCs w:val="36"/>
        </w:rPr>
        <w:t>„</w:t>
      </w:r>
      <w:r w:rsidR="0028052D">
        <w:rPr>
          <w:rFonts w:eastAsia="Calibri"/>
          <w:b/>
          <w:sz w:val="36"/>
          <w:szCs w:val="36"/>
        </w:rPr>
        <w:t>Palielināt modernizēto</w:t>
      </w:r>
      <w:r w:rsidR="002B567E">
        <w:rPr>
          <w:rFonts w:eastAsia="Calibri"/>
          <w:b/>
          <w:sz w:val="36"/>
          <w:szCs w:val="36"/>
        </w:rPr>
        <w:t xml:space="preserve"> STEM, tajā skaitā </w:t>
      </w:r>
      <w:bookmarkStart w:id="0" w:name="OLE_LINK1"/>
      <w:r w:rsidR="002B567E">
        <w:rPr>
          <w:rFonts w:eastAsia="Calibri"/>
          <w:b/>
          <w:sz w:val="36"/>
          <w:szCs w:val="36"/>
        </w:rPr>
        <w:t>medicīnas un radošās industrijas</w:t>
      </w:r>
      <w:bookmarkEnd w:id="0"/>
      <w:r w:rsidR="002B567E">
        <w:rPr>
          <w:rFonts w:eastAsia="Calibri"/>
          <w:b/>
          <w:sz w:val="36"/>
          <w:szCs w:val="36"/>
        </w:rPr>
        <w:t xml:space="preserve">, studiju </w:t>
      </w:r>
      <w:r w:rsidR="0028052D">
        <w:rPr>
          <w:rFonts w:eastAsia="Calibri"/>
          <w:b/>
          <w:sz w:val="36"/>
          <w:szCs w:val="36"/>
        </w:rPr>
        <w:t>programmu skaitu</w:t>
      </w:r>
      <w:r w:rsidR="002B567E" w:rsidRPr="00F010A1">
        <w:rPr>
          <w:rFonts w:eastAsia="Calibri"/>
          <w:b/>
          <w:sz w:val="36"/>
          <w:szCs w:val="36"/>
        </w:rPr>
        <w:t>”</w:t>
      </w:r>
    </w:p>
    <w:p w14:paraId="34F9FD7D" w14:textId="77777777" w:rsidR="00C9130B" w:rsidRDefault="00C9130B" w:rsidP="0022485B">
      <w:pPr>
        <w:spacing w:before="240" w:after="240"/>
        <w:jc w:val="center"/>
        <w:rPr>
          <w:rFonts w:eastAsia="Calibri"/>
          <w:b/>
          <w:sz w:val="36"/>
          <w:szCs w:val="36"/>
        </w:rPr>
      </w:pPr>
      <w:r>
        <w:rPr>
          <w:rFonts w:eastAsia="Calibri"/>
          <w:b/>
          <w:sz w:val="36"/>
          <w:szCs w:val="36"/>
        </w:rPr>
        <w:t xml:space="preserve">PAPLAŠINĀTAIS </w:t>
      </w:r>
    </w:p>
    <w:p w14:paraId="757E7F72" w14:textId="77777777" w:rsidR="002B567E" w:rsidRPr="00F010A1" w:rsidRDefault="002B567E" w:rsidP="0022485B">
      <w:pPr>
        <w:spacing w:before="240" w:after="240"/>
        <w:jc w:val="center"/>
        <w:rPr>
          <w:rFonts w:eastAsia="Calibri"/>
          <w:b/>
          <w:sz w:val="28"/>
          <w:szCs w:val="28"/>
        </w:rPr>
      </w:pPr>
      <w:r w:rsidRPr="00F010A1">
        <w:rPr>
          <w:rFonts w:eastAsia="Calibri"/>
          <w:b/>
          <w:sz w:val="36"/>
          <w:szCs w:val="36"/>
        </w:rPr>
        <w:t>SĀKOTNĒJAIS NOVĒRTĒJUMS</w:t>
      </w:r>
    </w:p>
    <w:p w14:paraId="10EC2CDB" w14:textId="77777777" w:rsidR="00F14A97" w:rsidRDefault="00F14A97" w:rsidP="00F14A97">
      <w:pPr>
        <w:pStyle w:val="Heading1"/>
        <w:spacing w:before="0"/>
        <w:rPr>
          <w:rFonts w:eastAsia="Calibri"/>
          <w:b w:val="0"/>
          <w:szCs w:val="28"/>
        </w:rPr>
      </w:pPr>
    </w:p>
    <w:p w14:paraId="4F818B86" w14:textId="77777777" w:rsidR="00F14A97" w:rsidRPr="00F14A97" w:rsidRDefault="00F14A97" w:rsidP="00F14A97">
      <w:pPr>
        <w:rPr>
          <w:rFonts w:eastAsia="Calibri"/>
          <w:lang w:eastAsia="zh-TW"/>
        </w:rPr>
      </w:pPr>
    </w:p>
    <w:p w14:paraId="37D275D6" w14:textId="77777777" w:rsidR="00F14A97" w:rsidRPr="00F14A97" w:rsidRDefault="00F14A97" w:rsidP="00F14A97">
      <w:pPr>
        <w:rPr>
          <w:rFonts w:eastAsia="Calibri"/>
          <w:lang w:eastAsia="zh-TW"/>
        </w:rPr>
      </w:pPr>
    </w:p>
    <w:p w14:paraId="1FFF6AA3" w14:textId="77777777" w:rsidR="00F14A97" w:rsidRPr="00F14A97" w:rsidRDefault="00F14A97" w:rsidP="00F14A97">
      <w:pPr>
        <w:rPr>
          <w:rFonts w:eastAsia="Calibri"/>
          <w:lang w:eastAsia="zh-TW"/>
        </w:rPr>
      </w:pPr>
    </w:p>
    <w:p w14:paraId="24AAA52A" w14:textId="77777777" w:rsidR="00F14A97" w:rsidRPr="00F14A97" w:rsidRDefault="00F14A97" w:rsidP="00F14A97">
      <w:pPr>
        <w:rPr>
          <w:rFonts w:eastAsia="Calibri"/>
          <w:lang w:eastAsia="zh-TW"/>
        </w:rPr>
      </w:pPr>
    </w:p>
    <w:p w14:paraId="418F0DB5" w14:textId="77777777" w:rsidR="00F14A97" w:rsidRPr="00F14A97" w:rsidRDefault="00F14A97" w:rsidP="00F14A97">
      <w:pPr>
        <w:rPr>
          <w:rFonts w:eastAsia="Calibri"/>
          <w:lang w:eastAsia="zh-TW"/>
        </w:rPr>
      </w:pPr>
    </w:p>
    <w:p w14:paraId="280D9D3D" w14:textId="77777777" w:rsidR="00F14A97" w:rsidRPr="00F14A97" w:rsidRDefault="00F14A97" w:rsidP="00F14A97">
      <w:pPr>
        <w:rPr>
          <w:rFonts w:eastAsia="Calibri"/>
          <w:lang w:eastAsia="zh-TW"/>
        </w:rPr>
      </w:pPr>
    </w:p>
    <w:p w14:paraId="2D5607C0" w14:textId="77777777" w:rsidR="00F14A97" w:rsidRPr="00F14A97" w:rsidRDefault="00F14A97" w:rsidP="00F14A97">
      <w:pPr>
        <w:rPr>
          <w:rFonts w:eastAsia="Calibri"/>
          <w:lang w:eastAsia="zh-TW"/>
        </w:rPr>
      </w:pPr>
    </w:p>
    <w:p w14:paraId="58741B61" w14:textId="77777777" w:rsidR="00F14A97" w:rsidRPr="00F14A97" w:rsidRDefault="00F14A97" w:rsidP="00F14A97">
      <w:pPr>
        <w:rPr>
          <w:rFonts w:eastAsia="Calibri"/>
          <w:lang w:eastAsia="zh-TW"/>
        </w:rPr>
      </w:pPr>
    </w:p>
    <w:p w14:paraId="794B2EC7" w14:textId="77777777" w:rsidR="00F14A97" w:rsidRPr="00F14A97" w:rsidRDefault="00F14A97" w:rsidP="00F14A97">
      <w:pPr>
        <w:rPr>
          <w:rFonts w:eastAsia="Calibri"/>
          <w:lang w:eastAsia="zh-TW"/>
        </w:rPr>
      </w:pPr>
    </w:p>
    <w:p w14:paraId="544E80A0" w14:textId="77777777" w:rsidR="00F14A97" w:rsidRPr="00F14A97" w:rsidRDefault="00F14A97" w:rsidP="00F14A97">
      <w:pPr>
        <w:rPr>
          <w:rFonts w:eastAsia="Calibri"/>
          <w:lang w:eastAsia="zh-TW"/>
        </w:rPr>
      </w:pPr>
    </w:p>
    <w:p w14:paraId="62A96F89" w14:textId="77777777" w:rsidR="00F14A97" w:rsidRPr="00F14A97" w:rsidRDefault="00F14A97" w:rsidP="00F14A97">
      <w:pPr>
        <w:rPr>
          <w:rFonts w:eastAsia="Calibri"/>
          <w:lang w:eastAsia="zh-TW"/>
        </w:rPr>
      </w:pPr>
    </w:p>
    <w:p w14:paraId="1928CCD0" w14:textId="77777777" w:rsidR="00F14A97" w:rsidRPr="00F14A97" w:rsidRDefault="00F14A97" w:rsidP="00F14A97">
      <w:pPr>
        <w:rPr>
          <w:rFonts w:eastAsia="Calibri"/>
          <w:lang w:eastAsia="zh-TW"/>
        </w:rPr>
      </w:pPr>
    </w:p>
    <w:p w14:paraId="4D460C92" w14:textId="77777777" w:rsidR="00F14A97" w:rsidRPr="00F14A97" w:rsidRDefault="00F14A97" w:rsidP="00F14A97">
      <w:pPr>
        <w:rPr>
          <w:rFonts w:eastAsia="Calibri"/>
          <w:lang w:eastAsia="zh-TW"/>
        </w:rPr>
      </w:pPr>
    </w:p>
    <w:p w14:paraId="135D220C" w14:textId="77777777" w:rsidR="00DD21C3" w:rsidRDefault="00DD21C3" w:rsidP="00132479">
      <w:pPr>
        <w:jc w:val="center"/>
      </w:pPr>
    </w:p>
    <w:p w14:paraId="76EFD423" w14:textId="77777777" w:rsidR="00DD21C3" w:rsidRDefault="00DD21C3" w:rsidP="00132479">
      <w:pPr>
        <w:jc w:val="center"/>
      </w:pPr>
    </w:p>
    <w:p w14:paraId="69AA423E" w14:textId="77777777" w:rsidR="00EE7E61" w:rsidRDefault="00F14A97" w:rsidP="00DD21C3">
      <w:pPr>
        <w:jc w:val="center"/>
        <w:rPr>
          <w:rFonts w:ascii="Cambria" w:eastAsia="SimSun" w:hAnsi="Cambria"/>
          <w:color w:val="365F91"/>
          <w:sz w:val="32"/>
          <w:szCs w:val="32"/>
          <w:lang w:eastAsia="zh-TW"/>
        </w:rPr>
      </w:pPr>
      <w:r w:rsidRPr="00132479">
        <w:t>Rīga, 201</w:t>
      </w:r>
      <w:r w:rsidR="008D6FCC">
        <w:t>6</w:t>
      </w:r>
      <w:r w:rsidR="002B567E" w:rsidRPr="00F14A97">
        <w:br w:type="page"/>
      </w:r>
      <w:bookmarkStart w:id="1" w:name="_Toc405391211"/>
    </w:p>
    <w:sdt>
      <w:sdtPr>
        <w:rPr>
          <w:b w:val="0"/>
          <w:bCs w:val="0"/>
          <w:noProof/>
          <w:color w:val="auto"/>
          <w:sz w:val="24"/>
          <w:szCs w:val="24"/>
          <w:lang w:val="lv-LV"/>
        </w:rPr>
        <w:id w:val="9053988"/>
        <w:docPartObj>
          <w:docPartGallery w:val="Table of Contents"/>
          <w:docPartUnique/>
        </w:docPartObj>
      </w:sdtPr>
      <w:sdtEndPr/>
      <w:sdtContent>
        <w:p w14:paraId="43BC245B" w14:textId="77777777" w:rsidR="00EE7E61" w:rsidRPr="00A87CE3" w:rsidRDefault="00EE7E61" w:rsidP="00EE7E61">
          <w:pPr>
            <w:pStyle w:val="TOCHeading"/>
            <w:jc w:val="center"/>
            <w:rPr>
              <w:sz w:val="24"/>
              <w:szCs w:val="24"/>
            </w:rPr>
          </w:pPr>
          <w:proofErr w:type="spellStart"/>
          <w:r w:rsidRPr="00A87CE3">
            <w:t>Saturs</w:t>
          </w:r>
          <w:proofErr w:type="spellEnd"/>
        </w:p>
        <w:p w14:paraId="23CB9D1D" w14:textId="77777777" w:rsidR="00077598" w:rsidRPr="00077598" w:rsidRDefault="00230195">
          <w:pPr>
            <w:pStyle w:val="TOC1"/>
            <w:rPr>
              <w:rFonts w:eastAsiaTheme="minorEastAsia"/>
              <w:lang w:eastAsia="lv-LV"/>
            </w:rPr>
          </w:pPr>
          <w:r w:rsidRPr="00A87CE3">
            <w:fldChar w:fldCharType="begin"/>
          </w:r>
          <w:r w:rsidR="00EE7E61" w:rsidRPr="00A87CE3">
            <w:instrText xml:space="preserve"> TOC \o "1-3" \h \z \u </w:instrText>
          </w:r>
          <w:r w:rsidRPr="00A87CE3">
            <w:fldChar w:fldCharType="separate"/>
          </w:r>
          <w:hyperlink w:anchor="_Toc457815665" w:history="1">
            <w:r w:rsidR="00077598" w:rsidRPr="00077598">
              <w:rPr>
                <w:rStyle w:val="Hyperlink"/>
                <w:b/>
              </w:rPr>
              <w:t>Augstskolu nosaukumu saīsinājumi</w:t>
            </w:r>
            <w:r w:rsidR="00077598" w:rsidRPr="00077598">
              <w:rPr>
                <w:webHidden/>
              </w:rPr>
              <w:tab/>
            </w:r>
            <w:r w:rsidRPr="00077598">
              <w:rPr>
                <w:webHidden/>
              </w:rPr>
              <w:fldChar w:fldCharType="begin"/>
            </w:r>
            <w:r w:rsidR="00077598" w:rsidRPr="00077598">
              <w:rPr>
                <w:webHidden/>
              </w:rPr>
              <w:instrText xml:space="preserve"> PAGEREF _Toc457815665 \h </w:instrText>
            </w:r>
            <w:r w:rsidRPr="00077598">
              <w:rPr>
                <w:webHidden/>
              </w:rPr>
            </w:r>
            <w:r w:rsidRPr="00077598">
              <w:rPr>
                <w:webHidden/>
              </w:rPr>
              <w:fldChar w:fldCharType="separate"/>
            </w:r>
            <w:r w:rsidR="00CC42DB">
              <w:rPr>
                <w:webHidden/>
              </w:rPr>
              <w:t>3</w:t>
            </w:r>
            <w:r w:rsidRPr="00077598">
              <w:rPr>
                <w:webHidden/>
              </w:rPr>
              <w:fldChar w:fldCharType="end"/>
            </w:r>
          </w:hyperlink>
        </w:p>
        <w:p w14:paraId="55572425" w14:textId="77777777" w:rsidR="00077598" w:rsidRPr="00077598" w:rsidRDefault="003C3BBE">
          <w:pPr>
            <w:pStyle w:val="TOC1"/>
            <w:rPr>
              <w:rFonts w:eastAsiaTheme="minorEastAsia"/>
              <w:lang w:eastAsia="lv-LV"/>
            </w:rPr>
          </w:pPr>
          <w:hyperlink w:anchor="_Toc457815666" w:history="1">
            <w:r w:rsidR="00077598" w:rsidRPr="00077598">
              <w:rPr>
                <w:rStyle w:val="Hyperlink"/>
                <w:b/>
              </w:rPr>
              <w:t>Ievads</w:t>
            </w:r>
            <w:r w:rsidR="00077598" w:rsidRPr="00077598">
              <w:rPr>
                <w:webHidden/>
              </w:rPr>
              <w:tab/>
            </w:r>
            <w:r w:rsidR="00230195" w:rsidRPr="00077598">
              <w:rPr>
                <w:webHidden/>
              </w:rPr>
              <w:fldChar w:fldCharType="begin"/>
            </w:r>
            <w:r w:rsidR="00077598" w:rsidRPr="00077598">
              <w:rPr>
                <w:webHidden/>
              </w:rPr>
              <w:instrText xml:space="preserve"> PAGEREF _Toc457815666 \h </w:instrText>
            </w:r>
            <w:r w:rsidR="00230195" w:rsidRPr="00077598">
              <w:rPr>
                <w:webHidden/>
              </w:rPr>
            </w:r>
            <w:r w:rsidR="00230195" w:rsidRPr="00077598">
              <w:rPr>
                <w:webHidden/>
              </w:rPr>
              <w:fldChar w:fldCharType="separate"/>
            </w:r>
            <w:r w:rsidR="00CC42DB">
              <w:rPr>
                <w:webHidden/>
              </w:rPr>
              <w:t>4</w:t>
            </w:r>
            <w:r w:rsidR="00230195" w:rsidRPr="00077598">
              <w:rPr>
                <w:webHidden/>
              </w:rPr>
              <w:fldChar w:fldCharType="end"/>
            </w:r>
          </w:hyperlink>
        </w:p>
        <w:p w14:paraId="0B128BA4" w14:textId="77777777" w:rsidR="00077598" w:rsidRPr="00077598" w:rsidRDefault="003C3BBE">
          <w:pPr>
            <w:pStyle w:val="TOC1"/>
            <w:rPr>
              <w:rFonts w:eastAsiaTheme="minorEastAsia"/>
              <w:lang w:eastAsia="lv-LV"/>
            </w:rPr>
          </w:pPr>
          <w:hyperlink w:anchor="_Toc457815667" w:history="1">
            <w:r w:rsidR="00077598" w:rsidRPr="00077598">
              <w:rPr>
                <w:rStyle w:val="Hyperlink"/>
                <w:b/>
              </w:rPr>
              <w:t>1. Esošās sociāli ekonomiskās situācijas apraksts un vajadzību analīze</w:t>
            </w:r>
            <w:r w:rsidR="00077598" w:rsidRPr="00077598">
              <w:rPr>
                <w:webHidden/>
              </w:rPr>
              <w:tab/>
            </w:r>
            <w:r w:rsidR="00230195" w:rsidRPr="00077598">
              <w:rPr>
                <w:webHidden/>
              </w:rPr>
              <w:fldChar w:fldCharType="begin"/>
            </w:r>
            <w:r w:rsidR="00077598" w:rsidRPr="00077598">
              <w:rPr>
                <w:webHidden/>
              </w:rPr>
              <w:instrText xml:space="preserve"> PAGEREF _Toc457815667 \h </w:instrText>
            </w:r>
            <w:r w:rsidR="00230195" w:rsidRPr="00077598">
              <w:rPr>
                <w:webHidden/>
              </w:rPr>
            </w:r>
            <w:r w:rsidR="00230195" w:rsidRPr="00077598">
              <w:rPr>
                <w:webHidden/>
              </w:rPr>
              <w:fldChar w:fldCharType="separate"/>
            </w:r>
            <w:r w:rsidR="00CC42DB">
              <w:rPr>
                <w:webHidden/>
              </w:rPr>
              <w:t>6</w:t>
            </w:r>
            <w:r w:rsidR="00230195" w:rsidRPr="00077598">
              <w:rPr>
                <w:webHidden/>
              </w:rPr>
              <w:fldChar w:fldCharType="end"/>
            </w:r>
          </w:hyperlink>
        </w:p>
        <w:p w14:paraId="6183D124"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68" w:history="1">
            <w:r w:rsidR="00077598" w:rsidRPr="00077598">
              <w:rPr>
                <w:rStyle w:val="Hyperlink"/>
                <w:rFonts w:ascii="Times New Roman" w:hAnsi="Times New Roman"/>
                <w:noProof/>
                <w:sz w:val="24"/>
                <w:szCs w:val="24"/>
              </w:rPr>
              <w:t xml:space="preserve">1.1. </w:t>
            </w:r>
            <w:r w:rsidR="00077598" w:rsidRPr="00077598">
              <w:rPr>
                <w:rStyle w:val="Hyperlink"/>
                <w:rFonts w:ascii="Times New Roman" w:eastAsia="Calibri" w:hAnsi="Times New Roman"/>
                <w:noProof/>
                <w:sz w:val="24"/>
                <w:szCs w:val="24"/>
              </w:rPr>
              <w:t>Augstskolās īstenotās STEM studiju programmas, tajās studējošo skaita izmaiņu tendences</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_Toc457815668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6</w:t>
            </w:r>
            <w:r w:rsidR="00230195" w:rsidRPr="00077598">
              <w:rPr>
                <w:rFonts w:ascii="Times New Roman" w:hAnsi="Times New Roman"/>
                <w:noProof/>
                <w:webHidden/>
                <w:sz w:val="24"/>
                <w:szCs w:val="24"/>
              </w:rPr>
              <w:fldChar w:fldCharType="end"/>
            </w:r>
          </w:hyperlink>
        </w:p>
        <w:p w14:paraId="18FB459F"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69" w:history="1">
            <w:r w:rsidR="00077598" w:rsidRPr="00077598">
              <w:rPr>
                <w:rStyle w:val="Hyperlink"/>
                <w:rFonts w:ascii="Times New Roman" w:hAnsi="Times New Roman"/>
                <w:noProof/>
                <w:sz w:val="24"/>
                <w:szCs w:val="24"/>
              </w:rPr>
              <w:t>1.2. STEM jomas programmu piedāvājums Latvijas reģionos un to atbilstība darba tirgus pieprasījuma prognozēm</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_Toc457815669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17</w:t>
            </w:r>
            <w:r w:rsidR="00230195" w:rsidRPr="00077598">
              <w:rPr>
                <w:rFonts w:ascii="Times New Roman" w:hAnsi="Times New Roman"/>
                <w:noProof/>
                <w:webHidden/>
                <w:sz w:val="24"/>
                <w:szCs w:val="24"/>
              </w:rPr>
              <w:fldChar w:fldCharType="end"/>
            </w:r>
          </w:hyperlink>
        </w:p>
        <w:p w14:paraId="7AAA9BAE"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70" w:history="1">
            <w:r w:rsidR="00077598" w:rsidRPr="00077598">
              <w:rPr>
                <w:rStyle w:val="Hyperlink"/>
                <w:rFonts w:ascii="Times New Roman" w:hAnsi="Times New Roman"/>
                <w:noProof/>
                <w:sz w:val="24"/>
                <w:szCs w:val="24"/>
                <w:lang w:eastAsia="lv-LV"/>
              </w:rPr>
              <w:t>1.3. 8.1.1.SAM sasaiste ar īstenoto politiku augstākās izglītības jomā</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_Toc457815670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26</w:t>
            </w:r>
            <w:r w:rsidR="00230195" w:rsidRPr="00077598">
              <w:rPr>
                <w:rFonts w:ascii="Times New Roman" w:hAnsi="Times New Roman"/>
                <w:noProof/>
                <w:webHidden/>
                <w:sz w:val="24"/>
                <w:szCs w:val="24"/>
              </w:rPr>
              <w:fldChar w:fldCharType="end"/>
            </w:r>
          </w:hyperlink>
        </w:p>
        <w:p w14:paraId="7E2367E1" w14:textId="77777777" w:rsidR="00077598" w:rsidRPr="00077598" w:rsidRDefault="003C3BBE">
          <w:pPr>
            <w:pStyle w:val="TOC1"/>
            <w:rPr>
              <w:rFonts w:eastAsiaTheme="minorEastAsia"/>
              <w:lang w:eastAsia="lv-LV"/>
            </w:rPr>
          </w:pPr>
          <w:hyperlink w:anchor="_Toc457815671" w:history="1">
            <w:r w:rsidR="00077598" w:rsidRPr="00077598">
              <w:rPr>
                <w:rStyle w:val="Hyperlink"/>
                <w:b/>
              </w:rPr>
              <w:t>2. Apraksts un analīze par līdzīgiem investīciju ieviešanas mehānismiem 2007. – 2013. gada plānošanas periodā</w:t>
            </w:r>
            <w:r w:rsidR="00077598" w:rsidRPr="00077598">
              <w:rPr>
                <w:webHidden/>
              </w:rPr>
              <w:tab/>
            </w:r>
            <w:r w:rsidR="00230195" w:rsidRPr="00077598">
              <w:rPr>
                <w:webHidden/>
              </w:rPr>
              <w:fldChar w:fldCharType="begin"/>
            </w:r>
            <w:r w:rsidR="00077598" w:rsidRPr="00077598">
              <w:rPr>
                <w:webHidden/>
              </w:rPr>
              <w:instrText xml:space="preserve"> PAGEREF _Toc457815671 \h </w:instrText>
            </w:r>
            <w:r w:rsidR="00230195" w:rsidRPr="00077598">
              <w:rPr>
                <w:webHidden/>
              </w:rPr>
            </w:r>
            <w:r w:rsidR="00230195" w:rsidRPr="00077598">
              <w:rPr>
                <w:webHidden/>
              </w:rPr>
              <w:fldChar w:fldCharType="separate"/>
            </w:r>
            <w:r w:rsidR="00CC42DB">
              <w:rPr>
                <w:webHidden/>
              </w:rPr>
              <w:t>29</w:t>
            </w:r>
            <w:r w:rsidR="00230195" w:rsidRPr="00077598">
              <w:rPr>
                <w:webHidden/>
              </w:rPr>
              <w:fldChar w:fldCharType="end"/>
            </w:r>
          </w:hyperlink>
        </w:p>
        <w:p w14:paraId="2F5524BD"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72" w:history="1">
            <w:r w:rsidR="00077598" w:rsidRPr="00077598">
              <w:rPr>
                <w:rStyle w:val="Hyperlink"/>
                <w:rFonts w:ascii="Times New Roman" w:hAnsi="Times New Roman"/>
                <w:noProof/>
                <w:sz w:val="24"/>
                <w:szCs w:val="24"/>
              </w:rPr>
              <w:t>2.1. ERAF investīcijas augstskolu infrastruktūrā 2007.-2013.gada plānošanas periodā</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_Toc457815672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29</w:t>
            </w:r>
            <w:r w:rsidR="00230195" w:rsidRPr="00077598">
              <w:rPr>
                <w:rFonts w:ascii="Times New Roman" w:hAnsi="Times New Roman"/>
                <w:noProof/>
                <w:webHidden/>
                <w:sz w:val="24"/>
                <w:szCs w:val="24"/>
              </w:rPr>
              <w:fldChar w:fldCharType="end"/>
            </w:r>
          </w:hyperlink>
        </w:p>
        <w:p w14:paraId="706F4631"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73" w:history="1">
            <w:r w:rsidR="00077598" w:rsidRPr="00077598">
              <w:rPr>
                <w:rStyle w:val="Hyperlink"/>
                <w:rFonts w:ascii="Times New Roman" w:hAnsi="Times New Roman"/>
                <w:noProof/>
                <w:sz w:val="24"/>
                <w:szCs w:val="24"/>
              </w:rPr>
              <w:t>2.2. KPFI investīcijas augstskolu infrastruktūrā 2007.-2013.gada plānošanas periodā</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_Toc457815673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38</w:t>
            </w:r>
            <w:r w:rsidR="00230195" w:rsidRPr="00077598">
              <w:rPr>
                <w:rFonts w:ascii="Times New Roman" w:hAnsi="Times New Roman"/>
                <w:noProof/>
                <w:webHidden/>
                <w:sz w:val="24"/>
                <w:szCs w:val="24"/>
              </w:rPr>
              <w:fldChar w:fldCharType="end"/>
            </w:r>
          </w:hyperlink>
        </w:p>
        <w:p w14:paraId="77E4B657" w14:textId="77777777" w:rsidR="00077598" w:rsidRPr="00077598" w:rsidRDefault="003C3BBE">
          <w:pPr>
            <w:pStyle w:val="TOC3"/>
            <w:tabs>
              <w:tab w:val="right" w:leader="dot" w:pos="8637"/>
            </w:tabs>
            <w:rPr>
              <w:rFonts w:ascii="Times New Roman" w:eastAsiaTheme="minorEastAsia" w:hAnsi="Times New Roman"/>
              <w:noProof/>
              <w:sz w:val="24"/>
              <w:szCs w:val="24"/>
              <w:lang w:val="lv-LV" w:eastAsia="lv-LV"/>
            </w:rPr>
          </w:pPr>
          <w:hyperlink w:anchor="_Toc457815674" w:history="1">
            <w:r w:rsidR="00077598" w:rsidRPr="00077598">
              <w:rPr>
                <w:rStyle w:val="Hyperlink"/>
                <w:rFonts w:ascii="Times New Roman" w:hAnsi="Times New Roman"/>
                <w:noProof/>
                <w:sz w:val="24"/>
                <w:szCs w:val="24"/>
              </w:rPr>
              <w:t>2.2.1. Projektu atklātais konkurss “Energoefektivitātes paaugstināšana augstākās izglītības iestāžu ēkās”</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_Toc457815674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38</w:t>
            </w:r>
            <w:r w:rsidR="00230195" w:rsidRPr="00077598">
              <w:rPr>
                <w:rFonts w:ascii="Times New Roman" w:hAnsi="Times New Roman"/>
                <w:noProof/>
                <w:webHidden/>
                <w:sz w:val="24"/>
                <w:szCs w:val="24"/>
              </w:rPr>
              <w:fldChar w:fldCharType="end"/>
            </w:r>
          </w:hyperlink>
        </w:p>
        <w:p w14:paraId="1C342137" w14:textId="77777777" w:rsidR="00077598" w:rsidRPr="00077598" w:rsidRDefault="003C3BBE">
          <w:pPr>
            <w:pStyle w:val="TOC3"/>
            <w:tabs>
              <w:tab w:val="right" w:leader="dot" w:pos="8637"/>
            </w:tabs>
            <w:rPr>
              <w:rFonts w:ascii="Times New Roman" w:eastAsiaTheme="minorEastAsia" w:hAnsi="Times New Roman"/>
              <w:noProof/>
              <w:sz w:val="24"/>
              <w:szCs w:val="24"/>
              <w:lang w:val="lv-LV" w:eastAsia="lv-LV"/>
            </w:rPr>
          </w:pPr>
          <w:hyperlink w:anchor="_Toc457815675" w:history="1">
            <w:r w:rsidR="00077598" w:rsidRPr="00077598">
              <w:rPr>
                <w:rStyle w:val="Hyperlink"/>
                <w:rFonts w:ascii="Times New Roman" w:hAnsi="Times New Roman"/>
                <w:noProof/>
                <w:sz w:val="24"/>
                <w:szCs w:val="24"/>
              </w:rPr>
              <w:t>2.2.2. Projektu atklātais konkurss “Kompleksi risinājumi siltumnīcefekta gāzu emisijas samazināšanai”</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_Toc457815675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39</w:t>
            </w:r>
            <w:r w:rsidR="00230195" w:rsidRPr="00077598">
              <w:rPr>
                <w:rFonts w:ascii="Times New Roman" w:hAnsi="Times New Roman"/>
                <w:noProof/>
                <w:webHidden/>
                <w:sz w:val="24"/>
                <w:szCs w:val="24"/>
              </w:rPr>
              <w:fldChar w:fldCharType="end"/>
            </w:r>
          </w:hyperlink>
        </w:p>
        <w:p w14:paraId="16EB0D54"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76" w:history="1">
            <w:r w:rsidR="00077598" w:rsidRPr="00077598">
              <w:rPr>
                <w:rStyle w:val="Hyperlink"/>
                <w:rFonts w:ascii="Times New Roman" w:hAnsi="Times New Roman"/>
                <w:noProof/>
                <w:sz w:val="24"/>
                <w:szCs w:val="24"/>
              </w:rPr>
              <w:t>2.3. Eiropas teritoriālās sadarbības programmu investīcijas augstskolu infrastruktūrā 2007.-2013.gada plānošanas periodā</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_Toc457815676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39</w:t>
            </w:r>
            <w:r w:rsidR="00230195" w:rsidRPr="00077598">
              <w:rPr>
                <w:rFonts w:ascii="Times New Roman" w:hAnsi="Times New Roman"/>
                <w:noProof/>
                <w:webHidden/>
                <w:sz w:val="24"/>
                <w:szCs w:val="24"/>
              </w:rPr>
              <w:fldChar w:fldCharType="end"/>
            </w:r>
          </w:hyperlink>
        </w:p>
        <w:p w14:paraId="526B1AE5"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77" w:history="1">
            <w:r w:rsidR="00077598" w:rsidRPr="00077598">
              <w:rPr>
                <w:rStyle w:val="Hyperlink"/>
                <w:rFonts w:ascii="Times New Roman" w:hAnsi="Times New Roman"/>
                <w:noProof/>
                <w:sz w:val="24"/>
                <w:szCs w:val="24"/>
              </w:rPr>
              <w:t>2.4. Valsts budžeta ieguldījumi augstskolu infrastruktūrā 2007.-2013.gada plānošanas periodā</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_Toc457815677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40</w:t>
            </w:r>
            <w:r w:rsidR="00230195" w:rsidRPr="00077598">
              <w:rPr>
                <w:rFonts w:ascii="Times New Roman" w:hAnsi="Times New Roman"/>
                <w:noProof/>
                <w:webHidden/>
                <w:sz w:val="24"/>
                <w:szCs w:val="24"/>
              </w:rPr>
              <w:fldChar w:fldCharType="end"/>
            </w:r>
          </w:hyperlink>
        </w:p>
        <w:p w14:paraId="71F392B0" w14:textId="77777777" w:rsidR="00077598" w:rsidRPr="00077598" w:rsidRDefault="003C3BBE">
          <w:pPr>
            <w:pStyle w:val="TOC1"/>
            <w:rPr>
              <w:rFonts w:eastAsiaTheme="minorEastAsia"/>
              <w:lang w:eastAsia="lv-LV"/>
            </w:rPr>
          </w:pPr>
          <w:hyperlink w:anchor="_Toc457815678" w:history="1">
            <w:r w:rsidR="00077598" w:rsidRPr="00077598">
              <w:rPr>
                <w:rStyle w:val="Hyperlink"/>
                <w:b/>
              </w:rPr>
              <w:t>3. Secinājumi par ieviešanas mehānismu 2007. – 2013. gada plānošanas periodā un nepieciešamajām izmaiņām 2014. – 2020. gada periodā kontekstā</w:t>
            </w:r>
            <w:r w:rsidR="00077598" w:rsidRPr="00077598">
              <w:rPr>
                <w:webHidden/>
              </w:rPr>
              <w:tab/>
            </w:r>
            <w:r w:rsidR="00230195" w:rsidRPr="00077598">
              <w:rPr>
                <w:webHidden/>
              </w:rPr>
              <w:fldChar w:fldCharType="begin"/>
            </w:r>
            <w:r w:rsidR="00077598" w:rsidRPr="00077598">
              <w:rPr>
                <w:webHidden/>
              </w:rPr>
              <w:instrText xml:space="preserve"> PAGEREF _Toc457815678 \h </w:instrText>
            </w:r>
            <w:r w:rsidR="00230195" w:rsidRPr="00077598">
              <w:rPr>
                <w:webHidden/>
              </w:rPr>
            </w:r>
            <w:r w:rsidR="00230195" w:rsidRPr="00077598">
              <w:rPr>
                <w:webHidden/>
              </w:rPr>
              <w:fldChar w:fldCharType="separate"/>
            </w:r>
            <w:r w:rsidR="00CC42DB">
              <w:rPr>
                <w:webHidden/>
              </w:rPr>
              <w:t>41</w:t>
            </w:r>
            <w:r w:rsidR="00230195" w:rsidRPr="00077598">
              <w:rPr>
                <w:webHidden/>
              </w:rPr>
              <w:fldChar w:fldCharType="end"/>
            </w:r>
          </w:hyperlink>
        </w:p>
        <w:p w14:paraId="284F5F6D" w14:textId="77777777" w:rsidR="00077598" w:rsidRPr="00077598" w:rsidRDefault="003C3BBE">
          <w:pPr>
            <w:pStyle w:val="TOC1"/>
            <w:rPr>
              <w:rFonts w:eastAsiaTheme="minorEastAsia"/>
              <w:lang w:eastAsia="lv-LV"/>
            </w:rPr>
          </w:pPr>
          <w:hyperlink w:anchor="_Toc457815679" w:history="1">
            <w:r w:rsidR="00077598" w:rsidRPr="00077598">
              <w:rPr>
                <w:rStyle w:val="Hyperlink"/>
                <w:b/>
              </w:rPr>
              <w:t>4. 8.1.1.SAM ieviešanas mehānisma apraksts</w:t>
            </w:r>
            <w:r w:rsidR="00077598" w:rsidRPr="00077598">
              <w:rPr>
                <w:webHidden/>
              </w:rPr>
              <w:tab/>
            </w:r>
            <w:r w:rsidR="00230195" w:rsidRPr="00077598">
              <w:rPr>
                <w:webHidden/>
              </w:rPr>
              <w:fldChar w:fldCharType="begin"/>
            </w:r>
            <w:r w:rsidR="00077598" w:rsidRPr="00077598">
              <w:rPr>
                <w:webHidden/>
              </w:rPr>
              <w:instrText xml:space="preserve"> PAGEREF _Toc457815679 \h </w:instrText>
            </w:r>
            <w:r w:rsidR="00230195" w:rsidRPr="00077598">
              <w:rPr>
                <w:webHidden/>
              </w:rPr>
            </w:r>
            <w:r w:rsidR="00230195" w:rsidRPr="00077598">
              <w:rPr>
                <w:webHidden/>
              </w:rPr>
              <w:fldChar w:fldCharType="separate"/>
            </w:r>
            <w:r w:rsidR="00CC42DB">
              <w:rPr>
                <w:webHidden/>
              </w:rPr>
              <w:t>44</w:t>
            </w:r>
            <w:r w:rsidR="00230195" w:rsidRPr="00077598">
              <w:rPr>
                <w:webHidden/>
              </w:rPr>
              <w:fldChar w:fldCharType="end"/>
            </w:r>
          </w:hyperlink>
        </w:p>
        <w:p w14:paraId="080CAB3F"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80" w:history="1">
            <w:r w:rsidR="00077598" w:rsidRPr="00077598">
              <w:rPr>
                <w:rStyle w:val="Hyperlink"/>
                <w:rFonts w:ascii="Times New Roman" w:hAnsi="Times New Roman"/>
                <w:noProof/>
                <w:sz w:val="24"/>
                <w:szCs w:val="24"/>
              </w:rPr>
              <w:t>4.1. 8.1.1.SAM vispārīgs apraksts</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_Toc457815680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44</w:t>
            </w:r>
            <w:r w:rsidR="00230195" w:rsidRPr="00077598">
              <w:rPr>
                <w:rFonts w:ascii="Times New Roman" w:hAnsi="Times New Roman"/>
                <w:noProof/>
                <w:webHidden/>
                <w:sz w:val="24"/>
                <w:szCs w:val="24"/>
              </w:rPr>
              <w:fldChar w:fldCharType="end"/>
            </w:r>
          </w:hyperlink>
        </w:p>
        <w:p w14:paraId="691250C6"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81" w:history="1">
            <w:r w:rsidR="00077598" w:rsidRPr="00077598">
              <w:rPr>
                <w:rStyle w:val="Hyperlink"/>
                <w:rFonts w:ascii="Times New Roman" w:hAnsi="Times New Roman"/>
                <w:noProof/>
                <w:sz w:val="24"/>
                <w:szCs w:val="24"/>
              </w:rPr>
              <w:t>4.2. Indikatīvais 2014.-2020.gada plānošanas perioda investīciju kartējums augstskolu infrastruktūrā</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_Toc457815681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45</w:t>
            </w:r>
            <w:r w:rsidR="00230195" w:rsidRPr="00077598">
              <w:rPr>
                <w:rFonts w:ascii="Times New Roman" w:hAnsi="Times New Roman"/>
                <w:noProof/>
                <w:webHidden/>
                <w:sz w:val="24"/>
                <w:szCs w:val="24"/>
              </w:rPr>
              <w:fldChar w:fldCharType="end"/>
            </w:r>
          </w:hyperlink>
        </w:p>
        <w:p w14:paraId="7EB1A14E" w14:textId="77777777" w:rsidR="00077598" w:rsidRPr="00077598" w:rsidRDefault="003C3BBE">
          <w:pPr>
            <w:pStyle w:val="TOC2"/>
            <w:tabs>
              <w:tab w:val="right" w:leader="dot" w:pos="8637"/>
            </w:tabs>
            <w:rPr>
              <w:rFonts w:ascii="Times New Roman" w:eastAsiaTheme="minorEastAsia" w:hAnsi="Times New Roman"/>
              <w:noProof/>
              <w:sz w:val="24"/>
              <w:szCs w:val="24"/>
              <w:lang w:val="lv-LV" w:eastAsia="lv-LV"/>
            </w:rPr>
          </w:pPr>
          <w:hyperlink w:anchor="_Toc457815682" w:history="1">
            <w:r w:rsidR="00077598" w:rsidRPr="00077598">
              <w:rPr>
                <w:rStyle w:val="Hyperlink"/>
                <w:rFonts w:ascii="Times New Roman" w:hAnsi="Times New Roman"/>
                <w:noProof/>
                <w:sz w:val="24"/>
                <w:szCs w:val="24"/>
              </w:rPr>
              <w:t>4.3. Sinerģija un demarkācija ar citiem specifiskajiem atbalsta mērķiem augstākās izglītības un zinātnes jomā</w:t>
            </w:r>
            <w:r w:rsidR="00077598" w:rsidRPr="00077598">
              <w:rPr>
                <w:rFonts w:ascii="Times New Roman" w:hAnsi="Times New Roman"/>
                <w:noProof/>
                <w:webHidden/>
                <w:sz w:val="24"/>
                <w:szCs w:val="24"/>
              </w:rPr>
              <w:tab/>
            </w:r>
            <w:r w:rsidR="00230195" w:rsidRPr="00077598">
              <w:rPr>
                <w:rFonts w:ascii="Times New Roman" w:hAnsi="Times New Roman"/>
                <w:noProof/>
                <w:webHidden/>
                <w:sz w:val="24"/>
                <w:szCs w:val="24"/>
              </w:rPr>
              <w:fldChar w:fldCharType="begin"/>
            </w:r>
            <w:r w:rsidR="00077598" w:rsidRPr="00077598">
              <w:rPr>
                <w:rFonts w:ascii="Times New Roman" w:hAnsi="Times New Roman"/>
                <w:noProof/>
                <w:webHidden/>
                <w:sz w:val="24"/>
                <w:szCs w:val="24"/>
              </w:rPr>
              <w:instrText xml:space="preserve"> PAGEREF _Toc457815682 \h </w:instrText>
            </w:r>
            <w:r w:rsidR="00230195" w:rsidRPr="00077598">
              <w:rPr>
                <w:rFonts w:ascii="Times New Roman" w:hAnsi="Times New Roman"/>
                <w:noProof/>
                <w:webHidden/>
                <w:sz w:val="24"/>
                <w:szCs w:val="24"/>
              </w:rPr>
            </w:r>
            <w:r w:rsidR="00230195" w:rsidRPr="00077598">
              <w:rPr>
                <w:rFonts w:ascii="Times New Roman" w:hAnsi="Times New Roman"/>
                <w:noProof/>
                <w:webHidden/>
                <w:sz w:val="24"/>
                <w:szCs w:val="24"/>
              </w:rPr>
              <w:fldChar w:fldCharType="separate"/>
            </w:r>
            <w:r w:rsidR="00CC42DB">
              <w:rPr>
                <w:rFonts w:ascii="Times New Roman" w:hAnsi="Times New Roman"/>
                <w:noProof/>
                <w:webHidden/>
                <w:sz w:val="24"/>
                <w:szCs w:val="24"/>
              </w:rPr>
              <w:t>47</w:t>
            </w:r>
            <w:r w:rsidR="00230195" w:rsidRPr="00077598">
              <w:rPr>
                <w:rFonts w:ascii="Times New Roman" w:hAnsi="Times New Roman"/>
                <w:noProof/>
                <w:webHidden/>
                <w:sz w:val="24"/>
                <w:szCs w:val="24"/>
              </w:rPr>
              <w:fldChar w:fldCharType="end"/>
            </w:r>
          </w:hyperlink>
        </w:p>
        <w:p w14:paraId="7F862452" w14:textId="77777777" w:rsidR="00077598" w:rsidRPr="00077598" w:rsidRDefault="003C3BBE">
          <w:pPr>
            <w:pStyle w:val="TOC1"/>
            <w:rPr>
              <w:rFonts w:eastAsiaTheme="minorEastAsia"/>
              <w:lang w:eastAsia="lv-LV"/>
            </w:rPr>
          </w:pPr>
          <w:hyperlink w:anchor="_Toc457815683" w:history="1">
            <w:r w:rsidR="00077598" w:rsidRPr="00077598">
              <w:rPr>
                <w:rStyle w:val="Hyperlink"/>
                <w:b/>
              </w:rPr>
              <w:t xml:space="preserve">5. 8.1.1. </w:t>
            </w:r>
            <w:r w:rsidR="003E4ACC" w:rsidRPr="003E4ACC">
              <w:rPr>
                <w:rStyle w:val="Hyperlink"/>
                <w:b/>
              </w:rPr>
              <w:t xml:space="preserve">SAM </w:t>
            </w:r>
            <w:r w:rsidR="00077598" w:rsidRPr="00077598">
              <w:rPr>
                <w:rStyle w:val="Hyperlink"/>
                <w:b/>
              </w:rPr>
              <w:t>sākotnējās ietekmes noteikšana</w:t>
            </w:r>
            <w:r w:rsidR="00077598" w:rsidRPr="00077598">
              <w:rPr>
                <w:webHidden/>
              </w:rPr>
              <w:tab/>
            </w:r>
            <w:r w:rsidR="00230195" w:rsidRPr="00077598">
              <w:rPr>
                <w:webHidden/>
              </w:rPr>
              <w:fldChar w:fldCharType="begin"/>
            </w:r>
            <w:r w:rsidR="00077598" w:rsidRPr="00077598">
              <w:rPr>
                <w:webHidden/>
              </w:rPr>
              <w:instrText xml:space="preserve"> PAGEREF _Toc457815683 \h </w:instrText>
            </w:r>
            <w:r w:rsidR="00230195" w:rsidRPr="00077598">
              <w:rPr>
                <w:webHidden/>
              </w:rPr>
            </w:r>
            <w:r w:rsidR="00230195" w:rsidRPr="00077598">
              <w:rPr>
                <w:webHidden/>
              </w:rPr>
              <w:fldChar w:fldCharType="separate"/>
            </w:r>
            <w:r w:rsidR="00CC42DB">
              <w:rPr>
                <w:webHidden/>
              </w:rPr>
              <w:t>50</w:t>
            </w:r>
            <w:r w:rsidR="00230195" w:rsidRPr="00077598">
              <w:rPr>
                <w:webHidden/>
              </w:rPr>
              <w:fldChar w:fldCharType="end"/>
            </w:r>
          </w:hyperlink>
        </w:p>
        <w:p w14:paraId="582C48B6" w14:textId="77777777" w:rsidR="00077598" w:rsidRDefault="003C3BBE">
          <w:pPr>
            <w:pStyle w:val="TOC1"/>
            <w:rPr>
              <w:rFonts w:asciiTheme="minorHAnsi" w:eastAsiaTheme="minorEastAsia" w:hAnsiTheme="minorHAnsi" w:cstheme="minorBidi"/>
              <w:sz w:val="22"/>
              <w:szCs w:val="22"/>
              <w:lang w:eastAsia="lv-LV"/>
            </w:rPr>
          </w:pPr>
          <w:hyperlink w:anchor="_Toc457815684" w:history="1">
            <w:r w:rsidR="00077598" w:rsidRPr="00077598">
              <w:rPr>
                <w:rStyle w:val="Hyperlink"/>
                <w:b/>
              </w:rPr>
              <w:t>6. Nepieciešamie dati ietekmes izvērtēšanai un uzraudzības nodrošināšanai</w:t>
            </w:r>
            <w:r w:rsidR="00077598" w:rsidRPr="00077598">
              <w:rPr>
                <w:webHidden/>
              </w:rPr>
              <w:tab/>
            </w:r>
            <w:r w:rsidR="00230195" w:rsidRPr="00077598">
              <w:rPr>
                <w:webHidden/>
              </w:rPr>
              <w:fldChar w:fldCharType="begin"/>
            </w:r>
            <w:r w:rsidR="00077598" w:rsidRPr="00077598">
              <w:rPr>
                <w:webHidden/>
              </w:rPr>
              <w:instrText xml:space="preserve"> PAGEREF _Toc457815684 \h </w:instrText>
            </w:r>
            <w:r w:rsidR="00230195" w:rsidRPr="00077598">
              <w:rPr>
                <w:webHidden/>
              </w:rPr>
            </w:r>
            <w:r w:rsidR="00230195" w:rsidRPr="00077598">
              <w:rPr>
                <w:webHidden/>
              </w:rPr>
              <w:fldChar w:fldCharType="separate"/>
            </w:r>
            <w:r w:rsidR="00CC42DB">
              <w:rPr>
                <w:webHidden/>
              </w:rPr>
              <w:t>52</w:t>
            </w:r>
            <w:r w:rsidR="00230195" w:rsidRPr="00077598">
              <w:rPr>
                <w:webHidden/>
              </w:rPr>
              <w:fldChar w:fldCharType="end"/>
            </w:r>
          </w:hyperlink>
        </w:p>
        <w:p w14:paraId="35EE4FC0" w14:textId="77777777" w:rsidR="00A83039" w:rsidRPr="00420175" w:rsidRDefault="00230195" w:rsidP="00081DDA">
          <w:pPr>
            <w:pStyle w:val="TOC1"/>
            <w:spacing w:line="240" w:lineRule="auto"/>
          </w:pPr>
          <w:r w:rsidRPr="00A87CE3">
            <w:fldChar w:fldCharType="end"/>
          </w:r>
        </w:p>
      </w:sdtContent>
    </w:sdt>
    <w:p w14:paraId="1276463B" w14:textId="77777777" w:rsidR="00D74261" w:rsidRPr="00420175" w:rsidRDefault="00D74261" w:rsidP="00A83039">
      <w:pPr>
        <w:rPr>
          <w:lang w:eastAsia="zh-TW"/>
        </w:rPr>
        <w:sectPr w:rsidR="00D74261" w:rsidRPr="00420175" w:rsidSect="00EE2636">
          <w:headerReference w:type="even" r:id="rId12"/>
          <w:headerReference w:type="default" r:id="rId13"/>
          <w:footerReference w:type="default" r:id="rId14"/>
          <w:pgSz w:w="11907" w:h="16840" w:code="9"/>
          <w:pgMar w:top="567" w:right="1559" w:bottom="1134" w:left="1701" w:header="720" w:footer="720" w:gutter="0"/>
          <w:pgNumType w:start="1"/>
          <w:cols w:space="720"/>
          <w:titlePg/>
          <w:docGrid w:linePitch="326"/>
        </w:sectPr>
      </w:pPr>
    </w:p>
    <w:p w14:paraId="5E70F1DD" w14:textId="77777777" w:rsidR="006C208C" w:rsidRPr="00EE7E61" w:rsidRDefault="0028052D" w:rsidP="00EE7E61">
      <w:pPr>
        <w:pStyle w:val="Heading1"/>
        <w:jc w:val="center"/>
      </w:pPr>
      <w:bookmarkStart w:id="2" w:name="_Toc457815665"/>
      <w:r>
        <w:lastRenderedPageBreak/>
        <w:t>Augstskolu</w:t>
      </w:r>
      <w:r w:rsidR="0016535A">
        <w:t xml:space="preserve"> nosaukumu s</w:t>
      </w:r>
      <w:r w:rsidR="006C208C" w:rsidRPr="00EE7E61">
        <w:t>aīsinājumi</w:t>
      </w:r>
      <w:bookmarkEnd w:id="2"/>
    </w:p>
    <w:p w14:paraId="2DFBA079" w14:textId="77777777" w:rsidR="006B1496" w:rsidRPr="00132479" w:rsidRDefault="006B1496" w:rsidP="00132479">
      <w:pPr>
        <w:rPr>
          <w:lang w:eastAsia="zh-TW"/>
        </w:rPr>
      </w:pPr>
    </w:p>
    <w:tbl>
      <w:tblPr>
        <w:tblStyle w:val="TableGrid"/>
        <w:tblW w:w="0" w:type="auto"/>
        <w:tblLook w:val="04A0" w:firstRow="1" w:lastRow="0" w:firstColumn="1" w:lastColumn="0" w:noHBand="0" w:noVBand="1"/>
      </w:tblPr>
      <w:tblGrid>
        <w:gridCol w:w="658"/>
        <w:gridCol w:w="3003"/>
        <w:gridCol w:w="5401"/>
      </w:tblGrid>
      <w:tr w:rsidR="00716328" w:rsidRPr="00771A2A" w14:paraId="4EDDAD17" w14:textId="77777777" w:rsidTr="00716328">
        <w:tc>
          <w:tcPr>
            <w:tcW w:w="9288" w:type="dxa"/>
            <w:gridSpan w:val="3"/>
          </w:tcPr>
          <w:p w14:paraId="29481F18" w14:textId="77777777" w:rsidR="00716328" w:rsidRPr="0088074C" w:rsidRDefault="00716328" w:rsidP="0028052D">
            <w:pPr>
              <w:spacing w:before="40" w:after="40"/>
              <w:rPr>
                <w:szCs w:val="24"/>
              </w:rPr>
            </w:pPr>
            <w:bookmarkStart w:id="3" w:name="_Toc409448067"/>
            <w:r w:rsidRPr="0088074C">
              <w:rPr>
                <w:b/>
                <w:color w:val="1F4E79"/>
                <w:szCs w:val="22"/>
              </w:rPr>
              <w:t xml:space="preserve">Valsts </w:t>
            </w:r>
            <w:r w:rsidR="0028052D">
              <w:rPr>
                <w:b/>
                <w:color w:val="1F4E79"/>
                <w:szCs w:val="22"/>
              </w:rPr>
              <w:t>augstskolas</w:t>
            </w:r>
          </w:p>
        </w:tc>
      </w:tr>
      <w:tr w:rsidR="00716328" w:rsidRPr="000115AD" w14:paraId="2BC300C0" w14:textId="77777777" w:rsidTr="0088074C">
        <w:tc>
          <w:tcPr>
            <w:tcW w:w="675" w:type="dxa"/>
            <w:vAlign w:val="center"/>
          </w:tcPr>
          <w:p w14:paraId="29462F3D" w14:textId="77777777" w:rsidR="00716328" w:rsidRPr="000115AD" w:rsidRDefault="00716328" w:rsidP="00B47005">
            <w:pPr>
              <w:pStyle w:val="ListParagraph"/>
              <w:numPr>
                <w:ilvl w:val="0"/>
                <w:numId w:val="18"/>
              </w:numPr>
              <w:spacing w:before="40" w:after="40"/>
              <w:ind w:left="357" w:hanging="357"/>
              <w:jc w:val="left"/>
              <w:rPr>
                <w:szCs w:val="24"/>
              </w:rPr>
            </w:pPr>
          </w:p>
        </w:tc>
        <w:tc>
          <w:tcPr>
            <w:tcW w:w="3078" w:type="dxa"/>
            <w:vAlign w:val="center"/>
          </w:tcPr>
          <w:p w14:paraId="048EEF83" w14:textId="77777777" w:rsidR="00716328" w:rsidRPr="000115AD" w:rsidRDefault="00C7468B" w:rsidP="0088074C">
            <w:pPr>
              <w:spacing w:before="40" w:after="40"/>
              <w:rPr>
                <w:szCs w:val="24"/>
              </w:rPr>
            </w:pPr>
            <w:r w:rsidRPr="002A5CF2">
              <w:rPr>
                <w:szCs w:val="24"/>
              </w:rPr>
              <w:t>BA</w:t>
            </w:r>
          </w:p>
        </w:tc>
        <w:tc>
          <w:tcPr>
            <w:tcW w:w="5535" w:type="dxa"/>
            <w:vAlign w:val="center"/>
          </w:tcPr>
          <w:p w14:paraId="7A87187A" w14:textId="77777777" w:rsidR="00716328" w:rsidRPr="000115AD" w:rsidRDefault="00C7468B" w:rsidP="0088074C">
            <w:pPr>
              <w:spacing w:before="40" w:after="40"/>
              <w:rPr>
                <w:szCs w:val="24"/>
              </w:rPr>
            </w:pPr>
            <w:r w:rsidRPr="002A5CF2">
              <w:rPr>
                <w:szCs w:val="24"/>
              </w:rPr>
              <w:t>Banku augstskola</w:t>
            </w:r>
          </w:p>
        </w:tc>
      </w:tr>
      <w:tr w:rsidR="00716328" w:rsidRPr="000115AD" w14:paraId="4DFE8C6D" w14:textId="77777777" w:rsidTr="0088074C">
        <w:tc>
          <w:tcPr>
            <w:tcW w:w="675" w:type="dxa"/>
            <w:vAlign w:val="center"/>
          </w:tcPr>
          <w:p w14:paraId="7300861C" w14:textId="77777777" w:rsidR="00716328" w:rsidRPr="000115AD" w:rsidRDefault="00716328" w:rsidP="00B47005">
            <w:pPr>
              <w:pStyle w:val="ListParagraph"/>
              <w:numPr>
                <w:ilvl w:val="0"/>
                <w:numId w:val="18"/>
              </w:numPr>
              <w:spacing w:before="40" w:after="40"/>
              <w:ind w:left="357" w:hanging="357"/>
              <w:jc w:val="left"/>
              <w:rPr>
                <w:szCs w:val="24"/>
              </w:rPr>
            </w:pPr>
          </w:p>
        </w:tc>
        <w:tc>
          <w:tcPr>
            <w:tcW w:w="3078" w:type="dxa"/>
            <w:vAlign w:val="center"/>
          </w:tcPr>
          <w:p w14:paraId="7625E17F" w14:textId="77777777" w:rsidR="00716328" w:rsidRPr="000115AD" w:rsidRDefault="00C7468B" w:rsidP="0088074C">
            <w:pPr>
              <w:spacing w:before="40" w:after="40"/>
              <w:rPr>
                <w:szCs w:val="24"/>
              </w:rPr>
            </w:pPr>
            <w:r w:rsidRPr="002A5CF2">
              <w:rPr>
                <w:szCs w:val="24"/>
              </w:rPr>
              <w:t>DU</w:t>
            </w:r>
          </w:p>
        </w:tc>
        <w:tc>
          <w:tcPr>
            <w:tcW w:w="5535" w:type="dxa"/>
            <w:vAlign w:val="center"/>
          </w:tcPr>
          <w:p w14:paraId="2648B2C2" w14:textId="77777777" w:rsidR="00716328" w:rsidRPr="000115AD" w:rsidRDefault="00C7468B" w:rsidP="0088074C">
            <w:pPr>
              <w:spacing w:before="40" w:after="40"/>
              <w:rPr>
                <w:szCs w:val="24"/>
              </w:rPr>
            </w:pPr>
            <w:r w:rsidRPr="002A5CF2">
              <w:rPr>
                <w:szCs w:val="24"/>
              </w:rPr>
              <w:t>Daugavpils Universitāte</w:t>
            </w:r>
          </w:p>
        </w:tc>
      </w:tr>
      <w:tr w:rsidR="003242F3" w:rsidRPr="000115AD" w14:paraId="5B58911E" w14:textId="77777777" w:rsidTr="0088074C">
        <w:tc>
          <w:tcPr>
            <w:tcW w:w="675" w:type="dxa"/>
            <w:vAlign w:val="center"/>
          </w:tcPr>
          <w:p w14:paraId="395E042B" w14:textId="77777777" w:rsidR="003242F3" w:rsidRPr="000115AD" w:rsidRDefault="003242F3" w:rsidP="00B47005">
            <w:pPr>
              <w:pStyle w:val="ListParagraph"/>
              <w:numPr>
                <w:ilvl w:val="0"/>
                <w:numId w:val="18"/>
              </w:numPr>
              <w:spacing w:before="40" w:after="40"/>
              <w:ind w:left="357" w:hanging="357"/>
              <w:jc w:val="left"/>
              <w:rPr>
                <w:szCs w:val="24"/>
              </w:rPr>
            </w:pPr>
          </w:p>
        </w:tc>
        <w:tc>
          <w:tcPr>
            <w:tcW w:w="3078" w:type="dxa"/>
            <w:vAlign w:val="center"/>
          </w:tcPr>
          <w:p w14:paraId="66D2C5E7" w14:textId="77777777" w:rsidR="003242F3" w:rsidRPr="002A5CF2" w:rsidRDefault="003242F3" w:rsidP="0088074C">
            <w:pPr>
              <w:spacing w:before="40" w:after="40"/>
              <w:rPr>
                <w:szCs w:val="24"/>
              </w:rPr>
            </w:pPr>
            <w:proofErr w:type="spellStart"/>
            <w:r w:rsidRPr="003242F3">
              <w:rPr>
                <w:szCs w:val="24"/>
              </w:rPr>
              <w:t>LiepU</w:t>
            </w:r>
            <w:proofErr w:type="spellEnd"/>
          </w:p>
        </w:tc>
        <w:tc>
          <w:tcPr>
            <w:tcW w:w="5535" w:type="dxa"/>
            <w:vAlign w:val="center"/>
          </w:tcPr>
          <w:p w14:paraId="3EFF186B" w14:textId="77777777" w:rsidR="003242F3" w:rsidRPr="002A5CF2" w:rsidRDefault="003242F3" w:rsidP="0088074C">
            <w:pPr>
              <w:spacing w:before="40" w:after="40"/>
              <w:rPr>
                <w:szCs w:val="24"/>
              </w:rPr>
            </w:pPr>
            <w:r w:rsidRPr="003242F3">
              <w:rPr>
                <w:szCs w:val="24"/>
              </w:rPr>
              <w:t>Liepājas Universitāte</w:t>
            </w:r>
          </w:p>
        </w:tc>
      </w:tr>
      <w:tr w:rsidR="00716328" w:rsidRPr="000115AD" w14:paraId="4B4107EC" w14:textId="77777777" w:rsidTr="0088074C">
        <w:tc>
          <w:tcPr>
            <w:tcW w:w="675" w:type="dxa"/>
            <w:vAlign w:val="center"/>
          </w:tcPr>
          <w:p w14:paraId="6FC41A57" w14:textId="77777777" w:rsidR="00716328" w:rsidRPr="000115AD" w:rsidRDefault="00716328" w:rsidP="00B47005">
            <w:pPr>
              <w:pStyle w:val="ListParagraph"/>
              <w:numPr>
                <w:ilvl w:val="0"/>
                <w:numId w:val="18"/>
              </w:numPr>
              <w:spacing w:before="40" w:after="40"/>
              <w:ind w:left="357" w:hanging="357"/>
              <w:jc w:val="left"/>
              <w:rPr>
                <w:szCs w:val="24"/>
              </w:rPr>
            </w:pPr>
          </w:p>
        </w:tc>
        <w:tc>
          <w:tcPr>
            <w:tcW w:w="3078" w:type="dxa"/>
            <w:vAlign w:val="center"/>
          </w:tcPr>
          <w:p w14:paraId="513371C4" w14:textId="77777777" w:rsidR="00716328" w:rsidRPr="000115AD" w:rsidRDefault="00C7468B" w:rsidP="0088074C">
            <w:pPr>
              <w:spacing w:before="40" w:after="40"/>
              <w:rPr>
                <w:szCs w:val="24"/>
              </w:rPr>
            </w:pPr>
            <w:r w:rsidRPr="002A5CF2">
              <w:rPr>
                <w:szCs w:val="24"/>
              </w:rPr>
              <w:t>LJA</w:t>
            </w:r>
          </w:p>
        </w:tc>
        <w:tc>
          <w:tcPr>
            <w:tcW w:w="5535" w:type="dxa"/>
            <w:vAlign w:val="center"/>
          </w:tcPr>
          <w:p w14:paraId="3DA05747" w14:textId="77777777" w:rsidR="00716328" w:rsidRPr="000115AD" w:rsidRDefault="00C7468B" w:rsidP="0088074C">
            <w:pPr>
              <w:spacing w:before="40" w:after="40"/>
              <w:rPr>
                <w:szCs w:val="24"/>
              </w:rPr>
            </w:pPr>
            <w:r w:rsidRPr="002A5CF2">
              <w:rPr>
                <w:szCs w:val="24"/>
              </w:rPr>
              <w:t>Latvijas Jūras akadēmija</w:t>
            </w:r>
          </w:p>
        </w:tc>
      </w:tr>
      <w:tr w:rsidR="00716328" w:rsidRPr="000115AD" w14:paraId="1086FDBF" w14:textId="77777777" w:rsidTr="0088074C">
        <w:tc>
          <w:tcPr>
            <w:tcW w:w="675" w:type="dxa"/>
            <w:vAlign w:val="center"/>
          </w:tcPr>
          <w:p w14:paraId="18D9CD5E" w14:textId="77777777" w:rsidR="00716328" w:rsidRPr="000115AD" w:rsidRDefault="00716328" w:rsidP="00B47005">
            <w:pPr>
              <w:pStyle w:val="ListParagraph"/>
              <w:numPr>
                <w:ilvl w:val="0"/>
                <w:numId w:val="18"/>
              </w:numPr>
              <w:spacing w:before="40" w:after="40"/>
              <w:ind w:left="357" w:hanging="357"/>
              <w:jc w:val="left"/>
              <w:rPr>
                <w:szCs w:val="24"/>
              </w:rPr>
            </w:pPr>
          </w:p>
        </w:tc>
        <w:tc>
          <w:tcPr>
            <w:tcW w:w="3078" w:type="dxa"/>
            <w:vAlign w:val="center"/>
          </w:tcPr>
          <w:p w14:paraId="76A84073" w14:textId="77777777" w:rsidR="00716328" w:rsidRPr="000115AD" w:rsidRDefault="00C7468B" w:rsidP="0088074C">
            <w:pPr>
              <w:spacing w:before="40" w:after="40"/>
              <w:rPr>
                <w:szCs w:val="24"/>
              </w:rPr>
            </w:pPr>
            <w:proofErr w:type="spellStart"/>
            <w:r w:rsidRPr="002A5CF2">
              <w:rPr>
                <w:szCs w:val="24"/>
              </w:rPr>
              <w:t>LKuA</w:t>
            </w:r>
            <w:proofErr w:type="spellEnd"/>
          </w:p>
        </w:tc>
        <w:tc>
          <w:tcPr>
            <w:tcW w:w="5535" w:type="dxa"/>
            <w:vAlign w:val="center"/>
          </w:tcPr>
          <w:p w14:paraId="2FBD698C" w14:textId="77777777" w:rsidR="00716328" w:rsidRPr="000115AD" w:rsidRDefault="00C7468B" w:rsidP="0088074C">
            <w:pPr>
              <w:spacing w:before="40" w:after="40"/>
              <w:rPr>
                <w:szCs w:val="24"/>
              </w:rPr>
            </w:pPr>
            <w:r w:rsidRPr="002A5CF2">
              <w:rPr>
                <w:szCs w:val="24"/>
              </w:rPr>
              <w:t>Latvijas Kultūras akadēmija</w:t>
            </w:r>
          </w:p>
        </w:tc>
      </w:tr>
      <w:tr w:rsidR="00716328" w:rsidRPr="000115AD" w14:paraId="2ACA9CC3" w14:textId="77777777" w:rsidTr="0088074C">
        <w:tc>
          <w:tcPr>
            <w:tcW w:w="675" w:type="dxa"/>
            <w:vAlign w:val="center"/>
          </w:tcPr>
          <w:p w14:paraId="25C152B8" w14:textId="77777777" w:rsidR="00716328" w:rsidRPr="000115AD" w:rsidRDefault="00716328" w:rsidP="00B47005">
            <w:pPr>
              <w:pStyle w:val="ListParagraph"/>
              <w:numPr>
                <w:ilvl w:val="0"/>
                <w:numId w:val="18"/>
              </w:numPr>
              <w:spacing w:before="40" w:after="40"/>
              <w:ind w:left="357" w:hanging="357"/>
              <w:jc w:val="left"/>
              <w:rPr>
                <w:szCs w:val="24"/>
              </w:rPr>
            </w:pPr>
          </w:p>
        </w:tc>
        <w:tc>
          <w:tcPr>
            <w:tcW w:w="3078" w:type="dxa"/>
            <w:vAlign w:val="center"/>
          </w:tcPr>
          <w:p w14:paraId="048F1784" w14:textId="77777777" w:rsidR="00716328" w:rsidRPr="000115AD" w:rsidRDefault="00C7468B" w:rsidP="0088074C">
            <w:pPr>
              <w:spacing w:before="40" w:after="40"/>
              <w:rPr>
                <w:szCs w:val="24"/>
              </w:rPr>
            </w:pPr>
            <w:r w:rsidRPr="002A5CF2">
              <w:rPr>
                <w:szCs w:val="24"/>
              </w:rPr>
              <w:t>LLU</w:t>
            </w:r>
          </w:p>
        </w:tc>
        <w:tc>
          <w:tcPr>
            <w:tcW w:w="5535" w:type="dxa"/>
            <w:vAlign w:val="center"/>
          </w:tcPr>
          <w:p w14:paraId="0085DF0D" w14:textId="77777777" w:rsidR="00716328" w:rsidRPr="000115AD" w:rsidRDefault="00C7468B" w:rsidP="0088074C">
            <w:pPr>
              <w:spacing w:before="40" w:after="40"/>
              <w:rPr>
                <w:szCs w:val="24"/>
              </w:rPr>
            </w:pPr>
            <w:r w:rsidRPr="002A5CF2">
              <w:rPr>
                <w:szCs w:val="24"/>
              </w:rPr>
              <w:t>Latvijas Lauksaimniecības universitāte</w:t>
            </w:r>
          </w:p>
        </w:tc>
      </w:tr>
      <w:tr w:rsidR="004170F5" w:rsidRPr="000115AD" w14:paraId="74AA3D3B" w14:textId="77777777" w:rsidTr="0088074C">
        <w:tc>
          <w:tcPr>
            <w:tcW w:w="675" w:type="dxa"/>
            <w:vAlign w:val="center"/>
          </w:tcPr>
          <w:p w14:paraId="39ECB0AB" w14:textId="77777777" w:rsidR="004170F5" w:rsidRPr="000115AD" w:rsidRDefault="004170F5" w:rsidP="00B47005">
            <w:pPr>
              <w:pStyle w:val="ListParagraph"/>
              <w:numPr>
                <w:ilvl w:val="0"/>
                <w:numId w:val="18"/>
              </w:numPr>
              <w:spacing w:before="40" w:after="40"/>
              <w:ind w:left="357" w:hanging="357"/>
              <w:jc w:val="left"/>
              <w:rPr>
                <w:szCs w:val="24"/>
              </w:rPr>
            </w:pPr>
          </w:p>
        </w:tc>
        <w:tc>
          <w:tcPr>
            <w:tcW w:w="3078" w:type="dxa"/>
            <w:vAlign w:val="center"/>
          </w:tcPr>
          <w:p w14:paraId="48426E91" w14:textId="77777777" w:rsidR="004170F5" w:rsidRPr="002A5CF2" w:rsidRDefault="004170F5" w:rsidP="00C7468B">
            <w:pPr>
              <w:spacing w:before="40" w:after="40"/>
              <w:rPr>
                <w:szCs w:val="24"/>
              </w:rPr>
            </w:pPr>
            <w:proofErr w:type="spellStart"/>
            <w:r w:rsidRPr="004170F5">
              <w:rPr>
                <w:szCs w:val="24"/>
              </w:rPr>
              <w:t>LMāA</w:t>
            </w:r>
            <w:proofErr w:type="spellEnd"/>
          </w:p>
        </w:tc>
        <w:tc>
          <w:tcPr>
            <w:tcW w:w="5535" w:type="dxa"/>
            <w:vAlign w:val="center"/>
          </w:tcPr>
          <w:p w14:paraId="37989C20" w14:textId="77777777" w:rsidR="004170F5" w:rsidRPr="002A5CF2" w:rsidRDefault="004170F5" w:rsidP="00C7468B">
            <w:pPr>
              <w:spacing w:before="40" w:after="40"/>
              <w:rPr>
                <w:szCs w:val="24"/>
              </w:rPr>
            </w:pPr>
            <w:r w:rsidRPr="004170F5">
              <w:rPr>
                <w:szCs w:val="24"/>
              </w:rPr>
              <w:t>Latvijas Mākslas akadēmija</w:t>
            </w:r>
          </w:p>
        </w:tc>
      </w:tr>
      <w:tr w:rsidR="00C7468B" w:rsidRPr="000115AD" w14:paraId="7AE48C5E" w14:textId="77777777" w:rsidTr="0088074C">
        <w:tc>
          <w:tcPr>
            <w:tcW w:w="675" w:type="dxa"/>
            <w:vAlign w:val="center"/>
          </w:tcPr>
          <w:p w14:paraId="41FBF6D2"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vAlign w:val="center"/>
          </w:tcPr>
          <w:p w14:paraId="7A38AFD3" w14:textId="77777777" w:rsidR="00C7468B" w:rsidRPr="000115AD" w:rsidRDefault="003E4ACC" w:rsidP="00C7468B">
            <w:pPr>
              <w:spacing w:before="40" w:after="40"/>
              <w:rPr>
                <w:szCs w:val="24"/>
              </w:rPr>
            </w:pPr>
            <w:r>
              <w:rPr>
                <w:szCs w:val="24"/>
              </w:rPr>
              <w:t>JVLMA</w:t>
            </w:r>
          </w:p>
        </w:tc>
        <w:tc>
          <w:tcPr>
            <w:tcW w:w="5535" w:type="dxa"/>
            <w:vAlign w:val="center"/>
          </w:tcPr>
          <w:p w14:paraId="6BBE342D" w14:textId="77777777" w:rsidR="00C7468B" w:rsidRPr="000115AD" w:rsidRDefault="00C7468B" w:rsidP="00C7468B">
            <w:pPr>
              <w:spacing w:before="40" w:after="40"/>
              <w:rPr>
                <w:szCs w:val="24"/>
              </w:rPr>
            </w:pPr>
            <w:r w:rsidRPr="002A5CF2">
              <w:rPr>
                <w:szCs w:val="24"/>
              </w:rPr>
              <w:t>J</w:t>
            </w:r>
            <w:r w:rsidR="00191DA2">
              <w:rPr>
                <w:szCs w:val="24"/>
              </w:rPr>
              <w:t xml:space="preserve">āzepa </w:t>
            </w:r>
            <w:r w:rsidRPr="002A5CF2">
              <w:rPr>
                <w:szCs w:val="24"/>
              </w:rPr>
              <w:t>Vītola Latvijas Mūzikas akadēmija</w:t>
            </w:r>
          </w:p>
        </w:tc>
      </w:tr>
      <w:tr w:rsidR="00C7468B" w:rsidRPr="000115AD" w14:paraId="0A1D73AF" w14:textId="77777777" w:rsidTr="0088074C">
        <w:tc>
          <w:tcPr>
            <w:tcW w:w="675" w:type="dxa"/>
            <w:vAlign w:val="center"/>
          </w:tcPr>
          <w:p w14:paraId="2CE9F340"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vAlign w:val="center"/>
          </w:tcPr>
          <w:p w14:paraId="2625B6E4" w14:textId="77777777" w:rsidR="00C7468B" w:rsidRPr="000115AD" w:rsidRDefault="00C7468B" w:rsidP="00C7468B">
            <w:pPr>
              <w:spacing w:before="40" w:after="40"/>
              <w:rPr>
                <w:szCs w:val="24"/>
              </w:rPr>
            </w:pPr>
            <w:r w:rsidRPr="002A5CF2">
              <w:rPr>
                <w:szCs w:val="24"/>
              </w:rPr>
              <w:t>LNAA</w:t>
            </w:r>
          </w:p>
        </w:tc>
        <w:tc>
          <w:tcPr>
            <w:tcW w:w="5535" w:type="dxa"/>
            <w:vAlign w:val="center"/>
          </w:tcPr>
          <w:p w14:paraId="0FE61E1A" w14:textId="77777777" w:rsidR="00C7468B" w:rsidRPr="000115AD" w:rsidRDefault="00C7468B" w:rsidP="00C7468B">
            <w:pPr>
              <w:spacing w:before="40" w:after="40"/>
              <w:rPr>
                <w:szCs w:val="24"/>
              </w:rPr>
            </w:pPr>
            <w:r w:rsidRPr="002A5CF2">
              <w:rPr>
                <w:szCs w:val="24"/>
              </w:rPr>
              <w:t>Latvijas Nacionālā aizsardzības akadēmija</w:t>
            </w:r>
          </w:p>
        </w:tc>
      </w:tr>
      <w:tr w:rsidR="00C7468B" w:rsidRPr="000115AD" w14:paraId="51BBB005" w14:textId="77777777" w:rsidTr="0088074C">
        <w:tc>
          <w:tcPr>
            <w:tcW w:w="675" w:type="dxa"/>
            <w:vAlign w:val="center"/>
          </w:tcPr>
          <w:p w14:paraId="26EBC8CF"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vAlign w:val="center"/>
          </w:tcPr>
          <w:p w14:paraId="3E836492" w14:textId="77777777" w:rsidR="00C7468B" w:rsidRPr="000115AD" w:rsidRDefault="00C7468B" w:rsidP="0088074C">
            <w:pPr>
              <w:spacing w:before="40" w:after="40"/>
              <w:rPr>
                <w:szCs w:val="24"/>
              </w:rPr>
            </w:pPr>
            <w:r w:rsidRPr="002A5CF2">
              <w:rPr>
                <w:szCs w:val="24"/>
              </w:rPr>
              <w:t>LSPA</w:t>
            </w:r>
          </w:p>
        </w:tc>
        <w:tc>
          <w:tcPr>
            <w:tcW w:w="5535" w:type="dxa"/>
            <w:vAlign w:val="center"/>
          </w:tcPr>
          <w:p w14:paraId="51B617CB" w14:textId="77777777" w:rsidR="00C7468B" w:rsidRPr="000115AD" w:rsidRDefault="00C7468B" w:rsidP="0088074C">
            <w:pPr>
              <w:spacing w:before="40" w:after="40"/>
              <w:rPr>
                <w:szCs w:val="24"/>
              </w:rPr>
            </w:pPr>
            <w:r w:rsidRPr="002A5CF2">
              <w:rPr>
                <w:szCs w:val="24"/>
              </w:rPr>
              <w:t>Latvijas Sporta pedagoģijas akadēmija</w:t>
            </w:r>
          </w:p>
        </w:tc>
      </w:tr>
      <w:tr w:rsidR="00C7468B" w:rsidRPr="000115AD" w14:paraId="1B4C112D" w14:textId="77777777" w:rsidTr="0088074C">
        <w:tc>
          <w:tcPr>
            <w:tcW w:w="675" w:type="dxa"/>
            <w:vAlign w:val="center"/>
          </w:tcPr>
          <w:p w14:paraId="285C9186"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vAlign w:val="center"/>
          </w:tcPr>
          <w:p w14:paraId="02479621" w14:textId="77777777" w:rsidR="00C7468B" w:rsidRPr="000115AD" w:rsidRDefault="00C7468B" w:rsidP="00C7468B">
            <w:pPr>
              <w:spacing w:before="40" w:after="40"/>
              <w:rPr>
                <w:szCs w:val="24"/>
              </w:rPr>
            </w:pPr>
            <w:r w:rsidRPr="002A5CF2">
              <w:rPr>
                <w:szCs w:val="24"/>
              </w:rPr>
              <w:t>LU</w:t>
            </w:r>
          </w:p>
        </w:tc>
        <w:tc>
          <w:tcPr>
            <w:tcW w:w="5535" w:type="dxa"/>
            <w:vAlign w:val="center"/>
          </w:tcPr>
          <w:p w14:paraId="0F57184E" w14:textId="77777777" w:rsidR="00C7468B" w:rsidRPr="000115AD" w:rsidRDefault="00C7468B" w:rsidP="00C7468B">
            <w:pPr>
              <w:spacing w:before="40" w:after="40"/>
              <w:rPr>
                <w:szCs w:val="24"/>
              </w:rPr>
            </w:pPr>
            <w:r w:rsidRPr="002A5CF2">
              <w:rPr>
                <w:szCs w:val="24"/>
              </w:rPr>
              <w:t>Latvijas Universitāte</w:t>
            </w:r>
          </w:p>
        </w:tc>
      </w:tr>
      <w:tr w:rsidR="00C7468B" w:rsidRPr="000115AD" w14:paraId="31F46B5D" w14:textId="77777777" w:rsidTr="0088074C">
        <w:tc>
          <w:tcPr>
            <w:tcW w:w="675" w:type="dxa"/>
            <w:vAlign w:val="center"/>
          </w:tcPr>
          <w:p w14:paraId="503BB59A"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vAlign w:val="center"/>
          </w:tcPr>
          <w:p w14:paraId="1DB2AF03" w14:textId="77777777" w:rsidR="00C7468B" w:rsidRPr="000115AD" w:rsidRDefault="00C7468B" w:rsidP="0088074C">
            <w:pPr>
              <w:spacing w:before="40" w:after="40"/>
              <w:rPr>
                <w:szCs w:val="24"/>
              </w:rPr>
            </w:pPr>
            <w:r w:rsidRPr="002A5CF2">
              <w:rPr>
                <w:szCs w:val="24"/>
              </w:rPr>
              <w:t>R</w:t>
            </w:r>
            <w:r w:rsidR="002A5CF2" w:rsidRPr="002A5CF2">
              <w:rPr>
                <w:szCs w:val="24"/>
              </w:rPr>
              <w:t>T</w:t>
            </w:r>
            <w:r w:rsidRPr="002A5CF2">
              <w:rPr>
                <w:szCs w:val="24"/>
              </w:rPr>
              <w:t>A</w:t>
            </w:r>
          </w:p>
        </w:tc>
        <w:tc>
          <w:tcPr>
            <w:tcW w:w="5535" w:type="dxa"/>
            <w:vAlign w:val="center"/>
          </w:tcPr>
          <w:p w14:paraId="6AF0C64D" w14:textId="77777777" w:rsidR="00C7468B" w:rsidRPr="000115AD" w:rsidRDefault="00C7468B" w:rsidP="002A5CF2">
            <w:pPr>
              <w:spacing w:before="40" w:after="40"/>
              <w:rPr>
                <w:szCs w:val="24"/>
              </w:rPr>
            </w:pPr>
            <w:r w:rsidRPr="002A5CF2">
              <w:rPr>
                <w:szCs w:val="24"/>
              </w:rPr>
              <w:t xml:space="preserve">Rēzeknes </w:t>
            </w:r>
            <w:r w:rsidR="002A5CF2" w:rsidRPr="002A5CF2">
              <w:rPr>
                <w:szCs w:val="24"/>
              </w:rPr>
              <w:t>Tehnoloģiju akadēmija (iepriekš – Rēzeknes Augstskola)</w:t>
            </w:r>
          </w:p>
        </w:tc>
      </w:tr>
      <w:tr w:rsidR="00C7468B" w:rsidRPr="000115AD" w14:paraId="2BF4AA6A" w14:textId="77777777" w:rsidTr="0088074C">
        <w:tc>
          <w:tcPr>
            <w:tcW w:w="675" w:type="dxa"/>
            <w:vAlign w:val="center"/>
          </w:tcPr>
          <w:p w14:paraId="08C79E23"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vAlign w:val="center"/>
          </w:tcPr>
          <w:p w14:paraId="6D0A65E6" w14:textId="77777777" w:rsidR="00C7468B" w:rsidRPr="000115AD" w:rsidRDefault="00C7468B" w:rsidP="0088074C">
            <w:pPr>
              <w:spacing w:before="40" w:after="40"/>
              <w:rPr>
                <w:szCs w:val="24"/>
              </w:rPr>
            </w:pPr>
            <w:r w:rsidRPr="002A5CF2">
              <w:rPr>
                <w:szCs w:val="24"/>
              </w:rPr>
              <w:t>RPIVA</w:t>
            </w:r>
          </w:p>
        </w:tc>
        <w:tc>
          <w:tcPr>
            <w:tcW w:w="5535" w:type="dxa"/>
            <w:vAlign w:val="center"/>
          </w:tcPr>
          <w:p w14:paraId="42F429CE" w14:textId="77777777" w:rsidR="00C7468B" w:rsidRPr="000115AD" w:rsidRDefault="00C7468B" w:rsidP="0088074C">
            <w:pPr>
              <w:spacing w:before="40" w:after="40"/>
              <w:rPr>
                <w:szCs w:val="24"/>
              </w:rPr>
            </w:pPr>
            <w:r w:rsidRPr="002A5CF2">
              <w:rPr>
                <w:szCs w:val="24"/>
              </w:rPr>
              <w:t>Rīgas Pedagoģijas un izglītības vadības akadēmija</w:t>
            </w:r>
          </w:p>
        </w:tc>
      </w:tr>
      <w:tr w:rsidR="00C7468B" w:rsidRPr="000115AD" w14:paraId="1968A8AB" w14:textId="77777777" w:rsidTr="0088074C">
        <w:tc>
          <w:tcPr>
            <w:tcW w:w="675" w:type="dxa"/>
            <w:vAlign w:val="center"/>
          </w:tcPr>
          <w:p w14:paraId="643A7188"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vAlign w:val="center"/>
          </w:tcPr>
          <w:p w14:paraId="3122641F" w14:textId="77777777" w:rsidR="00C7468B" w:rsidRPr="000115AD" w:rsidRDefault="00205CC1" w:rsidP="0088074C">
            <w:pPr>
              <w:spacing w:before="40" w:after="40"/>
              <w:rPr>
                <w:szCs w:val="24"/>
              </w:rPr>
            </w:pPr>
            <w:r w:rsidRPr="00205CC1">
              <w:rPr>
                <w:szCs w:val="24"/>
              </w:rPr>
              <w:t>RSU</w:t>
            </w:r>
          </w:p>
        </w:tc>
        <w:tc>
          <w:tcPr>
            <w:tcW w:w="5535" w:type="dxa"/>
            <w:vAlign w:val="center"/>
          </w:tcPr>
          <w:p w14:paraId="0F67BA74" w14:textId="77777777" w:rsidR="00C7468B" w:rsidRPr="000115AD" w:rsidRDefault="00205CC1" w:rsidP="0088074C">
            <w:pPr>
              <w:spacing w:before="40" w:after="40"/>
              <w:rPr>
                <w:szCs w:val="24"/>
              </w:rPr>
            </w:pPr>
            <w:r w:rsidRPr="00205CC1">
              <w:rPr>
                <w:szCs w:val="24"/>
              </w:rPr>
              <w:t>Rīgas Stradiņa universitāte</w:t>
            </w:r>
          </w:p>
        </w:tc>
      </w:tr>
      <w:tr w:rsidR="00C7468B" w:rsidRPr="000115AD" w14:paraId="69C17FDB" w14:textId="77777777" w:rsidTr="0088074C">
        <w:tc>
          <w:tcPr>
            <w:tcW w:w="675" w:type="dxa"/>
            <w:vAlign w:val="center"/>
          </w:tcPr>
          <w:p w14:paraId="5F1B6842"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vAlign w:val="center"/>
          </w:tcPr>
          <w:p w14:paraId="397B9866" w14:textId="77777777" w:rsidR="00C7468B" w:rsidRPr="000115AD" w:rsidRDefault="00205CC1" w:rsidP="0088074C">
            <w:pPr>
              <w:spacing w:before="40" w:after="40"/>
              <w:rPr>
                <w:szCs w:val="24"/>
              </w:rPr>
            </w:pPr>
            <w:r>
              <w:rPr>
                <w:szCs w:val="24"/>
              </w:rPr>
              <w:t>RTU</w:t>
            </w:r>
          </w:p>
        </w:tc>
        <w:tc>
          <w:tcPr>
            <w:tcW w:w="5535" w:type="dxa"/>
            <w:vAlign w:val="center"/>
          </w:tcPr>
          <w:p w14:paraId="55925486" w14:textId="77777777" w:rsidR="00C7468B" w:rsidRPr="000115AD" w:rsidRDefault="00205CC1" w:rsidP="0010166D">
            <w:pPr>
              <w:spacing w:before="40" w:after="40"/>
              <w:rPr>
                <w:szCs w:val="24"/>
              </w:rPr>
            </w:pPr>
            <w:r w:rsidRPr="00205CC1">
              <w:rPr>
                <w:szCs w:val="24"/>
              </w:rPr>
              <w:t>Rīgas Tehniskā universitāte</w:t>
            </w:r>
          </w:p>
        </w:tc>
      </w:tr>
      <w:tr w:rsidR="00C7468B" w:rsidRPr="000115AD" w14:paraId="734C0FF5" w14:textId="77777777" w:rsidTr="0088074C">
        <w:tc>
          <w:tcPr>
            <w:tcW w:w="675" w:type="dxa"/>
            <w:vAlign w:val="center"/>
          </w:tcPr>
          <w:p w14:paraId="3F52D2F8"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vAlign w:val="center"/>
          </w:tcPr>
          <w:p w14:paraId="677448D6" w14:textId="77777777" w:rsidR="00C7468B" w:rsidRPr="000115AD" w:rsidRDefault="00205CC1" w:rsidP="0088074C">
            <w:pPr>
              <w:spacing w:before="40" w:after="40"/>
              <w:rPr>
                <w:szCs w:val="24"/>
              </w:rPr>
            </w:pPr>
            <w:proofErr w:type="spellStart"/>
            <w:r w:rsidRPr="00205CC1">
              <w:rPr>
                <w:szCs w:val="24"/>
              </w:rPr>
              <w:t>VeA</w:t>
            </w:r>
            <w:proofErr w:type="spellEnd"/>
          </w:p>
        </w:tc>
        <w:tc>
          <w:tcPr>
            <w:tcW w:w="5535" w:type="dxa"/>
            <w:vAlign w:val="center"/>
          </w:tcPr>
          <w:p w14:paraId="731B244A" w14:textId="77777777" w:rsidR="00C7468B" w:rsidRPr="000115AD" w:rsidRDefault="00205CC1" w:rsidP="0088074C">
            <w:pPr>
              <w:spacing w:before="40" w:after="40"/>
              <w:rPr>
                <w:szCs w:val="24"/>
              </w:rPr>
            </w:pPr>
            <w:r w:rsidRPr="00205CC1">
              <w:rPr>
                <w:szCs w:val="24"/>
              </w:rPr>
              <w:t>Ventspils Augstskola</w:t>
            </w:r>
          </w:p>
        </w:tc>
      </w:tr>
      <w:tr w:rsidR="00C7468B" w:rsidRPr="000115AD" w14:paraId="76BB842C" w14:textId="77777777" w:rsidTr="0088074C">
        <w:tc>
          <w:tcPr>
            <w:tcW w:w="675" w:type="dxa"/>
            <w:vAlign w:val="center"/>
          </w:tcPr>
          <w:p w14:paraId="480D2B8E" w14:textId="77777777" w:rsidR="00C7468B" w:rsidRPr="000115AD" w:rsidRDefault="00C7468B" w:rsidP="00B47005">
            <w:pPr>
              <w:pStyle w:val="ListParagraph"/>
              <w:numPr>
                <w:ilvl w:val="0"/>
                <w:numId w:val="18"/>
              </w:numPr>
              <w:spacing w:before="40" w:after="40"/>
              <w:ind w:left="357" w:hanging="357"/>
              <w:jc w:val="left"/>
              <w:rPr>
                <w:szCs w:val="24"/>
              </w:rPr>
            </w:pPr>
          </w:p>
        </w:tc>
        <w:tc>
          <w:tcPr>
            <w:tcW w:w="3078" w:type="dxa"/>
          </w:tcPr>
          <w:p w14:paraId="3C4CC2AC" w14:textId="77777777" w:rsidR="00C7468B" w:rsidRPr="00205CC1" w:rsidRDefault="00205CC1" w:rsidP="0088074C">
            <w:pPr>
              <w:spacing w:before="40" w:after="40"/>
              <w:jc w:val="left"/>
              <w:rPr>
                <w:szCs w:val="24"/>
              </w:rPr>
            </w:pPr>
            <w:proofErr w:type="spellStart"/>
            <w:r w:rsidRPr="00205CC1">
              <w:rPr>
                <w:szCs w:val="24"/>
              </w:rPr>
              <w:t>ViA</w:t>
            </w:r>
            <w:proofErr w:type="spellEnd"/>
          </w:p>
        </w:tc>
        <w:tc>
          <w:tcPr>
            <w:tcW w:w="5535" w:type="dxa"/>
          </w:tcPr>
          <w:p w14:paraId="67D52363" w14:textId="77777777" w:rsidR="00C7468B" w:rsidRPr="00205CC1" w:rsidRDefault="00205CC1" w:rsidP="0088074C">
            <w:pPr>
              <w:spacing w:before="40" w:after="40"/>
              <w:jc w:val="left"/>
              <w:rPr>
                <w:szCs w:val="24"/>
              </w:rPr>
            </w:pPr>
            <w:r w:rsidRPr="00205CC1">
              <w:rPr>
                <w:szCs w:val="24"/>
              </w:rPr>
              <w:t>Vidzemes Augstskola</w:t>
            </w:r>
          </w:p>
        </w:tc>
      </w:tr>
      <w:tr w:rsidR="00C7468B" w14:paraId="7F627FE7" w14:textId="77777777" w:rsidTr="00716328">
        <w:tc>
          <w:tcPr>
            <w:tcW w:w="9288" w:type="dxa"/>
            <w:gridSpan w:val="3"/>
          </w:tcPr>
          <w:p w14:paraId="12CA8BD1" w14:textId="77777777" w:rsidR="00C7468B" w:rsidRPr="0088074C" w:rsidRDefault="00C7468B" w:rsidP="0028052D">
            <w:pPr>
              <w:spacing w:before="40" w:after="40"/>
              <w:jc w:val="left"/>
              <w:rPr>
                <w:sz w:val="22"/>
                <w:szCs w:val="22"/>
              </w:rPr>
            </w:pPr>
            <w:r w:rsidRPr="0088074C">
              <w:rPr>
                <w:b/>
                <w:color w:val="1F4E79"/>
                <w:szCs w:val="22"/>
              </w:rPr>
              <w:t xml:space="preserve">Juridisko personu dibinātās </w:t>
            </w:r>
            <w:r>
              <w:rPr>
                <w:b/>
                <w:color w:val="1F4E79"/>
                <w:szCs w:val="22"/>
              </w:rPr>
              <w:t>augstskolas</w:t>
            </w:r>
          </w:p>
        </w:tc>
      </w:tr>
      <w:tr w:rsidR="00C7468B" w:rsidRPr="000115AD" w14:paraId="7A423CED" w14:textId="77777777" w:rsidTr="0088074C">
        <w:tc>
          <w:tcPr>
            <w:tcW w:w="675" w:type="dxa"/>
            <w:vAlign w:val="center"/>
          </w:tcPr>
          <w:p w14:paraId="00D1BCDB" w14:textId="77777777" w:rsidR="00C7468B" w:rsidRPr="000115AD" w:rsidRDefault="00C7468B" w:rsidP="00B47005">
            <w:pPr>
              <w:pStyle w:val="ListParagraph"/>
              <w:numPr>
                <w:ilvl w:val="0"/>
                <w:numId w:val="17"/>
              </w:numPr>
              <w:spacing w:before="40" w:after="40"/>
              <w:ind w:left="357" w:hanging="357"/>
              <w:jc w:val="left"/>
              <w:rPr>
                <w:szCs w:val="24"/>
              </w:rPr>
            </w:pPr>
          </w:p>
        </w:tc>
        <w:tc>
          <w:tcPr>
            <w:tcW w:w="3078" w:type="dxa"/>
            <w:vAlign w:val="center"/>
          </w:tcPr>
          <w:p w14:paraId="0946BB75" w14:textId="77777777" w:rsidR="00C7468B" w:rsidRPr="000115AD" w:rsidRDefault="003242F3" w:rsidP="0088074C">
            <w:pPr>
              <w:spacing w:before="40" w:after="40"/>
              <w:rPr>
                <w:szCs w:val="24"/>
              </w:rPr>
            </w:pPr>
            <w:r w:rsidRPr="00F17EB8">
              <w:rPr>
                <w:szCs w:val="24"/>
              </w:rPr>
              <w:t>BAT</w:t>
            </w:r>
          </w:p>
        </w:tc>
        <w:tc>
          <w:tcPr>
            <w:tcW w:w="5535" w:type="dxa"/>
            <w:vAlign w:val="center"/>
          </w:tcPr>
          <w:p w14:paraId="79923D2F" w14:textId="77777777" w:rsidR="00C7468B" w:rsidRPr="000115AD" w:rsidRDefault="003242F3" w:rsidP="0088074C">
            <w:pPr>
              <w:spacing w:before="40" w:after="40"/>
              <w:rPr>
                <w:szCs w:val="24"/>
              </w:rPr>
            </w:pPr>
            <w:r w:rsidRPr="00F17EB8">
              <w:rPr>
                <w:szCs w:val="24"/>
              </w:rPr>
              <w:t>Biznesa augstskola "Turība"</w:t>
            </w:r>
          </w:p>
        </w:tc>
      </w:tr>
      <w:tr w:rsidR="00C7468B" w:rsidRPr="000115AD" w14:paraId="18939AFB" w14:textId="77777777" w:rsidTr="0088074C">
        <w:tc>
          <w:tcPr>
            <w:tcW w:w="675" w:type="dxa"/>
            <w:vAlign w:val="center"/>
          </w:tcPr>
          <w:p w14:paraId="5A285AA4" w14:textId="77777777" w:rsidR="00C7468B" w:rsidRPr="000115AD" w:rsidRDefault="00C7468B" w:rsidP="00B47005">
            <w:pPr>
              <w:pStyle w:val="ListParagraph"/>
              <w:numPr>
                <w:ilvl w:val="0"/>
                <w:numId w:val="17"/>
              </w:numPr>
              <w:spacing w:before="40" w:after="40"/>
              <w:ind w:left="357" w:hanging="357"/>
              <w:jc w:val="left"/>
              <w:rPr>
                <w:szCs w:val="24"/>
              </w:rPr>
            </w:pPr>
          </w:p>
        </w:tc>
        <w:tc>
          <w:tcPr>
            <w:tcW w:w="3078" w:type="dxa"/>
          </w:tcPr>
          <w:p w14:paraId="592A19DF" w14:textId="77777777" w:rsidR="00C7468B" w:rsidRPr="000115AD" w:rsidRDefault="003242F3" w:rsidP="0088074C">
            <w:pPr>
              <w:spacing w:before="40" w:after="40"/>
              <w:jc w:val="left"/>
              <w:rPr>
                <w:szCs w:val="24"/>
              </w:rPr>
            </w:pPr>
            <w:r w:rsidRPr="00F17EB8">
              <w:rPr>
                <w:szCs w:val="24"/>
              </w:rPr>
              <w:t>BSA</w:t>
            </w:r>
          </w:p>
        </w:tc>
        <w:tc>
          <w:tcPr>
            <w:tcW w:w="5535" w:type="dxa"/>
          </w:tcPr>
          <w:p w14:paraId="3F2F671D" w14:textId="77777777" w:rsidR="00C7468B" w:rsidRPr="000115AD" w:rsidRDefault="003242F3" w:rsidP="0088074C">
            <w:pPr>
              <w:spacing w:before="40" w:after="40"/>
              <w:jc w:val="left"/>
              <w:rPr>
                <w:szCs w:val="24"/>
              </w:rPr>
            </w:pPr>
            <w:r w:rsidRPr="00F17EB8">
              <w:rPr>
                <w:szCs w:val="24"/>
              </w:rPr>
              <w:t>Baltijas Starptautiskā akadēmija</w:t>
            </w:r>
          </w:p>
        </w:tc>
      </w:tr>
      <w:tr w:rsidR="00C7468B" w:rsidRPr="000115AD" w14:paraId="1D115E23" w14:textId="77777777" w:rsidTr="0088074C">
        <w:tc>
          <w:tcPr>
            <w:tcW w:w="675" w:type="dxa"/>
            <w:vAlign w:val="center"/>
          </w:tcPr>
          <w:p w14:paraId="71AD41AF" w14:textId="77777777" w:rsidR="00C7468B" w:rsidRPr="000115AD" w:rsidRDefault="00C7468B" w:rsidP="00B47005">
            <w:pPr>
              <w:pStyle w:val="ListParagraph"/>
              <w:numPr>
                <w:ilvl w:val="0"/>
                <w:numId w:val="17"/>
              </w:numPr>
              <w:spacing w:before="40" w:after="40"/>
              <w:ind w:left="357" w:hanging="357"/>
              <w:jc w:val="left"/>
              <w:rPr>
                <w:szCs w:val="24"/>
              </w:rPr>
            </w:pPr>
          </w:p>
        </w:tc>
        <w:tc>
          <w:tcPr>
            <w:tcW w:w="3078" w:type="dxa"/>
          </w:tcPr>
          <w:p w14:paraId="1EBDC0C0" w14:textId="77777777" w:rsidR="00C7468B" w:rsidRPr="000115AD" w:rsidRDefault="003242F3" w:rsidP="0088074C">
            <w:pPr>
              <w:spacing w:before="40" w:after="40"/>
              <w:jc w:val="left"/>
              <w:rPr>
                <w:szCs w:val="24"/>
              </w:rPr>
            </w:pPr>
            <w:r w:rsidRPr="00F17EB8">
              <w:rPr>
                <w:szCs w:val="24"/>
              </w:rPr>
              <w:t>EKA</w:t>
            </w:r>
          </w:p>
        </w:tc>
        <w:tc>
          <w:tcPr>
            <w:tcW w:w="5535" w:type="dxa"/>
          </w:tcPr>
          <w:p w14:paraId="7098480F" w14:textId="77777777" w:rsidR="00C7468B" w:rsidRPr="000115AD" w:rsidRDefault="003242F3" w:rsidP="0088074C">
            <w:pPr>
              <w:spacing w:before="40" w:after="40"/>
              <w:jc w:val="left"/>
              <w:rPr>
                <w:szCs w:val="24"/>
              </w:rPr>
            </w:pPr>
            <w:r w:rsidRPr="00F17EB8">
              <w:rPr>
                <w:szCs w:val="24"/>
              </w:rPr>
              <w:t>Ekonomikas un kultūras augstskola</w:t>
            </w:r>
          </w:p>
        </w:tc>
      </w:tr>
      <w:tr w:rsidR="00C7468B" w:rsidRPr="000115AD" w14:paraId="02D3472E" w14:textId="77777777" w:rsidTr="0088074C">
        <w:tc>
          <w:tcPr>
            <w:tcW w:w="675" w:type="dxa"/>
            <w:vAlign w:val="center"/>
          </w:tcPr>
          <w:p w14:paraId="3E5533C4" w14:textId="77777777" w:rsidR="00C7468B" w:rsidRPr="000115AD" w:rsidRDefault="00C7468B" w:rsidP="00B47005">
            <w:pPr>
              <w:pStyle w:val="ListParagraph"/>
              <w:numPr>
                <w:ilvl w:val="0"/>
                <w:numId w:val="17"/>
              </w:numPr>
              <w:spacing w:before="40" w:after="40"/>
              <w:ind w:left="357" w:hanging="357"/>
              <w:jc w:val="left"/>
              <w:rPr>
                <w:szCs w:val="24"/>
              </w:rPr>
            </w:pPr>
          </w:p>
        </w:tc>
        <w:tc>
          <w:tcPr>
            <w:tcW w:w="3078" w:type="dxa"/>
          </w:tcPr>
          <w:p w14:paraId="65AFB1E1" w14:textId="77777777" w:rsidR="00C7468B" w:rsidRPr="000115AD" w:rsidRDefault="003242F3" w:rsidP="0088074C">
            <w:pPr>
              <w:spacing w:before="40" w:after="40"/>
              <w:jc w:val="left"/>
              <w:rPr>
                <w:szCs w:val="24"/>
              </w:rPr>
            </w:pPr>
            <w:r w:rsidRPr="00F17EB8">
              <w:rPr>
                <w:szCs w:val="24"/>
              </w:rPr>
              <w:t>ETA</w:t>
            </w:r>
          </w:p>
        </w:tc>
        <w:tc>
          <w:tcPr>
            <w:tcW w:w="5535" w:type="dxa"/>
          </w:tcPr>
          <w:p w14:paraId="2047F01D" w14:textId="77777777" w:rsidR="00C7468B" w:rsidRPr="000115AD" w:rsidRDefault="003242F3" w:rsidP="0088074C">
            <w:pPr>
              <w:spacing w:before="40" w:after="40"/>
              <w:jc w:val="left"/>
              <w:rPr>
                <w:szCs w:val="24"/>
              </w:rPr>
            </w:pPr>
            <w:r w:rsidRPr="00F17EB8">
              <w:rPr>
                <w:szCs w:val="24"/>
              </w:rPr>
              <w:t>Eiropas Tālmācības augstskola</w:t>
            </w:r>
          </w:p>
        </w:tc>
      </w:tr>
      <w:tr w:rsidR="00C7468B" w:rsidRPr="000115AD" w14:paraId="14E0344C" w14:textId="77777777" w:rsidTr="004D6F3A">
        <w:trPr>
          <w:trHeight w:val="60"/>
        </w:trPr>
        <w:tc>
          <w:tcPr>
            <w:tcW w:w="675" w:type="dxa"/>
            <w:vAlign w:val="center"/>
          </w:tcPr>
          <w:p w14:paraId="7E5E5D7D" w14:textId="77777777" w:rsidR="00C7468B" w:rsidRPr="000115AD" w:rsidRDefault="00C7468B" w:rsidP="00B47005">
            <w:pPr>
              <w:pStyle w:val="ListParagraph"/>
              <w:numPr>
                <w:ilvl w:val="0"/>
                <w:numId w:val="17"/>
              </w:numPr>
              <w:spacing w:before="40" w:after="40"/>
              <w:ind w:left="357" w:hanging="357"/>
              <w:jc w:val="left"/>
              <w:rPr>
                <w:szCs w:val="24"/>
              </w:rPr>
            </w:pPr>
          </w:p>
        </w:tc>
        <w:tc>
          <w:tcPr>
            <w:tcW w:w="3078" w:type="dxa"/>
            <w:vAlign w:val="center"/>
          </w:tcPr>
          <w:p w14:paraId="053583F2" w14:textId="77777777" w:rsidR="00C7468B" w:rsidRPr="000115AD" w:rsidRDefault="003242F3" w:rsidP="0088074C">
            <w:pPr>
              <w:spacing w:before="40" w:after="40"/>
              <w:rPr>
                <w:szCs w:val="24"/>
              </w:rPr>
            </w:pPr>
            <w:r w:rsidRPr="00F17EB8">
              <w:rPr>
                <w:szCs w:val="24"/>
              </w:rPr>
              <w:t>ISMA</w:t>
            </w:r>
          </w:p>
        </w:tc>
        <w:tc>
          <w:tcPr>
            <w:tcW w:w="5535" w:type="dxa"/>
            <w:vAlign w:val="center"/>
          </w:tcPr>
          <w:p w14:paraId="711384F2" w14:textId="77777777" w:rsidR="00C7468B" w:rsidRPr="000115AD" w:rsidRDefault="003242F3" w:rsidP="0088074C">
            <w:pPr>
              <w:spacing w:before="40" w:after="40"/>
              <w:rPr>
                <w:szCs w:val="24"/>
              </w:rPr>
            </w:pPr>
            <w:r w:rsidRPr="00F17EB8">
              <w:rPr>
                <w:szCs w:val="24"/>
              </w:rPr>
              <w:t>Informācijas sistēmu menedžmenta augstskola</w:t>
            </w:r>
          </w:p>
        </w:tc>
      </w:tr>
      <w:tr w:rsidR="00C7468B" w:rsidRPr="000115AD" w14:paraId="72B1091C" w14:textId="77777777" w:rsidTr="0088074C">
        <w:tc>
          <w:tcPr>
            <w:tcW w:w="675" w:type="dxa"/>
            <w:vAlign w:val="center"/>
          </w:tcPr>
          <w:p w14:paraId="78430F2A" w14:textId="77777777" w:rsidR="00C7468B" w:rsidRPr="000115AD" w:rsidRDefault="00C7468B" w:rsidP="00B47005">
            <w:pPr>
              <w:pStyle w:val="ListParagraph"/>
              <w:numPr>
                <w:ilvl w:val="0"/>
                <w:numId w:val="17"/>
              </w:numPr>
              <w:spacing w:before="40" w:after="40"/>
              <w:ind w:left="357" w:hanging="357"/>
              <w:jc w:val="left"/>
              <w:rPr>
                <w:szCs w:val="24"/>
              </w:rPr>
            </w:pPr>
          </w:p>
        </w:tc>
        <w:tc>
          <w:tcPr>
            <w:tcW w:w="3078" w:type="dxa"/>
          </w:tcPr>
          <w:p w14:paraId="3FA9AA01" w14:textId="77777777" w:rsidR="00C7468B" w:rsidRPr="000115AD" w:rsidRDefault="003242F3" w:rsidP="0088074C">
            <w:pPr>
              <w:spacing w:before="40" w:after="40"/>
              <w:jc w:val="left"/>
              <w:rPr>
                <w:szCs w:val="24"/>
              </w:rPr>
            </w:pPr>
            <w:r w:rsidRPr="00F17EB8">
              <w:rPr>
                <w:szCs w:val="24"/>
              </w:rPr>
              <w:t>LA</w:t>
            </w:r>
          </w:p>
        </w:tc>
        <w:tc>
          <w:tcPr>
            <w:tcW w:w="5535" w:type="dxa"/>
          </w:tcPr>
          <w:p w14:paraId="6AEBC9FE" w14:textId="77777777" w:rsidR="00C7468B" w:rsidRPr="000115AD" w:rsidRDefault="003242F3" w:rsidP="0088074C">
            <w:pPr>
              <w:spacing w:before="40" w:after="40"/>
              <w:jc w:val="left"/>
              <w:rPr>
                <w:szCs w:val="24"/>
              </w:rPr>
            </w:pPr>
            <w:r w:rsidRPr="00F17EB8">
              <w:rPr>
                <w:szCs w:val="24"/>
              </w:rPr>
              <w:t>Lutera Akadēmija</w:t>
            </w:r>
          </w:p>
        </w:tc>
      </w:tr>
      <w:tr w:rsidR="004D6F3A" w:rsidRPr="000115AD" w14:paraId="0DFF27DD" w14:textId="77777777" w:rsidTr="0088074C">
        <w:tc>
          <w:tcPr>
            <w:tcW w:w="675" w:type="dxa"/>
            <w:vAlign w:val="center"/>
          </w:tcPr>
          <w:p w14:paraId="0CB7707C" w14:textId="77777777" w:rsidR="004D6F3A" w:rsidRPr="000115AD" w:rsidRDefault="004D6F3A" w:rsidP="00B47005">
            <w:pPr>
              <w:pStyle w:val="ListParagraph"/>
              <w:numPr>
                <w:ilvl w:val="0"/>
                <w:numId w:val="17"/>
              </w:numPr>
              <w:spacing w:before="40" w:after="40"/>
              <w:ind w:left="357" w:hanging="357"/>
              <w:jc w:val="left"/>
              <w:rPr>
                <w:szCs w:val="24"/>
              </w:rPr>
            </w:pPr>
          </w:p>
        </w:tc>
        <w:tc>
          <w:tcPr>
            <w:tcW w:w="3078" w:type="dxa"/>
            <w:vAlign w:val="center"/>
          </w:tcPr>
          <w:p w14:paraId="7462FB84" w14:textId="77777777" w:rsidR="004D6F3A" w:rsidRPr="00F17EB8" w:rsidRDefault="004D6F3A" w:rsidP="0088074C">
            <w:pPr>
              <w:spacing w:before="40" w:after="40"/>
              <w:rPr>
                <w:szCs w:val="24"/>
              </w:rPr>
            </w:pPr>
            <w:proofErr w:type="spellStart"/>
            <w:r>
              <w:rPr>
                <w:szCs w:val="24"/>
              </w:rPr>
              <w:t>LKrA</w:t>
            </w:r>
            <w:proofErr w:type="spellEnd"/>
          </w:p>
        </w:tc>
        <w:tc>
          <w:tcPr>
            <w:tcW w:w="5535" w:type="dxa"/>
            <w:vAlign w:val="center"/>
          </w:tcPr>
          <w:p w14:paraId="1457F92E" w14:textId="77777777" w:rsidR="004D6F3A" w:rsidRPr="00F17EB8" w:rsidRDefault="004D6F3A" w:rsidP="0088074C">
            <w:pPr>
              <w:spacing w:before="40" w:after="40"/>
              <w:rPr>
                <w:szCs w:val="24"/>
              </w:rPr>
            </w:pPr>
            <w:r w:rsidRPr="004D6F3A">
              <w:rPr>
                <w:szCs w:val="24"/>
              </w:rPr>
              <w:t>Latvijas Kristīgā akadēmija</w:t>
            </w:r>
          </w:p>
        </w:tc>
      </w:tr>
      <w:tr w:rsidR="00C7468B" w:rsidRPr="000115AD" w14:paraId="2187E240" w14:textId="77777777" w:rsidTr="0088074C">
        <w:tc>
          <w:tcPr>
            <w:tcW w:w="675" w:type="dxa"/>
            <w:vAlign w:val="center"/>
          </w:tcPr>
          <w:p w14:paraId="10A90E13" w14:textId="77777777" w:rsidR="00C7468B" w:rsidRPr="000115AD" w:rsidRDefault="00C7468B" w:rsidP="00B47005">
            <w:pPr>
              <w:pStyle w:val="ListParagraph"/>
              <w:numPr>
                <w:ilvl w:val="0"/>
                <w:numId w:val="17"/>
              </w:numPr>
              <w:spacing w:before="40" w:after="40"/>
              <w:ind w:left="357" w:hanging="357"/>
              <w:jc w:val="left"/>
              <w:rPr>
                <w:szCs w:val="24"/>
              </w:rPr>
            </w:pPr>
          </w:p>
        </w:tc>
        <w:tc>
          <w:tcPr>
            <w:tcW w:w="3078" w:type="dxa"/>
            <w:vAlign w:val="center"/>
          </w:tcPr>
          <w:p w14:paraId="408D98A3" w14:textId="77777777" w:rsidR="00C7468B" w:rsidRPr="000115AD" w:rsidRDefault="003242F3" w:rsidP="0088074C">
            <w:pPr>
              <w:spacing w:before="40" w:after="40"/>
              <w:rPr>
                <w:szCs w:val="24"/>
              </w:rPr>
            </w:pPr>
            <w:r w:rsidRPr="00F17EB8">
              <w:rPr>
                <w:szCs w:val="24"/>
              </w:rPr>
              <w:t>RAI</w:t>
            </w:r>
          </w:p>
        </w:tc>
        <w:tc>
          <w:tcPr>
            <w:tcW w:w="5535" w:type="dxa"/>
            <w:vAlign w:val="center"/>
          </w:tcPr>
          <w:p w14:paraId="132585BA" w14:textId="77777777" w:rsidR="00C7468B" w:rsidRPr="000115AD" w:rsidRDefault="003242F3" w:rsidP="0088074C">
            <w:pPr>
              <w:spacing w:before="40" w:after="40"/>
              <w:rPr>
                <w:szCs w:val="24"/>
              </w:rPr>
            </w:pPr>
            <w:r w:rsidRPr="00F17EB8">
              <w:rPr>
                <w:szCs w:val="24"/>
              </w:rPr>
              <w:t>Rīgas Aeronavigācijas institūts</w:t>
            </w:r>
          </w:p>
        </w:tc>
      </w:tr>
      <w:tr w:rsidR="00C7468B" w:rsidRPr="007666BF" w14:paraId="3574FF83" w14:textId="77777777" w:rsidTr="0088074C">
        <w:tc>
          <w:tcPr>
            <w:tcW w:w="675" w:type="dxa"/>
            <w:vAlign w:val="center"/>
          </w:tcPr>
          <w:p w14:paraId="74FF7522" w14:textId="77777777" w:rsidR="00C7468B" w:rsidRPr="000115AD" w:rsidRDefault="00C7468B" w:rsidP="00B47005">
            <w:pPr>
              <w:pStyle w:val="ListParagraph"/>
              <w:numPr>
                <w:ilvl w:val="0"/>
                <w:numId w:val="17"/>
              </w:numPr>
              <w:spacing w:before="40" w:after="40"/>
              <w:ind w:left="357" w:hanging="357"/>
              <w:jc w:val="left"/>
              <w:rPr>
                <w:szCs w:val="24"/>
              </w:rPr>
            </w:pPr>
          </w:p>
        </w:tc>
        <w:tc>
          <w:tcPr>
            <w:tcW w:w="3078" w:type="dxa"/>
            <w:vAlign w:val="center"/>
          </w:tcPr>
          <w:p w14:paraId="073D88EC" w14:textId="77777777" w:rsidR="00C7468B" w:rsidRPr="000115AD" w:rsidRDefault="003242F3" w:rsidP="0088074C">
            <w:pPr>
              <w:spacing w:before="40" w:after="40"/>
              <w:rPr>
                <w:szCs w:val="24"/>
              </w:rPr>
            </w:pPr>
            <w:r w:rsidRPr="00F17EB8">
              <w:rPr>
                <w:szCs w:val="24"/>
              </w:rPr>
              <w:t>REA</w:t>
            </w:r>
          </w:p>
        </w:tc>
        <w:tc>
          <w:tcPr>
            <w:tcW w:w="5535" w:type="dxa"/>
            <w:vAlign w:val="center"/>
          </w:tcPr>
          <w:p w14:paraId="5EBA8B0B" w14:textId="77777777" w:rsidR="00C7468B" w:rsidRPr="000115AD" w:rsidRDefault="003242F3" w:rsidP="0088074C">
            <w:pPr>
              <w:spacing w:before="40" w:after="40"/>
              <w:rPr>
                <w:szCs w:val="24"/>
              </w:rPr>
            </w:pPr>
            <w:r w:rsidRPr="00F17EB8">
              <w:rPr>
                <w:szCs w:val="24"/>
              </w:rPr>
              <w:t xml:space="preserve">Rīgas Ekonomikas augstskola </w:t>
            </w:r>
            <w:r w:rsidRPr="00F17EB8">
              <w:rPr>
                <w:i/>
                <w:szCs w:val="24"/>
              </w:rPr>
              <w:t xml:space="preserve">(SSE </w:t>
            </w:r>
            <w:proofErr w:type="spellStart"/>
            <w:r w:rsidRPr="00F17EB8">
              <w:rPr>
                <w:i/>
                <w:szCs w:val="24"/>
              </w:rPr>
              <w:t>Riga</w:t>
            </w:r>
            <w:proofErr w:type="spellEnd"/>
            <w:r w:rsidRPr="00F17EB8">
              <w:rPr>
                <w:i/>
                <w:szCs w:val="24"/>
              </w:rPr>
              <w:t>)</w:t>
            </w:r>
          </w:p>
        </w:tc>
      </w:tr>
      <w:tr w:rsidR="00C7468B" w:rsidRPr="007666BF" w14:paraId="68C807BA" w14:textId="77777777" w:rsidTr="0088074C">
        <w:tc>
          <w:tcPr>
            <w:tcW w:w="675" w:type="dxa"/>
            <w:vAlign w:val="center"/>
          </w:tcPr>
          <w:p w14:paraId="647B0840" w14:textId="77777777" w:rsidR="00C7468B" w:rsidRPr="000115AD" w:rsidRDefault="00C7468B" w:rsidP="00B47005">
            <w:pPr>
              <w:pStyle w:val="ListParagraph"/>
              <w:numPr>
                <w:ilvl w:val="0"/>
                <w:numId w:val="17"/>
              </w:numPr>
              <w:spacing w:before="40" w:after="40"/>
              <w:ind w:left="357" w:hanging="357"/>
              <w:jc w:val="left"/>
              <w:rPr>
                <w:szCs w:val="24"/>
              </w:rPr>
            </w:pPr>
          </w:p>
        </w:tc>
        <w:tc>
          <w:tcPr>
            <w:tcW w:w="3078" w:type="dxa"/>
            <w:vAlign w:val="center"/>
          </w:tcPr>
          <w:p w14:paraId="5EF859E9" w14:textId="77777777" w:rsidR="00C7468B" w:rsidRPr="000115AD" w:rsidRDefault="004D6F3A" w:rsidP="0088074C">
            <w:pPr>
              <w:spacing w:before="40" w:after="40"/>
              <w:rPr>
                <w:szCs w:val="24"/>
              </w:rPr>
            </w:pPr>
            <w:r w:rsidRPr="004D6F3A">
              <w:rPr>
                <w:szCs w:val="24"/>
              </w:rPr>
              <w:t>RJA</w:t>
            </w:r>
          </w:p>
        </w:tc>
        <w:tc>
          <w:tcPr>
            <w:tcW w:w="5535" w:type="dxa"/>
            <w:vAlign w:val="center"/>
          </w:tcPr>
          <w:p w14:paraId="789E379A" w14:textId="77777777" w:rsidR="00C7468B" w:rsidRPr="000115AD" w:rsidRDefault="004D6F3A" w:rsidP="0088074C">
            <w:pPr>
              <w:spacing w:before="40" w:after="40"/>
              <w:rPr>
                <w:szCs w:val="24"/>
              </w:rPr>
            </w:pPr>
            <w:r w:rsidRPr="004D6F3A">
              <w:rPr>
                <w:szCs w:val="24"/>
              </w:rPr>
              <w:t>Rīgas Juridiskā augstskola</w:t>
            </w:r>
          </w:p>
        </w:tc>
      </w:tr>
      <w:tr w:rsidR="003242F3" w:rsidRPr="009808A5" w14:paraId="214DAD31" w14:textId="77777777" w:rsidTr="0088074C">
        <w:tc>
          <w:tcPr>
            <w:tcW w:w="675" w:type="dxa"/>
            <w:vAlign w:val="center"/>
          </w:tcPr>
          <w:p w14:paraId="5CDD6347" w14:textId="77777777" w:rsidR="003242F3" w:rsidRPr="009808A5" w:rsidRDefault="003242F3" w:rsidP="00B47005">
            <w:pPr>
              <w:pStyle w:val="ListParagraph"/>
              <w:numPr>
                <w:ilvl w:val="0"/>
                <w:numId w:val="17"/>
              </w:numPr>
              <w:spacing w:before="40" w:after="40"/>
              <w:ind w:left="357" w:hanging="357"/>
              <w:jc w:val="left"/>
              <w:rPr>
                <w:szCs w:val="24"/>
              </w:rPr>
            </w:pPr>
          </w:p>
        </w:tc>
        <w:tc>
          <w:tcPr>
            <w:tcW w:w="3078" w:type="dxa"/>
            <w:vAlign w:val="center"/>
          </w:tcPr>
          <w:p w14:paraId="34368C89" w14:textId="77777777" w:rsidR="003242F3" w:rsidRPr="009808A5" w:rsidRDefault="00777F72" w:rsidP="00777F72">
            <w:pPr>
              <w:spacing w:before="40" w:after="40"/>
              <w:rPr>
                <w:szCs w:val="24"/>
              </w:rPr>
            </w:pPr>
            <w:r w:rsidRPr="009808A5">
              <w:rPr>
                <w:szCs w:val="24"/>
              </w:rPr>
              <w:t>RISEBA</w:t>
            </w:r>
          </w:p>
        </w:tc>
        <w:tc>
          <w:tcPr>
            <w:tcW w:w="5535" w:type="dxa"/>
            <w:vAlign w:val="center"/>
          </w:tcPr>
          <w:p w14:paraId="2BBA3345" w14:textId="77777777" w:rsidR="003242F3" w:rsidRPr="009808A5" w:rsidRDefault="001079A9" w:rsidP="00777F72">
            <w:pPr>
              <w:spacing w:before="40" w:after="40"/>
              <w:rPr>
                <w:szCs w:val="24"/>
              </w:rPr>
            </w:pPr>
            <w:r w:rsidRPr="009808A5">
              <w:rPr>
                <w:szCs w:val="24"/>
              </w:rPr>
              <w:t>Biznesa, m</w:t>
            </w:r>
            <w:r w:rsidRPr="009808A5">
              <w:rPr>
                <w:rFonts w:hint="eastAsia"/>
                <w:szCs w:val="24"/>
              </w:rPr>
              <w:t>ā</w:t>
            </w:r>
            <w:r w:rsidRPr="009808A5">
              <w:rPr>
                <w:szCs w:val="24"/>
              </w:rPr>
              <w:t>kslas un tehnolo</w:t>
            </w:r>
            <w:r w:rsidRPr="009808A5">
              <w:rPr>
                <w:rFonts w:hint="eastAsia"/>
                <w:szCs w:val="24"/>
              </w:rPr>
              <w:t>ģ</w:t>
            </w:r>
            <w:r w:rsidRPr="009808A5">
              <w:rPr>
                <w:szCs w:val="24"/>
              </w:rPr>
              <w:t>iju augstskola "RISEBA</w:t>
            </w:r>
            <w:r w:rsidRPr="009808A5">
              <w:rPr>
                <w:rFonts w:hint="eastAsia"/>
                <w:szCs w:val="24"/>
              </w:rPr>
              <w:t>”</w:t>
            </w:r>
            <w:r w:rsidR="00777F72" w:rsidRPr="009808A5" w:rsidDel="00777F72">
              <w:rPr>
                <w:szCs w:val="24"/>
              </w:rPr>
              <w:t xml:space="preserve"> </w:t>
            </w:r>
          </w:p>
        </w:tc>
      </w:tr>
      <w:tr w:rsidR="003242F3" w:rsidRPr="007666BF" w14:paraId="12ED7D58" w14:textId="77777777" w:rsidTr="0088074C">
        <w:tc>
          <w:tcPr>
            <w:tcW w:w="675" w:type="dxa"/>
            <w:vAlign w:val="center"/>
          </w:tcPr>
          <w:p w14:paraId="3BFA0372" w14:textId="77777777" w:rsidR="003242F3" w:rsidRPr="000115AD" w:rsidRDefault="003242F3" w:rsidP="00B47005">
            <w:pPr>
              <w:pStyle w:val="ListParagraph"/>
              <w:numPr>
                <w:ilvl w:val="0"/>
                <w:numId w:val="17"/>
              </w:numPr>
              <w:spacing w:before="40" w:after="40"/>
              <w:ind w:left="357" w:hanging="357"/>
              <w:jc w:val="left"/>
              <w:rPr>
                <w:szCs w:val="24"/>
              </w:rPr>
            </w:pPr>
          </w:p>
        </w:tc>
        <w:tc>
          <w:tcPr>
            <w:tcW w:w="3078" w:type="dxa"/>
            <w:vAlign w:val="center"/>
          </w:tcPr>
          <w:p w14:paraId="016313AB" w14:textId="77777777" w:rsidR="003242F3" w:rsidRPr="000115AD" w:rsidRDefault="004D6F3A" w:rsidP="0088074C">
            <w:pPr>
              <w:spacing w:before="40" w:after="40"/>
              <w:rPr>
                <w:szCs w:val="24"/>
              </w:rPr>
            </w:pPr>
            <w:r w:rsidRPr="004D6F3A">
              <w:rPr>
                <w:szCs w:val="24"/>
              </w:rPr>
              <w:t>SPPA</w:t>
            </w:r>
          </w:p>
        </w:tc>
        <w:tc>
          <w:tcPr>
            <w:tcW w:w="5535" w:type="dxa"/>
            <w:vAlign w:val="center"/>
          </w:tcPr>
          <w:p w14:paraId="50F64623" w14:textId="77777777" w:rsidR="003242F3" w:rsidRPr="000115AD" w:rsidRDefault="004D6F3A" w:rsidP="0088074C">
            <w:pPr>
              <w:spacing w:before="40" w:after="40"/>
              <w:rPr>
                <w:szCs w:val="24"/>
              </w:rPr>
            </w:pPr>
            <w:r w:rsidRPr="004D6F3A">
              <w:rPr>
                <w:szCs w:val="24"/>
              </w:rPr>
              <w:t>Starptautiskā praktiskās psiholoģijas augstskola</w:t>
            </w:r>
          </w:p>
        </w:tc>
      </w:tr>
      <w:tr w:rsidR="003242F3" w:rsidRPr="007666BF" w14:paraId="5776BF43" w14:textId="77777777" w:rsidTr="0088074C">
        <w:tc>
          <w:tcPr>
            <w:tcW w:w="675" w:type="dxa"/>
            <w:vAlign w:val="center"/>
          </w:tcPr>
          <w:p w14:paraId="3BEE42A1" w14:textId="77777777" w:rsidR="003242F3" w:rsidRPr="000115AD" w:rsidRDefault="003242F3" w:rsidP="00B47005">
            <w:pPr>
              <w:pStyle w:val="ListParagraph"/>
              <w:numPr>
                <w:ilvl w:val="0"/>
                <w:numId w:val="17"/>
              </w:numPr>
              <w:spacing w:before="40" w:after="40"/>
              <w:ind w:left="357" w:hanging="357"/>
              <w:jc w:val="left"/>
              <w:rPr>
                <w:szCs w:val="24"/>
              </w:rPr>
            </w:pPr>
          </w:p>
        </w:tc>
        <w:tc>
          <w:tcPr>
            <w:tcW w:w="3078" w:type="dxa"/>
            <w:vAlign w:val="center"/>
          </w:tcPr>
          <w:p w14:paraId="3E7EF407" w14:textId="77777777" w:rsidR="003242F3" w:rsidRPr="000115AD" w:rsidRDefault="004D6F3A" w:rsidP="0088074C">
            <w:pPr>
              <w:spacing w:before="40" w:after="40"/>
              <w:rPr>
                <w:szCs w:val="24"/>
              </w:rPr>
            </w:pPr>
            <w:r>
              <w:rPr>
                <w:szCs w:val="24"/>
              </w:rPr>
              <w:t>STA</w:t>
            </w:r>
          </w:p>
        </w:tc>
        <w:tc>
          <w:tcPr>
            <w:tcW w:w="5535" w:type="dxa"/>
            <w:vAlign w:val="center"/>
          </w:tcPr>
          <w:p w14:paraId="27648CB5" w14:textId="77777777" w:rsidR="003242F3" w:rsidRPr="000115AD" w:rsidRDefault="004D6F3A" w:rsidP="0088074C">
            <w:pPr>
              <w:spacing w:before="40" w:after="40"/>
              <w:rPr>
                <w:szCs w:val="24"/>
              </w:rPr>
            </w:pPr>
            <w:r w:rsidRPr="004D6F3A">
              <w:rPr>
                <w:szCs w:val="24"/>
              </w:rPr>
              <w:t>Sociālo tehnoloģiju augstskola</w:t>
            </w:r>
          </w:p>
        </w:tc>
      </w:tr>
      <w:tr w:rsidR="003242F3" w:rsidRPr="007666BF" w14:paraId="600E2F55" w14:textId="77777777" w:rsidTr="0088074C">
        <w:tc>
          <w:tcPr>
            <w:tcW w:w="675" w:type="dxa"/>
            <w:vAlign w:val="center"/>
          </w:tcPr>
          <w:p w14:paraId="0194606F" w14:textId="77777777" w:rsidR="003242F3" w:rsidRPr="000115AD" w:rsidRDefault="003242F3" w:rsidP="00B47005">
            <w:pPr>
              <w:pStyle w:val="ListParagraph"/>
              <w:numPr>
                <w:ilvl w:val="0"/>
                <w:numId w:val="17"/>
              </w:numPr>
              <w:spacing w:before="40" w:after="40"/>
              <w:ind w:left="357" w:hanging="357"/>
              <w:jc w:val="left"/>
              <w:rPr>
                <w:szCs w:val="24"/>
              </w:rPr>
            </w:pPr>
          </w:p>
        </w:tc>
        <w:tc>
          <w:tcPr>
            <w:tcW w:w="3078" w:type="dxa"/>
            <w:vAlign w:val="center"/>
          </w:tcPr>
          <w:p w14:paraId="344435CD" w14:textId="77777777" w:rsidR="003242F3" w:rsidRPr="000115AD" w:rsidRDefault="004D6F3A" w:rsidP="0088074C">
            <w:pPr>
              <w:spacing w:before="40" w:after="40"/>
              <w:rPr>
                <w:szCs w:val="24"/>
              </w:rPr>
            </w:pPr>
            <w:r>
              <w:rPr>
                <w:szCs w:val="24"/>
              </w:rPr>
              <w:t>TSI</w:t>
            </w:r>
          </w:p>
        </w:tc>
        <w:tc>
          <w:tcPr>
            <w:tcW w:w="5535" w:type="dxa"/>
            <w:vAlign w:val="center"/>
          </w:tcPr>
          <w:p w14:paraId="37D0CB26" w14:textId="77777777" w:rsidR="003242F3" w:rsidRPr="000115AD" w:rsidRDefault="004D6F3A" w:rsidP="0088074C">
            <w:pPr>
              <w:spacing w:before="40" w:after="40"/>
              <w:rPr>
                <w:szCs w:val="24"/>
              </w:rPr>
            </w:pPr>
            <w:r w:rsidRPr="004D6F3A">
              <w:rPr>
                <w:szCs w:val="24"/>
              </w:rPr>
              <w:t>Transporta un sakaru institūts</w:t>
            </w:r>
          </w:p>
        </w:tc>
      </w:tr>
    </w:tbl>
    <w:p w14:paraId="1B3AACCB" w14:textId="77777777" w:rsidR="003E1862" w:rsidRDefault="003E1862">
      <w:pPr>
        <w:jc w:val="left"/>
        <w:rPr>
          <w:rFonts w:eastAsia="SimSun"/>
          <w:color w:val="365F91"/>
          <w:sz w:val="28"/>
          <w:szCs w:val="28"/>
          <w:lang w:eastAsia="zh-TW"/>
        </w:rPr>
      </w:pPr>
    </w:p>
    <w:p w14:paraId="3503A437" w14:textId="77777777" w:rsidR="0028052D" w:rsidRDefault="0028052D" w:rsidP="005735DA">
      <w:pPr>
        <w:pStyle w:val="Heading1"/>
        <w:spacing w:before="0"/>
        <w:jc w:val="center"/>
      </w:pPr>
      <w:r>
        <w:br w:type="page"/>
      </w:r>
    </w:p>
    <w:p w14:paraId="67BF9BDC" w14:textId="77777777" w:rsidR="00F14A97" w:rsidRPr="00EE7E61" w:rsidRDefault="00F14A97" w:rsidP="005735DA">
      <w:pPr>
        <w:pStyle w:val="Heading1"/>
        <w:spacing w:before="0"/>
        <w:jc w:val="center"/>
      </w:pPr>
      <w:bookmarkStart w:id="4" w:name="_Toc457815666"/>
      <w:r w:rsidRPr="00EE7E61">
        <w:lastRenderedPageBreak/>
        <w:t>I</w:t>
      </w:r>
      <w:bookmarkEnd w:id="1"/>
      <w:bookmarkEnd w:id="3"/>
      <w:r w:rsidR="00397F10" w:rsidRPr="00EE7E61">
        <w:t>evads</w:t>
      </w:r>
      <w:bookmarkEnd w:id="4"/>
    </w:p>
    <w:p w14:paraId="3CCB2482" w14:textId="77777777" w:rsidR="00C54250" w:rsidRPr="000115AD" w:rsidRDefault="00C54250" w:rsidP="00C54250">
      <w:pPr>
        <w:tabs>
          <w:tab w:val="left" w:pos="284"/>
        </w:tabs>
        <w:ind w:firstLine="851"/>
        <w:contextualSpacing/>
        <w:rPr>
          <w:szCs w:val="24"/>
        </w:rPr>
      </w:pPr>
    </w:p>
    <w:p w14:paraId="5844640B" w14:textId="77777777" w:rsidR="001C70D1" w:rsidRPr="00F6773F" w:rsidRDefault="0028052D" w:rsidP="0022485B">
      <w:pPr>
        <w:autoSpaceDE w:val="0"/>
        <w:autoSpaceDN w:val="0"/>
        <w:adjustRightInd w:val="0"/>
        <w:ind w:firstLine="720"/>
        <w:rPr>
          <w:szCs w:val="24"/>
        </w:rPr>
      </w:pPr>
      <w:r w:rsidRPr="00F6773F">
        <w:rPr>
          <w:szCs w:val="24"/>
        </w:rPr>
        <w:t xml:space="preserve">Izglītības attīstības pamatnostādnēs 2014.–2020. gadam </w:t>
      </w:r>
      <w:r w:rsidR="00F6773F" w:rsidRPr="00F6773F">
        <w:rPr>
          <w:szCs w:val="24"/>
        </w:rPr>
        <w:t xml:space="preserve">kā </w:t>
      </w:r>
      <w:r w:rsidR="00F6773F">
        <w:rPr>
          <w:szCs w:val="24"/>
        </w:rPr>
        <w:t xml:space="preserve">viens no uzdevumiem </w:t>
      </w:r>
      <w:r w:rsidRPr="00F6773F">
        <w:rPr>
          <w:szCs w:val="24"/>
        </w:rPr>
        <w:t>ir noteikt</w:t>
      </w:r>
      <w:r w:rsidR="00F6773F">
        <w:rPr>
          <w:szCs w:val="24"/>
        </w:rPr>
        <w:t>a</w:t>
      </w:r>
      <w:r w:rsidRPr="00F6773F">
        <w:rPr>
          <w:szCs w:val="24"/>
        </w:rPr>
        <w:t xml:space="preserve"> a</w:t>
      </w:r>
      <w:r w:rsidRPr="00F6773F">
        <w:rPr>
          <w:rFonts w:ascii="Times New Roman,Bold" w:eastAsiaTheme="minorHAnsi" w:hAnsi="Times New Roman,Bold" w:cs="Times New Roman,Bold"/>
          <w:bCs/>
          <w:szCs w:val="24"/>
        </w:rPr>
        <w:t>ugstākās izglītības institūciju resursu mērķtiecīga izmantošana, veicinot STEM</w:t>
      </w:r>
      <w:r w:rsidRPr="00F6773F">
        <w:rPr>
          <w:rStyle w:val="FootnoteReference"/>
          <w:szCs w:val="24"/>
        </w:rPr>
        <w:footnoteReference w:id="1"/>
      </w:r>
      <w:r w:rsidRPr="00F6773F">
        <w:rPr>
          <w:rFonts w:ascii="Times New Roman,Bold" w:eastAsiaTheme="minorHAnsi" w:hAnsi="Times New Roman,Bold" w:cs="Times New Roman,Bold"/>
          <w:bCs/>
          <w:szCs w:val="24"/>
        </w:rPr>
        <w:t xml:space="preserve"> studiju un zinātniskā darba teritoriāli telpisko koncentrēšanos un materiālās un </w:t>
      </w:r>
      <w:r w:rsidRPr="00F6773F">
        <w:rPr>
          <w:rFonts w:eastAsiaTheme="minorHAnsi"/>
          <w:bCs/>
          <w:szCs w:val="24"/>
        </w:rPr>
        <w:t>tehnisk</w:t>
      </w:r>
      <w:r w:rsidRPr="00F6773F">
        <w:rPr>
          <w:rFonts w:ascii="Times New Roman,Bold" w:eastAsiaTheme="minorHAnsi" w:hAnsi="Times New Roman,Bold" w:cs="Times New Roman,Bold"/>
          <w:bCs/>
          <w:szCs w:val="24"/>
        </w:rPr>
        <w:t>ās bāzes modernizēšanu</w:t>
      </w:r>
      <w:r w:rsidRPr="00F6773F">
        <w:rPr>
          <w:rFonts w:eastAsiaTheme="minorHAnsi"/>
          <w:bCs/>
          <w:szCs w:val="24"/>
        </w:rPr>
        <w:t>, t.</w:t>
      </w:r>
      <w:r w:rsidRPr="00F6773F">
        <w:rPr>
          <w:rFonts w:ascii="Times New Roman,Bold" w:eastAsiaTheme="minorHAnsi" w:hAnsi="Times New Roman,Bold" w:cs="Times New Roman,Bold"/>
          <w:bCs/>
          <w:szCs w:val="24"/>
        </w:rPr>
        <w:t xml:space="preserve">sk. reģionos </w:t>
      </w:r>
      <w:r w:rsidRPr="00F6773F">
        <w:rPr>
          <w:rFonts w:eastAsiaTheme="minorHAnsi"/>
          <w:bCs/>
          <w:szCs w:val="24"/>
        </w:rPr>
        <w:t xml:space="preserve">un </w:t>
      </w:r>
      <w:r w:rsidRPr="00F6773F">
        <w:rPr>
          <w:rFonts w:ascii="Times New Roman,Bold" w:eastAsiaTheme="minorHAnsi" w:hAnsi="Times New Roman,Bold" w:cs="Times New Roman,Bold"/>
          <w:bCs/>
          <w:szCs w:val="24"/>
        </w:rPr>
        <w:t>medicīnas un radošo industriju jomās</w:t>
      </w:r>
      <w:r w:rsidRPr="00F6773F">
        <w:rPr>
          <w:rFonts w:eastAsiaTheme="minorHAnsi"/>
          <w:bCs/>
          <w:szCs w:val="24"/>
        </w:rPr>
        <w:t>.</w:t>
      </w:r>
      <w:r w:rsidRPr="00F6773F">
        <w:rPr>
          <w:rFonts w:eastAsiaTheme="minorHAnsi"/>
          <w:b/>
          <w:bCs/>
          <w:szCs w:val="24"/>
        </w:rPr>
        <w:t xml:space="preserve"> </w:t>
      </w:r>
      <w:r w:rsidRPr="00F6773F">
        <w:t>Infrastruktūras un aprīkojuma modernizēšana paredzēta augstskolās, kas īsteno STEM studiju programmas, t.sk. medicīnas un radošo industriju jomās.</w:t>
      </w:r>
      <w:r w:rsidR="001C70D1" w:rsidRPr="00F6773F">
        <w:rPr>
          <w:szCs w:val="24"/>
        </w:rPr>
        <w:t xml:space="preserve"> </w:t>
      </w:r>
    </w:p>
    <w:p w14:paraId="52BEEB83" w14:textId="77777777" w:rsidR="0028052D" w:rsidRDefault="0028052D" w:rsidP="006B54A9">
      <w:pPr>
        <w:pStyle w:val="Normal2"/>
        <w:ind w:firstLine="720"/>
        <w:rPr>
          <w:color w:val="auto"/>
          <w:szCs w:val="24"/>
        </w:rPr>
      </w:pPr>
      <w:r w:rsidRPr="00F6773F">
        <w:rPr>
          <w:color w:val="auto"/>
          <w:szCs w:val="24"/>
        </w:rPr>
        <w:t>Latvijas Viedās specializācijas stratēģijā</w:t>
      </w:r>
      <w:r w:rsidRPr="00F6773F">
        <w:rPr>
          <w:rStyle w:val="FootnoteReference"/>
          <w:color w:val="auto"/>
          <w:szCs w:val="24"/>
        </w:rPr>
        <w:footnoteReference w:id="2"/>
      </w:r>
      <w:r w:rsidR="00A00F5E">
        <w:rPr>
          <w:color w:val="auto"/>
          <w:szCs w:val="24"/>
        </w:rPr>
        <w:t xml:space="preserve"> </w:t>
      </w:r>
      <w:r w:rsidRPr="00F6773F">
        <w:rPr>
          <w:bCs/>
          <w:color w:val="auto"/>
          <w:szCs w:val="24"/>
        </w:rPr>
        <w:t xml:space="preserve">kā viena </w:t>
      </w:r>
      <w:r w:rsidRPr="00F6773F">
        <w:rPr>
          <w:color w:val="auto"/>
          <w:szCs w:val="24"/>
        </w:rPr>
        <w:t xml:space="preserve">no izaugsmes prioritātēm ir izvirzīta moderna un </w:t>
      </w:r>
      <w:r w:rsidRPr="00F6773F">
        <w:rPr>
          <w:bCs/>
          <w:color w:val="auto"/>
          <w:szCs w:val="24"/>
        </w:rPr>
        <w:t xml:space="preserve">nākotnes </w:t>
      </w:r>
      <w:r w:rsidRPr="00F6773F">
        <w:rPr>
          <w:color w:val="auto"/>
          <w:szCs w:val="24"/>
        </w:rPr>
        <w:t xml:space="preserve">darba tirgus prasībām atbilstoša izglītības sistēma, kas </w:t>
      </w:r>
      <w:r w:rsidRPr="00F6773F">
        <w:rPr>
          <w:bCs/>
          <w:color w:val="auto"/>
          <w:szCs w:val="24"/>
        </w:rPr>
        <w:t xml:space="preserve">veicina tautsaimniecības transformāciju un </w:t>
      </w:r>
      <w:r w:rsidR="00F6773F" w:rsidRPr="00F6773F">
        <w:rPr>
          <w:color w:val="auto"/>
          <w:szCs w:val="24"/>
        </w:rPr>
        <w:t>Latvijas Viedās specializācijas stratēģijā</w:t>
      </w:r>
      <w:r w:rsidRPr="00F6773F">
        <w:rPr>
          <w:color w:val="auto"/>
          <w:szCs w:val="24"/>
        </w:rPr>
        <w:t xml:space="preserve"> prioritāšu īstenošanai nepieciešamo kompetenču, </w:t>
      </w:r>
      <w:proofErr w:type="spellStart"/>
      <w:r w:rsidRPr="00F6773F">
        <w:rPr>
          <w:color w:val="auto"/>
          <w:szCs w:val="24"/>
        </w:rPr>
        <w:t>uzņēmējspējas</w:t>
      </w:r>
      <w:proofErr w:type="spellEnd"/>
      <w:r w:rsidRPr="00F6773F">
        <w:rPr>
          <w:color w:val="auto"/>
          <w:szCs w:val="24"/>
        </w:rPr>
        <w:t xml:space="preserve"> </w:t>
      </w:r>
      <w:r w:rsidRPr="00F6773F">
        <w:rPr>
          <w:bCs/>
          <w:color w:val="auto"/>
          <w:szCs w:val="24"/>
        </w:rPr>
        <w:t>un radošuma</w:t>
      </w:r>
      <w:r w:rsidRPr="00F6773F">
        <w:rPr>
          <w:color w:val="auto"/>
          <w:szCs w:val="24"/>
        </w:rPr>
        <w:t xml:space="preserve"> attīstību visos izglītības līmeņos.</w:t>
      </w:r>
      <w:r w:rsidRPr="00F6773F">
        <w:rPr>
          <w:color w:val="auto"/>
          <w:szCs w:val="24"/>
          <w:vertAlign w:val="superscript"/>
        </w:rPr>
        <w:footnoteReference w:id="3"/>
      </w:r>
      <w:r w:rsidR="00483B8A" w:rsidRPr="00F6773F">
        <w:rPr>
          <w:color w:val="auto"/>
          <w:szCs w:val="24"/>
        </w:rPr>
        <w:t xml:space="preserve"> </w:t>
      </w:r>
      <w:r w:rsidR="00F6773F" w:rsidRPr="00F6773F">
        <w:rPr>
          <w:color w:val="auto"/>
          <w:szCs w:val="24"/>
        </w:rPr>
        <w:t>Latvijas Viedās specializācijas stratēģijā noteikto</w:t>
      </w:r>
      <w:r w:rsidR="00483B8A" w:rsidRPr="00F6773F">
        <w:rPr>
          <w:color w:val="auto"/>
          <w:szCs w:val="24"/>
        </w:rPr>
        <w:t xml:space="preserve"> mērķu sasniegšanai nepieciešams </w:t>
      </w:r>
      <w:proofErr w:type="spellStart"/>
      <w:r w:rsidR="00483B8A" w:rsidRPr="00F6773F">
        <w:rPr>
          <w:color w:val="auto"/>
          <w:szCs w:val="24"/>
        </w:rPr>
        <w:t>cilvēkkapitāls</w:t>
      </w:r>
      <w:proofErr w:type="spellEnd"/>
      <w:r w:rsidR="00483B8A" w:rsidRPr="00F6773F">
        <w:rPr>
          <w:color w:val="auto"/>
          <w:szCs w:val="24"/>
        </w:rPr>
        <w:t xml:space="preserve">, kas nodrošinās izaugsmi nozarēs, kurās eksistē vai ir iespējams radīt produktus un pakalpojumus ar augstu pievienoto vērtību, nozarēs ar nozīmīgu horizontālo ietekmi un ieguldījumu tautsaimniecības transformācijā, kā arī </w:t>
      </w:r>
      <w:proofErr w:type="spellStart"/>
      <w:r w:rsidR="00483B8A" w:rsidRPr="00F6773F">
        <w:rPr>
          <w:color w:val="auto"/>
          <w:szCs w:val="24"/>
        </w:rPr>
        <w:t>cilvēkkapitāls</w:t>
      </w:r>
      <w:proofErr w:type="spellEnd"/>
      <w:r w:rsidR="00483B8A" w:rsidRPr="00F6773F">
        <w:rPr>
          <w:color w:val="auto"/>
          <w:szCs w:val="24"/>
        </w:rPr>
        <w:t xml:space="preserve">, kas mainīs ražošanas un eksporta struktūras tradicionālajās tautsaimniecības nozarēs. </w:t>
      </w:r>
      <w:r w:rsidR="006B54A9" w:rsidRPr="006B54A9">
        <w:rPr>
          <w:color w:val="auto"/>
          <w:szCs w:val="24"/>
        </w:rPr>
        <w:t xml:space="preserve">Latvijas augstskolām ir nozīmīga loma šo mērķu sasniegšanā, jo augstskolas gan veido Latvijas </w:t>
      </w:r>
      <w:proofErr w:type="spellStart"/>
      <w:r w:rsidR="006B54A9" w:rsidRPr="006B54A9">
        <w:rPr>
          <w:color w:val="auto"/>
          <w:szCs w:val="24"/>
        </w:rPr>
        <w:t>cilvēkkapitālu</w:t>
      </w:r>
      <w:proofErr w:type="spellEnd"/>
      <w:r w:rsidR="006B54A9" w:rsidRPr="006B54A9">
        <w:rPr>
          <w:color w:val="auto"/>
          <w:szCs w:val="24"/>
        </w:rPr>
        <w:t xml:space="preserve"> un uzņēmumu inovāciju spēju, gan arī rada zināšanas par sabiedrībai svarīgiem jautājumiem</w:t>
      </w:r>
      <w:r w:rsidR="00483B8A" w:rsidRPr="00F6773F">
        <w:rPr>
          <w:color w:val="auto"/>
          <w:szCs w:val="24"/>
        </w:rPr>
        <w:t>.</w:t>
      </w:r>
    </w:p>
    <w:p w14:paraId="015DE18D" w14:textId="77777777" w:rsidR="001C70D1" w:rsidRPr="00F6773F" w:rsidRDefault="001C70D1" w:rsidP="0022485B">
      <w:pPr>
        <w:pStyle w:val="Default"/>
        <w:ind w:firstLine="720"/>
        <w:jc w:val="both"/>
        <w:rPr>
          <w:color w:val="auto"/>
        </w:rPr>
      </w:pPr>
      <w:r w:rsidRPr="00F6773F">
        <w:rPr>
          <w:color w:val="auto"/>
        </w:rPr>
        <w:t>Pamatojoties uz Partnerības līgumu Eiropas Savienības investīciju fondu 2014.–2020.gada plānošanas periodam un Eiropas Savienības fondu un Kohēzijas fonda 2014.-2020.gada plānošanas perioda darbības programmu “Izaugsme un nodarbinātība”</w:t>
      </w:r>
      <w:r w:rsidR="003B303B">
        <w:rPr>
          <w:color w:val="auto"/>
        </w:rPr>
        <w:t xml:space="preserve"> (turpmāk – DP)</w:t>
      </w:r>
      <w:r w:rsidRPr="00F6773F">
        <w:rPr>
          <w:color w:val="auto"/>
        </w:rPr>
        <w:t>, Izglītības un zinātnes ministrija 2014.-2020.gada plānošanas periodā specifiskā atbalsta mērķa 8.1.</w:t>
      </w:r>
      <w:r w:rsidR="0028052D" w:rsidRPr="00F6773F">
        <w:rPr>
          <w:color w:val="auto"/>
        </w:rPr>
        <w:t>1</w:t>
      </w:r>
      <w:r w:rsidRPr="00F6773F">
        <w:rPr>
          <w:color w:val="auto"/>
        </w:rPr>
        <w:t>. „</w:t>
      </w:r>
      <w:r w:rsidR="0028052D" w:rsidRPr="00F6773F">
        <w:rPr>
          <w:color w:val="auto"/>
        </w:rPr>
        <w:t xml:space="preserve">Palielināt modernizēto </w:t>
      </w:r>
      <w:r w:rsidRPr="00F6773F">
        <w:rPr>
          <w:color w:val="auto"/>
        </w:rPr>
        <w:t xml:space="preserve">STEM, tajā skaitā medicīnas un radošās industrijas, </w:t>
      </w:r>
      <w:r w:rsidR="0028052D" w:rsidRPr="00F6773F">
        <w:rPr>
          <w:color w:val="auto"/>
        </w:rPr>
        <w:t>studiju programmu skaitu</w:t>
      </w:r>
      <w:r w:rsidRPr="00F6773F">
        <w:rPr>
          <w:color w:val="auto"/>
        </w:rPr>
        <w:t>” (turpmāk –</w:t>
      </w:r>
      <w:r w:rsidR="002D1AE4" w:rsidRPr="00F6773F">
        <w:rPr>
          <w:color w:val="auto"/>
        </w:rPr>
        <w:t xml:space="preserve"> </w:t>
      </w:r>
      <w:r w:rsidRPr="00F6773F">
        <w:rPr>
          <w:color w:val="auto"/>
        </w:rPr>
        <w:t>8.1.</w:t>
      </w:r>
      <w:r w:rsidR="0028052D" w:rsidRPr="00F6773F">
        <w:rPr>
          <w:color w:val="auto"/>
        </w:rPr>
        <w:t>1</w:t>
      </w:r>
      <w:r w:rsidR="00E5164E" w:rsidRPr="00F6773F">
        <w:rPr>
          <w:color w:val="auto"/>
        </w:rPr>
        <w:t>. SAM</w:t>
      </w:r>
      <w:r w:rsidRPr="00F6773F">
        <w:rPr>
          <w:color w:val="auto"/>
        </w:rPr>
        <w:t xml:space="preserve">) ietvaros plāno sniegt atbalstu </w:t>
      </w:r>
      <w:r w:rsidR="00483B8A" w:rsidRPr="00F6773F">
        <w:rPr>
          <w:color w:val="auto"/>
        </w:rPr>
        <w:t xml:space="preserve">teritoriāli koncentrētas studiju un zinātniskā darba infrastruktūras attīstībai augstākās izglītības institūciju stratēģiskās specializācijas stiprināšanai, t.sk. ēku vai telpu pārbūvei vai atjaunošanai, ja nepieciešams, jaunas ēkas būvniecībai, iekārtu un aprīkojuma iegādei, nepieciešamo ēku un telpu pielāgošanai aprīkojuma un aparatūras uzstādīšanai un darbībai, kā arī plāno sniegt atbalstu informācijas un komunikācijas tehnoloģiju risinājumiem, t.sk. tālmācības rīku, programmatūras, bibliotēku resursu iegādei, STEM, t.sk. medicīnas un </w:t>
      </w:r>
      <w:r w:rsidR="00483B8A" w:rsidRPr="00BA2886">
        <w:rPr>
          <w:color w:val="auto"/>
        </w:rPr>
        <w:t>radošās industrijas, studiju virzienos</w:t>
      </w:r>
      <w:r w:rsidRPr="00BA2886">
        <w:rPr>
          <w:color w:val="auto"/>
        </w:rPr>
        <w:t>.</w:t>
      </w:r>
    </w:p>
    <w:p w14:paraId="09A2935A" w14:textId="77777777" w:rsidR="001C70D1" w:rsidRPr="00F6773F" w:rsidRDefault="005735DA" w:rsidP="0022485B">
      <w:pPr>
        <w:tabs>
          <w:tab w:val="left" w:pos="284"/>
        </w:tabs>
        <w:ind w:firstLine="720"/>
        <w:contextualSpacing/>
        <w:rPr>
          <w:szCs w:val="24"/>
        </w:rPr>
      </w:pPr>
      <w:r w:rsidRPr="00F6773F">
        <w:rPr>
          <w:szCs w:val="24"/>
        </w:rPr>
        <w:t xml:space="preserve">Paplašinātā sākotnējā novērtējuma (turpmāk – novērtējums) </w:t>
      </w:r>
      <w:r w:rsidR="001C70D1" w:rsidRPr="00F6773F">
        <w:rPr>
          <w:szCs w:val="24"/>
          <w:lang w:eastAsia="lv-LV"/>
        </w:rPr>
        <w:t xml:space="preserve">mērķis ir izstrādāt uz iepriekšējo ieguldījumu pieredzi balstītu </w:t>
      </w:r>
      <w:r w:rsidR="001C70D1" w:rsidRPr="00F6773F">
        <w:rPr>
          <w:szCs w:val="24"/>
        </w:rPr>
        <w:t>vajadzību analīzi, no tās izrietošu 8.1.</w:t>
      </w:r>
      <w:r w:rsidR="00A31926" w:rsidRPr="00F6773F">
        <w:rPr>
          <w:szCs w:val="24"/>
        </w:rPr>
        <w:t>1</w:t>
      </w:r>
      <w:r w:rsidR="001C70D1" w:rsidRPr="00F6773F">
        <w:rPr>
          <w:szCs w:val="24"/>
        </w:rPr>
        <w:t xml:space="preserve">. </w:t>
      </w:r>
      <w:r w:rsidR="00E5164E" w:rsidRPr="00F6773F">
        <w:rPr>
          <w:szCs w:val="24"/>
        </w:rPr>
        <w:t xml:space="preserve">SAM </w:t>
      </w:r>
      <w:r w:rsidR="001C70D1" w:rsidRPr="00F6773F">
        <w:rPr>
          <w:szCs w:val="24"/>
        </w:rPr>
        <w:t>īstenošanas mehānismu, nosacījumus un sasniedzamos rādītājus teritoriālā sadalījumā. Novērtējuma rezultātus plānots izmantot 8.1.</w:t>
      </w:r>
      <w:r w:rsidR="00A31926" w:rsidRPr="00F6773F">
        <w:rPr>
          <w:szCs w:val="24"/>
        </w:rPr>
        <w:t>1</w:t>
      </w:r>
      <w:r w:rsidR="001C70D1" w:rsidRPr="00F6773F">
        <w:rPr>
          <w:szCs w:val="24"/>
        </w:rPr>
        <w:t xml:space="preserve">. </w:t>
      </w:r>
      <w:r w:rsidR="00E5164E" w:rsidRPr="00F6773F">
        <w:rPr>
          <w:szCs w:val="24"/>
        </w:rPr>
        <w:t xml:space="preserve">SAM </w:t>
      </w:r>
      <w:r w:rsidR="001C70D1" w:rsidRPr="00F6773F">
        <w:rPr>
          <w:szCs w:val="24"/>
        </w:rPr>
        <w:t>īstenošanas nosacījumu, tai skaitā projektu iesniegumu vērtēšanas kritēriju un Ministru kabineta noteikumu par 8.1.</w:t>
      </w:r>
      <w:r w:rsidR="00A31926" w:rsidRPr="00F6773F">
        <w:rPr>
          <w:szCs w:val="24"/>
        </w:rPr>
        <w:t>1</w:t>
      </w:r>
      <w:r w:rsidR="001C70D1" w:rsidRPr="00F6773F">
        <w:rPr>
          <w:szCs w:val="24"/>
        </w:rPr>
        <w:t xml:space="preserve">. </w:t>
      </w:r>
      <w:r w:rsidR="00E5164E" w:rsidRPr="00F6773F">
        <w:rPr>
          <w:szCs w:val="24"/>
        </w:rPr>
        <w:t xml:space="preserve">SAM </w:t>
      </w:r>
      <w:r w:rsidR="001C70D1" w:rsidRPr="00F6773F">
        <w:rPr>
          <w:szCs w:val="24"/>
        </w:rPr>
        <w:t>īstenošanu, izstrādei.</w:t>
      </w:r>
    </w:p>
    <w:p w14:paraId="3CFB8EDB" w14:textId="77777777" w:rsidR="000B725C" w:rsidRPr="00F6773F" w:rsidRDefault="00EF6282" w:rsidP="0022485B">
      <w:pPr>
        <w:tabs>
          <w:tab w:val="left" w:pos="284"/>
        </w:tabs>
        <w:ind w:firstLine="720"/>
        <w:contextualSpacing/>
        <w:rPr>
          <w:szCs w:val="24"/>
        </w:rPr>
      </w:pPr>
      <w:r w:rsidRPr="00F6773F">
        <w:rPr>
          <w:szCs w:val="24"/>
        </w:rPr>
        <w:t xml:space="preserve">Novērtējumā </w:t>
      </w:r>
      <w:r w:rsidR="000B725C" w:rsidRPr="00F6773F">
        <w:rPr>
          <w:szCs w:val="24"/>
        </w:rPr>
        <w:t>tiek analizēta esošā sociāli ekonomiskā situācija</w:t>
      </w:r>
      <w:r w:rsidR="00B75F32" w:rsidRPr="00F6773F">
        <w:rPr>
          <w:szCs w:val="24"/>
        </w:rPr>
        <w:t xml:space="preserve"> un </w:t>
      </w:r>
      <w:r w:rsidR="00A4228E" w:rsidRPr="008F35A6">
        <w:rPr>
          <w:szCs w:val="24"/>
        </w:rPr>
        <w:t>veikta vajadzību analīze,</w:t>
      </w:r>
      <w:r w:rsidRPr="00F6773F">
        <w:rPr>
          <w:szCs w:val="24"/>
        </w:rPr>
        <w:t xml:space="preserve"> aprakstīti un analizēti 2007.-2013.gada plānošanas periodā veiktie ieguldījumi studiju </w:t>
      </w:r>
      <w:r w:rsidR="003F43D4" w:rsidRPr="00F6773F">
        <w:rPr>
          <w:szCs w:val="24"/>
        </w:rPr>
        <w:t xml:space="preserve">programmu </w:t>
      </w:r>
      <w:r w:rsidRPr="00F6773F">
        <w:rPr>
          <w:szCs w:val="24"/>
        </w:rPr>
        <w:t xml:space="preserve">uzlabošanai </w:t>
      </w:r>
      <w:r w:rsidR="00A31926" w:rsidRPr="00F6773F">
        <w:rPr>
          <w:szCs w:val="24"/>
        </w:rPr>
        <w:t>augstskolās</w:t>
      </w:r>
      <w:r w:rsidRPr="00F6773F">
        <w:rPr>
          <w:szCs w:val="24"/>
        </w:rPr>
        <w:t xml:space="preserve"> ES fondu, Klimata pārmaiņu finanšu instrumenta (turpmāk – KPFI) un citu finanšu avotu ietvaros, sniegti secinājumi par ES fondu 2007.-2013.gada plānošanas perioda </w:t>
      </w:r>
      <w:r w:rsidRPr="00F6773F">
        <w:rPr>
          <w:bCs/>
          <w:szCs w:val="24"/>
        </w:rPr>
        <w:t xml:space="preserve">3.1.2.1.1.apakšaktivitātes </w:t>
      </w:r>
      <w:r w:rsidR="00244193" w:rsidRPr="00F6773F">
        <w:rPr>
          <w:bCs/>
          <w:szCs w:val="24"/>
        </w:rPr>
        <w:t xml:space="preserve">„Augstākās izglītības iestāžu telpu un iekārtu modernizēšana studiju programmu kvalitātes uzlabošanai, tajā skaitā nodrošinot izglītības programmu apgūšanas iespējas arī personām ar funkcionāliem traucējumiem” </w:t>
      </w:r>
      <w:r w:rsidRPr="008F35A6">
        <w:rPr>
          <w:szCs w:val="24"/>
          <w:lang w:eastAsia="lv-LV"/>
        </w:rPr>
        <w:t xml:space="preserve">ieviešanas </w:t>
      </w:r>
      <w:r w:rsidRPr="008F35A6">
        <w:rPr>
          <w:szCs w:val="24"/>
          <w:lang w:eastAsia="lv-LV"/>
        </w:rPr>
        <w:lastRenderedPageBreak/>
        <w:t>mehānismu, kā arī s</w:t>
      </w:r>
      <w:r w:rsidRPr="008F35A6">
        <w:rPr>
          <w:szCs w:val="24"/>
        </w:rPr>
        <w:t>niegts 8.1.</w:t>
      </w:r>
      <w:r w:rsidR="00A31926" w:rsidRPr="008F35A6">
        <w:rPr>
          <w:szCs w:val="24"/>
        </w:rPr>
        <w:t>1</w:t>
      </w:r>
      <w:r w:rsidRPr="008F35A6">
        <w:rPr>
          <w:szCs w:val="24"/>
        </w:rPr>
        <w:t xml:space="preserve">. </w:t>
      </w:r>
      <w:r w:rsidR="00E5164E" w:rsidRPr="008F35A6">
        <w:rPr>
          <w:szCs w:val="24"/>
        </w:rPr>
        <w:t xml:space="preserve">SAM </w:t>
      </w:r>
      <w:r w:rsidRPr="008F35A6">
        <w:rPr>
          <w:szCs w:val="24"/>
        </w:rPr>
        <w:t xml:space="preserve">ieviešanas mehānisma apraksts, </w:t>
      </w:r>
      <w:r w:rsidR="00A4228E" w:rsidRPr="008F35A6">
        <w:rPr>
          <w:szCs w:val="24"/>
        </w:rPr>
        <w:t xml:space="preserve">iekļaujot </w:t>
      </w:r>
      <w:r w:rsidR="00AA548F" w:rsidRPr="008F35A6">
        <w:rPr>
          <w:szCs w:val="24"/>
        </w:rPr>
        <w:t xml:space="preserve">2014.-2020.gada plānošanas perioda </w:t>
      </w:r>
      <w:r w:rsidRPr="008F35A6">
        <w:rPr>
          <w:szCs w:val="24"/>
        </w:rPr>
        <w:t>indikatīvo investīciju kartējumu.</w:t>
      </w:r>
    </w:p>
    <w:p w14:paraId="19A43E84" w14:textId="77777777" w:rsidR="005735DA" w:rsidRPr="000115AD" w:rsidRDefault="00336E18" w:rsidP="0022485B">
      <w:pPr>
        <w:tabs>
          <w:tab w:val="left" w:pos="284"/>
        </w:tabs>
        <w:ind w:firstLine="720"/>
        <w:contextualSpacing/>
        <w:rPr>
          <w:szCs w:val="24"/>
        </w:rPr>
      </w:pPr>
      <w:r w:rsidRPr="000115AD">
        <w:rPr>
          <w:szCs w:val="24"/>
        </w:rPr>
        <w:t>Novērtējum</w:t>
      </w:r>
      <w:r w:rsidR="007B7D6D" w:rsidRPr="000115AD">
        <w:rPr>
          <w:szCs w:val="24"/>
        </w:rPr>
        <w:t xml:space="preserve">a būtiskākie informācijas avoti ir Ekonomikas ministrijas </w:t>
      </w:r>
      <w:r w:rsidR="001432B0" w:rsidRPr="000115AD">
        <w:rPr>
          <w:szCs w:val="24"/>
        </w:rPr>
        <w:t xml:space="preserve">(turpmāk – EM) </w:t>
      </w:r>
      <w:r w:rsidR="007B7D6D" w:rsidRPr="000115AD">
        <w:rPr>
          <w:szCs w:val="24"/>
        </w:rPr>
        <w:t>izstrādāt</w:t>
      </w:r>
      <w:r w:rsidR="00B75F32" w:rsidRPr="000115AD">
        <w:rPr>
          <w:szCs w:val="24"/>
        </w:rPr>
        <w:t>ie</w:t>
      </w:r>
      <w:r w:rsidR="007B7D6D" w:rsidRPr="000115AD">
        <w:rPr>
          <w:szCs w:val="24"/>
        </w:rPr>
        <w:t xml:space="preserve"> informatīv</w:t>
      </w:r>
      <w:r w:rsidR="00B75F32" w:rsidRPr="000115AD">
        <w:rPr>
          <w:szCs w:val="24"/>
        </w:rPr>
        <w:t>ie</w:t>
      </w:r>
      <w:r w:rsidR="007B7D6D" w:rsidRPr="000115AD">
        <w:rPr>
          <w:szCs w:val="24"/>
        </w:rPr>
        <w:t xml:space="preserve"> ziņojum</w:t>
      </w:r>
      <w:r w:rsidR="00B75F32" w:rsidRPr="000115AD">
        <w:rPr>
          <w:szCs w:val="24"/>
        </w:rPr>
        <w:t>i</w:t>
      </w:r>
      <w:r w:rsidR="007B7D6D" w:rsidRPr="000115AD">
        <w:rPr>
          <w:szCs w:val="24"/>
        </w:rPr>
        <w:t xml:space="preserve"> par darba tirgus vidējā un ilgtermiņa prognozēm, </w:t>
      </w:r>
      <w:r w:rsidR="00C6029A">
        <w:rPr>
          <w:szCs w:val="24"/>
        </w:rPr>
        <w:t>Izglītības un zinātnes ministrijas (</w:t>
      </w:r>
      <w:r w:rsidR="00671705" w:rsidRPr="000115AD">
        <w:rPr>
          <w:szCs w:val="24"/>
        </w:rPr>
        <w:t>turpmāk –</w:t>
      </w:r>
      <w:r w:rsidR="00671705">
        <w:rPr>
          <w:szCs w:val="24"/>
        </w:rPr>
        <w:t xml:space="preserve"> </w:t>
      </w:r>
      <w:r w:rsidR="00C6029A">
        <w:rPr>
          <w:szCs w:val="24"/>
        </w:rPr>
        <w:t xml:space="preserve">IZM), </w:t>
      </w:r>
      <w:r w:rsidR="007B7D6D" w:rsidRPr="000115AD">
        <w:rPr>
          <w:szCs w:val="24"/>
        </w:rPr>
        <w:t xml:space="preserve">Centrālās statistikas pārvaldes (turpmāk – CSP), Nodarbinātības valsts aģentūras (turpmāk – NVA), Valsts izglītības attīstības aģentūras (turpmāk – VIAA), </w:t>
      </w:r>
      <w:r w:rsidR="007B7D6D" w:rsidRPr="000115AD">
        <w:rPr>
          <w:bCs/>
          <w:szCs w:val="24"/>
        </w:rPr>
        <w:t xml:space="preserve">Vides aizsardzības un reģionālās attīstības ministrijas </w:t>
      </w:r>
      <w:r w:rsidR="007B7D6D" w:rsidRPr="000115AD">
        <w:rPr>
          <w:szCs w:val="24"/>
        </w:rPr>
        <w:t xml:space="preserve">(turpmāk – VARAM) un Vides investīciju fonda (turpmāk – LVIF) dati. </w:t>
      </w:r>
    </w:p>
    <w:p w14:paraId="4CFF0CBE" w14:textId="77777777" w:rsidR="00A91562" w:rsidRPr="000115AD" w:rsidRDefault="00A91562" w:rsidP="008808CD">
      <w:pPr>
        <w:tabs>
          <w:tab w:val="left" w:pos="284"/>
        </w:tabs>
        <w:ind w:firstLine="851"/>
        <w:contextualSpacing/>
        <w:rPr>
          <w:color w:val="414142"/>
          <w:szCs w:val="24"/>
          <w:highlight w:val="yellow"/>
        </w:rPr>
      </w:pPr>
    </w:p>
    <w:p w14:paraId="6F98B71A" w14:textId="77777777" w:rsidR="003D11CD" w:rsidRDefault="003D11CD">
      <w:pPr>
        <w:jc w:val="left"/>
        <w:rPr>
          <w:rFonts w:eastAsia="Calibri"/>
          <w:sz w:val="28"/>
          <w:szCs w:val="28"/>
        </w:rPr>
      </w:pPr>
    </w:p>
    <w:p w14:paraId="50B557BB" w14:textId="77777777" w:rsidR="003D11CD" w:rsidRDefault="003D11CD">
      <w:pPr>
        <w:jc w:val="left"/>
        <w:rPr>
          <w:rFonts w:eastAsia="Calibri"/>
          <w:sz w:val="28"/>
          <w:szCs w:val="28"/>
        </w:rPr>
      </w:pPr>
    </w:p>
    <w:p w14:paraId="57F3815D" w14:textId="77777777" w:rsidR="006A17B5" w:rsidRDefault="006A17B5">
      <w:pPr>
        <w:jc w:val="left"/>
        <w:rPr>
          <w:rFonts w:eastAsia="Calibri"/>
          <w:sz w:val="28"/>
          <w:szCs w:val="28"/>
        </w:rPr>
      </w:pPr>
      <w:r>
        <w:rPr>
          <w:rFonts w:eastAsia="Calibri"/>
          <w:sz w:val="28"/>
          <w:szCs w:val="28"/>
        </w:rPr>
        <w:br w:type="page"/>
      </w:r>
    </w:p>
    <w:p w14:paraId="33B6C439" w14:textId="77777777" w:rsidR="002B567E" w:rsidRPr="00EE7E61" w:rsidRDefault="00EE7E61" w:rsidP="00EE7E61">
      <w:pPr>
        <w:pStyle w:val="Heading1"/>
        <w:spacing w:before="0" w:line="240" w:lineRule="auto"/>
        <w:jc w:val="center"/>
      </w:pPr>
      <w:bookmarkStart w:id="5" w:name="_Toc409448068"/>
      <w:bookmarkStart w:id="6" w:name="_Toc385413135"/>
      <w:bookmarkStart w:id="7" w:name="_Toc457815667"/>
      <w:r w:rsidRPr="001D51D3">
        <w:lastRenderedPageBreak/>
        <w:t xml:space="preserve">1. </w:t>
      </w:r>
      <w:r w:rsidR="002B567E" w:rsidRPr="001D51D3">
        <w:t>Esošās sociāli ekonomiskās situācijas apraksts</w:t>
      </w:r>
      <w:bookmarkEnd w:id="5"/>
      <w:r w:rsidR="002B567E" w:rsidRPr="001D51D3">
        <w:t xml:space="preserve"> </w:t>
      </w:r>
      <w:bookmarkEnd w:id="6"/>
      <w:r w:rsidR="00B75F32" w:rsidRPr="001D51D3">
        <w:t>un vajadzību analīze</w:t>
      </w:r>
      <w:bookmarkEnd w:id="7"/>
    </w:p>
    <w:p w14:paraId="059286B8" w14:textId="77777777" w:rsidR="000E11B9" w:rsidRDefault="000E11B9" w:rsidP="003B2B2B">
      <w:pPr>
        <w:autoSpaceDE w:val="0"/>
        <w:autoSpaceDN w:val="0"/>
        <w:adjustRightInd w:val="0"/>
        <w:jc w:val="left"/>
        <w:rPr>
          <w:rFonts w:ascii="EYInterstate" w:eastAsia="Calibri" w:hAnsi="EYInterstate" w:cs="EYInterstate"/>
          <w:color w:val="000000"/>
          <w:szCs w:val="24"/>
          <w:lang w:eastAsia="lv-LV"/>
        </w:rPr>
      </w:pPr>
    </w:p>
    <w:p w14:paraId="6146E34F" w14:textId="77777777" w:rsidR="00D868A7" w:rsidRPr="00F6773F" w:rsidRDefault="00D868A7" w:rsidP="0022485B">
      <w:pPr>
        <w:autoSpaceDE w:val="0"/>
        <w:autoSpaceDN w:val="0"/>
        <w:adjustRightInd w:val="0"/>
        <w:ind w:firstLine="720"/>
        <w:rPr>
          <w:rFonts w:eastAsia="Calibri"/>
        </w:rPr>
      </w:pPr>
      <w:r w:rsidRPr="00F6773F">
        <w:rPr>
          <w:rFonts w:eastAsia="Calibri"/>
        </w:rPr>
        <w:t>Lai</w:t>
      </w:r>
      <w:r w:rsidRPr="00F6773F">
        <w:t xml:space="preserve"> nodrošinātu mūsdienīgu studiju procesa īstenošanu </w:t>
      </w:r>
      <w:r w:rsidR="00A31926" w:rsidRPr="00F6773F">
        <w:t xml:space="preserve">augstskolās </w:t>
      </w:r>
      <w:r w:rsidRPr="00F6773F">
        <w:t>atbilstoši tautsaimniecīb</w:t>
      </w:r>
      <w:r w:rsidR="00777FAC" w:rsidRPr="00F6773F">
        <w:t>as</w:t>
      </w:r>
      <w:r w:rsidRPr="00F6773F">
        <w:t xml:space="preserve"> attīstībai</w:t>
      </w:r>
      <w:r w:rsidR="007347F0" w:rsidRPr="00F6773F">
        <w:t xml:space="preserve"> izvirzītajiem mērķiem un publisko ieguldījumu prioritātēm</w:t>
      </w:r>
      <w:r w:rsidRPr="00F6773F">
        <w:rPr>
          <w:rFonts w:eastAsia="Calibri"/>
        </w:rPr>
        <w:t xml:space="preserve">, </w:t>
      </w:r>
      <w:r w:rsidRPr="00BA2886">
        <w:rPr>
          <w:rFonts w:eastAsia="Calibri"/>
        </w:rPr>
        <w:t xml:space="preserve">investīciju ieguldījumi </w:t>
      </w:r>
      <w:r w:rsidR="00A31926" w:rsidRPr="00BA2886">
        <w:rPr>
          <w:rFonts w:eastAsia="Calibri"/>
        </w:rPr>
        <w:t>augstskolu</w:t>
      </w:r>
      <w:r w:rsidRPr="00BA2886">
        <w:rPr>
          <w:rFonts w:eastAsia="Calibri"/>
        </w:rPr>
        <w:t xml:space="preserve"> </w:t>
      </w:r>
      <w:r w:rsidR="00784C7E" w:rsidRPr="00BA2886">
        <w:rPr>
          <w:rFonts w:eastAsia="Calibri"/>
        </w:rPr>
        <w:t xml:space="preserve">studiju un zinātniskā darba </w:t>
      </w:r>
      <w:r w:rsidRPr="00BA2886">
        <w:rPr>
          <w:rFonts w:eastAsia="Calibri"/>
        </w:rPr>
        <w:t>infrastruktūras modernizēšanai</w:t>
      </w:r>
      <w:r w:rsidRPr="00F6773F">
        <w:rPr>
          <w:rFonts w:eastAsia="Calibri"/>
        </w:rPr>
        <w:t xml:space="preserve"> ES fondu 2014. – 2020.</w:t>
      </w:r>
      <w:r w:rsidR="00DE16BD" w:rsidRPr="00F6773F">
        <w:rPr>
          <w:rFonts w:eastAsia="Calibri"/>
        </w:rPr>
        <w:t xml:space="preserve">gada </w:t>
      </w:r>
      <w:r w:rsidRPr="00F6773F">
        <w:rPr>
          <w:rFonts w:eastAsia="Calibri"/>
        </w:rPr>
        <w:t xml:space="preserve">plānošanas periodā </w:t>
      </w:r>
      <w:r w:rsidR="002A603F" w:rsidRPr="00F6773F">
        <w:rPr>
          <w:rFonts w:eastAsia="Calibri"/>
        </w:rPr>
        <w:t xml:space="preserve">tiek </w:t>
      </w:r>
      <w:r w:rsidR="007347F0" w:rsidRPr="00F6773F">
        <w:rPr>
          <w:rFonts w:eastAsia="Calibri"/>
        </w:rPr>
        <w:t xml:space="preserve">vērtēti </w:t>
      </w:r>
      <w:r w:rsidRPr="00F6773F">
        <w:rPr>
          <w:rFonts w:eastAsia="Calibri"/>
        </w:rPr>
        <w:t>kontekstā ar darbaspēka piedāvājumu un pieprasījumu un tā attīstības tendencēm</w:t>
      </w:r>
      <w:r w:rsidR="002A603F" w:rsidRPr="00F6773F">
        <w:rPr>
          <w:rFonts w:eastAsia="Calibri"/>
        </w:rPr>
        <w:t>, tai skaitā reģionālā griezumā</w:t>
      </w:r>
      <w:r w:rsidR="008D176F" w:rsidRPr="00F6773F">
        <w:rPr>
          <w:rFonts w:eastAsia="Calibri"/>
        </w:rPr>
        <w:t>.</w:t>
      </w:r>
    </w:p>
    <w:p w14:paraId="778B3CD1" w14:textId="77777777" w:rsidR="003B2B2B" w:rsidRDefault="003B2B2B" w:rsidP="0022485B">
      <w:pPr>
        <w:autoSpaceDE w:val="0"/>
        <w:autoSpaceDN w:val="0"/>
        <w:adjustRightInd w:val="0"/>
        <w:ind w:firstLine="720"/>
        <w:jc w:val="left"/>
        <w:rPr>
          <w:rFonts w:ascii="EYInterstate" w:eastAsia="Calibri" w:hAnsi="EYInterstate" w:cs="EYInterstate"/>
          <w:color w:val="000000"/>
          <w:szCs w:val="24"/>
          <w:lang w:eastAsia="lv-LV"/>
        </w:rPr>
      </w:pPr>
    </w:p>
    <w:p w14:paraId="33A90614" w14:textId="77777777" w:rsidR="00D42476" w:rsidRPr="002C2068" w:rsidRDefault="00D42476" w:rsidP="00D93672">
      <w:pPr>
        <w:pStyle w:val="Heading2"/>
        <w:rPr>
          <w:rFonts w:eastAsia="Calibri"/>
        </w:rPr>
      </w:pPr>
      <w:bookmarkStart w:id="8" w:name="_Toc457815668"/>
      <w:r>
        <w:t>1.1.</w:t>
      </w:r>
      <w:r w:rsidR="00637224" w:rsidRPr="00EE7E61">
        <w:t xml:space="preserve"> </w:t>
      </w:r>
      <w:r w:rsidR="00A31926">
        <w:rPr>
          <w:rFonts w:eastAsia="Calibri"/>
        </w:rPr>
        <w:t>Augstskolās īstenotās STEM studiju programmas, tajās studējošo skaita izmaiņu tendences</w:t>
      </w:r>
      <w:bookmarkEnd w:id="8"/>
    </w:p>
    <w:p w14:paraId="765AF352" w14:textId="77777777" w:rsidR="005E3CFF" w:rsidRDefault="005E3CFF" w:rsidP="00722156">
      <w:pPr>
        <w:pStyle w:val="Default"/>
        <w:numPr>
          <w:ilvl w:val="0"/>
          <w:numId w:val="1"/>
        </w:numPr>
        <w:jc w:val="both"/>
        <w:rPr>
          <w:sz w:val="23"/>
          <w:szCs w:val="23"/>
        </w:rPr>
      </w:pPr>
    </w:p>
    <w:p w14:paraId="1A358AA0" w14:textId="77777777" w:rsidR="00C6374B" w:rsidRPr="00DD6363" w:rsidRDefault="00C6374B" w:rsidP="00C6374B">
      <w:pPr>
        <w:autoSpaceDE w:val="0"/>
        <w:autoSpaceDN w:val="0"/>
        <w:adjustRightInd w:val="0"/>
        <w:ind w:left="714"/>
        <w:rPr>
          <w:rFonts w:eastAsia="Calibri"/>
          <w:b/>
          <w:i/>
          <w:sz w:val="22"/>
          <w:szCs w:val="22"/>
          <w:lang w:eastAsia="lv-LV"/>
        </w:rPr>
      </w:pPr>
      <w:r w:rsidRPr="00DD6363">
        <w:rPr>
          <w:rFonts w:eastAsia="Calibri"/>
          <w:b/>
          <w:szCs w:val="28"/>
        </w:rPr>
        <w:t>STEM studiju programmu skaidrojums</w:t>
      </w:r>
    </w:p>
    <w:p w14:paraId="1313DD17" w14:textId="77777777" w:rsidR="00C6374B" w:rsidRPr="00DD6363" w:rsidRDefault="00C6374B" w:rsidP="00C6374B">
      <w:pPr>
        <w:autoSpaceDE w:val="0"/>
        <w:autoSpaceDN w:val="0"/>
        <w:adjustRightInd w:val="0"/>
        <w:ind w:firstLine="720"/>
        <w:rPr>
          <w:szCs w:val="24"/>
        </w:rPr>
      </w:pPr>
      <w:r w:rsidRPr="00DD6363">
        <w:rPr>
          <w:szCs w:val="24"/>
        </w:rPr>
        <w:t>8.1.1. SAM ietvaros, analizējot STEM</w:t>
      </w:r>
      <w:r w:rsidRPr="00DD6363">
        <w:rPr>
          <w:rStyle w:val="FootnoteReference"/>
          <w:rFonts w:eastAsia="Calibri"/>
          <w:szCs w:val="24"/>
          <w:lang w:eastAsia="lv-LV"/>
        </w:rPr>
        <w:footnoteReference w:id="4"/>
      </w:r>
      <w:r w:rsidRPr="00DD6363">
        <w:rPr>
          <w:rFonts w:eastAsia="Calibri"/>
          <w:szCs w:val="24"/>
          <w:lang w:eastAsia="lv-LV"/>
        </w:rPr>
        <w:t xml:space="preserve"> jomas statistiku, par STEM studiju programmām </w:t>
      </w:r>
      <w:r w:rsidR="00DB2422" w:rsidRPr="00DD6363">
        <w:rPr>
          <w:rFonts w:eastAsia="Calibri"/>
          <w:szCs w:val="24"/>
          <w:lang w:eastAsia="lv-LV"/>
        </w:rPr>
        <w:t xml:space="preserve">(turpmāk – STEM jomas programmas) </w:t>
      </w:r>
      <w:r w:rsidRPr="00DD6363">
        <w:rPr>
          <w:rFonts w:eastAsia="Calibri"/>
          <w:szCs w:val="24"/>
          <w:lang w:eastAsia="lv-LV"/>
        </w:rPr>
        <w:t>tiek uzskatītas tās studiju programmas, kuras saskaņā ar Ministru kabineta 02.12.2008. noteikumiem Nr.990 „Noteikumi par Latvijas izglītības klasifikāciju” ietilpst:</w:t>
      </w:r>
    </w:p>
    <w:p w14:paraId="7C158156" w14:textId="77777777" w:rsidR="00C6374B" w:rsidRPr="00DD6363" w:rsidRDefault="00C6374B" w:rsidP="00B47005">
      <w:pPr>
        <w:pStyle w:val="ListParagraph"/>
        <w:numPr>
          <w:ilvl w:val="0"/>
          <w:numId w:val="23"/>
        </w:numPr>
        <w:autoSpaceDE w:val="0"/>
        <w:autoSpaceDN w:val="0"/>
        <w:adjustRightInd w:val="0"/>
        <w:rPr>
          <w:szCs w:val="24"/>
          <w:lang w:eastAsia="lv-LV"/>
        </w:rPr>
      </w:pPr>
      <w:r w:rsidRPr="00DD6363">
        <w:rPr>
          <w:szCs w:val="24"/>
          <w:lang w:eastAsia="lv-LV"/>
        </w:rPr>
        <w:t xml:space="preserve">izglītības tematiskajā grupā </w:t>
      </w:r>
      <w:r w:rsidRPr="00DD6363">
        <w:rPr>
          <w:i/>
          <w:szCs w:val="24"/>
          <w:lang w:eastAsia="lv-LV"/>
        </w:rPr>
        <w:t>Dabaszinātnes, matemātika un informācijas tehnoloģijas</w:t>
      </w:r>
      <w:r w:rsidRPr="00DD6363">
        <w:rPr>
          <w:szCs w:val="24"/>
          <w:lang w:eastAsia="lv-LV"/>
        </w:rPr>
        <w:t xml:space="preserve"> (koda 3.cipars „4”);</w:t>
      </w:r>
    </w:p>
    <w:p w14:paraId="600FB31B" w14:textId="77777777" w:rsidR="00C6374B" w:rsidRPr="00DD6363" w:rsidRDefault="00C6374B" w:rsidP="00B47005">
      <w:pPr>
        <w:pStyle w:val="ListParagraph"/>
        <w:numPr>
          <w:ilvl w:val="0"/>
          <w:numId w:val="23"/>
        </w:numPr>
        <w:autoSpaceDE w:val="0"/>
        <w:autoSpaceDN w:val="0"/>
        <w:adjustRightInd w:val="0"/>
        <w:rPr>
          <w:szCs w:val="24"/>
          <w:lang w:eastAsia="lv-LV"/>
        </w:rPr>
      </w:pPr>
      <w:r w:rsidRPr="00DD6363">
        <w:rPr>
          <w:szCs w:val="24"/>
          <w:lang w:eastAsia="lv-LV"/>
        </w:rPr>
        <w:t xml:space="preserve">izglītības tematiskajā grupā </w:t>
      </w:r>
      <w:r w:rsidRPr="00DD6363">
        <w:rPr>
          <w:i/>
          <w:szCs w:val="24"/>
          <w:lang w:eastAsia="lv-LV"/>
        </w:rPr>
        <w:t>Inženierzinātnes, ražošana un būvniecība</w:t>
      </w:r>
      <w:r w:rsidRPr="00DD6363">
        <w:rPr>
          <w:szCs w:val="24"/>
          <w:lang w:eastAsia="lv-LV"/>
        </w:rPr>
        <w:t xml:space="preserve"> (koda 3.cipars „5”);</w:t>
      </w:r>
    </w:p>
    <w:p w14:paraId="5556FE2E" w14:textId="77777777" w:rsidR="00AC624B" w:rsidRPr="00DD6363" w:rsidRDefault="00AC624B" w:rsidP="00B47005">
      <w:pPr>
        <w:pStyle w:val="ListParagraph"/>
        <w:numPr>
          <w:ilvl w:val="0"/>
          <w:numId w:val="23"/>
        </w:numPr>
        <w:autoSpaceDE w:val="0"/>
        <w:autoSpaceDN w:val="0"/>
        <w:adjustRightInd w:val="0"/>
        <w:rPr>
          <w:szCs w:val="24"/>
          <w:lang w:eastAsia="lv-LV"/>
        </w:rPr>
      </w:pPr>
      <w:r w:rsidRPr="00DD6363">
        <w:rPr>
          <w:szCs w:val="24"/>
          <w:lang w:eastAsia="lv-LV"/>
        </w:rPr>
        <w:t xml:space="preserve">izglītības tematiskajā grupā </w:t>
      </w:r>
      <w:r w:rsidRPr="00DD6363">
        <w:rPr>
          <w:i/>
          <w:szCs w:val="24"/>
          <w:lang w:eastAsia="lv-LV"/>
        </w:rPr>
        <w:t>Lauksaimniecība</w:t>
      </w:r>
      <w:r w:rsidRPr="00DD6363">
        <w:rPr>
          <w:szCs w:val="24"/>
          <w:lang w:eastAsia="lv-LV"/>
        </w:rPr>
        <w:t xml:space="preserve"> (koda 3.cipars </w:t>
      </w:r>
      <w:r w:rsidR="00AB5566" w:rsidRPr="00DD6363">
        <w:rPr>
          <w:szCs w:val="24"/>
          <w:lang w:eastAsia="lv-LV"/>
        </w:rPr>
        <w:t>„</w:t>
      </w:r>
      <w:r w:rsidRPr="00DD6363">
        <w:rPr>
          <w:szCs w:val="24"/>
          <w:lang w:eastAsia="lv-LV"/>
        </w:rPr>
        <w:t>6</w:t>
      </w:r>
      <w:r w:rsidR="00AB5566" w:rsidRPr="00DD6363">
        <w:rPr>
          <w:szCs w:val="24"/>
          <w:lang w:eastAsia="lv-LV"/>
        </w:rPr>
        <w:t>”</w:t>
      </w:r>
      <w:r w:rsidRPr="00DD6363">
        <w:rPr>
          <w:szCs w:val="24"/>
          <w:lang w:eastAsia="lv-LV"/>
        </w:rPr>
        <w:t>);</w:t>
      </w:r>
    </w:p>
    <w:p w14:paraId="05620FB8" w14:textId="77777777" w:rsidR="00C6374B" w:rsidRPr="00DD6363" w:rsidRDefault="00C6374B" w:rsidP="00B47005">
      <w:pPr>
        <w:pStyle w:val="ListParagraph"/>
        <w:numPr>
          <w:ilvl w:val="0"/>
          <w:numId w:val="23"/>
        </w:numPr>
        <w:autoSpaceDE w:val="0"/>
        <w:autoSpaceDN w:val="0"/>
        <w:adjustRightInd w:val="0"/>
        <w:rPr>
          <w:szCs w:val="24"/>
          <w:lang w:eastAsia="lv-LV"/>
        </w:rPr>
      </w:pPr>
      <w:r w:rsidRPr="00DD6363">
        <w:rPr>
          <w:szCs w:val="24"/>
          <w:lang w:eastAsia="lv-LV"/>
        </w:rPr>
        <w:t xml:space="preserve">izglītības tematiskajā jomā </w:t>
      </w:r>
      <w:r w:rsidRPr="00DD6363">
        <w:rPr>
          <w:i/>
          <w:szCs w:val="24"/>
          <w:lang w:eastAsia="lv-LV"/>
        </w:rPr>
        <w:t>Veselības aprūpe</w:t>
      </w:r>
      <w:r w:rsidRPr="00DD6363">
        <w:rPr>
          <w:szCs w:val="24"/>
          <w:lang w:eastAsia="lv-LV"/>
        </w:rPr>
        <w:t xml:space="preserve"> (koda 3. un 4.cipars „72”)</w:t>
      </w:r>
      <w:r w:rsidR="00DD6363" w:rsidRPr="00DD6363">
        <w:rPr>
          <w:szCs w:val="24"/>
          <w:lang w:eastAsia="lv-LV"/>
        </w:rPr>
        <w:t>, izņemot kosmetoloģiju</w:t>
      </w:r>
      <w:r w:rsidRPr="00DD6363">
        <w:rPr>
          <w:szCs w:val="24"/>
          <w:lang w:eastAsia="lv-LV"/>
        </w:rPr>
        <w:t>;</w:t>
      </w:r>
    </w:p>
    <w:p w14:paraId="1E01B3A1" w14:textId="77777777" w:rsidR="00C6374B" w:rsidRPr="00DD6363" w:rsidRDefault="00C6374B" w:rsidP="00B47005">
      <w:pPr>
        <w:pStyle w:val="ListParagraph"/>
        <w:numPr>
          <w:ilvl w:val="0"/>
          <w:numId w:val="23"/>
        </w:numPr>
        <w:autoSpaceDE w:val="0"/>
        <w:autoSpaceDN w:val="0"/>
        <w:adjustRightInd w:val="0"/>
        <w:rPr>
          <w:szCs w:val="24"/>
          <w:lang w:eastAsia="lv-LV"/>
        </w:rPr>
      </w:pPr>
      <w:r w:rsidRPr="00DD6363">
        <w:rPr>
          <w:szCs w:val="24"/>
          <w:lang w:eastAsia="lv-LV"/>
        </w:rPr>
        <w:t xml:space="preserve">izglītības tematiskajā jomā </w:t>
      </w:r>
      <w:r w:rsidRPr="00DD6363">
        <w:rPr>
          <w:i/>
          <w:szCs w:val="24"/>
          <w:lang w:eastAsia="lv-LV"/>
        </w:rPr>
        <w:t>Mākslas</w:t>
      </w:r>
      <w:r w:rsidRPr="00DD6363">
        <w:rPr>
          <w:rStyle w:val="FootnoteReference"/>
          <w:szCs w:val="24"/>
          <w:lang w:eastAsia="lv-LV"/>
        </w:rPr>
        <w:footnoteReference w:id="5"/>
      </w:r>
      <w:r w:rsidRPr="00DD6363">
        <w:rPr>
          <w:i/>
          <w:szCs w:val="24"/>
          <w:lang w:eastAsia="lv-LV"/>
        </w:rPr>
        <w:t xml:space="preserve"> </w:t>
      </w:r>
      <w:r w:rsidRPr="00DD6363">
        <w:rPr>
          <w:szCs w:val="24"/>
          <w:lang w:eastAsia="lv-LV"/>
        </w:rPr>
        <w:t>(koda 3. un 4.cipars „21”);</w:t>
      </w:r>
    </w:p>
    <w:p w14:paraId="4254DA4A" w14:textId="77777777" w:rsidR="00C6374B" w:rsidRPr="00DD6363" w:rsidRDefault="00EC0764" w:rsidP="00B47005">
      <w:pPr>
        <w:pStyle w:val="ListParagraph"/>
        <w:numPr>
          <w:ilvl w:val="0"/>
          <w:numId w:val="23"/>
        </w:numPr>
        <w:autoSpaceDE w:val="0"/>
        <w:autoSpaceDN w:val="0"/>
        <w:adjustRightInd w:val="0"/>
        <w:rPr>
          <w:szCs w:val="24"/>
          <w:lang w:eastAsia="lv-LV"/>
        </w:rPr>
      </w:pPr>
      <w:r w:rsidRPr="00DD6363">
        <w:rPr>
          <w:szCs w:val="24"/>
        </w:rPr>
        <w:t>izglītības tematiskajā jomā</w:t>
      </w:r>
      <w:r w:rsidR="00C6374B" w:rsidRPr="00DD6363">
        <w:rPr>
          <w:szCs w:val="24"/>
        </w:rPr>
        <w:t xml:space="preserve"> </w:t>
      </w:r>
      <w:r w:rsidR="00C6374B" w:rsidRPr="00DD6363">
        <w:rPr>
          <w:i/>
          <w:szCs w:val="24"/>
        </w:rPr>
        <w:t xml:space="preserve">Vides aizsardzība </w:t>
      </w:r>
      <w:r w:rsidR="00C6374B" w:rsidRPr="00DD6363">
        <w:rPr>
          <w:szCs w:val="24"/>
          <w:lang w:eastAsia="lv-LV"/>
        </w:rPr>
        <w:t>(koda 3. un 4.cipars „85”)</w:t>
      </w:r>
      <w:r w:rsidR="00C6374B" w:rsidRPr="00DD6363">
        <w:rPr>
          <w:szCs w:val="24"/>
        </w:rPr>
        <w:t>.</w:t>
      </w:r>
    </w:p>
    <w:p w14:paraId="4C472891" w14:textId="77777777" w:rsidR="00C6374B" w:rsidRPr="00C6374B" w:rsidRDefault="00C6374B" w:rsidP="00C6374B">
      <w:pPr>
        <w:pStyle w:val="NormalWeb"/>
        <w:spacing w:before="0" w:beforeAutospacing="0" w:after="0" w:afterAutospacing="0"/>
        <w:ind w:firstLine="720"/>
        <w:jc w:val="both"/>
        <w:rPr>
          <w:color w:val="FF0000"/>
        </w:rPr>
      </w:pPr>
    </w:p>
    <w:p w14:paraId="60EC1ACA" w14:textId="77777777" w:rsidR="004D4825" w:rsidRPr="00DD6363" w:rsidRDefault="004D4825" w:rsidP="00DD6363">
      <w:pPr>
        <w:ind w:firstLine="720"/>
      </w:pPr>
      <w:r w:rsidRPr="00DD6363">
        <w:t xml:space="preserve">Latvijā 2015./2016.ak.gadā STEM jomas programmas īsteno 14 valsts augstskolas un 8 juridisko personu dibinātās augstskolas </w:t>
      </w:r>
      <w:r w:rsidR="00DD6363" w:rsidRPr="00DD6363">
        <w:t>(turpmāk – privātās augstskolas</w:t>
      </w:r>
      <w:r w:rsidR="00DD6363" w:rsidRPr="00532FF6">
        <w:t xml:space="preserve">) </w:t>
      </w:r>
      <w:r w:rsidRPr="00532FF6">
        <w:t>(sk</w:t>
      </w:r>
      <w:r w:rsidR="00532FF6" w:rsidRPr="00532FF6">
        <w:t>at</w:t>
      </w:r>
      <w:r w:rsidR="00DD6363" w:rsidRPr="00532FF6">
        <w:t>.</w:t>
      </w:r>
      <w:r w:rsidRPr="00532FF6">
        <w:t xml:space="preserve"> 1.pielikumu).</w:t>
      </w:r>
      <w:r w:rsidRPr="00DD6363">
        <w:t xml:space="preserve"> </w:t>
      </w:r>
    </w:p>
    <w:p w14:paraId="5CCCA899" w14:textId="77777777" w:rsidR="00C6374B" w:rsidRPr="00DD6363" w:rsidRDefault="002B65A6" w:rsidP="00DD6363">
      <w:pPr>
        <w:ind w:firstLine="720"/>
      </w:pPr>
      <w:r w:rsidRPr="00DD6363">
        <w:t>Saskaņā ar IZM apkopoto informāciju k</w:t>
      </w:r>
      <w:r w:rsidR="00C6374B" w:rsidRPr="00DD6363">
        <w:t xml:space="preserve">opumā augstskolās 2015./2016.ak.gada sākumā STEM </w:t>
      </w:r>
      <w:r w:rsidR="00310898" w:rsidRPr="00DD6363">
        <w:t>jomas</w:t>
      </w:r>
      <w:r w:rsidR="00C6374B" w:rsidRPr="00DD6363">
        <w:t xml:space="preserve"> programmas apguva </w:t>
      </w:r>
      <w:r w:rsidR="00AC624B" w:rsidRPr="00DD6363">
        <w:rPr>
          <w:szCs w:val="24"/>
          <w:lang w:eastAsia="lv-LV"/>
        </w:rPr>
        <w:t>31 133</w:t>
      </w:r>
      <w:r w:rsidR="00C6374B" w:rsidRPr="00DD6363">
        <w:rPr>
          <w:szCs w:val="24"/>
          <w:lang w:eastAsia="lv-LV"/>
        </w:rPr>
        <w:t xml:space="preserve"> </w:t>
      </w:r>
      <w:r w:rsidR="00C6374B" w:rsidRPr="00DD6363">
        <w:t>studenti, kas veidoja 4</w:t>
      </w:r>
      <w:r w:rsidR="00653893" w:rsidRPr="00DD6363">
        <w:t>2,</w:t>
      </w:r>
      <w:r w:rsidR="00330059" w:rsidRPr="00DD6363">
        <w:t>4</w:t>
      </w:r>
      <w:r w:rsidR="00C6374B" w:rsidRPr="00DD6363">
        <w:t xml:space="preserve"> % no kopējā augstskolās studējošo skaita.</w:t>
      </w:r>
      <w:r w:rsidRPr="00DD6363">
        <w:rPr>
          <w:rStyle w:val="FootnoteReference"/>
        </w:rPr>
        <w:footnoteReference w:id="6"/>
      </w:r>
      <w:r w:rsidR="00C6374B" w:rsidRPr="00DD6363">
        <w:t xml:space="preserve"> </w:t>
      </w:r>
    </w:p>
    <w:p w14:paraId="326CE108" w14:textId="77777777" w:rsidR="004753A1" w:rsidRPr="00DD6363" w:rsidRDefault="004753A1" w:rsidP="00DD6363">
      <w:pPr>
        <w:ind w:firstLine="720"/>
      </w:pPr>
      <w:r w:rsidRPr="00DD6363">
        <w:t xml:space="preserve">No kopējā STEM jomas studējošo skaita 2015./2016.ak.gadā </w:t>
      </w:r>
      <w:r w:rsidR="00653893" w:rsidRPr="00DD6363">
        <w:t>28</w:t>
      </w:r>
      <w:r w:rsidR="00AD4762" w:rsidRPr="00DD6363">
        <w:t xml:space="preserve"> </w:t>
      </w:r>
      <w:r w:rsidR="00653893" w:rsidRPr="00DD6363">
        <w:t>732</w:t>
      </w:r>
      <w:r w:rsidRPr="00DD6363">
        <w:t xml:space="preserve"> jeb </w:t>
      </w:r>
      <w:r w:rsidR="00CC479D" w:rsidRPr="00DD6363">
        <w:t>92</w:t>
      </w:r>
      <w:r w:rsidRPr="00DD6363">
        <w:t xml:space="preserve"> % ir valsts augstskolu studenti, bet </w:t>
      </w:r>
      <w:r w:rsidR="00CC479D" w:rsidRPr="00DD6363">
        <w:t>2</w:t>
      </w:r>
      <w:r w:rsidR="00394722" w:rsidRPr="00DD6363">
        <w:t>401</w:t>
      </w:r>
      <w:r w:rsidRPr="00DD6363">
        <w:t xml:space="preserve"> jeb </w:t>
      </w:r>
      <w:r w:rsidR="00CC479D" w:rsidRPr="00DD6363">
        <w:t>8</w:t>
      </w:r>
      <w:r w:rsidRPr="00DD6363">
        <w:t xml:space="preserve"> % ir </w:t>
      </w:r>
      <w:r w:rsidR="00DD6363" w:rsidRPr="00DD6363">
        <w:t>privāto</w:t>
      </w:r>
      <w:r w:rsidRPr="00DD6363">
        <w:t xml:space="preserve"> augstskolu studenti. </w:t>
      </w:r>
    </w:p>
    <w:p w14:paraId="1601B584" w14:textId="77777777" w:rsidR="003162FE" w:rsidRDefault="003162FE" w:rsidP="00C6374B">
      <w:pPr>
        <w:ind w:firstLine="360"/>
        <w:rPr>
          <w:color w:val="FF0000"/>
        </w:rPr>
      </w:pPr>
    </w:p>
    <w:p w14:paraId="5A9D58FA" w14:textId="77777777" w:rsidR="00BA2886" w:rsidRDefault="00BA2886" w:rsidP="00C6374B">
      <w:pPr>
        <w:ind w:firstLine="360"/>
        <w:rPr>
          <w:color w:val="FF0000"/>
        </w:rPr>
      </w:pPr>
    </w:p>
    <w:p w14:paraId="616B485C" w14:textId="77777777" w:rsidR="00BA2886" w:rsidRDefault="00BA2886" w:rsidP="00C6374B">
      <w:pPr>
        <w:ind w:firstLine="360"/>
        <w:rPr>
          <w:color w:val="FF0000"/>
        </w:rPr>
      </w:pPr>
    </w:p>
    <w:p w14:paraId="6BC3CD95" w14:textId="77777777" w:rsidR="00BA2886" w:rsidRDefault="00BA2886" w:rsidP="00C6374B">
      <w:pPr>
        <w:ind w:firstLine="360"/>
        <w:rPr>
          <w:color w:val="FF0000"/>
        </w:rPr>
      </w:pPr>
    </w:p>
    <w:p w14:paraId="51B2B700" w14:textId="77777777" w:rsidR="00BA2886" w:rsidRDefault="00BA2886" w:rsidP="00C6374B">
      <w:pPr>
        <w:ind w:firstLine="360"/>
        <w:rPr>
          <w:color w:val="FF0000"/>
        </w:rPr>
      </w:pPr>
    </w:p>
    <w:p w14:paraId="50236E2A" w14:textId="77777777" w:rsidR="00BA2886" w:rsidRDefault="00BA2886" w:rsidP="00C6374B">
      <w:pPr>
        <w:ind w:firstLine="360"/>
        <w:rPr>
          <w:color w:val="FF0000"/>
        </w:rPr>
      </w:pPr>
    </w:p>
    <w:p w14:paraId="7A462210" w14:textId="77777777" w:rsidR="00BA2886" w:rsidRDefault="00BA2886" w:rsidP="00C6374B">
      <w:pPr>
        <w:ind w:firstLine="360"/>
        <w:rPr>
          <w:color w:val="FF0000"/>
        </w:rPr>
      </w:pPr>
    </w:p>
    <w:p w14:paraId="6F95B3B9" w14:textId="77777777" w:rsidR="00BA2886" w:rsidRDefault="00BA2886" w:rsidP="00C6374B">
      <w:pPr>
        <w:ind w:firstLine="360"/>
        <w:rPr>
          <w:color w:val="FF0000"/>
        </w:rPr>
      </w:pPr>
    </w:p>
    <w:p w14:paraId="5D1CC068" w14:textId="77777777" w:rsidR="00BA2886" w:rsidRDefault="00BA2886" w:rsidP="00C6374B">
      <w:pPr>
        <w:ind w:firstLine="360"/>
        <w:rPr>
          <w:color w:val="FF0000"/>
        </w:rPr>
      </w:pPr>
    </w:p>
    <w:p w14:paraId="330E4DE4" w14:textId="77777777" w:rsidR="003162FE" w:rsidRPr="00DD6363" w:rsidRDefault="005B701C" w:rsidP="003162FE">
      <w:pPr>
        <w:ind w:firstLine="360"/>
        <w:jc w:val="right"/>
      </w:pPr>
      <w:r w:rsidRPr="00DD6363">
        <w:lastRenderedPageBreak/>
        <w:t>1.1.</w:t>
      </w:r>
      <w:r w:rsidR="003162FE" w:rsidRPr="00DD6363">
        <w:t xml:space="preserve"> attēls </w:t>
      </w:r>
    </w:p>
    <w:p w14:paraId="46CF0430" w14:textId="77777777" w:rsidR="00532FF6" w:rsidRDefault="003162FE" w:rsidP="003162FE">
      <w:pPr>
        <w:ind w:firstLine="360"/>
        <w:jc w:val="center"/>
        <w:rPr>
          <w:b/>
        </w:rPr>
      </w:pPr>
      <w:r w:rsidRPr="00532FF6">
        <w:rPr>
          <w:b/>
        </w:rPr>
        <w:t xml:space="preserve">Studējošo skaits STEM </w:t>
      </w:r>
      <w:r w:rsidR="00DD6363" w:rsidRPr="00532FF6">
        <w:rPr>
          <w:b/>
        </w:rPr>
        <w:t xml:space="preserve">programmās laika posmā </w:t>
      </w:r>
    </w:p>
    <w:p w14:paraId="0EE06F8B" w14:textId="77777777" w:rsidR="003162FE" w:rsidRPr="00532FF6" w:rsidRDefault="00DD6363" w:rsidP="003162FE">
      <w:pPr>
        <w:ind w:firstLine="360"/>
        <w:jc w:val="center"/>
        <w:rPr>
          <w:b/>
        </w:rPr>
      </w:pPr>
      <w:r w:rsidRPr="00532FF6">
        <w:rPr>
          <w:b/>
        </w:rPr>
        <w:t>no 2007./2008.</w:t>
      </w:r>
      <w:r w:rsidR="003162FE" w:rsidRPr="00532FF6">
        <w:rPr>
          <w:b/>
        </w:rPr>
        <w:t xml:space="preserve"> - 2015./2016.ak. gadam</w:t>
      </w:r>
    </w:p>
    <w:p w14:paraId="5323F39F" w14:textId="77777777" w:rsidR="003162FE" w:rsidRDefault="003162FE" w:rsidP="00C6374B">
      <w:pPr>
        <w:ind w:firstLine="360"/>
        <w:rPr>
          <w:color w:val="FF0000"/>
        </w:rPr>
      </w:pPr>
    </w:p>
    <w:p w14:paraId="25460995" w14:textId="77777777" w:rsidR="003162FE" w:rsidRPr="00C6374B" w:rsidRDefault="003162FE" w:rsidP="00C6374B">
      <w:pPr>
        <w:ind w:firstLine="360"/>
        <w:rPr>
          <w:color w:val="FF0000"/>
        </w:rPr>
      </w:pPr>
    </w:p>
    <w:p w14:paraId="0AEA6569" w14:textId="77777777" w:rsidR="008902CB" w:rsidRDefault="008902CB" w:rsidP="002B65A6">
      <w:pPr>
        <w:pStyle w:val="ListParagraph"/>
        <w:numPr>
          <w:ilvl w:val="0"/>
          <w:numId w:val="1"/>
        </w:numPr>
        <w:contextualSpacing/>
        <w:rPr>
          <w:i/>
          <w:sz w:val="22"/>
          <w:szCs w:val="22"/>
        </w:rPr>
      </w:pPr>
    </w:p>
    <w:p w14:paraId="5D411D2C" w14:textId="77777777" w:rsidR="001210B3" w:rsidRDefault="001210B3" w:rsidP="002B65A6">
      <w:pPr>
        <w:pStyle w:val="ListParagraph"/>
        <w:numPr>
          <w:ilvl w:val="0"/>
          <w:numId w:val="1"/>
        </w:numPr>
        <w:contextualSpacing/>
        <w:rPr>
          <w:i/>
          <w:sz w:val="22"/>
          <w:szCs w:val="22"/>
        </w:rPr>
      </w:pPr>
    </w:p>
    <w:p w14:paraId="26090B62" w14:textId="77777777" w:rsidR="001210B3" w:rsidRDefault="001210B3" w:rsidP="002B65A6">
      <w:pPr>
        <w:pStyle w:val="ListParagraph"/>
        <w:numPr>
          <w:ilvl w:val="0"/>
          <w:numId w:val="1"/>
        </w:numPr>
        <w:contextualSpacing/>
        <w:rPr>
          <w:i/>
          <w:sz w:val="22"/>
          <w:szCs w:val="22"/>
        </w:rPr>
      </w:pPr>
    </w:p>
    <w:p w14:paraId="440685BE" w14:textId="77777777" w:rsidR="003162FE" w:rsidRDefault="003162FE" w:rsidP="00C6374B"/>
    <w:p w14:paraId="4945AD61" w14:textId="77777777" w:rsidR="00AD4762" w:rsidRDefault="00AD4762" w:rsidP="00C6374B">
      <w:r>
        <w:rPr>
          <w:noProof/>
          <w:lang w:eastAsia="lv-LV"/>
        </w:rPr>
        <w:drawing>
          <wp:inline distT="0" distB="0" distL="0" distR="0" wp14:anchorId="5BC6D1CE" wp14:editId="756BB8DB">
            <wp:extent cx="5619750" cy="30003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193689" w14:textId="77777777" w:rsidR="00AD4762" w:rsidRDefault="00AD4762" w:rsidP="00C6374B"/>
    <w:p w14:paraId="0F4DE683" w14:textId="77777777" w:rsidR="00AD4762" w:rsidRPr="008807FF" w:rsidRDefault="00AD4762" w:rsidP="00AD4762">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3A90E0AB" w14:textId="77777777" w:rsidR="00AD4762" w:rsidRDefault="00AD4762" w:rsidP="00C6374B"/>
    <w:p w14:paraId="6307D8FC" w14:textId="77777777" w:rsidR="00AD4762" w:rsidRDefault="00AD4762" w:rsidP="00C6374B"/>
    <w:p w14:paraId="3F1C25B8" w14:textId="77777777" w:rsidR="00BA2886" w:rsidRDefault="00BA7676">
      <w:pPr>
        <w:ind w:firstLine="720"/>
      </w:pPr>
      <w:r w:rsidRPr="00DD6363">
        <w:t xml:space="preserve">Kā redzams </w:t>
      </w:r>
      <w:r w:rsidR="005B701C" w:rsidRPr="00DD6363">
        <w:t>1.</w:t>
      </w:r>
      <w:r w:rsidRPr="00DD6363">
        <w:t xml:space="preserve">1. attēlā, </w:t>
      </w:r>
      <w:r w:rsidR="00681818" w:rsidRPr="00DD6363">
        <w:t xml:space="preserve">laika posmā no </w:t>
      </w:r>
      <w:r w:rsidRPr="00DD6363">
        <w:t>200</w:t>
      </w:r>
      <w:r w:rsidR="00681818" w:rsidRPr="00DD6363">
        <w:t>7</w:t>
      </w:r>
      <w:r w:rsidRPr="00DD6363">
        <w:t>./20</w:t>
      </w:r>
      <w:r w:rsidR="00681818" w:rsidRPr="00DD6363">
        <w:t>08. – 2015./2016. ak. gadam</w:t>
      </w:r>
      <w:r w:rsidR="001210B3" w:rsidRPr="00DD6363">
        <w:t xml:space="preserve"> </w:t>
      </w:r>
      <w:r w:rsidR="002F470D" w:rsidRPr="00DD6363">
        <w:t xml:space="preserve">studējošo skaitam augstskolās STEM programmās </w:t>
      </w:r>
      <w:r w:rsidR="00681818" w:rsidRPr="00DD6363">
        <w:t xml:space="preserve">ir </w:t>
      </w:r>
      <w:r w:rsidR="001210B3" w:rsidRPr="00DD6363">
        <w:t>tendence palielināties (izņemot 2015./2016.ak. gadu) un</w:t>
      </w:r>
      <w:r w:rsidR="00681818" w:rsidRPr="00DD6363">
        <w:t xml:space="preserve"> kopumā pēdējo 8 gadu laikā tas ir </w:t>
      </w:r>
      <w:r w:rsidR="001210B3" w:rsidRPr="00DD6363">
        <w:t xml:space="preserve">pieaudzis </w:t>
      </w:r>
      <w:r w:rsidR="00681818" w:rsidRPr="00DD6363">
        <w:t xml:space="preserve">par </w:t>
      </w:r>
      <w:r w:rsidR="00D72832" w:rsidRPr="00DD6363">
        <w:t>157</w:t>
      </w:r>
      <w:r w:rsidR="00330059" w:rsidRPr="00DD6363">
        <w:t>0</w:t>
      </w:r>
      <w:r w:rsidR="00681818" w:rsidRPr="00DD6363">
        <w:t xml:space="preserve"> studentiem jeb </w:t>
      </w:r>
      <w:r w:rsidR="001210B3" w:rsidRPr="00DD6363">
        <w:t>5</w:t>
      </w:r>
      <w:r w:rsidR="00D72832" w:rsidRPr="00DD6363">
        <w:t>,</w:t>
      </w:r>
      <w:r w:rsidR="00330059" w:rsidRPr="00DD6363">
        <w:t>3</w:t>
      </w:r>
      <w:r w:rsidR="00681818" w:rsidRPr="00DD6363">
        <w:t xml:space="preserve">%.  </w:t>
      </w:r>
      <w:r w:rsidR="002F470D" w:rsidRPr="00DD6363">
        <w:t>Jāņem vērā, ka</w:t>
      </w:r>
      <w:r w:rsidRPr="00DD6363">
        <w:t xml:space="preserve"> kopējais </w:t>
      </w:r>
      <w:r w:rsidR="002F470D" w:rsidRPr="00DD6363">
        <w:t xml:space="preserve">augstskolās </w:t>
      </w:r>
      <w:r w:rsidRPr="00DD6363">
        <w:t xml:space="preserve">studējošo skaits </w:t>
      </w:r>
      <w:r w:rsidR="0040464E" w:rsidRPr="00DD6363">
        <w:t xml:space="preserve">Latvijā </w:t>
      </w:r>
      <w:r w:rsidR="00681818" w:rsidRPr="00DD6363">
        <w:t>šajā laika periodā ir samazinājies</w:t>
      </w:r>
      <w:r w:rsidR="002F470D" w:rsidRPr="00DD6363">
        <w:t xml:space="preserve"> par 36%</w:t>
      </w:r>
      <w:r w:rsidR="002F470D" w:rsidRPr="00DD6363">
        <w:rPr>
          <w:rStyle w:val="FootnoteReference"/>
        </w:rPr>
        <w:footnoteReference w:id="7"/>
      </w:r>
      <w:r w:rsidRPr="00DD6363">
        <w:t xml:space="preserve">, </w:t>
      </w:r>
      <w:r w:rsidR="002F470D" w:rsidRPr="00DD6363">
        <w:t xml:space="preserve">līdz ar to </w:t>
      </w:r>
      <w:r w:rsidRPr="00DD6363">
        <w:t xml:space="preserve">pozitīvi vērtējams fakts, ka arvien vairāk potenciālie </w:t>
      </w:r>
      <w:r w:rsidR="00681818" w:rsidRPr="00DD6363">
        <w:t xml:space="preserve">augstskolu </w:t>
      </w:r>
      <w:r w:rsidRPr="00DD6363">
        <w:t>studenti izvēlas studijas STEM jomas programmās</w:t>
      </w:r>
      <w:r w:rsidR="002F470D" w:rsidRPr="00DD6363">
        <w:t>. P</w:t>
      </w:r>
      <w:r w:rsidRPr="00DD6363">
        <w:t xml:space="preserve">ar </w:t>
      </w:r>
      <w:r w:rsidR="007A4752">
        <w:t>t</w:t>
      </w:r>
      <w:r w:rsidRPr="00DD6363">
        <w:t xml:space="preserve">o liecina šīs jomas studējošo īpatsvara palielināšanās kopējā </w:t>
      </w:r>
      <w:r w:rsidR="00681818" w:rsidRPr="00DD6363">
        <w:t xml:space="preserve">augstskolās </w:t>
      </w:r>
      <w:r w:rsidRPr="00DD6363">
        <w:t xml:space="preserve">studējošo skaitā </w:t>
      </w:r>
      <w:r w:rsidR="00DB2422" w:rsidRPr="00DD6363">
        <w:t>– no 2</w:t>
      </w:r>
      <w:r w:rsidR="00330059" w:rsidRPr="00DD6363">
        <w:t>5</w:t>
      </w:r>
      <w:r w:rsidR="00DB2422" w:rsidRPr="00DD6363">
        <w:t>,</w:t>
      </w:r>
      <w:r w:rsidR="00330059" w:rsidRPr="00DD6363">
        <w:t>7</w:t>
      </w:r>
      <w:r w:rsidR="00DB2422" w:rsidRPr="00DD6363">
        <w:t xml:space="preserve"> % 2007./2008. ak. gadā līdz 4</w:t>
      </w:r>
      <w:r w:rsidR="00330059" w:rsidRPr="00DD6363">
        <w:t>2</w:t>
      </w:r>
      <w:r w:rsidR="00DB2422" w:rsidRPr="00DD6363">
        <w:t>,</w:t>
      </w:r>
      <w:r w:rsidR="00330059" w:rsidRPr="00DD6363">
        <w:t>4</w:t>
      </w:r>
      <w:r w:rsidR="00DB2422" w:rsidRPr="00DD6363">
        <w:t xml:space="preserve">% 2015./2016. ak. gadā </w:t>
      </w:r>
      <w:r w:rsidRPr="00DD6363">
        <w:t xml:space="preserve">(sk. </w:t>
      </w:r>
      <w:r w:rsidR="005B701C" w:rsidRPr="00DD6363">
        <w:t>1.2.</w:t>
      </w:r>
      <w:r w:rsidRPr="00DD6363">
        <w:t xml:space="preserve"> attēlu).</w:t>
      </w:r>
      <w:r w:rsidR="00B03657">
        <w:t xml:space="preserve"> Studējošo kritums ir sociālajās zinātnēs </w:t>
      </w:r>
      <w:r w:rsidR="001079A9" w:rsidRPr="001079A9">
        <w:t>(uz valsts budžeta samazināšanas un uz maksas studentu rēķina)</w:t>
      </w:r>
      <w:r w:rsidR="0043380E" w:rsidRPr="0043380E">
        <w:t>, savuk</w:t>
      </w:r>
      <w:r w:rsidR="0043380E">
        <w:t xml:space="preserve">ārt </w:t>
      </w:r>
      <w:r w:rsidR="0043380E" w:rsidRPr="0043380E">
        <w:t>s</w:t>
      </w:r>
      <w:r w:rsidR="001079A9" w:rsidRPr="001079A9">
        <w:t>tudējošo skaitu dabaszinātnēs un inženierzinātnēs ir izdevies noturēt nemainīgu ar budžeta vietu palīdzību.</w:t>
      </w:r>
    </w:p>
    <w:p w14:paraId="35DFEC72" w14:textId="77777777" w:rsidR="005B701C" w:rsidRDefault="005B701C" w:rsidP="005B701C">
      <w:pPr>
        <w:pStyle w:val="NormalWeb"/>
        <w:spacing w:before="0" w:beforeAutospacing="0" w:after="0" w:afterAutospacing="0"/>
        <w:ind w:firstLine="720"/>
        <w:jc w:val="right"/>
      </w:pPr>
    </w:p>
    <w:p w14:paraId="6A7E9AC4" w14:textId="77777777" w:rsidR="00BA2886" w:rsidRDefault="00BA2886" w:rsidP="005B701C">
      <w:pPr>
        <w:pStyle w:val="NormalWeb"/>
        <w:spacing w:before="0" w:beforeAutospacing="0" w:after="0" w:afterAutospacing="0"/>
        <w:ind w:firstLine="720"/>
        <w:jc w:val="right"/>
      </w:pPr>
    </w:p>
    <w:p w14:paraId="16044ABD" w14:textId="77777777" w:rsidR="00BA2886" w:rsidRDefault="00BA2886" w:rsidP="005B701C">
      <w:pPr>
        <w:pStyle w:val="NormalWeb"/>
        <w:spacing w:before="0" w:beforeAutospacing="0" w:after="0" w:afterAutospacing="0"/>
        <w:ind w:firstLine="720"/>
        <w:jc w:val="right"/>
      </w:pPr>
    </w:p>
    <w:p w14:paraId="3DB3FFF7" w14:textId="77777777" w:rsidR="00BA2886" w:rsidRDefault="00BA2886" w:rsidP="005B701C">
      <w:pPr>
        <w:pStyle w:val="NormalWeb"/>
        <w:spacing w:before="0" w:beforeAutospacing="0" w:after="0" w:afterAutospacing="0"/>
        <w:ind w:firstLine="720"/>
        <w:jc w:val="right"/>
      </w:pPr>
    </w:p>
    <w:p w14:paraId="3D6F6F43" w14:textId="77777777" w:rsidR="00BA2886" w:rsidRDefault="00BA2886" w:rsidP="005B701C">
      <w:pPr>
        <w:pStyle w:val="NormalWeb"/>
        <w:spacing w:before="0" w:beforeAutospacing="0" w:after="0" w:afterAutospacing="0"/>
        <w:ind w:firstLine="720"/>
        <w:jc w:val="right"/>
      </w:pPr>
    </w:p>
    <w:p w14:paraId="770C3095" w14:textId="77777777" w:rsidR="00BA2886" w:rsidRDefault="00BA2886" w:rsidP="005B701C">
      <w:pPr>
        <w:pStyle w:val="NormalWeb"/>
        <w:spacing w:before="0" w:beforeAutospacing="0" w:after="0" w:afterAutospacing="0"/>
        <w:ind w:firstLine="720"/>
        <w:jc w:val="right"/>
      </w:pPr>
    </w:p>
    <w:p w14:paraId="29B0BCC4" w14:textId="77777777" w:rsidR="00BA2886" w:rsidRDefault="00BA2886" w:rsidP="005B701C">
      <w:pPr>
        <w:pStyle w:val="NormalWeb"/>
        <w:spacing w:before="0" w:beforeAutospacing="0" w:after="0" w:afterAutospacing="0"/>
        <w:ind w:firstLine="720"/>
        <w:jc w:val="right"/>
      </w:pPr>
    </w:p>
    <w:p w14:paraId="7C466FC2" w14:textId="77777777" w:rsidR="00BA2886" w:rsidRDefault="00BA2886" w:rsidP="005B701C">
      <w:pPr>
        <w:pStyle w:val="NormalWeb"/>
        <w:spacing w:before="0" w:beforeAutospacing="0" w:after="0" w:afterAutospacing="0"/>
        <w:ind w:firstLine="720"/>
        <w:jc w:val="right"/>
      </w:pPr>
    </w:p>
    <w:p w14:paraId="353A6D66" w14:textId="77777777" w:rsidR="00BA2886" w:rsidRPr="00DD6363" w:rsidRDefault="00BA2886" w:rsidP="005B701C">
      <w:pPr>
        <w:pStyle w:val="NormalWeb"/>
        <w:spacing w:before="0" w:beforeAutospacing="0" w:after="0" w:afterAutospacing="0"/>
        <w:ind w:firstLine="720"/>
        <w:jc w:val="right"/>
      </w:pPr>
    </w:p>
    <w:p w14:paraId="1D83A8B7" w14:textId="77777777" w:rsidR="00C6374B" w:rsidRPr="00DD6363" w:rsidRDefault="005B701C" w:rsidP="005B701C">
      <w:pPr>
        <w:pStyle w:val="NormalWeb"/>
        <w:spacing w:before="0" w:beforeAutospacing="0" w:after="0" w:afterAutospacing="0"/>
        <w:ind w:firstLine="720"/>
        <w:jc w:val="right"/>
      </w:pPr>
      <w:r w:rsidRPr="00DD6363">
        <w:lastRenderedPageBreak/>
        <w:t>1.2. attēls</w:t>
      </w:r>
    </w:p>
    <w:p w14:paraId="5EEC32F8" w14:textId="77777777" w:rsidR="00BA7676" w:rsidRPr="00532FF6" w:rsidRDefault="00BA7676" w:rsidP="00BA7676">
      <w:pPr>
        <w:ind w:firstLine="360"/>
        <w:jc w:val="center"/>
        <w:rPr>
          <w:b/>
        </w:rPr>
      </w:pPr>
      <w:r w:rsidRPr="00532FF6">
        <w:rPr>
          <w:b/>
        </w:rPr>
        <w:t>STEM programmās studējošo skaita attiecība (īpatsvars) pret kopējo studējošo skaitu augstskolās laika posmā no 2007./2008</w:t>
      </w:r>
      <w:r w:rsidR="00DB2422" w:rsidRPr="00532FF6">
        <w:rPr>
          <w:b/>
        </w:rPr>
        <w:t>.</w:t>
      </w:r>
      <w:r w:rsidRPr="00532FF6">
        <w:rPr>
          <w:b/>
        </w:rPr>
        <w:t xml:space="preserve"> - 2015./2016.ak. gadam</w:t>
      </w:r>
    </w:p>
    <w:p w14:paraId="266C40AB" w14:textId="77777777" w:rsidR="00BA7676" w:rsidRPr="00DD6363" w:rsidRDefault="00BA7676">
      <w:pPr>
        <w:pStyle w:val="NormalWeb"/>
        <w:spacing w:before="0" w:beforeAutospacing="0" w:after="0" w:afterAutospacing="0"/>
        <w:ind w:firstLine="720"/>
        <w:jc w:val="both"/>
        <w:rPr>
          <w:b/>
        </w:rPr>
      </w:pPr>
    </w:p>
    <w:p w14:paraId="21F99B2B" w14:textId="77777777" w:rsidR="00BA7676" w:rsidRDefault="00BA7676">
      <w:pPr>
        <w:pStyle w:val="NormalWeb"/>
        <w:spacing w:before="0" w:beforeAutospacing="0" w:after="0" w:afterAutospacing="0"/>
        <w:ind w:firstLine="720"/>
        <w:jc w:val="both"/>
        <w:rPr>
          <w:b/>
        </w:rPr>
      </w:pPr>
    </w:p>
    <w:p w14:paraId="7FC27930" w14:textId="77777777" w:rsidR="00330059" w:rsidRDefault="00330059" w:rsidP="002B65A6">
      <w:pPr>
        <w:pStyle w:val="ListParagraph"/>
        <w:numPr>
          <w:ilvl w:val="0"/>
          <w:numId w:val="1"/>
        </w:numPr>
        <w:contextualSpacing/>
        <w:rPr>
          <w:i/>
          <w:sz w:val="22"/>
          <w:szCs w:val="22"/>
        </w:rPr>
      </w:pPr>
    </w:p>
    <w:p w14:paraId="62B02BF5" w14:textId="77777777" w:rsidR="00330059" w:rsidRDefault="00330059" w:rsidP="002B65A6">
      <w:pPr>
        <w:pStyle w:val="ListParagraph"/>
        <w:numPr>
          <w:ilvl w:val="0"/>
          <w:numId w:val="1"/>
        </w:numPr>
        <w:contextualSpacing/>
        <w:rPr>
          <w:i/>
          <w:sz w:val="22"/>
          <w:szCs w:val="22"/>
        </w:rPr>
      </w:pPr>
    </w:p>
    <w:p w14:paraId="1B934A38" w14:textId="77777777" w:rsidR="00330059" w:rsidRDefault="00330059" w:rsidP="002B65A6">
      <w:pPr>
        <w:pStyle w:val="ListParagraph"/>
        <w:numPr>
          <w:ilvl w:val="0"/>
          <w:numId w:val="1"/>
        </w:numPr>
        <w:contextualSpacing/>
        <w:rPr>
          <w:i/>
          <w:sz w:val="22"/>
          <w:szCs w:val="22"/>
        </w:rPr>
      </w:pPr>
      <w:r>
        <w:rPr>
          <w:noProof/>
          <w:lang w:eastAsia="lv-LV"/>
        </w:rPr>
        <w:drawing>
          <wp:inline distT="0" distB="0" distL="0" distR="0" wp14:anchorId="409F8E6A" wp14:editId="44273EDE">
            <wp:extent cx="4991100" cy="29241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93159D" w14:textId="77777777" w:rsidR="00330059" w:rsidRDefault="00330059" w:rsidP="002B65A6">
      <w:pPr>
        <w:pStyle w:val="ListParagraph"/>
        <w:numPr>
          <w:ilvl w:val="0"/>
          <w:numId w:val="1"/>
        </w:numPr>
        <w:contextualSpacing/>
        <w:rPr>
          <w:i/>
          <w:sz w:val="22"/>
          <w:szCs w:val="22"/>
        </w:rPr>
      </w:pPr>
    </w:p>
    <w:p w14:paraId="31B12EFB" w14:textId="77777777" w:rsidR="002B65A6" w:rsidRPr="008807FF" w:rsidRDefault="002B65A6" w:rsidP="002B65A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75643244" w14:textId="77777777" w:rsidR="00BA7676" w:rsidRDefault="00BA7676">
      <w:pPr>
        <w:pStyle w:val="NormalWeb"/>
        <w:spacing w:before="0" w:beforeAutospacing="0" w:after="0" w:afterAutospacing="0"/>
        <w:ind w:firstLine="720"/>
        <w:jc w:val="both"/>
        <w:rPr>
          <w:b/>
        </w:rPr>
      </w:pPr>
    </w:p>
    <w:p w14:paraId="1FE947CD" w14:textId="77777777" w:rsidR="00E071A1" w:rsidRPr="00DD6363" w:rsidRDefault="0040464E">
      <w:pPr>
        <w:pStyle w:val="NormalWeb"/>
        <w:spacing w:before="0" w:beforeAutospacing="0" w:after="0" w:afterAutospacing="0"/>
        <w:ind w:firstLine="720"/>
        <w:jc w:val="both"/>
      </w:pPr>
      <w:r w:rsidRPr="00DD6363">
        <w:t>Kopumā 2015./2016. ak.</w:t>
      </w:r>
      <w:r w:rsidR="00532FF6">
        <w:t xml:space="preserve"> </w:t>
      </w:r>
      <w:r w:rsidRPr="00DD6363">
        <w:t>gadā Latvijas augstskolās tiek īstenotas 3</w:t>
      </w:r>
      <w:r w:rsidR="005F683F" w:rsidRPr="00DD6363">
        <w:t>52</w:t>
      </w:r>
      <w:r w:rsidRPr="00DD6363">
        <w:t xml:space="preserve"> dažādu līmeņu</w:t>
      </w:r>
      <w:r w:rsidR="00DB2422" w:rsidRPr="00DD6363">
        <w:t xml:space="preserve"> (izglītības programmu veidu)</w:t>
      </w:r>
      <w:r w:rsidR="00DB2422" w:rsidRPr="00DD6363">
        <w:rPr>
          <w:rStyle w:val="FootnoteReference"/>
        </w:rPr>
        <w:footnoteReference w:id="8"/>
      </w:r>
      <w:r w:rsidRPr="00DD6363">
        <w:t xml:space="preserve"> STEM jomas programmas,</w:t>
      </w:r>
      <w:r w:rsidR="00E071A1" w:rsidRPr="00DD6363">
        <w:t xml:space="preserve"> no kurām 3</w:t>
      </w:r>
      <w:r w:rsidR="005F683F" w:rsidRPr="00DD6363">
        <w:t>21</w:t>
      </w:r>
      <w:r w:rsidR="00E071A1" w:rsidRPr="00DD6363">
        <w:t xml:space="preserve"> </w:t>
      </w:r>
      <w:r w:rsidR="00DD6363" w:rsidRPr="00DD6363">
        <w:t>studiju programma tiek īstenota</w:t>
      </w:r>
      <w:r w:rsidR="00E071A1" w:rsidRPr="00DD6363">
        <w:t xml:space="preserve"> valsts augstskolās, bet 3</w:t>
      </w:r>
      <w:r w:rsidR="006F2E7B" w:rsidRPr="00DD6363">
        <w:t>1</w:t>
      </w:r>
      <w:r w:rsidR="00E071A1" w:rsidRPr="00DD6363">
        <w:t xml:space="preserve"> studiju programma tiek īstenota privātajās augstskolās. No kopējā STEM jomas programmu skaita 10</w:t>
      </w:r>
      <w:r w:rsidR="006F2E7B" w:rsidRPr="00DD6363">
        <w:t>6</w:t>
      </w:r>
      <w:r w:rsidR="00E071A1" w:rsidRPr="00DD6363">
        <w:t xml:space="preserve"> </w:t>
      </w:r>
      <w:r w:rsidR="00DD6363" w:rsidRPr="00DD6363">
        <w:t xml:space="preserve">studiju </w:t>
      </w:r>
      <w:r w:rsidR="00E071A1" w:rsidRPr="00DD6363">
        <w:t>programmas jeb 3</w:t>
      </w:r>
      <w:r w:rsidR="00124F37" w:rsidRPr="00DD6363">
        <w:t>1</w:t>
      </w:r>
      <w:r w:rsidR="00E071A1" w:rsidRPr="00DD6363">
        <w:t>% no kopējā skaita tiek īstenotas RTU.</w:t>
      </w:r>
      <w:r w:rsidR="002B65A6" w:rsidRPr="00DD6363">
        <w:t xml:space="preserve"> Otrs lielākais programmu skaits – 4</w:t>
      </w:r>
      <w:r w:rsidR="005F683F" w:rsidRPr="00DD6363">
        <w:t>8</w:t>
      </w:r>
      <w:r w:rsidR="002B65A6" w:rsidRPr="00DD6363">
        <w:t xml:space="preserve"> </w:t>
      </w:r>
      <w:r w:rsidR="00DD6363" w:rsidRPr="00DD6363">
        <w:t xml:space="preserve">studiju </w:t>
      </w:r>
      <w:r w:rsidR="002B65A6" w:rsidRPr="00DD6363">
        <w:t>programmas</w:t>
      </w:r>
      <w:r w:rsidR="004F63F8">
        <w:t xml:space="preserve"> –</w:t>
      </w:r>
      <w:r w:rsidR="002B65A6" w:rsidRPr="00DD6363">
        <w:t xml:space="preserve"> </w:t>
      </w:r>
      <w:r w:rsidR="00DD6363" w:rsidRPr="00DD6363">
        <w:t>tiek īstenotas</w:t>
      </w:r>
      <w:r w:rsidR="002B65A6" w:rsidRPr="00DD6363">
        <w:t xml:space="preserve"> L</w:t>
      </w:r>
      <w:r w:rsidR="005F683F" w:rsidRPr="00DD6363">
        <w:t>L</w:t>
      </w:r>
      <w:r w:rsidR="002B65A6" w:rsidRPr="00DD6363">
        <w:t xml:space="preserve">U, bet trešais lielākais programmu skaits – </w:t>
      </w:r>
      <w:r w:rsidR="005F683F" w:rsidRPr="00DD6363">
        <w:t>40</w:t>
      </w:r>
      <w:r w:rsidR="002B65A6" w:rsidRPr="00DD6363">
        <w:t xml:space="preserve"> </w:t>
      </w:r>
      <w:r w:rsidR="00DD6363" w:rsidRPr="00DD6363">
        <w:t xml:space="preserve">studiju </w:t>
      </w:r>
      <w:r w:rsidR="002B65A6" w:rsidRPr="00DD6363">
        <w:t xml:space="preserve">programmas </w:t>
      </w:r>
      <w:r w:rsidR="004F63F8">
        <w:t xml:space="preserve">– </w:t>
      </w:r>
      <w:r w:rsidR="00DD6363" w:rsidRPr="00DD6363">
        <w:t xml:space="preserve">tiek īstenotas </w:t>
      </w:r>
      <w:r w:rsidR="006F2E7B" w:rsidRPr="00DD6363">
        <w:t>L</w:t>
      </w:r>
      <w:r w:rsidR="002B65A6" w:rsidRPr="00DD6363">
        <w:t>U.</w:t>
      </w:r>
    </w:p>
    <w:p w14:paraId="537448EE" w14:textId="77777777" w:rsidR="00A07A25" w:rsidRDefault="00A07A25">
      <w:pPr>
        <w:pStyle w:val="NormalWeb"/>
        <w:spacing w:before="0" w:beforeAutospacing="0" w:after="0" w:afterAutospacing="0"/>
        <w:ind w:firstLine="720"/>
        <w:jc w:val="both"/>
        <w:rPr>
          <w:color w:val="FF0000"/>
        </w:rPr>
      </w:pPr>
    </w:p>
    <w:p w14:paraId="2F1EBAEA" w14:textId="77777777" w:rsidR="00DF33A5" w:rsidRPr="00DD6363" w:rsidRDefault="005B701C" w:rsidP="00B47005">
      <w:pPr>
        <w:pStyle w:val="NormalWeb"/>
        <w:numPr>
          <w:ilvl w:val="1"/>
          <w:numId w:val="24"/>
        </w:numPr>
        <w:spacing w:before="0" w:beforeAutospacing="0" w:after="0" w:afterAutospacing="0"/>
        <w:jc w:val="right"/>
      </w:pPr>
      <w:r w:rsidRPr="00DD6363">
        <w:t xml:space="preserve"> </w:t>
      </w:r>
      <w:r w:rsidR="00DF33A5" w:rsidRPr="00DD6363">
        <w:t>tabula</w:t>
      </w:r>
    </w:p>
    <w:p w14:paraId="48F55E6D" w14:textId="77777777" w:rsidR="00DF33A5" w:rsidRPr="00532FF6" w:rsidRDefault="00DF33A5" w:rsidP="00DF33A5">
      <w:pPr>
        <w:pStyle w:val="NormalWeb"/>
        <w:spacing w:before="0" w:beforeAutospacing="0" w:after="0" w:afterAutospacing="0"/>
        <w:ind w:firstLine="720"/>
        <w:jc w:val="center"/>
        <w:rPr>
          <w:b/>
        </w:rPr>
      </w:pPr>
      <w:r w:rsidRPr="00532FF6">
        <w:rPr>
          <w:b/>
        </w:rPr>
        <w:t>Studiju programmu skaits STEM jomā 2015./2016.ak.gadā</w:t>
      </w:r>
    </w:p>
    <w:p w14:paraId="08345704" w14:textId="77777777" w:rsidR="00DF33A5" w:rsidRDefault="00DF33A5">
      <w:pPr>
        <w:pStyle w:val="NormalWeb"/>
        <w:spacing w:before="0" w:beforeAutospacing="0" w:after="0" w:afterAutospacing="0"/>
        <w:ind w:firstLine="720"/>
        <w:jc w:val="both"/>
        <w:rPr>
          <w:color w:val="FF0000"/>
        </w:rPr>
      </w:pPr>
    </w:p>
    <w:tbl>
      <w:tblPr>
        <w:tblW w:w="51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110"/>
        <w:gridCol w:w="1245"/>
        <w:gridCol w:w="1660"/>
        <w:gridCol w:w="1106"/>
        <w:gridCol w:w="968"/>
        <w:gridCol w:w="973"/>
        <w:gridCol w:w="831"/>
        <w:gridCol w:w="793"/>
      </w:tblGrid>
      <w:tr w:rsidR="00F322FE" w:rsidRPr="00DF33A5" w14:paraId="7CE1EEFA" w14:textId="77777777" w:rsidTr="00DD6363">
        <w:trPr>
          <w:trHeight w:val="300"/>
        </w:trPr>
        <w:tc>
          <w:tcPr>
            <w:tcW w:w="368" w:type="pct"/>
            <w:vMerge w:val="restart"/>
            <w:vAlign w:val="center"/>
          </w:tcPr>
          <w:p w14:paraId="5AFAD8A4" w14:textId="77777777" w:rsidR="00F322FE" w:rsidRDefault="00F322FE" w:rsidP="00EA601B">
            <w:pPr>
              <w:jc w:val="center"/>
              <w:rPr>
                <w:color w:val="000000"/>
                <w:sz w:val="22"/>
                <w:szCs w:val="22"/>
                <w:lang w:eastAsia="lv-LV"/>
              </w:rPr>
            </w:pPr>
            <w:r>
              <w:rPr>
                <w:color w:val="000000"/>
                <w:sz w:val="22"/>
                <w:szCs w:val="22"/>
                <w:lang w:eastAsia="lv-LV"/>
              </w:rPr>
              <w:t>Nr.</w:t>
            </w:r>
          </w:p>
          <w:p w14:paraId="64560183" w14:textId="77777777" w:rsidR="00F322FE" w:rsidRPr="00DF33A5" w:rsidRDefault="00F322FE" w:rsidP="00EA601B">
            <w:pPr>
              <w:jc w:val="center"/>
              <w:rPr>
                <w:color w:val="000000"/>
                <w:sz w:val="22"/>
                <w:szCs w:val="22"/>
                <w:lang w:eastAsia="lv-LV"/>
              </w:rPr>
            </w:pPr>
            <w:r>
              <w:rPr>
                <w:color w:val="000000"/>
                <w:sz w:val="22"/>
                <w:szCs w:val="22"/>
                <w:lang w:eastAsia="lv-LV"/>
              </w:rPr>
              <w:t>p.k.</w:t>
            </w:r>
          </w:p>
        </w:tc>
        <w:tc>
          <w:tcPr>
            <w:tcW w:w="592" w:type="pct"/>
            <w:vMerge w:val="restart"/>
            <w:shd w:val="clear" w:color="auto" w:fill="auto"/>
            <w:noWrap/>
            <w:vAlign w:val="center"/>
          </w:tcPr>
          <w:p w14:paraId="5284FB0C" w14:textId="77777777" w:rsidR="00F322FE" w:rsidRPr="008254DA" w:rsidRDefault="00F322FE" w:rsidP="00EA601B">
            <w:pPr>
              <w:jc w:val="center"/>
              <w:rPr>
                <w:color w:val="000000"/>
                <w:sz w:val="20"/>
                <w:lang w:eastAsia="lv-LV"/>
              </w:rPr>
            </w:pPr>
            <w:r w:rsidRPr="008254DA">
              <w:rPr>
                <w:color w:val="000000"/>
                <w:sz w:val="20"/>
                <w:lang w:eastAsia="lv-LV"/>
              </w:rPr>
              <w:t>Augstskola</w:t>
            </w:r>
          </w:p>
        </w:tc>
        <w:tc>
          <w:tcPr>
            <w:tcW w:w="2139" w:type="pct"/>
            <w:gridSpan w:val="3"/>
            <w:shd w:val="clear" w:color="auto" w:fill="auto"/>
            <w:noWrap/>
            <w:vAlign w:val="center"/>
          </w:tcPr>
          <w:p w14:paraId="529FC9E2" w14:textId="77777777" w:rsidR="00F322FE" w:rsidRDefault="00F322FE" w:rsidP="00EA601B">
            <w:pPr>
              <w:jc w:val="center"/>
              <w:rPr>
                <w:color w:val="000000"/>
                <w:sz w:val="22"/>
                <w:szCs w:val="22"/>
                <w:lang w:eastAsia="lv-LV"/>
              </w:rPr>
            </w:pPr>
            <w:r>
              <w:rPr>
                <w:color w:val="000000"/>
                <w:sz w:val="22"/>
                <w:szCs w:val="22"/>
                <w:lang w:eastAsia="lv-LV"/>
              </w:rPr>
              <w:t>Izglītības tematiskā grupa</w:t>
            </w:r>
          </w:p>
        </w:tc>
        <w:tc>
          <w:tcPr>
            <w:tcW w:w="1478" w:type="pct"/>
            <w:gridSpan w:val="3"/>
            <w:shd w:val="clear" w:color="auto" w:fill="auto"/>
            <w:noWrap/>
            <w:vAlign w:val="center"/>
          </w:tcPr>
          <w:p w14:paraId="5710CABA" w14:textId="77777777" w:rsidR="00F322FE" w:rsidRPr="00DF33A5" w:rsidRDefault="00F322FE" w:rsidP="00EA601B">
            <w:pPr>
              <w:jc w:val="center"/>
              <w:rPr>
                <w:color w:val="000000"/>
                <w:sz w:val="22"/>
                <w:szCs w:val="22"/>
                <w:lang w:eastAsia="lv-LV"/>
              </w:rPr>
            </w:pPr>
            <w:r>
              <w:rPr>
                <w:color w:val="000000"/>
                <w:sz w:val="22"/>
                <w:szCs w:val="22"/>
                <w:lang w:eastAsia="lv-LV"/>
              </w:rPr>
              <w:t>Izglītības tematiskā joma</w:t>
            </w:r>
          </w:p>
        </w:tc>
        <w:tc>
          <w:tcPr>
            <w:tcW w:w="423" w:type="pct"/>
            <w:vMerge w:val="restart"/>
            <w:shd w:val="clear" w:color="auto" w:fill="auto"/>
            <w:noWrap/>
            <w:vAlign w:val="center"/>
          </w:tcPr>
          <w:p w14:paraId="3A3E236D" w14:textId="77777777" w:rsidR="00F322FE" w:rsidRPr="006C195E" w:rsidRDefault="00DD6363" w:rsidP="00EA601B">
            <w:pPr>
              <w:jc w:val="center"/>
              <w:rPr>
                <w:b/>
                <w:color w:val="000000"/>
                <w:sz w:val="22"/>
                <w:szCs w:val="22"/>
                <w:lang w:eastAsia="lv-LV"/>
              </w:rPr>
            </w:pPr>
            <w:r>
              <w:rPr>
                <w:b/>
                <w:color w:val="000000"/>
                <w:sz w:val="22"/>
                <w:szCs w:val="22"/>
                <w:lang w:eastAsia="lv-LV"/>
              </w:rPr>
              <w:t>K</w:t>
            </w:r>
            <w:r w:rsidR="00F322FE" w:rsidRPr="006C195E">
              <w:rPr>
                <w:b/>
                <w:color w:val="000000"/>
                <w:sz w:val="22"/>
                <w:szCs w:val="22"/>
                <w:lang w:eastAsia="lv-LV"/>
              </w:rPr>
              <w:t>opā</w:t>
            </w:r>
          </w:p>
        </w:tc>
      </w:tr>
      <w:tr w:rsidR="005F683F" w:rsidRPr="00DF33A5" w14:paraId="03C8FA62" w14:textId="77777777" w:rsidTr="00DD6363">
        <w:trPr>
          <w:trHeight w:val="300"/>
        </w:trPr>
        <w:tc>
          <w:tcPr>
            <w:tcW w:w="368" w:type="pct"/>
            <w:vMerge/>
          </w:tcPr>
          <w:p w14:paraId="0299D99F" w14:textId="77777777" w:rsidR="00F322FE" w:rsidRPr="00DF33A5" w:rsidRDefault="00F322FE" w:rsidP="00DF33A5">
            <w:pPr>
              <w:jc w:val="center"/>
              <w:rPr>
                <w:color w:val="000000"/>
                <w:sz w:val="22"/>
                <w:szCs w:val="22"/>
                <w:lang w:eastAsia="lv-LV"/>
              </w:rPr>
            </w:pPr>
          </w:p>
        </w:tc>
        <w:tc>
          <w:tcPr>
            <w:tcW w:w="592" w:type="pct"/>
            <w:vMerge/>
            <w:shd w:val="clear" w:color="auto" w:fill="auto"/>
            <w:noWrap/>
            <w:vAlign w:val="center"/>
            <w:hideMark/>
          </w:tcPr>
          <w:p w14:paraId="633E5258" w14:textId="77777777" w:rsidR="00F322FE" w:rsidRPr="00DF33A5" w:rsidRDefault="00F322FE" w:rsidP="00EA601B">
            <w:pPr>
              <w:jc w:val="center"/>
              <w:rPr>
                <w:color w:val="000000"/>
                <w:sz w:val="22"/>
                <w:szCs w:val="22"/>
                <w:lang w:eastAsia="lv-LV"/>
              </w:rPr>
            </w:pPr>
          </w:p>
        </w:tc>
        <w:tc>
          <w:tcPr>
            <w:tcW w:w="664" w:type="pct"/>
            <w:shd w:val="clear" w:color="auto" w:fill="auto"/>
            <w:noWrap/>
            <w:vAlign w:val="center"/>
            <w:hideMark/>
          </w:tcPr>
          <w:p w14:paraId="68E9F2E7" w14:textId="77777777" w:rsidR="00F322FE" w:rsidRPr="00DD6363" w:rsidRDefault="00F322FE" w:rsidP="00EA601B">
            <w:pPr>
              <w:jc w:val="center"/>
              <w:rPr>
                <w:sz w:val="20"/>
                <w:lang w:eastAsia="lv-LV"/>
              </w:rPr>
            </w:pPr>
            <w:r w:rsidRPr="00DD6363">
              <w:rPr>
                <w:sz w:val="20"/>
              </w:rPr>
              <w:t>Dabas zinātnes, matemātika un informācijas tehnoloģijas</w:t>
            </w:r>
          </w:p>
        </w:tc>
        <w:tc>
          <w:tcPr>
            <w:tcW w:w="885" w:type="pct"/>
            <w:shd w:val="clear" w:color="auto" w:fill="auto"/>
            <w:noWrap/>
            <w:vAlign w:val="center"/>
            <w:hideMark/>
          </w:tcPr>
          <w:p w14:paraId="72187F33" w14:textId="77777777" w:rsidR="00F322FE" w:rsidRPr="00DD6363" w:rsidRDefault="00F322FE" w:rsidP="00D14275">
            <w:pPr>
              <w:jc w:val="center"/>
              <w:rPr>
                <w:sz w:val="20"/>
              </w:rPr>
            </w:pPr>
            <w:r w:rsidRPr="00DD6363">
              <w:rPr>
                <w:sz w:val="20"/>
              </w:rPr>
              <w:t>Inženierzinātnes</w:t>
            </w:r>
            <w:r w:rsidR="00DD6363">
              <w:rPr>
                <w:sz w:val="20"/>
              </w:rPr>
              <w:t xml:space="preserve">, </w:t>
            </w:r>
            <w:r w:rsidRPr="00DD6363">
              <w:rPr>
                <w:sz w:val="20"/>
              </w:rPr>
              <w:t>ražošana un būvniecība</w:t>
            </w:r>
          </w:p>
          <w:p w14:paraId="30D4CE53" w14:textId="77777777" w:rsidR="00F322FE" w:rsidRPr="00DD6363" w:rsidRDefault="00F322FE" w:rsidP="00EA601B">
            <w:pPr>
              <w:jc w:val="center"/>
              <w:rPr>
                <w:sz w:val="20"/>
                <w:lang w:eastAsia="lv-LV"/>
              </w:rPr>
            </w:pPr>
          </w:p>
        </w:tc>
        <w:tc>
          <w:tcPr>
            <w:tcW w:w="590" w:type="pct"/>
            <w:vAlign w:val="center"/>
          </w:tcPr>
          <w:p w14:paraId="6EFC174C" w14:textId="77777777" w:rsidR="005F683F" w:rsidRPr="00DD6363" w:rsidRDefault="00F322FE" w:rsidP="005F683F">
            <w:pPr>
              <w:jc w:val="center"/>
              <w:rPr>
                <w:sz w:val="20"/>
                <w:lang w:eastAsia="lv-LV"/>
              </w:rPr>
            </w:pPr>
            <w:proofErr w:type="spellStart"/>
            <w:r w:rsidRPr="00DD6363">
              <w:rPr>
                <w:sz w:val="20"/>
                <w:lang w:eastAsia="lv-LV"/>
              </w:rPr>
              <w:t>Lauksaim</w:t>
            </w:r>
            <w:proofErr w:type="spellEnd"/>
            <w:r w:rsidR="005F683F" w:rsidRPr="00DD6363">
              <w:rPr>
                <w:sz w:val="20"/>
                <w:lang w:eastAsia="lv-LV"/>
              </w:rPr>
              <w:t>-</w:t>
            </w:r>
          </w:p>
          <w:p w14:paraId="5816B3F2" w14:textId="77777777" w:rsidR="00F322FE" w:rsidRPr="00DD6363" w:rsidRDefault="00F322FE" w:rsidP="005F683F">
            <w:pPr>
              <w:jc w:val="center"/>
              <w:rPr>
                <w:sz w:val="20"/>
                <w:lang w:eastAsia="lv-LV"/>
              </w:rPr>
            </w:pPr>
            <w:r w:rsidRPr="00DD6363">
              <w:rPr>
                <w:sz w:val="20"/>
                <w:lang w:eastAsia="lv-LV"/>
              </w:rPr>
              <w:t>niecība</w:t>
            </w:r>
          </w:p>
        </w:tc>
        <w:tc>
          <w:tcPr>
            <w:tcW w:w="516" w:type="pct"/>
            <w:shd w:val="clear" w:color="auto" w:fill="auto"/>
            <w:noWrap/>
            <w:vAlign w:val="center"/>
            <w:hideMark/>
          </w:tcPr>
          <w:p w14:paraId="7A023622" w14:textId="77777777" w:rsidR="00F322FE" w:rsidRPr="00EA601B" w:rsidRDefault="00F322FE" w:rsidP="00EA601B">
            <w:pPr>
              <w:jc w:val="center"/>
              <w:rPr>
                <w:sz w:val="20"/>
                <w:lang w:eastAsia="lv-LV"/>
              </w:rPr>
            </w:pPr>
            <w:r w:rsidRPr="00EA601B">
              <w:rPr>
                <w:sz w:val="20"/>
                <w:lang w:eastAsia="lv-LV"/>
              </w:rPr>
              <w:t>Mākslas</w:t>
            </w:r>
          </w:p>
        </w:tc>
        <w:tc>
          <w:tcPr>
            <w:tcW w:w="519" w:type="pct"/>
            <w:shd w:val="clear" w:color="auto" w:fill="auto"/>
            <w:noWrap/>
            <w:vAlign w:val="center"/>
            <w:hideMark/>
          </w:tcPr>
          <w:p w14:paraId="41E3B3C8" w14:textId="77777777" w:rsidR="00F322FE" w:rsidRPr="00EA601B" w:rsidRDefault="00F322FE" w:rsidP="00EA601B">
            <w:pPr>
              <w:jc w:val="center"/>
              <w:rPr>
                <w:sz w:val="20"/>
                <w:lang w:eastAsia="lv-LV"/>
              </w:rPr>
            </w:pPr>
            <w:r w:rsidRPr="00EA601B">
              <w:rPr>
                <w:sz w:val="20"/>
                <w:lang w:eastAsia="lv-LV"/>
              </w:rPr>
              <w:t>Veselības aprūpe</w:t>
            </w:r>
          </w:p>
        </w:tc>
        <w:tc>
          <w:tcPr>
            <w:tcW w:w="443" w:type="pct"/>
            <w:shd w:val="clear" w:color="auto" w:fill="auto"/>
            <w:noWrap/>
            <w:vAlign w:val="center"/>
            <w:hideMark/>
          </w:tcPr>
          <w:p w14:paraId="5774DC31" w14:textId="77777777" w:rsidR="00F322FE" w:rsidRPr="00EA601B" w:rsidRDefault="00F322FE" w:rsidP="00EA601B">
            <w:pPr>
              <w:jc w:val="center"/>
              <w:rPr>
                <w:sz w:val="20"/>
                <w:lang w:eastAsia="lv-LV"/>
              </w:rPr>
            </w:pPr>
            <w:r w:rsidRPr="00EA601B">
              <w:rPr>
                <w:sz w:val="20"/>
                <w:lang w:eastAsia="lv-LV"/>
              </w:rPr>
              <w:t xml:space="preserve">Vides </w:t>
            </w:r>
            <w:proofErr w:type="spellStart"/>
            <w:r w:rsidRPr="00EA601B">
              <w:rPr>
                <w:sz w:val="20"/>
                <w:lang w:eastAsia="lv-LV"/>
              </w:rPr>
              <w:t>aizsar</w:t>
            </w:r>
            <w:proofErr w:type="spellEnd"/>
            <w:r w:rsidRPr="00EA601B">
              <w:rPr>
                <w:sz w:val="20"/>
                <w:lang w:eastAsia="lv-LV"/>
              </w:rPr>
              <w:t>-</w:t>
            </w:r>
          </w:p>
          <w:p w14:paraId="39302A27" w14:textId="77777777" w:rsidR="00F322FE" w:rsidRPr="00EA601B" w:rsidRDefault="00F322FE" w:rsidP="00EA601B">
            <w:pPr>
              <w:jc w:val="center"/>
              <w:rPr>
                <w:sz w:val="20"/>
                <w:lang w:eastAsia="lv-LV"/>
              </w:rPr>
            </w:pPr>
            <w:proofErr w:type="spellStart"/>
            <w:r w:rsidRPr="00EA601B">
              <w:rPr>
                <w:sz w:val="20"/>
                <w:lang w:eastAsia="lv-LV"/>
              </w:rPr>
              <w:t>dzība</w:t>
            </w:r>
            <w:proofErr w:type="spellEnd"/>
          </w:p>
        </w:tc>
        <w:tc>
          <w:tcPr>
            <w:tcW w:w="423" w:type="pct"/>
            <w:vMerge/>
            <w:shd w:val="clear" w:color="auto" w:fill="auto"/>
            <w:noWrap/>
            <w:vAlign w:val="bottom"/>
            <w:hideMark/>
          </w:tcPr>
          <w:p w14:paraId="07CDF8A8" w14:textId="77777777" w:rsidR="00F322FE" w:rsidRPr="006C195E" w:rsidRDefault="00F322FE" w:rsidP="00DF33A5">
            <w:pPr>
              <w:jc w:val="center"/>
              <w:rPr>
                <w:b/>
                <w:color w:val="000000"/>
                <w:sz w:val="22"/>
                <w:szCs w:val="22"/>
                <w:lang w:eastAsia="lv-LV"/>
              </w:rPr>
            </w:pPr>
          </w:p>
        </w:tc>
      </w:tr>
      <w:tr w:rsidR="005F683F" w:rsidRPr="00DF33A5" w14:paraId="03C0EFB8" w14:textId="77777777" w:rsidTr="00DD6363">
        <w:trPr>
          <w:trHeight w:val="300"/>
        </w:trPr>
        <w:tc>
          <w:tcPr>
            <w:tcW w:w="368" w:type="pct"/>
            <w:vAlign w:val="center"/>
          </w:tcPr>
          <w:p w14:paraId="503A41AA" w14:textId="77777777" w:rsidR="00F322FE" w:rsidRPr="006C195E" w:rsidRDefault="00F322FE" w:rsidP="00AB5566">
            <w:pPr>
              <w:jc w:val="left"/>
              <w:rPr>
                <w:color w:val="000000"/>
                <w:sz w:val="22"/>
                <w:szCs w:val="22"/>
                <w:lang w:eastAsia="lv-LV"/>
              </w:rPr>
            </w:pPr>
            <w:r w:rsidRPr="006C195E">
              <w:rPr>
                <w:color w:val="000000"/>
                <w:sz w:val="22"/>
                <w:szCs w:val="22"/>
                <w:lang w:eastAsia="lv-LV"/>
              </w:rPr>
              <w:t>1.</w:t>
            </w:r>
          </w:p>
        </w:tc>
        <w:tc>
          <w:tcPr>
            <w:tcW w:w="592" w:type="pct"/>
            <w:shd w:val="clear" w:color="auto" w:fill="auto"/>
            <w:noWrap/>
            <w:vAlign w:val="bottom"/>
            <w:hideMark/>
          </w:tcPr>
          <w:p w14:paraId="65F5FC35" w14:textId="77777777" w:rsidR="00F322FE" w:rsidRPr="005F683F" w:rsidRDefault="00F322FE" w:rsidP="00DF33A5">
            <w:pPr>
              <w:jc w:val="left"/>
              <w:rPr>
                <w:color w:val="000000"/>
                <w:sz w:val="20"/>
                <w:lang w:eastAsia="lv-LV"/>
              </w:rPr>
            </w:pPr>
            <w:r w:rsidRPr="005F683F">
              <w:rPr>
                <w:color w:val="000000"/>
                <w:sz w:val="20"/>
                <w:lang w:eastAsia="lv-LV"/>
              </w:rPr>
              <w:t>DU</w:t>
            </w:r>
          </w:p>
        </w:tc>
        <w:tc>
          <w:tcPr>
            <w:tcW w:w="664" w:type="pct"/>
            <w:shd w:val="clear" w:color="auto" w:fill="auto"/>
            <w:noWrap/>
            <w:vAlign w:val="bottom"/>
            <w:hideMark/>
          </w:tcPr>
          <w:p w14:paraId="28D97B36" w14:textId="77777777" w:rsidR="00F322FE" w:rsidRPr="00DF33A5" w:rsidRDefault="00F322FE" w:rsidP="006C195E">
            <w:pPr>
              <w:jc w:val="center"/>
              <w:rPr>
                <w:color w:val="000000"/>
                <w:sz w:val="22"/>
                <w:szCs w:val="22"/>
                <w:lang w:eastAsia="lv-LV"/>
              </w:rPr>
            </w:pPr>
            <w:r w:rsidRPr="00DF33A5">
              <w:rPr>
                <w:color w:val="000000"/>
                <w:sz w:val="22"/>
                <w:szCs w:val="22"/>
                <w:lang w:eastAsia="lv-LV"/>
              </w:rPr>
              <w:t>16</w:t>
            </w:r>
          </w:p>
        </w:tc>
        <w:tc>
          <w:tcPr>
            <w:tcW w:w="885" w:type="pct"/>
            <w:shd w:val="clear" w:color="auto" w:fill="auto"/>
            <w:noWrap/>
            <w:vAlign w:val="bottom"/>
            <w:hideMark/>
          </w:tcPr>
          <w:p w14:paraId="3A58870E"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590" w:type="pct"/>
          </w:tcPr>
          <w:p w14:paraId="71420604" w14:textId="77777777" w:rsidR="00F322FE" w:rsidRPr="00DF33A5" w:rsidRDefault="00DA1482" w:rsidP="006C195E">
            <w:pPr>
              <w:jc w:val="center"/>
              <w:rPr>
                <w:color w:val="000000"/>
                <w:sz w:val="22"/>
                <w:szCs w:val="22"/>
                <w:lang w:eastAsia="lv-LV"/>
              </w:rPr>
            </w:pPr>
            <w:r>
              <w:rPr>
                <w:color w:val="000000"/>
                <w:sz w:val="22"/>
                <w:szCs w:val="22"/>
                <w:lang w:eastAsia="lv-LV"/>
              </w:rPr>
              <w:t>0</w:t>
            </w:r>
          </w:p>
        </w:tc>
        <w:tc>
          <w:tcPr>
            <w:tcW w:w="516" w:type="pct"/>
            <w:shd w:val="clear" w:color="auto" w:fill="auto"/>
            <w:noWrap/>
            <w:vAlign w:val="bottom"/>
            <w:hideMark/>
          </w:tcPr>
          <w:p w14:paraId="0CEDB0CE" w14:textId="77777777" w:rsidR="00F322FE" w:rsidRPr="00DF33A5" w:rsidRDefault="00F322FE" w:rsidP="006C195E">
            <w:pPr>
              <w:jc w:val="center"/>
              <w:rPr>
                <w:color w:val="000000"/>
                <w:sz w:val="22"/>
                <w:szCs w:val="22"/>
                <w:lang w:eastAsia="lv-LV"/>
              </w:rPr>
            </w:pPr>
            <w:r w:rsidRPr="00DF33A5">
              <w:rPr>
                <w:color w:val="000000"/>
                <w:sz w:val="22"/>
                <w:szCs w:val="22"/>
                <w:lang w:eastAsia="lv-LV"/>
              </w:rPr>
              <w:t>7</w:t>
            </w:r>
          </w:p>
        </w:tc>
        <w:tc>
          <w:tcPr>
            <w:tcW w:w="519" w:type="pct"/>
            <w:shd w:val="clear" w:color="auto" w:fill="auto"/>
            <w:noWrap/>
            <w:vAlign w:val="bottom"/>
            <w:hideMark/>
          </w:tcPr>
          <w:p w14:paraId="15A4914D" w14:textId="77777777" w:rsidR="00F322FE" w:rsidRPr="00DF33A5" w:rsidRDefault="00F322FE" w:rsidP="006C195E">
            <w:pPr>
              <w:jc w:val="center"/>
              <w:rPr>
                <w:color w:val="000000"/>
                <w:sz w:val="22"/>
                <w:szCs w:val="22"/>
                <w:lang w:eastAsia="lv-LV"/>
              </w:rPr>
            </w:pPr>
            <w:r w:rsidRPr="00DF33A5">
              <w:rPr>
                <w:color w:val="000000"/>
                <w:sz w:val="22"/>
                <w:szCs w:val="22"/>
                <w:lang w:eastAsia="lv-LV"/>
              </w:rPr>
              <w:t>1</w:t>
            </w:r>
          </w:p>
        </w:tc>
        <w:tc>
          <w:tcPr>
            <w:tcW w:w="443" w:type="pct"/>
            <w:shd w:val="clear" w:color="auto" w:fill="auto"/>
            <w:noWrap/>
            <w:vAlign w:val="bottom"/>
            <w:hideMark/>
          </w:tcPr>
          <w:p w14:paraId="6566EEDE" w14:textId="77777777" w:rsidR="00F322FE" w:rsidRPr="00DF33A5" w:rsidRDefault="00F322FE" w:rsidP="006C195E">
            <w:pPr>
              <w:jc w:val="center"/>
              <w:rPr>
                <w:color w:val="000000"/>
                <w:sz w:val="22"/>
                <w:szCs w:val="22"/>
                <w:lang w:eastAsia="lv-LV"/>
              </w:rPr>
            </w:pPr>
            <w:r w:rsidRPr="00DF33A5">
              <w:rPr>
                <w:color w:val="000000"/>
                <w:sz w:val="22"/>
                <w:szCs w:val="22"/>
                <w:lang w:eastAsia="lv-LV"/>
              </w:rPr>
              <w:t>2</w:t>
            </w:r>
          </w:p>
        </w:tc>
        <w:tc>
          <w:tcPr>
            <w:tcW w:w="423" w:type="pct"/>
            <w:shd w:val="clear" w:color="auto" w:fill="auto"/>
            <w:noWrap/>
            <w:vAlign w:val="bottom"/>
            <w:hideMark/>
          </w:tcPr>
          <w:p w14:paraId="38E6A7D2"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26</w:t>
            </w:r>
          </w:p>
        </w:tc>
      </w:tr>
      <w:tr w:rsidR="005F683F" w:rsidRPr="00DF33A5" w14:paraId="095E234D" w14:textId="77777777" w:rsidTr="00DD6363">
        <w:trPr>
          <w:trHeight w:val="300"/>
        </w:trPr>
        <w:tc>
          <w:tcPr>
            <w:tcW w:w="368" w:type="pct"/>
            <w:vAlign w:val="center"/>
          </w:tcPr>
          <w:p w14:paraId="1BB923D0" w14:textId="77777777" w:rsidR="00F322FE" w:rsidRPr="006C195E" w:rsidRDefault="00F322FE" w:rsidP="00AB5566">
            <w:pPr>
              <w:jc w:val="left"/>
              <w:rPr>
                <w:color w:val="000000"/>
                <w:sz w:val="22"/>
                <w:szCs w:val="22"/>
                <w:lang w:eastAsia="lv-LV"/>
              </w:rPr>
            </w:pPr>
            <w:r w:rsidRPr="006C195E">
              <w:rPr>
                <w:color w:val="000000"/>
                <w:sz w:val="22"/>
                <w:szCs w:val="22"/>
                <w:lang w:eastAsia="lv-LV"/>
              </w:rPr>
              <w:t>2.</w:t>
            </w:r>
          </w:p>
        </w:tc>
        <w:tc>
          <w:tcPr>
            <w:tcW w:w="592" w:type="pct"/>
            <w:shd w:val="clear" w:color="auto" w:fill="auto"/>
            <w:noWrap/>
            <w:vAlign w:val="bottom"/>
            <w:hideMark/>
          </w:tcPr>
          <w:p w14:paraId="289F9E5B" w14:textId="77777777" w:rsidR="00F322FE" w:rsidRPr="005F683F" w:rsidRDefault="00F322FE" w:rsidP="00DF33A5">
            <w:pPr>
              <w:jc w:val="left"/>
              <w:rPr>
                <w:color w:val="000000"/>
                <w:sz w:val="20"/>
                <w:lang w:eastAsia="lv-LV"/>
              </w:rPr>
            </w:pPr>
            <w:r w:rsidRPr="005F683F">
              <w:rPr>
                <w:color w:val="000000"/>
                <w:sz w:val="20"/>
                <w:lang w:eastAsia="lv-LV"/>
              </w:rPr>
              <w:t>LU</w:t>
            </w:r>
          </w:p>
        </w:tc>
        <w:tc>
          <w:tcPr>
            <w:tcW w:w="664" w:type="pct"/>
            <w:shd w:val="clear" w:color="auto" w:fill="auto"/>
            <w:noWrap/>
            <w:vAlign w:val="bottom"/>
            <w:hideMark/>
          </w:tcPr>
          <w:p w14:paraId="0E8AE0F4" w14:textId="77777777" w:rsidR="00F322FE" w:rsidRPr="005653E8" w:rsidRDefault="00F322FE" w:rsidP="006C195E">
            <w:pPr>
              <w:jc w:val="center"/>
              <w:rPr>
                <w:sz w:val="22"/>
                <w:szCs w:val="22"/>
                <w:lang w:eastAsia="lv-LV"/>
              </w:rPr>
            </w:pPr>
            <w:r w:rsidRPr="005653E8">
              <w:rPr>
                <w:sz w:val="22"/>
                <w:szCs w:val="22"/>
                <w:lang w:eastAsia="lv-LV"/>
              </w:rPr>
              <w:t>23</w:t>
            </w:r>
          </w:p>
        </w:tc>
        <w:tc>
          <w:tcPr>
            <w:tcW w:w="885" w:type="pct"/>
            <w:shd w:val="clear" w:color="auto" w:fill="auto"/>
            <w:noWrap/>
            <w:vAlign w:val="bottom"/>
            <w:hideMark/>
          </w:tcPr>
          <w:p w14:paraId="00E4A698" w14:textId="77777777" w:rsidR="00F322FE" w:rsidRPr="005653E8" w:rsidRDefault="00F322FE" w:rsidP="006C195E">
            <w:pPr>
              <w:jc w:val="center"/>
              <w:rPr>
                <w:sz w:val="22"/>
                <w:szCs w:val="22"/>
                <w:lang w:eastAsia="lv-LV"/>
              </w:rPr>
            </w:pPr>
            <w:r w:rsidRPr="005653E8">
              <w:rPr>
                <w:sz w:val="22"/>
                <w:szCs w:val="22"/>
                <w:lang w:eastAsia="lv-LV"/>
              </w:rPr>
              <w:t>1</w:t>
            </w:r>
          </w:p>
        </w:tc>
        <w:tc>
          <w:tcPr>
            <w:tcW w:w="590" w:type="pct"/>
          </w:tcPr>
          <w:p w14:paraId="5ED7C04D"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15F934D3" w14:textId="77777777" w:rsidR="00F322FE" w:rsidRPr="005653E8" w:rsidRDefault="00F322FE" w:rsidP="006C195E">
            <w:pPr>
              <w:jc w:val="center"/>
              <w:rPr>
                <w:sz w:val="22"/>
                <w:szCs w:val="22"/>
                <w:lang w:eastAsia="lv-LV"/>
              </w:rPr>
            </w:pPr>
            <w:r w:rsidRPr="005653E8">
              <w:rPr>
                <w:sz w:val="22"/>
                <w:szCs w:val="22"/>
                <w:lang w:eastAsia="lv-LV"/>
              </w:rPr>
              <w:t>1</w:t>
            </w:r>
          </w:p>
        </w:tc>
        <w:tc>
          <w:tcPr>
            <w:tcW w:w="519" w:type="pct"/>
            <w:shd w:val="clear" w:color="auto" w:fill="auto"/>
            <w:noWrap/>
            <w:vAlign w:val="bottom"/>
            <w:hideMark/>
          </w:tcPr>
          <w:p w14:paraId="146C4258" w14:textId="77777777" w:rsidR="00F322FE" w:rsidRPr="005653E8" w:rsidRDefault="00F322FE" w:rsidP="006C195E">
            <w:pPr>
              <w:jc w:val="center"/>
              <w:rPr>
                <w:sz w:val="22"/>
                <w:szCs w:val="22"/>
                <w:lang w:eastAsia="lv-LV"/>
              </w:rPr>
            </w:pPr>
            <w:r w:rsidRPr="005653E8">
              <w:rPr>
                <w:sz w:val="22"/>
                <w:szCs w:val="22"/>
                <w:lang w:eastAsia="lv-LV"/>
              </w:rPr>
              <w:t>12</w:t>
            </w:r>
          </w:p>
        </w:tc>
        <w:tc>
          <w:tcPr>
            <w:tcW w:w="443" w:type="pct"/>
            <w:shd w:val="clear" w:color="auto" w:fill="auto"/>
            <w:noWrap/>
            <w:vAlign w:val="bottom"/>
            <w:hideMark/>
          </w:tcPr>
          <w:p w14:paraId="1839EC95" w14:textId="77777777" w:rsidR="00F322FE" w:rsidRPr="005653E8" w:rsidRDefault="00F322FE" w:rsidP="006C195E">
            <w:pPr>
              <w:jc w:val="center"/>
              <w:rPr>
                <w:sz w:val="22"/>
                <w:szCs w:val="22"/>
                <w:lang w:eastAsia="lv-LV"/>
              </w:rPr>
            </w:pPr>
            <w:r w:rsidRPr="005653E8">
              <w:rPr>
                <w:sz w:val="22"/>
                <w:szCs w:val="22"/>
                <w:lang w:eastAsia="lv-LV"/>
              </w:rPr>
              <w:t>3</w:t>
            </w:r>
          </w:p>
        </w:tc>
        <w:tc>
          <w:tcPr>
            <w:tcW w:w="423" w:type="pct"/>
            <w:shd w:val="clear" w:color="auto" w:fill="auto"/>
            <w:noWrap/>
            <w:vAlign w:val="bottom"/>
            <w:hideMark/>
          </w:tcPr>
          <w:p w14:paraId="0135D5F7"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40</w:t>
            </w:r>
          </w:p>
        </w:tc>
      </w:tr>
      <w:tr w:rsidR="005F683F" w:rsidRPr="00DF33A5" w14:paraId="104A861E" w14:textId="77777777" w:rsidTr="00DD6363">
        <w:trPr>
          <w:trHeight w:val="300"/>
        </w:trPr>
        <w:tc>
          <w:tcPr>
            <w:tcW w:w="368" w:type="pct"/>
            <w:vAlign w:val="center"/>
          </w:tcPr>
          <w:p w14:paraId="7B7CE7C9" w14:textId="77777777" w:rsidR="00F322FE" w:rsidRPr="006C195E" w:rsidRDefault="00F322FE" w:rsidP="00AB5566">
            <w:pPr>
              <w:jc w:val="left"/>
              <w:rPr>
                <w:color w:val="000000"/>
                <w:sz w:val="22"/>
                <w:szCs w:val="22"/>
                <w:lang w:eastAsia="lv-LV"/>
              </w:rPr>
            </w:pPr>
            <w:r w:rsidRPr="006C195E">
              <w:rPr>
                <w:color w:val="000000"/>
                <w:sz w:val="22"/>
                <w:szCs w:val="22"/>
                <w:lang w:eastAsia="lv-LV"/>
              </w:rPr>
              <w:t>3.</w:t>
            </w:r>
          </w:p>
        </w:tc>
        <w:tc>
          <w:tcPr>
            <w:tcW w:w="592" w:type="pct"/>
            <w:shd w:val="clear" w:color="auto" w:fill="auto"/>
            <w:noWrap/>
            <w:vAlign w:val="bottom"/>
            <w:hideMark/>
          </w:tcPr>
          <w:p w14:paraId="01D4F2D0" w14:textId="77777777" w:rsidR="00F322FE" w:rsidRPr="005F683F" w:rsidRDefault="00F322FE" w:rsidP="00DF33A5">
            <w:pPr>
              <w:jc w:val="left"/>
              <w:rPr>
                <w:color w:val="000000"/>
                <w:sz w:val="20"/>
                <w:lang w:eastAsia="lv-LV"/>
              </w:rPr>
            </w:pPr>
            <w:r w:rsidRPr="005F683F">
              <w:rPr>
                <w:color w:val="000000"/>
                <w:sz w:val="20"/>
                <w:lang w:eastAsia="lv-LV"/>
              </w:rPr>
              <w:t>LLU</w:t>
            </w:r>
          </w:p>
        </w:tc>
        <w:tc>
          <w:tcPr>
            <w:tcW w:w="664" w:type="pct"/>
            <w:shd w:val="clear" w:color="auto" w:fill="auto"/>
            <w:noWrap/>
            <w:vAlign w:val="bottom"/>
            <w:hideMark/>
          </w:tcPr>
          <w:p w14:paraId="6173B6E7" w14:textId="77777777" w:rsidR="00F322FE" w:rsidRPr="005653E8" w:rsidRDefault="00F322FE" w:rsidP="006C195E">
            <w:pPr>
              <w:jc w:val="center"/>
              <w:rPr>
                <w:sz w:val="22"/>
                <w:szCs w:val="22"/>
                <w:lang w:eastAsia="lv-LV"/>
              </w:rPr>
            </w:pPr>
            <w:r w:rsidRPr="005653E8">
              <w:rPr>
                <w:sz w:val="22"/>
                <w:szCs w:val="22"/>
                <w:lang w:eastAsia="lv-LV"/>
              </w:rPr>
              <w:t>0</w:t>
            </w:r>
          </w:p>
        </w:tc>
        <w:tc>
          <w:tcPr>
            <w:tcW w:w="885" w:type="pct"/>
            <w:shd w:val="clear" w:color="auto" w:fill="auto"/>
            <w:noWrap/>
            <w:vAlign w:val="bottom"/>
            <w:hideMark/>
          </w:tcPr>
          <w:p w14:paraId="2F3CB59B" w14:textId="77777777" w:rsidR="00F322FE" w:rsidRPr="005653E8" w:rsidRDefault="00F322FE" w:rsidP="006C195E">
            <w:pPr>
              <w:jc w:val="center"/>
              <w:rPr>
                <w:sz w:val="22"/>
                <w:szCs w:val="22"/>
                <w:lang w:eastAsia="lv-LV"/>
              </w:rPr>
            </w:pPr>
            <w:r w:rsidRPr="005653E8">
              <w:rPr>
                <w:sz w:val="22"/>
                <w:szCs w:val="22"/>
                <w:lang w:eastAsia="lv-LV"/>
              </w:rPr>
              <w:t>31</w:t>
            </w:r>
          </w:p>
        </w:tc>
        <w:tc>
          <w:tcPr>
            <w:tcW w:w="590" w:type="pct"/>
          </w:tcPr>
          <w:p w14:paraId="470FC530" w14:textId="77777777" w:rsidR="00F322FE" w:rsidRPr="005653E8" w:rsidRDefault="00DA1482" w:rsidP="006C195E">
            <w:pPr>
              <w:jc w:val="center"/>
              <w:rPr>
                <w:sz w:val="22"/>
                <w:szCs w:val="22"/>
                <w:lang w:eastAsia="lv-LV"/>
              </w:rPr>
            </w:pPr>
            <w:r>
              <w:rPr>
                <w:sz w:val="22"/>
                <w:szCs w:val="22"/>
                <w:lang w:eastAsia="lv-LV"/>
              </w:rPr>
              <w:t>13</w:t>
            </w:r>
          </w:p>
        </w:tc>
        <w:tc>
          <w:tcPr>
            <w:tcW w:w="516" w:type="pct"/>
            <w:shd w:val="clear" w:color="auto" w:fill="auto"/>
            <w:noWrap/>
            <w:vAlign w:val="bottom"/>
            <w:hideMark/>
          </w:tcPr>
          <w:p w14:paraId="430CA006" w14:textId="77777777" w:rsidR="00F322FE" w:rsidRPr="005653E8" w:rsidRDefault="00F322FE" w:rsidP="006C195E">
            <w:pPr>
              <w:jc w:val="center"/>
              <w:rPr>
                <w:sz w:val="22"/>
                <w:szCs w:val="22"/>
                <w:lang w:eastAsia="lv-LV"/>
              </w:rPr>
            </w:pPr>
            <w:r w:rsidRPr="005653E8">
              <w:rPr>
                <w:sz w:val="22"/>
                <w:szCs w:val="22"/>
                <w:lang w:eastAsia="lv-LV"/>
              </w:rPr>
              <w:t>0</w:t>
            </w:r>
          </w:p>
        </w:tc>
        <w:tc>
          <w:tcPr>
            <w:tcW w:w="519" w:type="pct"/>
            <w:shd w:val="clear" w:color="auto" w:fill="auto"/>
            <w:noWrap/>
            <w:vAlign w:val="bottom"/>
            <w:hideMark/>
          </w:tcPr>
          <w:p w14:paraId="5663DAFF" w14:textId="77777777" w:rsidR="00F322FE" w:rsidRPr="005653E8" w:rsidRDefault="00F322FE" w:rsidP="006C195E">
            <w:pPr>
              <w:jc w:val="center"/>
              <w:rPr>
                <w:sz w:val="22"/>
                <w:szCs w:val="22"/>
                <w:lang w:eastAsia="lv-LV"/>
              </w:rPr>
            </w:pPr>
            <w:r w:rsidRPr="005653E8">
              <w:rPr>
                <w:sz w:val="22"/>
                <w:szCs w:val="22"/>
                <w:lang w:eastAsia="lv-LV"/>
              </w:rPr>
              <w:t>1</w:t>
            </w:r>
          </w:p>
        </w:tc>
        <w:tc>
          <w:tcPr>
            <w:tcW w:w="443" w:type="pct"/>
            <w:shd w:val="clear" w:color="auto" w:fill="auto"/>
            <w:noWrap/>
            <w:vAlign w:val="bottom"/>
            <w:hideMark/>
          </w:tcPr>
          <w:p w14:paraId="4FD55A27" w14:textId="77777777" w:rsidR="00F322FE" w:rsidRPr="005653E8" w:rsidRDefault="00F322FE" w:rsidP="006C195E">
            <w:pPr>
              <w:jc w:val="center"/>
              <w:rPr>
                <w:sz w:val="22"/>
                <w:szCs w:val="22"/>
                <w:lang w:eastAsia="lv-LV"/>
              </w:rPr>
            </w:pPr>
            <w:r w:rsidRPr="005653E8">
              <w:rPr>
                <w:sz w:val="22"/>
                <w:szCs w:val="22"/>
                <w:lang w:eastAsia="lv-LV"/>
              </w:rPr>
              <w:t>3</w:t>
            </w:r>
          </w:p>
        </w:tc>
        <w:tc>
          <w:tcPr>
            <w:tcW w:w="423" w:type="pct"/>
            <w:shd w:val="clear" w:color="auto" w:fill="auto"/>
            <w:noWrap/>
            <w:vAlign w:val="bottom"/>
            <w:hideMark/>
          </w:tcPr>
          <w:p w14:paraId="46F06B20" w14:textId="77777777" w:rsidR="00F322FE" w:rsidRPr="006C195E" w:rsidRDefault="00DA1482" w:rsidP="006C195E">
            <w:pPr>
              <w:jc w:val="center"/>
              <w:rPr>
                <w:b/>
                <w:color w:val="000000"/>
                <w:sz w:val="22"/>
                <w:szCs w:val="22"/>
                <w:lang w:eastAsia="lv-LV"/>
              </w:rPr>
            </w:pPr>
            <w:r>
              <w:rPr>
                <w:b/>
                <w:color w:val="000000"/>
                <w:sz w:val="22"/>
                <w:szCs w:val="22"/>
                <w:lang w:eastAsia="lv-LV"/>
              </w:rPr>
              <w:t>48</w:t>
            </w:r>
          </w:p>
        </w:tc>
      </w:tr>
      <w:tr w:rsidR="005F683F" w:rsidRPr="00DF33A5" w14:paraId="5D051AA6" w14:textId="77777777" w:rsidTr="00DD6363">
        <w:trPr>
          <w:trHeight w:val="300"/>
        </w:trPr>
        <w:tc>
          <w:tcPr>
            <w:tcW w:w="368" w:type="pct"/>
            <w:vAlign w:val="center"/>
          </w:tcPr>
          <w:p w14:paraId="1607D80F" w14:textId="77777777" w:rsidR="00F322FE" w:rsidRPr="006C195E" w:rsidRDefault="00F322FE" w:rsidP="00AB5566">
            <w:pPr>
              <w:jc w:val="left"/>
              <w:rPr>
                <w:color w:val="000000"/>
                <w:sz w:val="22"/>
                <w:szCs w:val="22"/>
                <w:lang w:eastAsia="lv-LV"/>
              </w:rPr>
            </w:pPr>
            <w:r w:rsidRPr="006C195E">
              <w:rPr>
                <w:color w:val="000000"/>
                <w:sz w:val="22"/>
                <w:szCs w:val="22"/>
                <w:lang w:eastAsia="lv-LV"/>
              </w:rPr>
              <w:t>4.</w:t>
            </w:r>
          </w:p>
        </w:tc>
        <w:tc>
          <w:tcPr>
            <w:tcW w:w="592" w:type="pct"/>
            <w:shd w:val="clear" w:color="auto" w:fill="auto"/>
            <w:noWrap/>
            <w:vAlign w:val="bottom"/>
            <w:hideMark/>
          </w:tcPr>
          <w:p w14:paraId="45F882E7" w14:textId="77777777" w:rsidR="00F322FE" w:rsidRPr="005F683F" w:rsidRDefault="00F322FE" w:rsidP="00DF33A5">
            <w:pPr>
              <w:jc w:val="left"/>
              <w:rPr>
                <w:color w:val="000000"/>
                <w:sz w:val="20"/>
                <w:lang w:eastAsia="lv-LV"/>
              </w:rPr>
            </w:pPr>
            <w:r w:rsidRPr="005F683F">
              <w:rPr>
                <w:color w:val="000000"/>
                <w:sz w:val="20"/>
                <w:lang w:eastAsia="lv-LV"/>
              </w:rPr>
              <w:t>RTU</w:t>
            </w:r>
          </w:p>
        </w:tc>
        <w:tc>
          <w:tcPr>
            <w:tcW w:w="664" w:type="pct"/>
            <w:shd w:val="clear" w:color="auto" w:fill="auto"/>
            <w:noWrap/>
            <w:vAlign w:val="bottom"/>
            <w:hideMark/>
          </w:tcPr>
          <w:p w14:paraId="69C2AE62" w14:textId="77777777" w:rsidR="00F322FE" w:rsidRPr="005653E8" w:rsidRDefault="00F322FE" w:rsidP="006C195E">
            <w:pPr>
              <w:jc w:val="center"/>
              <w:rPr>
                <w:sz w:val="22"/>
                <w:szCs w:val="22"/>
                <w:lang w:eastAsia="lv-LV"/>
              </w:rPr>
            </w:pPr>
            <w:r w:rsidRPr="005653E8">
              <w:rPr>
                <w:sz w:val="22"/>
                <w:szCs w:val="22"/>
                <w:lang w:eastAsia="lv-LV"/>
              </w:rPr>
              <w:t>17</w:t>
            </w:r>
          </w:p>
        </w:tc>
        <w:tc>
          <w:tcPr>
            <w:tcW w:w="885" w:type="pct"/>
            <w:shd w:val="clear" w:color="auto" w:fill="auto"/>
            <w:noWrap/>
            <w:vAlign w:val="bottom"/>
            <w:hideMark/>
          </w:tcPr>
          <w:p w14:paraId="6CA8D6F7" w14:textId="77777777" w:rsidR="00F322FE" w:rsidRPr="005653E8" w:rsidRDefault="00F322FE" w:rsidP="006C195E">
            <w:pPr>
              <w:jc w:val="center"/>
              <w:rPr>
                <w:sz w:val="22"/>
                <w:szCs w:val="22"/>
                <w:lang w:eastAsia="lv-LV"/>
              </w:rPr>
            </w:pPr>
            <w:r w:rsidRPr="005653E8">
              <w:rPr>
                <w:sz w:val="22"/>
                <w:szCs w:val="22"/>
                <w:lang w:eastAsia="lv-LV"/>
              </w:rPr>
              <w:t>86</w:t>
            </w:r>
          </w:p>
        </w:tc>
        <w:tc>
          <w:tcPr>
            <w:tcW w:w="590" w:type="pct"/>
          </w:tcPr>
          <w:p w14:paraId="244BBB1E"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08562B45" w14:textId="77777777" w:rsidR="00F322FE" w:rsidRPr="005653E8" w:rsidRDefault="00F322FE" w:rsidP="006C195E">
            <w:pPr>
              <w:jc w:val="center"/>
              <w:rPr>
                <w:sz w:val="22"/>
                <w:szCs w:val="22"/>
                <w:lang w:eastAsia="lv-LV"/>
              </w:rPr>
            </w:pPr>
            <w:r w:rsidRPr="005653E8">
              <w:rPr>
                <w:sz w:val="22"/>
                <w:szCs w:val="22"/>
                <w:lang w:eastAsia="lv-LV"/>
              </w:rPr>
              <w:t>0</w:t>
            </w:r>
          </w:p>
        </w:tc>
        <w:tc>
          <w:tcPr>
            <w:tcW w:w="519" w:type="pct"/>
            <w:shd w:val="clear" w:color="auto" w:fill="auto"/>
            <w:noWrap/>
            <w:vAlign w:val="bottom"/>
            <w:hideMark/>
          </w:tcPr>
          <w:p w14:paraId="6CC6A079" w14:textId="77777777" w:rsidR="00F322FE" w:rsidRPr="005653E8" w:rsidRDefault="00F322FE" w:rsidP="006C195E">
            <w:pPr>
              <w:jc w:val="center"/>
              <w:rPr>
                <w:sz w:val="22"/>
                <w:szCs w:val="22"/>
                <w:lang w:eastAsia="lv-LV"/>
              </w:rPr>
            </w:pPr>
            <w:r w:rsidRPr="005653E8">
              <w:rPr>
                <w:sz w:val="22"/>
                <w:szCs w:val="22"/>
                <w:lang w:eastAsia="lv-LV"/>
              </w:rPr>
              <w:t>0</w:t>
            </w:r>
          </w:p>
        </w:tc>
        <w:tc>
          <w:tcPr>
            <w:tcW w:w="443" w:type="pct"/>
            <w:shd w:val="clear" w:color="auto" w:fill="auto"/>
            <w:noWrap/>
            <w:vAlign w:val="bottom"/>
            <w:hideMark/>
          </w:tcPr>
          <w:p w14:paraId="1B073AD2" w14:textId="77777777" w:rsidR="00F322FE" w:rsidRPr="005653E8" w:rsidRDefault="00F322FE" w:rsidP="006C195E">
            <w:pPr>
              <w:jc w:val="center"/>
              <w:rPr>
                <w:sz w:val="22"/>
                <w:szCs w:val="22"/>
                <w:lang w:eastAsia="lv-LV"/>
              </w:rPr>
            </w:pPr>
            <w:r w:rsidRPr="005653E8">
              <w:rPr>
                <w:sz w:val="22"/>
                <w:szCs w:val="22"/>
                <w:lang w:eastAsia="lv-LV"/>
              </w:rPr>
              <w:t>3</w:t>
            </w:r>
          </w:p>
        </w:tc>
        <w:tc>
          <w:tcPr>
            <w:tcW w:w="423" w:type="pct"/>
            <w:shd w:val="clear" w:color="auto" w:fill="auto"/>
            <w:noWrap/>
            <w:vAlign w:val="bottom"/>
            <w:hideMark/>
          </w:tcPr>
          <w:p w14:paraId="7F683D50"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106</w:t>
            </w:r>
          </w:p>
        </w:tc>
      </w:tr>
      <w:tr w:rsidR="005F683F" w:rsidRPr="00DF33A5" w14:paraId="62895013" w14:textId="77777777" w:rsidTr="00DD6363">
        <w:trPr>
          <w:trHeight w:val="300"/>
        </w:trPr>
        <w:tc>
          <w:tcPr>
            <w:tcW w:w="368" w:type="pct"/>
            <w:vAlign w:val="center"/>
          </w:tcPr>
          <w:p w14:paraId="27DC446C" w14:textId="77777777" w:rsidR="00F322FE" w:rsidRPr="006C195E" w:rsidRDefault="00F322FE" w:rsidP="00AB5566">
            <w:pPr>
              <w:jc w:val="left"/>
              <w:rPr>
                <w:color w:val="000000"/>
                <w:sz w:val="22"/>
                <w:szCs w:val="22"/>
                <w:lang w:eastAsia="lv-LV"/>
              </w:rPr>
            </w:pPr>
            <w:r w:rsidRPr="006C195E">
              <w:rPr>
                <w:color w:val="000000"/>
                <w:sz w:val="22"/>
                <w:szCs w:val="22"/>
                <w:lang w:eastAsia="lv-LV"/>
              </w:rPr>
              <w:t>5.</w:t>
            </w:r>
          </w:p>
        </w:tc>
        <w:tc>
          <w:tcPr>
            <w:tcW w:w="592" w:type="pct"/>
            <w:shd w:val="clear" w:color="auto" w:fill="auto"/>
            <w:noWrap/>
            <w:vAlign w:val="bottom"/>
            <w:hideMark/>
          </w:tcPr>
          <w:p w14:paraId="4839AF36" w14:textId="77777777" w:rsidR="00F322FE" w:rsidRPr="005F683F" w:rsidRDefault="00F322FE" w:rsidP="00DF33A5">
            <w:pPr>
              <w:jc w:val="left"/>
              <w:rPr>
                <w:color w:val="000000"/>
                <w:sz w:val="20"/>
                <w:lang w:eastAsia="lv-LV"/>
              </w:rPr>
            </w:pPr>
            <w:r w:rsidRPr="005F683F">
              <w:rPr>
                <w:color w:val="000000"/>
                <w:sz w:val="20"/>
                <w:lang w:eastAsia="lv-LV"/>
              </w:rPr>
              <w:t>RSU</w:t>
            </w:r>
          </w:p>
        </w:tc>
        <w:tc>
          <w:tcPr>
            <w:tcW w:w="664" w:type="pct"/>
            <w:shd w:val="clear" w:color="auto" w:fill="auto"/>
            <w:noWrap/>
            <w:vAlign w:val="bottom"/>
            <w:hideMark/>
          </w:tcPr>
          <w:p w14:paraId="68038B7F" w14:textId="77777777" w:rsidR="00F322FE" w:rsidRPr="005653E8" w:rsidRDefault="00F322FE" w:rsidP="006C195E">
            <w:pPr>
              <w:jc w:val="center"/>
              <w:rPr>
                <w:sz w:val="22"/>
                <w:szCs w:val="22"/>
                <w:lang w:eastAsia="lv-LV"/>
              </w:rPr>
            </w:pPr>
            <w:r w:rsidRPr="005653E8">
              <w:rPr>
                <w:sz w:val="22"/>
                <w:szCs w:val="22"/>
                <w:lang w:eastAsia="lv-LV"/>
              </w:rPr>
              <w:t>1</w:t>
            </w:r>
          </w:p>
        </w:tc>
        <w:tc>
          <w:tcPr>
            <w:tcW w:w="885" w:type="pct"/>
            <w:shd w:val="clear" w:color="auto" w:fill="auto"/>
            <w:noWrap/>
            <w:vAlign w:val="bottom"/>
            <w:hideMark/>
          </w:tcPr>
          <w:p w14:paraId="6B0B8204" w14:textId="77777777" w:rsidR="00F322FE" w:rsidRPr="005653E8" w:rsidRDefault="00F322FE" w:rsidP="006C195E">
            <w:pPr>
              <w:jc w:val="center"/>
              <w:rPr>
                <w:sz w:val="22"/>
                <w:szCs w:val="22"/>
                <w:lang w:eastAsia="lv-LV"/>
              </w:rPr>
            </w:pPr>
            <w:r w:rsidRPr="005653E8">
              <w:rPr>
                <w:sz w:val="22"/>
                <w:szCs w:val="22"/>
                <w:lang w:eastAsia="lv-LV"/>
              </w:rPr>
              <w:t>0</w:t>
            </w:r>
          </w:p>
        </w:tc>
        <w:tc>
          <w:tcPr>
            <w:tcW w:w="590" w:type="pct"/>
          </w:tcPr>
          <w:p w14:paraId="3387CF76"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7C2EAD04" w14:textId="77777777" w:rsidR="00F322FE" w:rsidRPr="005653E8" w:rsidRDefault="00F322FE" w:rsidP="006C195E">
            <w:pPr>
              <w:jc w:val="center"/>
              <w:rPr>
                <w:sz w:val="22"/>
                <w:szCs w:val="22"/>
                <w:lang w:eastAsia="lv-LV"/>
              </w:rPr>
            </w:pPr>
            <w:r w:rsidRPr="005653E8">
              <w:rPr>
                <w:sz w:val="22"/>
                <w:szCs w:val="22"/>
                <w:lang w:eastAsia="lv-LV"/>
              </w:rPr>
              <w:t>0</w:t>
            </w:r>
          </w:p>
        </w:tc>
        <w:tc>
          <w:tcPr>
            <w:tcW w:w="519" w:type="pct"/>
            <w:shd w:val="clear" w:color="auto" w:fill="auto"/>
            <w:noWrap/>
            <w:vAlign w:val="bottom"/>
            <w:hideMark/>
          </w:tcPr>
          <w:p w14:paraId="25B079C7" w14:textId="77777777" w:rsidR="00F322FE" w:rsidRPr="005653E8" w:rsidRDefault="00F322FE" w:rsidP="006C195E">
            <w:pPr>
              <w:jc w:val="center"/>
              <w:rPr>
                <w:sz w:val="22"/>
                <w:szCs w:val="22"/>
                <w:lang w:eastAsia="lv-LV"/>
              </w:rPr>
            </w:pPr>
            <w:r w:rsidRPr="00DA1482">
              <w:rPr>
                <w:sz w:val="22"/>
                <w:szCs w:val="22"/>
                <w:lang w:eastAsia="lv-LV"/>
              </w:rPr>
              <w:t>31</w:t>
            </w:r>
          </w:p>
        </w:tc>
        <w:tc>
          <w:tcPr>
            <w:tcW w:w="443" w:type="pct"/>
            <w:shd w:val="clear" w:color="auto" w:fill="auto"/>
            <w:noWrap/>
            <w:vAlign w:val="bottom"/>
            <w:hideMark/>
          </w:tcPr>
          <w:p w14:paraId="7E3C7C90" w14:textId="77777777" w:rsidR="00F322FE" w:rsidRPr="005653E8" w:rsidRDefault="00F322FE" w:rsidP="006C195E">
            <w:pPr>
              <w:jc w:val="center"/>
              <w:rPr>
                <w:sz w:val="22"/>
                <w:szCs w:val="22"/>
                <w:lang w:eastAsia="lv-LV"/>
              </w:rPr>
            </w:pPr>
            <w:r w:rsidRPr="005653E8">
              <w:rPr>
                <w:sz w:val="22"/>
                <w:szCs w:val="22"/>
                <w:lang w:eastAsia="lv-LV"/>
              </w:rPr>
              <w:t>0</w:t>
            </w:r>
          </w:p>
        </w:tc>
        <w:tc>
          <w:tcPr>
            <w:tcW w:w="423" w:type="pct"/>
            <w:shd w:val="clear" w:color="auto" w:fill="auto"/>
            <w:noWrap/>
            <w:vAlign w:val="bottom"/>
            <w:hideMark/>
          </w:tcPr>
          <w:p w14:paraId="7183A622" w14:textId="77777777" w:rsidR="00F322FE" w:rsidRPr="006C195E" w:rsidRDefault="00F322FE" w:rsidP="00DA1482">
            <w:pPr>
              <w:jc w:val="center"/>
              <w:rPr>
                <w:b/>
                <w:color w:val="000000"/>
                <w:sz w:val="22"/>
                <w:szCs w:val="22"/>
                <w:lang w:eastAsia="lv-LV"/>
              </w:rPr>
            </w:pPr>
            <w:r w:rsidRPr="006C195E">
              <w:rPr>
                <w:b/>
                <w:color w:val="000000"/>
                <w:sz w:val="22"/>
                <w:szCs w:val="22"/>
                <w:lang w:eastAsia="lv-LV"/>
              </w:rPr>
              <w:t>3</w:t>
            </w:r>
            <w:r w:rsidR="00DA1482">
              <w:rPr>
                <w:b/>
                <w:color w:val="000000"/>
                <w:sz w:val="22"/>
                <w:szCs w:val="22"/>
                <w:lang w:eastAsia="lv-LV"/>
              </w:rPr>
              <w:t>2</w:t>
            </w:r>
          </w:p>
        </w:tc>
      </w:tr>
      <w:tr w:rsidR="005F683F" w:rsidRPr="00DF33A5" w14:paraId="4527223D" w14:textId="77777777" w:rsidTr="00DD6363">
        <w:trPr>
          <w:trHeight w:val="300"/>
        </w:trPr>
        <w:tc>
          <w:tcPr>
            <w:tcW w:w="368" w:type="pct"/>
            <w:vAlign w:val="center"/>
          </w:tcPr>
          <w:p w14:paraId="48D1CE21" w14:textId="77777777" w:rsidR="00F322FE" w:rsidRPr="006C195E" w:rsidRDefault="00F322FE" w:rsidP="00AB5566">
            <w:pPr>
              <w:jc w:val="left"/>
              <w:rPr>
                <w:color w:val="000000"/>
                <w:sz w:val="22"/>
                <w:szCs w:val="22"/>
                <w:lang w:eastAsia="lv-LV"/>
              </w:rPr>
            </w:pPr>
            <w:r w:rsidRPr="006C195E">
              <w:rPr>
                <w:color w:val="000000"/>
                <w:sz w:val="22"/>
                <w:szCs w:val="22"/>
                <w:lang w:eastAsia="lv-LV"/>
              </w:rPr>
              <w:t>6.</w:t>
            </w:r>
          </w:p>
        </w:tc>
        <w:tc>
          <w:tcPr>
            <w:tcW w:w="592" w:type="pct"/>
            <w:shd w:val="clear" w:color="auto" w:fill="auto"/>
            <w:noWrap/>
            <w:vAlign w:val="bottom"/>
            <w:hideMark/>
          </w:tcPr>
          <w:p w14:paraId="33DDB10A" w14:textId="77777777" w:rsidR="00F322FE" w:rsidRPr="005F683F" w:rsidRDefault="00F322FE" w:rsidP="00DF33A5">
            <w:pPr>
              <w:jc w:val="left"/>
              <w:rPr>
                <w:color w:val="000000"/>
                <w:sz w:val="20"/>
                <w:lang w:eastAsia="lv-LV"/>
              </w:rPr>
            </w:pPr>
            <w:proofErr w:type="spellStart"/>
            <w:r w:rsidRPr="005F683F">
              <w:rPr>
                <w:color w:val="000000"/>
                <w:sz w:val="20"/>
                <w:lang w:eastAsia="lv-LV"/>
              </w:rPr>
              <w:t>LiepU</w:t>
            </w:r>
            <w:proofErr w:type="spellEnd"/>
          </w:p>
        </w:tc>
        <w:tc>
          <w:tcPr>
            <w:tcW w:w="664" w:type="pct"/>
            <w:shd w:val="clear" w:color="auto" w:fill="auto"/>
            <w:noWrap/>
            <w:vAlign w:val="bottom"/>
            <w:hideMark/>
          </w:tcPr>
          <w:p w14:paraId="5ADD996F" w14:textId="77777777" w:rsidR="00F322FE" w:rsidRPr="005653E8" w:rsidRDefault="00F322FE" w:rsidP="006C195E">
            <w:pPr>
              <w:jc w:val="center"/>
              <w:rPr>
                <w:sz w:val="22"/>
                <w:szCs w:val="22"/>
                <w:lang w:eastAsia="lv-LV"/>
              </w:rPr>
            </w:pPr>
            <w:r w:rsidRPr="005653E8">
              <w:rPr>
                <w:sz w:val="22"/>
                <w:szCs w:val="22"/>
                <w:lang w:eastAsia="lv-LV"/>
              </w:rPr>
              <w:t>7</w:t>
            </w:r>
          </w:p>
        </w:tc>
        <w:tc>
          <w:tcPr>
            <w:tcW w:w="885" w:type="pct"/>
            <w:shd w:val="clear" w:color="auto" w:fill="auto"/>
            <w:noWrap/>
            <w:vAlign w:val="bottom"/>
            <w:hideMark/>
          </w:tcPr>
          <w:p w14:paraId="02541823" w14:textId="77777777" w:rsidR="00F322FE" w:rsidRPr="005653E8" w:rsidRDefault="00F322FE" w:rsidP="006C195E">
            <w:pPr>
              <w:jc w:val="center"/>
              <w:rPr>
                <w:sz w:val="22"/>
                <w:szCs w:val="22"/>
                <w:lang w:eastAsia="lv-LV"/>
              </w:rPr>
            </w:pPr>
            <w:r w:rsidRPr="005653E8">
              <w:rPr>
                <w:sz w:val="22"/>
                <w:szCs w:val="22"/>
                <w:lang w:eastAsia="lv-LV"/>
              </w:rPr>
              <w:t>1</w:t>
            </w:r>
          </w:p>
        </w:tc>
        <w:tc>
          <w:tcPr>
            <w:tcW w:w="590" w:type="pct"/>
          </w:tcPr>
          <w:p w14:paraId="6F2E9DE6"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6A6C80AF" w14:textId="77777777" w:rsidR="00F322FE" w:rsidRPr="005653E8" w:rsidRDefault="00F322FE" w:rsidP="006C195E">
            <w:pPr>
              <w:jc w:val="center"/>
              <w:rPr>
                <w:sz w:val="22"/>
                <w:szCs w:val="22"/>
                <w:lang w:eastAsia="lv-LV"/>
              </w:rPr>
            </w:pPr>
            <w:r w:rsidRPr="005653E8">
              <w:rPr>
                <w:sz w:val="22"/>
                <w:szCs w:val="22"/>
                <w:lang w:eastAsia="lv-LV"/>
              </w:rPr>
              <w:t>6</w:t>
            </w:r>
          </w:p>
        </w:tc>
        <w:tc>
          <w:tcPr>
            <w:tcW w:w="519" w:type="pct"/>
            <w:shd w:val="clear" w:color="auto" w:fill="auto"/>
            <w:noWrap/>
            <w:vAlign w:val="bottom"/>
            <w:hideMark/>
          </w:tcPr>
          <w:p w14:paraId="5F919B5B" w14:textId="77777777" w:rsidR="00F322FE" w:rsidRPr="005653E8" w:rsidRDefault="00F322FE" w:rsidP="006C195E">
            <w:pPr>
              <w:jc w:val="center"/>
              <w:rPr>
                <w:sz w:val="22"/>
                <w:szCs w:val="22"/>
                <w:lang w:eastAsia="lv-LV"/>
              </w:rPr>
            </w:pPr>
            <w:r w:rsidRPr="005653E8">
              <w:rPr>
                <w:sz w:val="22"/>
                <w:szCs w:val="22"/>
                <w:lang w:eastAsia="lv-LV"/>
              </w:rPr>
              <w:t>1</w:t>
            </w:r>
          </w:p>
        </w:tc>
        <w:tc>
          <w:tcPr>
            <w:tcW w:w="443" w:type="pct"/>
            <w:shd w:val="clear" w:color="auto" w:fill="auto"/>
            <w:noWrap/>
            <w:vAlign w:val="bottom"/>
            <w:hideMark/>
          </w:tcPr>
          <w:p w14:paraId="7001CD78" w14:textId="77777777" w:rsidR="00F322FE" w:rsidRPr="005653E8" w:rsidRDefault="00F322FE" w:rsidP="006C195E">
            <w:pPr>
              <w:jc w:val="center"/>
              <w:rPr>
                <w:sz w:val="22"/>
                <w:szCs w:val="22"/>
                <w:lang w:eastAsia="lv-LV"/>
              </w:rPr>
            </w:pPr>
            <w:r w:rsidRPr="005653E8">
              <w:rPr>
                <w:sz w:val="22"/>
                <w:szCs w:val="22"/>
                <w:lang w:eastAsia="lv-LV"/>
              </w:rPr>
              <w:t>2</w:t>
            </w:r>
          </w:p>
        </w:tc>
        <w:tc>
          <w:tcPr>
            <w:tcW w:w="423" w:type="pct"/>
            <w:shd w:val="clear" w:color="auto" w:fill="auto"/>
            <w:noWrap/>
            <w:vAlign w:val="bottom"/>
            <w:hideMark/>
          </w:tcPr>
          <w:p w14:paraId="10346584"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17</w:t>
            </w:r>
          </w:p>
        </w:tc>
      </w:tr>
      <w:tr w:rsidR="005F683F" w:rsidRPr="00DF33A5" w14:paraId="18E9A51F" w14:textId="77777777" w:rsidTr="00DD6363">
        <w:trPr>
          <w:trHeight w:val="300"/>
        </w:trPr>
        <w:tc>
          <w:tcPr>
            <w:tcW w:w="368" w:type="pct"/>
            <w:vAlign w:val="center"/>
          </w:tcPr>
          <w:p w14:paraId="09595B3A" w14:textId="77777777" w:rsidR="00F322FE" w:rsidRPr="006C195E" w:rsidRDefault="00F322FE" w:rsidP="00AB5566">
            <w:pPr>
              <w:jc w:val="left"/>
              <w:rPr>
                <w:color w:val="000000"/>
                <w:sz w:val="22"/>
                <w:szCs w:val="22"/>
                <w:lang w:eastAsia="lv-LV"/>
              </w:rPr>
            </w:pPr>
            <w:r w:rsidRPr="006C195E">
              <w:rPr>
                <w:color w:val="000000"/>
                <w:sz w:val="22"/>
                <w:szCs w:val="22"/>
                <w:lang w:eastAsia="lv-LV"/>
              </w:rPr>
              <w:lastRenderedPageBreak/>
              <w:t>7.</w:t>
            </w:r>
          </w:p>
        </w:tc>
        <w:tc>
          <w:tcPr>
            <w:tcW w:w="592" w:type="pct"/>
            <w:shd w:val="clear" w:color="auto" w:fill="auto"/>
            <w:noWrap/>
            <w:vAlign w:val="bottom"/>
            <w:hideMark/>
          </w:tcPr>
          <w:p w14:paraId="440D641C" w14:textId="77777777" w:rsidR="00F322FE" w:rsidRPr="005F683F" w:rsidRDefault="00F322FE" w:rsidP="00DF33A5">
            <w:pPr>
              <w:jc w:val="left"/>
              <w:rPr>
                <w:color w:val="000000"/>
                <w:sz w:val="20"/>
                <w:lang w:eastAsia="lv-LV"/>
              </w:rPr>
            </w:pPr>
            <w:r w:rsidRPr="005F683F">
              <w:rPr>
                <w:color w:val="000000"/>
                <w:sz w:val="20"/>
                <w:lang w:eastAsia="lv-LV"/>
              </w:rPr>
              <w:t>JVLMA</w:t>
            </w:r>
          </w:p>
        </w:tc>
        <w:tc>
          <w:tcPr>
            <w:tcW w:w="664" w:type="pct"/>
            <w:shd w:val="clear" w:color="auto" w:fill="auto"/>
            <w:noWrap/>
            <w:vAlign w:val="bottom"/>
            <w:hideMark/>
          </w:tcPr>
          <w:p w14:paraId="50C66E2C" w14:textId="77777777" w:rsidR="00F322FE" w:rsidRPr="005653E8" w:rsidRDefault="00F322FE" w:rsidP="006C195E">
            <w:pPr>
              <w:jc w:val="center"/>
              <w:rPr>
                <w:sz w:val="22"/>
                <w:szCs w:val="22"/>
                <w:lang w:eastAsia="lv-LV"/>
              </w:rPr>
            </w:pPr>
            <w:r w:rsidRPr="005653E8">
              <w:rPr>
                <w:sz w:val="22"/>
                <w:szCs w:val="22"/>
                <w:lang w:eastAsia="lv-LV"/>
              </w:rPr>
              <w:t>0</w:t>
            </w:r>
          </w:p>
        </w:tc>
        <w:tc>
          <w:tcPr>
            <w:tcW w:w="885" w:type="pct"/>
            <w:shd w:val="clear" w:color="auto" w:fill="auto"/>
            <w:noWrap/>
            <w:vAlign w:val="bottom"/>
            <w:hideMark/>
          </w:tcPr>
          <w:p w14:paraId="677D6C51" w14:textId="77777777" w:rsidR="00F322FE" w:rsidRPr="005653E8" w:rsidRDefault="00F322FE" w:rsidP="006C195E">
            <w:pPr>
              <w:jc w:val="center"/>
              <w:rPr>
                <w:sz w:val="22"/>
                <w:szCs w:val="22"/>
                <w:lang w:eastAsia="lv-LV"/>
              </w:rPr>
            </w:pPr>
            <w:r w:rsidRPr="005653E8">
              <w:rPr>
                <w:sz w:val="22"/>
                <w:szCs w:val="22"/>
                <w:lang w:eastAsia="lv-LV"/>
              </w:rPr>
              <w:t>0</w:t>
            </w:r>
          </w:p>
        </w:tc>
        <w:tc>
          <w:tcPr>
            <w:tcW w:w="590" w:type="pct"/>
          </w:tcPr>
          <w:p w14:paraId="51B15390"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1ADFA9FC" w14:textId="77777777" w:rsidR="00F322FE" w:rsidRPr="005653E8" w:rsidRDefault="00F322FE" w:rsidP="006C195E">
            <w:pPr>
              <w:jc w:val="center"/>
              <w:rPr>
                <w:sz w:val="22"/>
                <w:szCs w:val="22"/>
                <w:lang w:eastAsia="lv-LV"/>
              </w:rPr>
            </w:pPr>
            <w:r w:rsidRPr="005653E8">
              <w:rPr>
                <w:sz w:val="22"/>
                <w:szCs w:val="22"/>
                <w:lang w:eastAsia="lv-LV"/>
              </w:rPr>
              <w:t>11</w:t>
            </w:r>
          </w:p>
        </w:tc>
        <w:tc>
          <w:tcPr>
            <w:tcW w:w="519" w:type="pct"/>
            <w:shd w:val="clear" w:color="auto" w:fill="auto"/>
            <w:noWrap/>
            <w:vAlign w:val="bottom"/>
            <w:hideMark/>
          </w:tcPr>
          <w:p w14:paraId="1188E6E4" w14:textId="77777777" w:rsidR="00F322FE" w:rsidRPr="005653E8" w:rsidRDefault="00F322FE" w:rsidP="006C195E">
            <w:pPr>
              <w:jc w:val="center"/>
              <w:rPr>
                <w:sz w:val="22"/>
                <w:szCs w:val="22"/>
                <w:lang w:eastAsia="lv-LV"/>
              </w:rPr>
            </w:pPr>
            <w:r w:rsidRPr="005653E8">
              <w:rPr>
                <w:sz w:val="22"/>
                <w:szCs w:val="22"/>
                <w:lang w:eastAsia="lv-LV"/>
              </w:rPr>
              <w:t>0</w:t>
            </w:r>
          </w:p>
        </w:tc>
        <w:tc>
          <w:tcPr>
            <w:tcW w:w="443" w:type="pct"/>
            <w:shd w:val="clear" w:color="auto" w:fill="auto"/>
            <w:noWrap/>
            <w:vAlign w:val="bottom"/>
            <w:hideMark/>
          </w:tcPr>
          <w:p w14:paraId="4C0E7119" w14:textId="77777777" w:rsidR="00F322FE" w:rsidRPr="005653E8" w:rsidRDefault="00F322FE" w:rsidP="006C195E">
            <w:pPr>
              <w:jc w:val="center"/>
              <w:rPr>
                <w:sz w:val="22"/>
                <w:szCs w:val="22"/>
                <w:lang w:eastAsia="lv-LV"/>
              </w:rPr>
            </w:pPr>
            <w:r w:rsidRPr="005653E8">
              <w:rPr>
                <w:sz w:val="22"/>
                <w:szCs w:val="22"/>
                <w:lang w:eastAsia="lv-LV"/>
              </w:rPr>
              <w:t>0</w:t>
            </w:r>
          </w:p>
        </w:tc>
        <w:tc>
          <w:tcPr>
            <w:tcW w:w="423" w:type="pct"/>
            <w:shd w:val="clear" w:color="auto" w:fill="auto"/>
            <w:noWrap/>
            <w:vAlign w:val="bottom"/>
            <w:hideMark/>
          </w:tcPr>
          <w:p w14:paraId="6115B5BB"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11</w:t>
            </w:r>
          </w:p>
        </w:tc>
      </w:tr>
      <w:tr w:rsidR="005F683F" w:rsidRPr="00DF33A5" w14:paraId="2DC886A8" w14:textId="77777777" w:rsidTr="00DD6363">
        <w:trPr>
          <w:trHeight w:val="300"/>
        </w:trPr>
        <w:tc>
          <w:tcPr>
            <w:tcW w:w="368" w:type="pct"/>
            <w:vAlign w:val="center"/>
          </w:tcPr>
          <w:p w14:paraId="56705619" w14:textId="77777777" w:rsidR="00F322FE" w:rsidRPr="006C195E" w:rsidRDefault="00F322FE" w:rsidP="00AB5566">
            <w:pPr>
              <w:jc w:val="left"/>
              <w:rPr>
                <w:color w:val="000000"/>
                <w:sz w:val="22"/>
                <w:szCs w:val="22"/>
                <w:lang w:eastAsia="lv-LV"/>
              </w:rPr>
            </w:pPr>
            <w:r w:rsidRPr="006C195E">
              <w:rPr>
                <w:color w:val="000000"/>
                <w:sz w:val="22"/>
                <w:szCs w:val="22"/>
                <w:lang w:eastAsia="lv-LV"/>
              </w:rPr>
              <w:t>8.</w:t>
            </w:r>
          </w:p>
        </w:tc>
        <w:tc>
          <w:tcPr>
            <w:tcW w:w="592" w:type="pct"/>
            <w:shd w:val="clear" w:color="auto" w:fill="auto"/>
            <w:noWrap/>
            <w:vAlign w:val="bottom"/>
            <w:hideMark/>
          </w:tcPr>
          <w:p w14:paraId="2EA3F3FF" w14:textId="77777777" w:rsidR="00F322FE" w:rsidRPr="005F683F" w:rsidRDefault="00F322FE" w:rsidP="00DF33A5">
            <w:pPr>
              <w:jc w:val="left"/>
              <w:rPr>
                <w:color w:val="000000"/>
                <w:sz w:val="20"/>
                <w:lang w:eastAsia="lv-LV"/>
              </w:rPr>
            </w:pPr>
            <w:proofErr w:type="spellStart"/>
            <w:r w:rsidRPr="005F683F">
              <w:rPr>
                <w:color w:val="000000"/>
                <w:sz w:val="20"/>
                <w:lang w:eastAsia="lv-LV"/>
              </w:rPr>
              <w:t>LKuA</w:t>
            </w:r>
            <w:proofErr w:type="spellEnd"/>
          </w:p>
        </w:tc>
        <w:tc>
          <w:tcPr>
            <w:tcW w:w="664" w:type="pct"/>
            <w:shd w:val="clear" w:color="auto" w:fill="auto"/>
            <w:noWrap/>
            <w:vAlign w:val="bottom"/>
            <w:hideMark/>
          </w:tcPr>
          <w:p w14:paraId="62D43B3A" w14:textId="77777777" w:rsidR="00F322FE" w:rsidRPr="005653E8" w:rsidRDefault="00F322FE" w:rsidP="006C195E">
            <w:pPr>
              <w:jc w:val="center"/>
              <w:rPr>
                <w:sz w:val="22"/>
                <w:szCs w:val="22"/>
                <w:lang w:eastAsia="lv-LV"/>
              </w:rPr>
            </w:pPr>
            <w:r w:rsidRPr="005653E8">
              <w:rPr>
                <w:sz w:val="22"/>
                <w:szCs w:val="22"/>
                <w:lang w:eastAsia="lv-LV"/>
              </w:rPr>
              <w:t>0</w:t>
            </w:r>
          </w:p>
        </w:tc>
        <w:tc>
          <w:tcPr>
            <w:tcW w:w="885" w:type="pct"/>
            <w:shd w:val="clear" w:color="auto" w:fill="auto"/>
            <w:noWrap/>
            <w:vAlign w:val="bottom"/>
            <w:hideMark/>
          </w:tcPr>
          <w:p w14:paraId="02F105C1" w14:textId="77777777" w:rsidR="00F322FE" w:rsidRPr="005653E8" w:rsidRDefault="00F322FE" w:rsidP="006C195E">
            <w:pPr>
              <w:jc w:val="center"/>
              <w:rPr>
                <w:sz w:val="22"/>
                <w:szCs w:val="22"/>
                <w:lang w:eastAsia="lv-LV"/>
              </w:rPr>
            </w:pPr>
            <w:r w:rsidRPr="005653E8">
              <w:rPr>
                <w:sz w:val="22"/>
                <w:szCs w:val="22"/>
                <w:lang w:eastAsia="lv-LV"/>
              </w:rPr>
              <w:t>0</w:t>
            </w:r>
          </w:p>
        </w:tc>
        <w:tc>
          <w:tcPr>
            <w:tcW w:w="590" w:type="pct"/>
          </w:tcPr>
          <w:p w14:paraId="73765CE1"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1ED6248B" w14:textId="77777777" w:rsidR="00F322FE" w:rsidRPr="005653E8" w:rsidRDefault="00F322FE" w:rsidP="006C195E">
            <w:pPr>
              <w:jc w:val="center"/>
              <w:rPr>
                <w:sz w:val="22"/>
                <w:szCs w:val="22"/>
                <w:lang w:eastAsia="lv-LV"/>
              </w:rPr>
            </w:pPr>
            <w:r w:rsidRPr="005653E8">
              <w:rPr>
                <w:sz w:val="22"/>
                <w:szCs w:val="22"/>
                <w:lang w:eastAsia="lv-LV"/>
              </w:rPr>
              <w:t>3</w:t>
            </w:r>
          </w:p>
        </w:tc>
        <w:tc>
          <w:tcPr>
            <w:tcW w:w="519" w:type="pct"/>
            <w:shd w:val="clear" w:color="auto" w:fill="auto"/>
            <w:noWrap/>
            <w:vAlign w:val="bottom"/>
            <w:hideMark/>
          </w:tcPr>
          <w:p w14:paraId="1844BC32" w14:textId="77777777" w:rsidR="00F322FE" w:rsidRPr="005653E8" w:rsidRDefault="00F322FE" w:rsidP="006C195E">
            <w:pPr>
              <w:jc w:val="center"/>
              <w:rPr>
                <w:sz w:val="22"/>
                <w:szCs w:val="22"/>
                <w:lang w:eastAsia="lv-LV"/>
              </w:rPr>
            </w:pPr>
            <w:r w:rsidRPr="005653E8">
              <w:rPr>
                <w:sz w:val="22"/>
                <w:szCs w:val="22"/>
                <w:lang w:eastAsia="lv-LV"/>
              </w:rPr>
              <w:t>0</w:t>
            </w:r>
          </w:p>
        </w:tc>
        <w:tc>
          <w:tcPr>
            <w:tcW w:w="443" w:type="pct"/>
            <w:shd w:val="clear" w:color="auto" w:fill="auto"/>
            <w:noWrap/>
            <w:vAlign w:val="bottom"/>
            <w:hideMark/>
          </w:tcPr>
          <w:p w14:paraId="1FF47985" w14:textId="77777777" w:rsidR="00F322FE" w:rsidRPr="005653E8" w:rsidRDefault="00F322FE" w:rsidP="006C195E">
            <w:pPr>
              <w:jc w:val="center"/>
              <w:rPr>
                <w:sz w:val="22"/>
                <w:szCs w:val="22"/>
                <w:lang w:eastAsia="lv-LV"/>
              </w:rPr>
            </w:pPr>
            <w:r w:rsidRPr="005653E8">
              <w:rPr>
                <w:sz w:val="22"/>
                <w:szCs w:val="22"/>
                <w:lang w:eastAsia="lv-LV"/>
              </w:rPr>
              <w:t>0</w:t>
            </w:r>
          </w:p>
        </w:tc>
        <w:tc>
          <w:tcPr>
            <w:tcW w:w="423" w:type="pct"/>
            <w:shd w:val="clear" w:color="auto" w:fill="auto"/>
            <w:noWrap/>
            <w:vAlign w:val="bottom"/>
            <w:hideMark/>
          </w:tcPr>
          <w:p w14:paraId="00E6B55E"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3</w:t>
            </w:r>
          </w:p>
        </w:tc>
      </w:tr>
      <w:tr w:rsidR="005F683F" w:rsidRPr="00DF33A5" w14:paraId="41E99D76" w14:textId="77777777" w:rsidTr="00DD6363">
        <w:trPr>
          <w:trHeight w:val="300"/>
        </w:trPr>
        <w:tc>
          <w:tcPr>
            <w:tcW w:w="368" w:type="pct"/>
            <w:vAlign w:val="center"/>
          </w:tcPr>
          <w:p w14:paraId="00E294A8" w14:textId="77777777" w:rsidR="00F322FE" w:rsidRPr="006C195E" w:rsidRDefault="00F322FE" w:rsidP="00AB5566">
            <w:pPr>
              <w:jc w:val="left"/>
              <w:rPr>
                <w:color w:val="000000"/>
                <w:sz w:val="22"/>
                <w:szCs w:val="22"/>
                <w:lang w:eastAsia="lv-LV"/>
              </w:rPr>
            </w:pPr>
            <w:r w:rsidRPr="006C195E">
              <w:rPr>
                <w:color w:val="000000"/>
                <w:sz w:val="22"/>
                <w:szCs w:val="22"/>
                <w:lang w:eastAsia="lv-LV"/>
              </w:rPr>
              <w:t>9.</w:t>
            </w:r>
          </w:p>
        </w:tc>
        <w:tc>
          <w:tcPr>
            <w:tcW w:w="592" w:type="pct"/>
            <w:shd w:val="clear" w:color="auto" w:fill="auto"/>
            <w:noWrap/>
            <w:vAlign w:val="bottom"/>
            <w:hideMark/>
          </w:tcPr>
          <w:p w14:paraId="0F6DA3CC" w14:textId="77777777" w:rsidR="00F322FE" w:rsidRPr="005F683F" w:rsidRDefault="00F322FE" w:rsidP="00DF33A5">
            <w:pPr>
              <w:jc w:val="left"/>
              <w:rPr>
                <w:color w:val="000000"/>
                <w:sz w:val="20"/>
                <w:lang w:eastAsia="lv-LV"/>
              </w:rPr>
            </w:pPr>
            <w:r w:rsidRPr="005F683F">
              <w:rPr>
                <w:color w:val="000000"/>
                <w:sz w:val="20"/>
                <w:lang w:eastAsia="lv-LV"/>
              </w:rPr>
              <w:t>LJA</w:t>
            </w:r>
          </w:p>
        </w:tc>
        <w:tc>
          <w:tcPr>
            <w:tcW w:w="664" w:type="pct"/>
            <w:shd w:val="clear" w:color="auto" w:fill="auto"/>
            <w:noWrap/>
            <w:vAlign w:val="bottom"/>
            <w:hideMark/>
          </w:tcPr>
          <w:p w14:paraId="7C319220" w14:textId="77777777" w:rsidR="00F322FE" w:rsidRPr="005653E8" w:rsidRDefault="00F322FE" w:rsidP="006C195E">
            <w:pPr>
              <w:jc w:val="center"/>
              <w:rPr>
                <w:sz w:val="22"/>
                <w:szCs w:val="22"/>
                <w:lang w:eastAsia="lv-LV"/>
              </w:rPr>
            </w:pPr>
            <w:r w:rsidRPr="005653E8">
              <w:rPr>
                <w:sz w:val="22"/>
                <w:szCs w:val="22"/>
                <w:lang w:eastAsia="lv-LV"/>
              </w:rPr>
              <w:t>0</w:t>
            </w:r>
          </w:p>
        </w:tc>
        <w:tc>
          <w:tcPr>
            <w:tcW w:w="885" w:type="pct"/>
            <w:shd w:val="clear" w:color="auto" w:fill="auto"/>
            <w:noWrap/>
            <w:vAlign w:val="bottom"/>
            <w:hideMark/>
          </w:tcPr>
          <w:p w14:paraId="14BFCE7D" w14:textId="77777777" w:rsidR="00F322FE" w:rsidRPr="005653E8" w:rsidRDefault="00F322FE" w:rsidP="006C195E">
            <w:pPr>
              <w:jc w:val="center"/>
              <w:rPr>
                <w:sz w:val="22"/>
                <w:szCs w:val="22"/>
                <w:lang w:eastAsia="lv-LV"/>
              </w:rPr>
            </w:pPr>
            <w:r w:rsidRPr="005653E8">
              <w:rPr>
                <w:sz w:val="22"/>
                <w:szCs w:val="22"/>
                <w:lang w:eastAsia="lv-LV"/>
              </w:rPr>
              <w:t>8</w:t>
            </w:r>
          </w:p>
        </w:tc>
        <w:tc>
          <w:tcPr>
            <w:tcW w:w="590" w:type="pct"/>
          </w:tcPr>
          <w:p w14:paraId="1D614470"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378B4AEA" w14:textId="77777777" w:rsidR="00F322FE" w:rsidRPr="005653E8" w:rsidRDefault="00F322FE" w:rsidP="006C195E">
            <w:pPr>
              <w:jc w:val="center"/>
              <w:rPr>
                <w:sz w:val="22"/>
                <w:szCs w:val="22"/>
                <w:lang w:eastAsia="lv-LV"/>
              </w:rPr>
            </w:pPr>
            <w:r w:rsidRPr="005653E8">
              <w:rPr>
                <w:sz w:val="22"/>
                <w:szCs w:val="22"/>
                <w:lang w:eastAsia="lv-LV"/>
              </w:rPr>
              <w:t>0</w:t>
            </w:r>
          </w:p>
        </w:tc>
        <w:tc>
          <w:tcPr>
            <w:tcW w:w="519" w:type="pct"/>
            <w:shd w:val="clear" w:color="auto" w:fill="auto"/>
            <w:noWrap/>
            <w:vAlign w:val="bottom"/>
            <w:hideMark/>
          </w:tcPr>
          <w:p w14:paraId="75C5BEC2" w14:textId="77777777" w:rsidR="00F322FE" w:rsidRPr="005653E8" w:rsidRDefault="00F322FE" w:rsidP="006C195E">
            <w:pPr>
              <w:jc w:val="center"/>
              <w:rPr>
                <w:sz w:val="22"/>
                <w:szCs w:val="22"/>
                <w:lang w:eastAsia="lv-LV"/>
              </w:rPr>
            </w:pPr>
            <w:r w:rsidRPr="005653E8">
              <w:rPr>
                <w:sz w:val="22"/>
                <w:szCs w:val="22"/>
                <w:lang w:eastAsia="lv-LV"/>
              </w:rPr>
              <w:t>0</w:t>
            </w:r>
          </w:p>
        </w:tc>
        <w:tc>
          <w:tcPr>
            <w:tcW w:w="443" w:type="pct"/>
            <w:shd w:val="clear" w:color="auto" w:fill="auto"/>
            <w:noWrap/>
            <w:vAlign w:val="bottom"/>
            <w:hideMark/>
          </w:tcPr>
          <w:p w14:paraId="3E340AD1" w14:textId="77777777" w:rsidR="00F322FE" w:rsidRPr="005653E8" w:rsidRDefault="00F322FE" w:rsidP="006C195E">
            <w:pPr>
              <w:jc w:val="center"/>
              <w:rPr>
                <w:sz w:val="22"/>
                <w:szCs w:val="22"/>
                <w:lang w:eastAsia="lv-LV"/>
              </w:rPr>
            </w:pPr>
            <w:r w:rsidRPr="005653E8">
              <w:rPr>
                <w:sz w:val="22"/>
                <w:szCs w:val="22"/>
                <w:lang w:eastAsia="lv-LV"/>
              </w:rPr>
              <w:t>0</w:t>
            </w:r>
          </w:p>
        </w:tc>
        <w:tc>
          <w:tcPr>
            <w:tcW w:w="423" w:type="pct"/>
            <w:shd w:val="clear" w:color="auto" w:fill="auto"/>
            <w:noWrap/>
            <w:vAlign w:val="bottom"/>
            <w:hideMark/>
          </w:tcPr>
          <w:p w14:paraId="6D8FD4F5" w14:textId="77777777" w:rsidR="00F322FE" w:rsidRPr="006C195E" w:rsidRDefault="00F322FE" w:rsidP="006C195E">
            <w:pPr>
              <w:jc w:val="center"/>
              <w:rPr>
                <w:b/>
                <w:color w:val="000000"/>
                <w:sz w:val="22"/>
                <w:szCs w:val="22"/>
                <w:lang w:eastAsia="lv-LV"/>
              </w:rPr>
            </w:pPr>
            <w:r>
              <w:rPr>
                <w:b/>
                <w:color w:val="000000"/>
                <w:sz w:val="22"/>
                <w:szCs w:val="22"/>
                <w:lang w:eastAsia="lv-LV"/>
              </w:rPr>
              <w:t>8</w:t>
            </w:r>
          </w:p>
        </w:tc>
      </w:tr>
      <w:tr w:rsidR="005F683F" w:rsidRPr="00DF33A5" w14:paraId="0833F086" w14:textId="77777777" w:rsidTr="00DD6363">
        <w:trPr>
          <w:trHeight w:val="300"/>
        </w:trPr>
        <w:tc>
          <w:tcPr>
            <w:tcW w:w="368" w:type="pct"/>
            <w:vAlign w:val="center"/>
          </w:tcPr>
          <w:p w14:paraId="3A4A856B" w14:textId="77777777" w:rsidR="00F322FE" w:rsidRPr="006C195E" w:rsidRDefault="00F322FE" w:rsidP="00AB5566">
            <w:pPr>
              <w:jc w:val="left"/>
              <w:rPr>
                <w:color w:val="000000"/>
                <w:sz w:val="22"/>
                <w:szCs w:val="22"/>
                <w:lang w:eastAsia="lv-LV"/>
              </w:rPr>
            </w:pPr>
            <w:r w:rsidRPr="006C195E">
              <w:rPr>
                <w:color w:val="000000"/>
                <w:sz w:val="22"/>
                <w:szCs w:val="22"/>
                <w:lang w:eastAsia="lv-LV"/>
              </w:rPr>
              <w:t>10.</w:t>
            </w:r>
          </w:p>
        </w:tc>
        <w:tc>
          <w:tcPr>
            <w:tcW w:w="592" w:type="pct"/>
            <w:shd w:val="clear" w:color="auto" w:fill="auto"/>
            <w:noWrap/>
            <w:vAlign w:val="bottom"/>
            <w:hideMark/>
          </w:tcPr>
          <w:p w14:paraId="57ED33A2" w14:textId="77777777" w:rsidR="00F322FE" w:rsidRPr="005F683F" w:rsidRDefault="00F322FE" w:rsidP="00DF33A5">
            <w:pPr>
              <w:jc w:val="left"/>
              <w:rPr>
                <w:color w:val="000000"/>
                <w:sz w:val="20"/>
                <w:lang w:eastAsia="lv-LV"/>
              </w:rPr>
            </w:pPr>
            <w:r w:rsidRPr="005F683F">
              <w:rPr>
                <w:color w:val="000000"/>
                <w:sz w:val="20"/>
                <w:lang w:eastAsia="lv-LV"/>
              </w:rPr>
              <w:t>RTA</w:t>
            </w:r>
          </w:p>
        </w:tc>
        <w:tc>
          <w:tcPr>
            <w:tcW w:w="664" w:type="pct"/>
            <w:shd w:val="clear" w:color="auto" w:fill="auto"/>
            <w:noWrap/>
            <w:vAlign w:val="bottom"/>
            <w:hideMark/>
          </w:tcPr>
          <w:p w14:paraId="41E2BEEB" w14:textId="77777777" w:rsidR="00F322FE" w:rsidRPr="005653E8" w:rsidRDefault="00F322FE" w:rsidP="006C195E">
            <w:pPr>
              <w:jc w:val="center"/>
              <w:rPr>
                <w:sz w:val="22"/>
                <w:szCs w:val="22"/>
                <w:lang w:eastAsia="lv-LV"/>
              </w:rPr>
            </w:pPr>
            <w:r w:rsidRPr="005653E8">
              <w:rPr>
                <w:sz w:val="22"/>
                <w:szCs w:val="22"/>
                <w:lang w:eastAsia="lv-LV"/>
              </w:rPr>
              <w:t>5</w:t>
            </w:r>
          </w:p>
        </w:tc>
        <w:tc>
          <w:tcPr>
            <w:tcW w:w="885" w:type="pct"/>
            <w:shd w:val="clear" w:color="auto" w:fill="auto"/>
            <w:noWrap/>
            <w:vAlign w:val="bottom"/>
            <w:hideMark/>
          </w:tcPr>
          <w:p w14:paraId="32C31AE2" w14:textId="77777777" w:rsidR="00F322FE" w:rsidRPr="005653E8" w:rsidRDefault="00F322FE" w:rsidP="006C195E">
            <w:pPr>
              <w:jc w:val="center"/>
              <w:rPr>
                <w:sz w:val="22"/>
                <w:szCs w:val="22"/>
                <w:lang w:eastAsia="lv-LV"/>
              </w:rPr>
            </w:pPr>
            <w:r w:rsidRPr="005653E8">
              <w:rPr>
                <w:sz w:val="22"/>
                <w:szCs w:val="22"/>
                <w:lang w:eastAsia="lv-LV"/>
              </w:rPr>
              <w:t>7</w:t>
            </w:r>
          </w:p>
        </w:tc>
        <w:tc>
          <w:tcPr>
            <w:tcW w:w="590" w:type="pct"/>
          </w:tcPr>
          <w:p w14:paraId="01EB1DF5"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33E8E8EA" w14:textId="77777777" w:rsidR="00F322FE" w:rsidRPr="005653E8" w:rsidRDefault="00F322FE" w:rsidP="006C195E">
            <w:pPr>
              <w:jc w:val="center"/>
              <w:rPr>
                <w:sz w:val="22"/>
                <w:szCs w:val="22"/>
                <w:lang w:eastAsia="lv-LV"/>
              </w:rPr>
            </w:pPr>
            <w:r w:rsidRPr="005653E8">
              <w:rPr>
                <w:sz w:val="22"/>
                <w:szCs w:val="22"/>
                <w:lang w:eastAsia="lv-LV"/>
              </w:rPr>
              <w:t>3</w:t>
            </w:r>
          </w:p>
        </w:tc>
        <w:tc>
          <w:tcPr>
            <w:tcW w:w="519" w:type="pct"/>
            <w:shd w:val="clear" w:color="auto" w:fill="auto"/>
            <w:noWrap/>
            <w:vAlign w:val="bottom"/>
            <w:hideMark/>
          </w:tcPr>
          <w:p w14:paraId="093C3999" w14:textId="77777777" w:rsidR="00F322FE" w:rsidRPr="005653E8" w:rsidRDefault="00F322FE" w:rsidP="006C195E">
            <w:pPr>
              <w:jc w:val="center"/>
              <w:rPr>
                <w:sz w:val="22"/>
                <w:szCs w:val="22"/>
                <w:lang w:eastAsia="lv-LV"/>
              </w:rPr>
            </w:pPr>
            <w:r w:rsidRPr="005653E8">
              <w:rPr>
                <w:sz w:val="22"/>
                <w:szCs w:val="22"/>
                <w:lang w:eastAsia="lv-LV"/>
              </w:rPr>
              <w:t>0</w:t>
            </w:r>
          </w:p>
        </w:tc>
        <w:tc>
          <w:tcPr>
            <w:tcW w:w="443" w:type="pct"/>
            <w:shd w:val="clear" w:color="auto" w:fill="auto"/>
            <w:noWrap/>
            <w:vAlign w:val="bottom"/>
            <w:hideMark/>
          </w:tcPr>
          <w:p w14:paraId="667A4BDE" w14:textId="77777777" w:rsidR="00F322FE" w:rsidRPr="005653E8" w:rsidRDefault="00F322FE" w:rsidP="006C195E">
            <w:pPr>
              <w:jc w:val="center"/>
              <w:rPr>
                <w:sz w:val="22"/>
                <w:szCs w:val="22"/>
                <w:lang w:eastAsia="lv-LV"/>
              </w:rPr>
            </w:pPr>
            <w:r w:rsidRPr="005653E8">
              <w:rPr>
                <w:sz w:val="22"/>
                <w:szCs w:val="22"/>
                <w:lang w:eastAsia="lv-LV"/>
              </w:rPr>
              <w:t>0</w:t>
            </w:r>
          </w:p>
        </w:tc>
        <w:tc>
          <w:tcPr>
            <w:tcW w:w="423" w:type="pct"/>
            <w:shd w:val="clear" w:color="auto" w:fill="auto"/>
            <w:noWrap/>
            <w:vAlign w:val="bottom"/>
            <w:hideMark/>
          </w:tcPr>
          <w:p w14:paraId="7CBD60B5"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15</w:t>
            </w:r>
          </w:p>
        </w:tc>
      </w:tr>
      <w:tr w:rsidR="005F683F" w:rsidRPr="00DF33A5" w14:paraId="4AEF0289" w14:textId="77777777" w:rsidTr="00DD6363">
        <w:trPr>
          <w:trHeight w:val="300"/>
        </w:trPr>
        <w:tc>
          <w:tcPr>
            <w:tcW w:w="368" w:type="pct"/>
            <w:vAlign w:val="center"/>
          </w:tcPr>
          <w:p w14:paraId="4B9F0664" w14:textId="77777777" w:rsidR="00F322FE" w:rsidRPr="006C195E" w:rsidRDefault="00F322FE" w:rsidP="00AB5566">
            <w:pPr>
              <w:jc w:val="left"/>
              <w:rPr>
                <w:color w:val="000000"/>
                <w:sz w:val="22"/>
                <w:szCs w:val="22"/>
                <w:lang w:eastAsia="lv-LV"/>
              </w:rPr>
            </w:pPr>
            <w:r w:rsidRPr="006C195E">
              <w:rPr>
                <w:color w:val="000000"/>
                <w:sz w:val="22"/>
                <w:szCs w:val="22"/>
                <w:lang w:eastAsia="lv-LV"/>
              </w:rPr>
              <w:t>11.</w:t>
            </w:r>
          </w:p>
        </w:tc>
        <w:tc>
          <w:tcPr>
            <w:tcW w:w="592" w:type="pct"/>
            <w:shd w:val="clear" w:color="auto" w:fill="auto"/>
            <w:noWrap/>
            <w:vAlign w:val="bottom"/>
            <w:hideMark/>
          </w:tcPr>
          <w:p w14:paraId="2EC50FA2" w14:textId="77777777" w:rsidR="00F322FE" w:rsidRPr="005F683F" w:rsidRDefault="00F322FE" w:rsidP="00DF33A5">
            <w:pPr>
              <w:jc w:val="left"/>
              <w:rPr>
                <w:color w:val="000000"/>
                <w:sz w:val="20"/>
                <w:lang w:eastAsia="lv-LV"/>
              </w:rPr>
            </w:pPr>
            <w:proofErr w:type="spellStart"/>
            <w:r w:rsidRPr="005F683F">
              <w:rPr>
                <w:color w:val="000000"/>
                <w:sz w:val="20"/>
                <w:lang w:eastAsia="lv-LV"/>
              </w:rPr>
              <w:t>VeA</w:t>
            </w:r>
            <w:proofErr w:type="spellEnd"/>
          </w:p>
        </w:tc>
        <w:tc>
          <w:tcPr>
            <w:tcW w:w="664" w:type="pct"/>
            <w:shd w:val="clear" w:color="auto" w:fill="auto"/>
            <w:noWrap/>
            <w:vAlign w:val="bottom"/>
            <w:hideMark/>
          </w:tcPr>
          <w:p w14:paraId="58F58381" w14:textId="77777777" w:rsidR="00F322FE" w:rsidRPr="005653E8" w:rsidRDefault="00F322FE" w:rsidP="006C195E">
            <w:pPr>
              <w:jc w:val="center"/>
              <w:rPr>
                <w:sz w:val="22"/>
                <w:szCs w:val="22"/>
                <w:lang w:eastAsia="lv-LV"/>
              </w:rPr>
            </w:pPr>
            <w:r w:rsidRPr="005653E8">
              <w:rPr>
                <w:sz w:val="22"/>
                <w:szCs w:val="22"/>
                <w:lang w:eastAsia="lv-LV"/>
              </w:rPr>
              <w:t>2</w:t>
            </w:r>
          </w:p>
        </w:tc>
        <w:tc>
          <w:tcPr>
            <w:tcW w:w="885" w:type="pct"/>
            <w:shd w:val="clear" w:color="auto" w:fill="auto"/>
            <w:noWrap/>
            <w:vAlign w:val="bottom"/>
            <w:hideMark/>
          </w:tcPr>
          <w:p w14:paraId="5DC2DAE8" w14:textId="77777777" w:rsidR="00F322FE" w:rsidRPr="005653E8" w:rsidRDefault="00F322FE" w:rsidP="006C195E">
            <w:pPr>
              <w:jc w:val="center"/>
              <w:rPr>
                <w:sz w:val="22"/>
                <w:szCs w:val="22"/>
                <w:lang w:eastAsia="lv-LV"/>
              </w:rPr>
            </w:pPr>
            <w:r w:rsidRPr="005653E8">
              <w:rPr>
                <w:sz w:val="22"/>
                <w:szCs w:val="22"/>
                <w:lang w:eastAsia="lv-LV"/>
              </w:rPr>
              <w:t>2</w:t>
            </w:r>
          </w:p>
        </w:tc>
        <w:tc>
          <w:tcPr>
            <w:tcW w:w="590" w:type="pct"/>
          </w:tcPr>
          <w:p w14:paraId="1754D777"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2CDABA43" w14:textId="77777777" w:rsidR="00F322FE" w:rsidRPr="005653E8" w:rsidRDefault="00F322FE" w:rsidP="006C195E">
            <w:pPr>
              <w:jc w:val="center"/>
              <w:rPr>
                <w:sz w:val="22"/>
                <w:szCs w:val="22"/>
                <w:lang w:eastAsia="lv-LV"/>
              </w:rPr>
            </w:pPr>
            <w:r w:rsidRPr="005653E8">
              <w:rPr>
                <w:sz w:val="22"/>
                <w:szCs w:val="22"/>
                <w:lang w:eastAsia="lv-LV"/>
              </w:rPr>
              <w:t>0</w:t>
            </w:r>
          </w:p>
        </w:tc>
        <w:tc>
          <w:tcPr>
            <w:tcW w:w="519" w:type="pct"/>
            <w:shd w:val="clear" w:color="auto" w:fill="auto"/>
            <w:noWrap/>
            <w:vAlign w:val="bottom"/>
            <w:hideMark/>
          </w:tcPr>
          <w:p w14:paraId="5E28617F" w14:textId="77777777" w:rsidR="00F322FE" w:rsidRPr="005653E8" w:rsidRDefault="00F322FE" w:rsidP="006C195E">
            <w:pPr>
              <w:jc w:val="center"/>
              <w:rPr>
                <w:sz w:val="22"/>
                <w:szCs w:val="22"/>
                <w:lang w:eastAsia="lv-LV"/>
              </w:rPr>
            </w:pPr>
            <w:r w:rsidRPr="005653E8">
              <w:rPr>
                <w:sz w:val="22"/>
                <w:szCs w:val="22"/>
                <w:lang w:eastAsia="lv-LV"/>
              </w:rPr>
              <w:t>0</w:t>
            </w:r>
          </w:p>
        </w:tc>
        <w:tc>
          <w:tcPr>
            <w:tcW w:w="443" w:type="pct"/>
            <w:shd w:val="clear" w:color="auto" w:fill="auto"/>
            <w:noWrap/>
            <w:vAlign w:val="bottom"/>
            <w:hideMark/>
          </w:tcPr>
          <w:p w14:paraId="4E313814" w14:textId="77777777" w:rsidR="00F322FE" w:rsidRPr="005653E8" w:rsidRDefault="00F322FE" w:rsidP="006C195E">
            <w:pPr>
              <w:jc w:val="center"/>
              <w:rPr>
                <w:sz w:val="22"/>
                <w:szCs w:val="22"/>
                <w:lang w:eastAsia="lv-LV"/>
              </w:rPr>
            </w:pPr>
            <w:r w:rsidRPr="005653E8">
              <w:rPr>
                <w:sz w:val="22"/>
                <w:szCs w:val="22"/>
                <w:lang w:eastAsia="lv-LV"/>
              </w:rPr>
              <w:t>0</w:t>
            </w:r>
          </w:p>
        </w:tc>
        <w:tc>
          <w:tcPr>
            <w:tcW w:w="423" w:type="pct"/>
            <w:shd w:val="clear" w:color="auto" w:fill="auto"/>
            <w:noWrap/>
            <w:vAlign w:val="bottom"/>
            <w:hideMark/>
          </w:tcPr>
          <w:p w14:paraId="5141232B"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4</w:t>
            </w:r>
          </w:p>
        </w:tc>
      </w:tr>
      <w:tr w:rsidR="005F683F" w:rsidRPr="00DF33A5" w14:paraId="5D8B1221" w14:textId="77777777" w:rsidTr="00DD6363">
        <w:trPr>
          <w:trHeight w:val="300"/>
        </w:trPr>
        <w:tc>
          <w:tcPr>
            <w:tcW w:w="368" w:type="pct"/>
            <w:vAlign w:val="center"/>
          </w:tcPr>
          <w:p w14:paraId="4E411A69" w14:textId="77777777" w:rsidR="00F322FE" w:rsidRPr="006C195E" w:rsidRDefault="00F322FE" w:rsidP="00AB5566">
            <w:pPr>
              <w:jc w:val="left"/>
              <w:rPr>
                <w:color w:val="000000"/>
                <w:sz w:val="22"/>
                <w:szCs w:val="22"/>
                <w:lang w:eastAsia="lv-LV"/>
              </w:rPr>
            </w:pPr>
            <w:r w:rsidRPr="006C195E">
              <w:rPr>
                <w:color w:val="000000"/>
                <w:sz w:val="22"/>
                <w:szCs w:val="22"/>
                <w:lang w:eastAsia="lv-LV"/>
              </w:rPr>
              <w:t>12.</w:t>
            </w:r>
          </w:p>
        </w:tc>
        <w:tc>
          <w:tcPr>
            <w:tcW w:w="592" w:type="pct"/>
            <w:shd w:val="clear" w:color="auto" w:fill="auto"/>
            <w:noWrap/>
            <w:vAlign w:val="bottom"/>
            <w:hideMark/>
          </w:tcPr>
          <w:p w14:paraId="329F036A" w14:textId="77777777" w:rsidR="00F322FE" w:rsidRPr="005F683F" w:rsidRDefault="00F322FE" w:rsidP="00DF33A5">
            <w:pPr>
              <w:jc w:val="left"/>
              <w:rPr>
                <w:color w:val="000000"/>
                <w:sz w:val="20"/>
                <w:lang w:eastAsia="lv-LV"/>
              </w:rPr>
            </w:pPr>
            <w:proofErr w:type="spellStart"/>
            <w:r w:rsidRPr="005F683F">
              <w:rPr>
                <w:color w:val="000000"/>
                <w:sz w:val="20"/>
                <w:lang w:eastAsia="lv-LV"/>
              </w:rPr>
              <w:t>ViA</w:t>
            </w:r>
            <w:proofErr w:type="spellEnd"/>
          </w:p>
        </w:tc>
        <w:tc>
          <w:tcPr>
            <w:tcW w:w="664" w:type="pct"/>
            <w:shd w:val="clear" w:color="auto" w:fill="auto"/>
            <w:noWrap/>
            <w:vAlign w:val="bottom"/>
            <w:hideMark/>
          </w:tcPr>
          <w:p w14:paraId="1952C81C" w14:textId="77777777" w:rsidR="00F322FE" w:rsidRPr="005653E8" w:rsidRDefault="00F322FE" w:rsidP="006C195E">
            <w:pPr>
              <w:jc w:val="center"/>
              <w:rPr>
                <w:sz w:val="22"/>
                <w:szCs w:val="22"/>
                <w:lang w:eastAsia="lv-LV"/>
              </w:rPr>
            </w:pPr>
            <w:r w:rsidRPr="005653E8">
              <w:rPr>
                <w:sz w:val="22"/>
                <w:szCs w:val="22"/>
                <w:lang w:eastAsia="lv-LV"/>
              </w:rPr>
              <w:t>4</w:t>
            </w:r>
          </w:p>
        </w:tc>
        <w:tc>
          <w:tcPr>
            <w:tcW w:w="885" w:type="pct"/>
            <w:shd w:val="clear" w:color="auto" w:fill="auto"/>
            <w:noWrap/>
            <w:vAlign w:val="bottom"/>
            <w:hideMark/>
          </w:tcPr>
          <w:p w14:paraId="17D3A268" w14:textId="77777777" w:rsidR="00F322FE" w:rsidRPr="005653E8" w:rsidRDefault="00F322FE" w:rsidP="006C195E">
            <w:pPr>
              <w:jc w:val="center"/>
              <w:rPr>
                <w:sz w:val="22"/>
                <w:szCs w:val="22"/>
                <w:lang w:eastAsia="lv-LV"/>
              </w:rPr>
            </w:pPr>
            <w:r w:rsidRPr="005653E8">
              <w:rPr>
                <w:sz w:val="22"/>
                <w:szCs w:val="22"/>
                <w:lang w:eastAsia="lv-LV"/>
              </w:rPr>
              <w:t>2</w:t>
            </w:r>
          </w:p>
        </w:tc>
        <w:tc>
          <w:tcPr>
            <w:tcW w:w="590" w:type="pct"/>
          </w:tcPr>
          <w:p w14:paraId="2D0A2728"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798CE5EC" w14:textId="77777777" w:rsidR="00F322FE" w:rsidRPr="005653E8" w:rsidRDefault="00F322FE" w:rsidP="006C195E">
            <w:pPr>
              <w:jc w:val="center"/>
              <w:rPr>
                <w:sz w:val="22"/>
                <w:szCs w:val="22"/>
                <w:lang w:eastAsia="lv-LV"/>
              </w:rPr>
            </w:pPr>
            <w:r w:rsidRPr="005653E8">
              <w:rPr>
                <w:sz w:val="22"/>
                <w:szCs w:val="22"/>
                <w:lang w:eastAsia="lv-LV"/>
              </w:rPr>
              <w:t>0</w:t>
            </w:r>
          </w:p>
        </w:tc>
        <w:tc>
          <w:tcPr>
            <w:tcW w:w="519" w:type="pct"/>
            <w:shd w:val="clear" w:color="auto" w:fill="auto"/>
            <w:noWrap/>
            <w:vAlign w:val="bottom"/>
            <w:hideMark/>
          </w:tcPr>
          <w:p w14:paraId="2D5D7803" w14:textId="77777777" w:rsidR="00F322FE" w:rsidRPr="005653E8" w:rsidRDefault="00F322FE" w:rsidP="006C195E">
            <w:pPr>
              <w:jc w:val="center"/>
              <w:rPr>
                <w:sz w:val="22"/>
                <w:szCs w:val="22"/>
                <w:lang w:eastAsia="lv-LV"/>
              </w:rPr>
            </w:pPr>
            <w:r w:rsidRPr="005653E8">
              <w:rPr>
                <w:sz w:val="22"/>
                <w:szCs w:val="22"/>
                <w:lang w:eastAsia="lv-LV"/>
              </w:rPr>
              <w:t>0</w:t>
            </w:r>
          </w:p>
        </w:tc>
        <w:tc>
          <w:tcPr>
            <w:tcW w:w="443" w:type="pct"/>
            <w:shd w:val="clear" w:color="auto" w:fill="auto"/>
            <w:noWrap/>
            <w:vAlign w:val="bottom"/>
            <w:hideMark/>
          </w:tcPr>
          <w:p w14:paraId="75D1C681" w14:textId="77777777" w:rsidR="00F322FE" w:rsidRPr="005653E8" w:rsidRDefault="00F322FE" w:rsidP="006C195E">
            <w:pPr>
              <w:jc w:val="center"/>
              <w:rPr>
                <w:sz w:val="22"/>
                <w:szCs w:val="22"/>
                <w:lang w:eastAsia="lv-LV"/>
              </w:rPr>
            </w:pPr>
            <w:r w:rsidRPr="005653E8">
              <w:rPr>
                <w:sz w:val="22"/>
                <w:szCs w:val="22"/>
                <w:lang w:eastAsia="lv-LV"/>
              </w:rPr>
              <w:t>0</w:t>
            </w:r>
          </w:p>
        </w:tc>
        <w:tc>
          <w:tcPr>
            <w:tcW w:w="423" w:type="pct"/>
            <w:shd w:val="clear" w:color="auto" w:fill="auto"/>
            <w:noWrap/>
            <w:vAlign w:val="bottom"/>
            <w:hideMark/>
          </w:tcPr>
          <w:p w14:paraId="0BB944A5"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6</w:t>
            </w:r>
          </w:p>
        </w:tc>
      </w:tr>
      <w:tr w:rsidR="005F683F" w:rsidRPr="00DF33A5" w14:paraId="630C8357" w14:textId="77777777" w:rsidTr="00DD6363">
        <w:trPr>
          <w:trHeight w:val="300"/>
        </w:trPr>
        <w:tc>
          <w:tcPr>
            <w:tcW w:w="368" w:type="pct"/>
            <w:vAlign w:val="center"/>
          </w:tcPr>
          <w:p w14:paraId="3B4371ED" w14:textId="77777777" w:rsidR="00F322FE" w:rsidRPr="006C195E" w:rsidRDefault="00F322FE" w:rsidP="00AB5566">
            <w:pPr>
              <w:jc w:val="left"/>
              <w:rPr>
                <w:color w:val="000000"/>
                <w:sz w:val="22"/>
                <w:szCs w:val="22"/>
                <w:lang w:eastAsia="lv-LV"/>
              </w:rPr>
            </w:pPr>
            <w:r w:rsidRPr="006C195E">
              <w:rPr>
                <w:color w:val="000000"/>
                <w:sz w:val="22"/>
                <w:szCs w:val="22"/>
                <w:lang w:eastAsia="lv-LV"/>
              </w:rPr>
              <w:t>13.</w:t>
            </w:r>
          </w:p>
        </w:tc>
        <w:tc>
          <w:tcPr>
            <w:tcW w:w="592" w:type="pct"/>
            <w:shd w:val="clear" w:color="auto" w:fill="auto"/>
            <w:noWrap/>
            <w:vAlign w:val="bottom"/>
            <w:hideMark/>
          </w:tcPr>
          <w:p w14:paraId="25766731" w14:textId="77777777" w:rsidR="00F322FE" w:rsidRPr="005F683F" w:rsidRDefault="00F322FE" w:rsidP="00DF33A5">
            <w:pPr>
              <w:jc w:val="left"/>
              <w:rPr>
                <w:color w:val="000000"/>
                <w:sz w:val="20"/>
                <w:lang w:eastAsia="lv-LV"/>
              </w:rPr>
            </w:pPr>
            <w:proofErr w:type="spellStart"/>
            <w:r w:rsidRPr="005F683F">
              <w:rPr>
                <w:color w:val="000000"/>
                <w:sz w:val="20"/>
                <w:lang w:eastAsia="lv-LV"/>
              </w:rPr>
              <w:t>LMāA</w:t>
            </w:r>
            <w:proofErr w:type="spellEnd"/>
          </w:p>
        </w:tc>
        <w:tc>
          <w:tcPr>
            <w:tcW w:w="664" w:type="pct"/>
            <w:shd w:val="clear" w:color="auto" w:fill="auto"/>
            <w:noWrap/>
            <w:vAlign w:val="bottom"/>
            <w:hideMark/>
          </w:tcPr>
          <w:p w14:paraId="4A619153" w14:textId="77777777" w:rsidR="00F322FE" w:rsidRPr="005653E8" w:rsidRDefault="00F322FE" w:rsidP="006C195E">
            <w:pPr>
              <w:jc w:val="center"/>
              <w:rPr>
                <w:sz w:val="22"/>
                <w:szCs w:val="22"/>
                <w:lang w:eastAsia="lv-LV"/>
              </w:rPr>
            </w:pPr>
            <w:r w:rsidRPr="005653E8">
              <w:rPr>
                <w:sz w:val="22"/>
                <w:szCs w:val="22"/>
                <w:lang w:eastAsia="lv-LV"/>
              </w:rPr>
              <w:t>0</w:t>
            </w:r>
          </w:p>
        </w:tc>
        <w:tc>
          <w:tcPr>
            <w:tcW w:w="885" w:type="pct"/>
            <w:shd w:val="clear" w:color="auto" w:fill="auto"/>
            <w:noWrap/>
            <w:vAlign w:val="bottom"/>
            <w:hideMark/>
          </w:tcPr>
          <w:p w14:paraId="1C1104C8" w14:textId="77777777" w:rsidR="00F322FE" w:rsidRPr="005653E8" w:rsidRDefault="00F322FE" w:rsidP="006C195E">
            <w:pPr>
              <w:jc w:val="center"/>
              <w:rPr>
                <w:sz w:val="22"/>
                <w:szCs w:val="22"/>
                <w:lang w:eastAsia="lv-LV"/>
              </w:rPr>
            </w:pPr>
            <w:r w:rsidRPr="005653E8">
              <w:rPr>
                <w:sz w:val="22"/>
                <w:szCs w:val="22"/>
                <w:lang w:eastAsia="lv-LV"/>
              </w:rPr>
              <w:t>0</w:t>
            </w:r>
          </w:p>
        </w:tc>
        <w:tc>
          <w:tcPr>
            <w:tcW w:w="590" w:type="pct"/>
          </w:tcPr>
          <w:p w14:paraId="53F12826"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659E1C2F" w14:textId="77777777" w:rsidR="00F322FE" w:rsidRPr="005653E8" w:rsidRDefault="00F322FE" w:rsidP="006C195E">
            <w:pPr>
              <w:jc w:val="center"/>
              <w:rPr>
                <w:sz w:val="22"/>
                <w:szCs w:val="22"/>
                <w:lang w:eastAsia="lv-LV"/>
              </w:rPr>
            </w:pPr>
            <w:r w:rsidRPr="005653E8">
              <w:rPr>
                <w:sz w:val="22"/>
                <w:szCs w:val="22"/>
                <w:lang w:eastAsia="lv-LV"/>
              </w:rPr>
              <w:t>3</w:t>
            </w:r>
          </w:p>
        </w:tc>
        <w:tc>
          <w:tcPr>
            <w:tcW w:w="519" w:type="pct"/>
            <w:shd w:val="clear" w:color="auto" w:fill="auto"/>
            <w:noWrap/>
            <w:vAlign w:val="bottom"/>
            <w:hideMark/>
          </w:tcPr>
          <w:p w14:paraId="7DAC23DE" w14:textId="77777777" w:rsidR="00F322FE" w:rsidRPr="005653E8" w:rsidRDefault="00F322FE" w:rsidP="006C195E">
            <w:pPr>
              <w:jc w:val="center"/>
              <w:rPr>
                <w:sz w:val="22"/>
                <w:szCs w:val="22"/>
                <w:lang w:eastAsia="lv-LV"/>
              </w:rPr>
            </w:pPr>
            <w:r w:rsidRPr="005653E8">
              <w:rPr>
                <w:sz w:val="22"/>
                <w:szCs w:val="22"/>
                <w:lang w:eastAsia="lv-LV"/>
              </w:rPr>
              <w:t>0</w:t>
            </w:r>
          </w:p>
        </w:tc>
        <w:tc>
          <w:tcPr>
            <w:tcW w:w="443" w:type="pct"/>
            <w:shd w:val="clear" w:color="auto" w:fill="auto"/>
            <w:noWrap/>
            <w:vAlign w:val="bottom"/>
            <w:hideMark/>
          </w:tcPr>
          <w:p w14:paraId="4FE8F1F6" w14:textId="77777777" w:rsidR="00F322FE" w:rsidRPr="005653E8" w:rsidRDefault="00F322FE" w:rsidP="006C195E">
            <w:pPr>
              <w:jc w:val="center"/>
              <w:rPr>
                <w:sz w:val="22"/>
                <w:szCs w:val="22"/>
                <w:lang w:eastAsia="lv-LV"/>
              </w:rPr>
            </w:pPr>
            <w:r w:rsidRPr="005653E8">
              <w:rPr>
                <w:sz w:val="22"/>
                <w:szCs w:val="22"/>
                <w:lang w:eastAsia="lv-LV"/>
              </w:rPr>
              <w:t>0</w:t>
            </w:r>
          </w:p>
        </w:tc>
        <w:tc>
          <w:tcPr>
            <w:tcW w:w="423" w:type="pct"/>
            <w:shd w:val="clear" w:color="auto" w:fill="auto"/>
            <w:noWrap/>
            <w:vAlign w:val="bottom"/>
            <w:hideMark/>
          </w:tcPr>
          <w:p w14:paraId="36973D04"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3</w:t>
            </w:r>
          </w:p>
        </w:tc>
      </w:tr>
      <w:tr w:rsidR="005F683F" w:rsidRPr="00DF33A5" w14:paraId="4F2E3971" w14:textId="77777777" w:rsidTr="00DD6363">
        <w:trPr>
          <w:trHeight w:val="300"/>
        </w:trPr>
        <w:tc>
          <w:tcPr>
            <w:tcW w:w="368" w:type="pct"/>
            <w:vAlign w:val="center"/>
          </w:tcPr>
          <w:p w14:paraId="721785FB" w14:textId="77777777" w:rsidR="00F322FE" w:rsidRPr="006C195E" w:rsidRDefault="00F322FE" w:rsidP="00AB5566">
            <w:pPr>
              <w:jc w:val="left"/>
              <w:rPr>
                <w:color w:val="000000"/>
                <w:sz w:val="22"/>
                <w:szCs w:val="22"/>
                <w:lang w:eastAsia="lv-LV"/>
              </w:rPr>
            </w:pPr>
            <w:r w:rsidRPr="006C195E">
              <w:rPr>
                <w:color w:val="000000"/>
                <w:sz w:val="22"/>
                <w:szCs w:val="22"/>
                <w:lang w:eastAsia="lv-LV"/>
              </w:rPr>
              <w:t>14.</w:t>
            </w:r>
          </w:p>
        </w:tc>
        <w:tc>
          <w:tcPr>
            <w:tcW w:w="592" w:type="pct"/>
            <w:shd w:val="clear" w:color="auto" w:fill="auto"/>
            <w:noWrap/>
            <w:vAlign w:val="bottom"/>
            <w:hideMark/>
          </w:tcPr>
          <w:p w14:paraId="0B7BE52C" w14:textId="77777777" w:rsidR="00F322FE" w:rsidRPr="005F683F" w:rsidRDefault="00F322FE" w:rsidP="00DF33A5">
            <w:pPr>
              <w:jc w:val="left"/>
              <w:rPr>
                <w:color w:val="000000"/>
                <w:sz w:val="20"/>
                <w:lang w:eastAsia="lv-LV"/>
              </w:rPr>
            </w:pPr>
            <w:r w:rsidRPr="005F683F">
              <w:rPr>
                <w:color w:val="000000"/>
                <w:sz w:val="20"/>
                <w:lang w:eastAsia="lv-LV"/>
              </w:rPr>
              <w:t>LSPA</w:t>
            </w:r>
          </w:p>
        </w:tc>
        <w:tc>
          <w:tcPr>
            <w:tcW w:w="664" w:type="pct"/>
            <w:shd w:val="clear" w:color="auto" w:fill="auto"/>
            <w:noWrap/>
            <w:vAlign w:val="bottom"/>
            <w:hideMark/>
          </w:tcPr>
          <w:p w14:paraId="2B138D8C" w14:textId="77777777" w:rsidR="00F322FE" w:rsidRPr="005653E8" w:rsidRDefault="00F322FE" w:rsidP="006C195E">
            <w:pPr>
              <w:jc w:val="center"/>
              <w:rPr>
                <w:sz w:val="22"/>
                <w:szCs w:val="22"/>
                <w:lang w:eastAsia="lv-LV"/>
              </w:rPr>
            </w:pPr>
            <w:r w:rsidRPr="005653E8">
              <w:rPr>
                <w:sz w:val="22"/>
                <w:szCs w:val="22"/>
                <w:lang w:eastAsia="lv-LV"/>
              </w:rPr>
              <w:t>0</w:t>
            </w:r>
          </w:p>
        </w:tc>
        <w:tc>
          <w:tcPr>
            <w:tcW w:w="885" w:type="pct"/>
            <w:shd w:val="clear" w:color="auto" w:fill="auto"/>
            <w:noWrap/>
            <w:vAlign w:val="bottom"/>
            <w:hideMark/>
          </w:tcPr>
          <w:p w14:paraId="2829EF0E" w14:textId="77777777" w:rsidR="00F322FE" w:rsidRPr="005653E8" w:rsidRDefault="00F322FE" w:rsidP="006C195E">
            <w:pPr>
              <w:jc w:val="center"/>
              <w:rPr>
                <w:sz w:val="22"/>
                <w:szCs w:val="22"/>
                <w:lang w:eastAsia="lv-LV"/>
              </w:rPr>
            </w:pPr>
            <w:r w:rsidRPr="005653E8">
              <w:rPr>
                <w:sz w:val="22"/>
                <w:szCs w:val="22"/>
                <w:lang w:eastAsia="lv-LV"/>
              </w:rPr>
              <w:t>0</w:t>
            </w:r>
          </w:p>
        </w:tc>
        <w:tc>
          <w:tcPr>
            <w:tcW w:w="590" w:type="pct"/>
          </w:tcPr>
          <w:p w14:paraId="6BC4B297" w14:textId="77777777" w:rsidR="00F322FE" w:rsidRPr="005653E8" w:rsidRDefault="00DA1482" w:rsidP="006C195E">
            <w:pPr>
              <w:jc w:val="center"/>
              <w:rPr>
                <w:sz w:val="22"/>
                <w:szCs w:val="22"/>
                <w:lang w:eastAsia="lv-LV"/>
              </w:rPr>
            </w:pPr>
            <w:r>
              <w:rPr>
                <w:sz w:val="22"/>
                <w:szCs w:val="22"/>
                <w:lang w:eastAsia="lv-LV"/>
              </w:rPr>
              <w:t>0</w:t>
            </w:r>
          </w:p>
        </w:tc>
        <w:tc>
          <w:tcPr>
            <w:tcW w:w="516" w:type="pct"/>
            <w:shd w:val="clear" w:color="auto" w:fill="auto"/>
            <w:noWrap/>
            <w:vAlign w:val="bottom"/>
            <w:hideMark/>
          </w:tcPr>
          <w:p w14:paraId="74044822" w14:textId="77777777" w:rsidR="00F322FE" w:rsidRPr="005653E8" w:rsidRDefault="00F322FE" w:rsidP="006C195E">
            <w:pPr>
              <w:jc w:val="center"/>
              <w:rPr>
                <w:sz w:val="22"/>
                <w:szCs w:val="22"/>
                <w:lang w:eastAsia="lv-LV"/>
              </w:rPr>
            </w:pPr>
            <w:r w:rsidRPr="005653E8">
              <w:rPr>
                <w:sz w:val="22"/>
                <w:szCs w:val="22"/>
                <w:lang w:eastAsia="lv-LV"/>
              </w:rPr>
              <w:t>0</w:t>
            </w:r>
          </w:p>
        </w:tc>
        <w:tc>
          <w:tcPr>
            <w:tcW w:w="519" w:type="pct"/>
            <w:shd w:val="clear" w:color="auto" w:fill="auto"/>
            <w:noWrap/>
            <w:vAlign w:val="bottom"/>
            <w:hideMark/>
          </w:tcPr>
          <w:p w14:paraId="6350352A" w14:textId="77777777" w:rsidR="00F322FE" w:rsidRPr="005653E8" w:rsidRDefault="00F322FE" w:rsidP="006C195E">
            <w:pPr>
              <w:jc w:val="center"/>
              <w:rPr>
                <w:sz w:val="22"/>
                <w:szCs w:val="22"/>
                <w:lang w:eastAsia="lv-LV"/>
              </w:rPr>
            </w:pPr>
            <w:r w:rsidRPr="005653E8">
              <w:rPr>
                <w:sz w:val="22"/>
                <w:szCs w:val="22"/>
                <w:lang w:eastAsia="lv-LV"/>
              </w:rPr>
              <w:t>2</w:t>
            </w:r>
          </w:p>
        </w:tc>
        <w:tc>
          <w:tcPr>
            <w:tcW w:w="443" w:type="pct"/>
            <w:shd w:val="clear" w:color="auto" w:fill="auto"/>
            <w:noWrap/>
            <w:vAlign w:val="bottom"/>
            <w:hideMark/>
          </w:tcPr>
          <w:p w14:paraId="17146CFE" w14:textId="77777777" w:rsidR="00F322FE" w:rsidRPr="005653E8" w:rsidRDefault="00F322FE" w:rsidP="006C195E">
            <w:pPr>
              <w:jc w:val="center"/>
              <w:rPr>
                <w:sz w:val="22"/>
                <w:szCs w:val="22"/>
                <w:lang w:eastAsia="lv-LV"/>
              </w:rPr>
            </w:pPr>
            <w:r w:rsidRPr="005653E8">
              <w:rPr>
                <w:sz w:val="22"/>
                <w:szCs w:val="22"/>
                <w:lang w:eastAsia="lv-LV"/>
              </w:rPr>
              <w:t>0</w:t>
            </w:r>
          </w:p>
        </w:tc>
        <w:tc>
          <w:tcPr>
            <w:tcW w:w="423" w:type="pct"/>
            <w:shd w:val="clear" w:color="auto" w:fill="auto"/>
            <w:noWrap/>
            <w:vAlign w:val="bottom"/>
            <w:hideMark/>
          </w:tcPr>
          <w:p w14:paraId="05A612DC"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2</w:t>
            </w:r>
          </w:p>
        </w:tc>
      </w:tr>
      <w:tr w:rsidR="005F683F" w:rsidRPr="00DF33A5" w14:paraId="6C45D064" w14:textId="77777777" w:rsidTr="00AC3901">
        <w:trPr>
          <w:trHeight w:val="300"/>
        </w:trPr>
        <w:tc>
          <w:tcPr>
            <w:tcW w:w="960" w:type="pct"/>
            <w:gridSpan w:val="2"/>
            <w:shd w:val="clear" w:color="auto" w:fill="D9D9D9" w:themeFill="background1" w:themeFillShade="D9"/>
            <w:vAlign w:val="center"/>
          </w:tcPr>
          <w:p w14:paraId="3B5E94BE" w14:textId="77777777" w:rsidR="00F322FE" w:rsidRPr="00AC3901" w:rsidRDefault="00F322FE" w:rsidP="00AB5566">
            <w:pPr>
              <w:jc w:val="left"/>
              <w:rPr>
                <w:b/>
                <w:color w:val="000000"/>
                <w:sz w:val="22"/>
                <w:szCs w:val="22"/>
                <w:lang w:eastAsia="lv-LV"/>
              </w:rPr>
            </w:pPr>
            <w:r w:rsidRPr="00AC3901">
              <w:rPr>
                <w:b/>
                <w:color w:val="000000"/>
                <w:sz w:val="22"/>
                <w:szCs w:val="22"/>
                <w:lang w:eastAsia="lv-LV"/>
              </w:rPr>
              <w:t>Kopā valsts augstskolas</w:t>
            </w:r>
          </w:p>
        </w:tc>
        <w:tc>
          <w:tcPr>
            <w:tcW w:w="664" w:type="pct"/>
            <w:shd w:val="clear" w:color="auto" w:fill="D9D9D9" w:themeFill="background1" w:themeFillShade="D9"/>
            <w:noWrap/>
            <w:vAlign w:val="center"/>
          </w:tcPr>
          <w:p w14:paraId="367D1E0E" w14:textId="77777777" w:rsidR="00F322FE" w:rsidRPr="00540A0F" w:rsidRDefault="00F322FE" w:rsidP="00540A0F">
            <w:pPr>
              <w:jc w:val="center"/>
              <w:rPr>
                <w:b/>
                <w:color w:val="000000"/>
                <w:sz w:val="22"/>
                <w:szCs w:val="22"/>
                <w:lang w:eastAsia="lv-LV"/>
              </w:rPr>
            </w:pPr>
            <w:r w:rsidRPr="00540A0F">
              <w:rPr>
                <w:b/>
                <w:color w:val="000000"/>
                <w:sz w:val="22"/>
                <w:szCs w:val="22"/>
                <w:lang w:eastAsia="lv-LV"/>
              </w:rPr>
              <w:t>75</w:t>
            </w:r>
          </w:p>
        </w:tc>
        <w:tc>
          <w:tcPr>
            <w:tcW w:w="885" w:type="pct"/>
            <w:shd w:val="clear" w:color="auto" w:fill="D9D9D9" w:themeFill="background1" w:themeFillShade="D9"/>
            <w:noWrap/>
            <w:vAlign w:val="center"/>
          </w:tcPr>
          <w:p w14:paraId="78F6E18A" w14:textId="77777777" w:rsidR="00F322FE" w:rsidRPr="00540A0F" w:rsidRDefault="00F322FE" w:rsidP="00540A0F">
            <w:pPr>
              <w:jc w:val="center"/>
              <w:rPr>
                <w:b/>
                <w:color w:val="000000"/>
                <w:sz w:val="22"/>
                <w:szCs w:val="22"/>
                <w:lang w:eastAsia="lv-LV"/>
              </w:rPr>
            </w:pPr>
            <w:r>
              <w:rPr>
                <w:b/>
                <w:color w:val="000000"/>
                <w:sz w:val="22"/>
                <w:szCs w:val="22"/>
                <w:lang w:eastAsia="lv-LV"/>
              </w:rPr>
              <w:t>138</w:t>
            </w:r>
          </w:p>
        </w:tc>
        <w:tc>
          <w:tcPr>
            <w:tcW w:w="590" w:type="pct"/>
            <w:shd w:val="clear" w:color="auto" w:fill="D9D9D9" w:themeFill="background1" w:themeFillShade="D9"/>
            <w:vAlign w:val="center"/>
          </w:tcPr>
          <w:p w14:paraId="32375EE6" w14:textId="77777777" w:rsidR="00F322FE" w:rsidRDefault="00DA1482" w:rsidP="00DD6363">
            <w:pPr>
              <w:jc w:val="center"/>
              <w:rPr>
                <w:b/>
                <w:color w:val="000000"/>
                <w:sz w:val="22"/>
                <w:szCs w:val="22"/>
                <w:lang w:eastAsia="lv-LV"/>
              </w:rPr>
            </w:pPr>
            <w:r>
              <w:rPr>
                <w:b/>
                <w:color w:val="000000"/>
                <w:sz w:val="22"/>
                <w:szCs w:val="22"/>
                <w:lang w:eastAsia="lv-LV"/>
              </w:rPr>
              <w:t>13</w:t>
            </w:r>
          </w:p>
        </w:tc>
        <w:tc>
          <w:tcPr>
            <w:tcW w:w="516" w:type="pct"/>
            <w:shd w:val="clear" w:color="auto" w:fill="D9D9D9" w:themeFill="background1" w:themeFillShade="D9"/>
            <w:noWrap/>
            <w:vAlign w:val="center"/>
          </w:tcPr>
          <w:p w14:paraId="11406976" w14:textId="77777777" w:rsidR="00F322FE" w:rsidRPr="00540A0F" w:rsidRDefault="00F322FE" w:rsidP="00540A0F">
            <w:pPr>
              <w:jc w:val="center"/>
              <w:rPr>
                <w:b/>
                <w:color w:val="000000"/>
                <w:sz w:val="22"/>
                <w:szCs w:val="22"/>
                <w:lang w:eastAsia="lv-LV"/>
              </w:rPr>
            </w:pPr>
            <w:r>
              <w:rPr>
                <w:b/>
                <w:color w:val="000000"/>
                <w:sz w:val="22"/>
                <w:szCs w:val="22"/>
                <w:lang w:eastAsia="lv-LV"/>
              </w:rPr>
              <w:t>34</w:t>
            </w:r>
          </w:p>
        </w:tc>
        <w:tc>
          <w:tcPr>
            <w:tcW w:w="519" w:type="pct"/>
            <w:shd w:val="clear" w:color="auto" w:fill="D9D9D9" w:themeFill="background1" w:themeFillShade="D9"/>
            <w:noWrap/>
            <w:vAlign w:val="center"/>
          </w:tcPr>
          <w:p w14:paraId="6F1A876A" w14:textId="77777777" w:rsidR="00F322FE" w:rsidRPr="00540A0F" w:rsidRDefault="00F322FE" w:rsidP="00DA1482">
            <w:pPr>
              <w:jc w:val="center"/>
              <w:rPr>
                <w:b/>
                <w:color w:val="000000"/>
                <w:sz w:val="22"/>
                <w:szCs w:val="22"/>
                <w:lang w:eastAsia="lv-LV"/>
              </w:rPr>
            </w:pPr>
            <w:r>
              <w:rPr>
                <w:b/>
                <w:color w:val="000000"/>
                <w:sz w:val="22"/>
                <w:szCs w:val="22"/>
                <w:lang w:eastAsia="lv-LV"/>
              </w:rPr>
              <w:t>4</w:t>
            </w:r>
            <w:r w:rsidR="00DA1482">
              <w:rPr>
                <w:b/>
                <w:color w:val="000000"/>
                <w:sz w:val="22"/>
                <w:szCs w:val="22"/>
                <w:lang w:eastAsia="lv-LV"/>
              </w:rPr>
              <w:t>8</w:t>
            </w:r>
          </w:p>
        </w:tc>
        <w:tc>
          <w:tcPr>
            <w:tcW w:w="443" w:type="pct"/>
            <w:shd w:val="clear" w:color="auto" w:fill="D9D9D9" w:themeFill="background1" w:themeFillShade="D9"/>
            <w:noWrap/>
            <w:vAlign w:val="center"/>
          </w:tcPr>
          <w:p w14:paraId="67C9EC82" w14:textId="77777777" w:rsidR="00F322FE" w:rsidRPr="00540A0F" w:rsidRDefault="00F322FE" w:rsidP="00540A0F">
            <w:pPr>
              <w:jc w:val="center"/>
              <w:rPr>
                <w:b/>
                <w:color w:val="000000"/>
                <w:sz w:val="22"/>
                <w:szCs w:val="22"/>
                <w:lang w:eastAsia="lv-LV"/>
              </w:rPr>
            </w:pPr>
            <w:r>
              <w:rPr>
                <w:b/>
                <w:color w:val="000000"/>
                <w:sz w:val="22"/>
                <w:szCs w:val="22"/>
                <w:lang w:eastAsia="lv-LV"/>
              </w:rPr>
              <w:t>13</w:t>
            </w:r>
          </w:p>
        </w:tc>
        <w:tc>
          <w:tcPr>
            <w:tcW w:w="423" w:type="pct"/>
            <w:shd w:val="clear" w:color="auto" w:fill="D9D9D9" w:themeFill="background1" w:themeFillShade="D9"/>
            <w:noWrap/>
            <w:vAlign w:val="center"/>
          </w:tcPr>
          <w:p w14:paraId="488332EF" w14:textId="77777777" w:rsidR="00F322FE" w:rsidRPr="00540A0F" w:rsidRDefault="00F322FE" w:rsidP="00DA1482">
            <w:pPr>
              <w:jc w:val="center"/>
              <w:rPr>
                <w:b/>
                <w:color w:val="000000"/>
                <w:sz w:val="22"/>
                <w:szCs w:val="22"/>
                <w:lang w:eastAsia="lv-LV"/>
              </w:rPr>
            </w:pPr>
            <w:r>
              <w:rPr>
                <w:b/>
                <w:color w:val="000000"/>
                <w:sz w:val="22"/>
                <w:szCs w:val="22"/>
                <w:lang w:eastAsia="lv-LV"/>
              </w:rPr>
              <w:t>3</w:t>
            </w:r>
            <w:r w:rsidR="00DA1482">
              <w:rPr>
                <w:b/>
                <w:color w:val="000000"/>
                <w:sz w:val="22"/>
                <w:szCs w:val="22"/>
                <w:lang w:eastAsia="lv-LV"/>
              </w:rPr>
              <w:t>21</w:t>
            </w:r>
          </w:p>
        </w:tc>
      </w:tr>
      <w:tr w:rsidR="005F683F" w:rsidRPr="00DF33A5" w14:paraId="4790F5F4" w14:textId="77777777" w:rsidTr="00DD6363">
        <w:trPr>
          <w:trHeight w:val="300"/>
        </w:trPr>
        <w:tc>
          <w:tcPr>
            <w:tcW w:w="368" w:type="pct"/>
            <w:vAlign w:val="center"/>
          </w:tcPr>
          <w:p w14:paraId="4D5876CD" w14:textId="77777777" w:rsidR="00F322FE" w:rsidRPr="006C195E" w:rsidRDefault="00F322FE" w:rsidP="00AB5566">
            <w:pPr>
              <w:jc w:val="left"/>
              <w:rPr>
                <w:color w:val="000000"/>
                <w:sz w:val="22"/>
                <w:szCs w:val="22"/>
                <w:lang w:eastAsia="lv-LV"/>
              </w:rPr>
            </w:pPr>
            <w:r w:rsidRPr="006C195E">
              <w:rPr>
                <w:color w:val="000000"/>
                <w:sz w:val="22"/>
                <w:szCs w:val="22"/>
                <w:lang w:eastAsia="lv-LV"/>
              </w:rPr>
              <w:t>15.</w:t>
            </w:r>
          </w:p>
        </w:tc>
        <w:tc>
          <w:tcPr>
            <w:tcW w:w="592" w:type="pct"/>
            <w:shd w:val="clear" w:color="auto" w:fill="auto"/>
            <w:noWrap/>
            <w:vAlign w:val="bottom"/>
            <w:hideMark/>
          </w:tcPr>
          <w:p w14:paraId="55D274A8" w14:textId="77777777" w:rsidR="00F322FE" w:rsidRPr="005F683F" w:rsidRDefault="00F322FE" w:rsidP="00DF33A5">
            <w:pPr>
              <w:jc w:val="left"/>
              <w:rPr>
                <w:color w:val="000000"/>
                <w:sz w:val="20"/>
                <w:lang w:eastAsia="lv-LV"/>
              </w:rPr>
            </w:pPr>
            <w:r w:rsidRPr="005F683F">
              <w:rPr>
                <w:color w:val="000000"/>
                <w:sz w:val="20"/>
                <w:lang w:eastAsia="lv-LV"/>
              </w:rPr>
              <w:t>TSI</w:t>
            </w:r>
          </w:p>
        </w:tc>
        <w:tc>
          <w:tcPr>
            <w:tcW w:w="664" w:type="pct"/>
            <w:shd w:val="clear" w:color="auto" w:fill="auto"/>
            <w:noWrap/>
            <w:vAlign w:val="bottom"/>
            <w:hideMark/>
          </w:tcPr>
          <w:p w14:paraId="05D2373D" w14:textId="77777777" w:rsidR="00F322FE" w:rsidRPr="00DF33A5" w:rsidRDefault="00F322FE" w:rsidP="006C195E">
            <w:pPr>
              <w:jc w:val="center"/>
              <w:rPr>
                <w:color w:val="000000"/>
                <w:sz w:val="22"/>
                <w:szCs w:val="22"/>
                <w:lang w:eastAsia="lv-LV"/>
              </w:rPr>
            </w:pPr>
            <w:r w:rsidRPr="00DF33A5">
              <w:rPr>
                <w:color w:val="000000"/>
                <w:sz w:val="22"/>
                <w:szCs w:val="22"/>
                <w:lang w:eastAsia="lv-LV"/>
              </w:rPr>
              <w:t>2</w:t>
            </w:r>
          </w:p>
        </w:tc>
        <w:tc>
          <w:tcPr>
            <w:tcW w:w="885" w:type="pct"/>
            <w:shd w:val="clear" w:color="auto" w:fill="auto"/>
            <w:noWrap/>
            <w:vAlign w:val="bottom"/>
            <w:hideMark/>
          </w:tcPr>
          <w:p w14:paraId="6C9DC958" w14:textId="77777777" w:rsidR="00F322FE" w:rsidRPr="00DF33A5" w:rsidRDefault="00F322FE" w:rsidP="006C195E">
            <w:pPr>
              <w:jc w:val="center"/>
              <w:rPr>
                <w:color w:val="000000"/>
                <w:sz w:val="22"/>
                <w:szCs w:val="22"/>
                <w:lang w:eastAsia="lv-LV"/>
              </w:rPr>
            </w:pPr>
            <w:r w:rsidRPr="00DF33A5">
              <w:rPr>
                <w:color w:val="000000"/>
                <w:sz w:val="22"/>
                <w:szCs w:val="22"/>
                <w:lang w:eastAsia="lv-LV"/>
              </w:rPr>
              <w:t>9</w:t>
            </w:r>
          </w:p>
        </w:tc>
        <w:tc>
          <w:tcPr>
            <w:tcW w:w="590" w:type="pct"/>
          </w:tcPr>
          <w:p w14:paraId="7C4218EB" w14:textId="77777777" w:rsidR="00F322FE" w:rsidRPr="00DF33A5" w:rsidRDefault="00DA1482" w:rsidP="006C195E">
            <w:pPr>
              <w:jc w:val="center"/>
              <w:rPr>
                <w:color w:val="000000"/>
                <w:sz w:val="22"/>
                <w:szCs w:val="22"/>
                <w:lang w:eastAsia="lv-LV"/>
              </w:rPr>
            </w:pPr>
            <w:r>
              <w:rPr>
                <w:color w:val="000000"/>
                <w:sz w:val="22"/>
                <w:szCs w:val="22"/>
                <w:lang w:eastAsia="lv-LV"/>
              </w:rPr>
              <w:t>0</w:t>
            </w:r>
          </w:p>
        </w:tc>
        <w:tc>
          <w:tcPr>
            <w:tcW w:w="516" w:type="pct"/>
            <w:shd w:val="clear" w:color="auto" w:fill="auto"/>
            <w:noWrap/>
            <w:vAlign w:val="bottom"/>
            <w:hideMark/>
          </w:tcPr>
          <w:p w14:paraId="0EC2FB91"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519" w:type="pct"/>
            <w:shd w:val="clear" w:color="auto" w:fill="auto"/>
            <w:noWrap/>
            <w:vAlign w:val="bottom"/>
            <w:hideMark/>
          </w:tcPr>
          <w:p w14:paraId="69399774"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43" w:type="pct"/>
            <w:shd w:val="clear" w:color="auto" w:fill="auto"/>
            <w:noWrap/>
            <w:vAlign w:val="bottom"/>
            <w:hideMark/>
          </w:tcPr>
          <w:p w14:paraId="61743CAB"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23" w:type="pct"/>
            <w:shd w:val="clear" w:color="auto" w:fill="auto"/>
            <w:noWrap/>
            <w:vAlign w:val="bottom"/>
            <w:hideMark/>
          </w:tcPr>
          <w:p w14:paraId="43484BCE"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11</w:t>
            </w:r>
          </w:p>
        </w:tc>
      </w:tr>
      <w:tr w:rsidR="005F683F" w:rsidRPr="00DF33A5" w14:paraId="7493828A" w14:textId="77777777" w:rsidTr="00DD6363">
        <w:trPr>
          <w:trHeight w:val="300"/>
        </w:trPr>
        <w:tc>
          <w:tcPr>
            <w:tcW w:w="368" w:type="pct"/>
            <w:vAlign w:val="center"/>
          </w:tcPr>
          <w:p w14:paraId="1F385C7F" w14:textId="77777777" w:rsidR="00F322FE" w:rsidRPr="006C195E" w:rsidRDefault="00F322FE" w:rsidP="00AB5566">
            <w:pPr>
              <w:jc w:val="left"/>
              <w:rPr>
                <w:color w:val="000000"/>
                <w:sz w:val="22"/>
                <w:szCs w:val="22"/>
                <w:lang w:eastAsia="lv-LV"/>
              </w:rPr>
            </w:pPr>
            <w:r>
              <w:rPr>
                <w:color w:val="000000"/>
                <w:sz w:val="22"/>
                <w:szCs w:val="22"/>
                <w:lang w:eastAsia="lv-LV"/>
              </w:rPr>
              <w:t>16.</w:t>
            </w:r>
          </w:p>
        </w:tc>
        <w:tc>
          <w:tcPr>
            <w:tcW w:w="592" w:type="pct"/>
            <w:shd w:val="clear" w:color="auto" w:fill="auto"/>
            <w:noWrap/>
            <w:vAlign w:val="bottom"/>
            <w:hideMark/>
          </w:tcPr>
          <w:p w14:paraId="50413938" w14:textId="77777777" w:rsidR="00F322FE" w:rsidRPr="005F683F" w:rsidRDefault="00F322FE" w:rsidP="00DF33A5">
            <w:pPr>
              <w:jc w:val="left"/>
              <w:rPr>
                <w:color w:val="000000"/>
                <w:sz w:val="20"/>
                <w:lang w:eastAsia="lv-LV"/>
              </w:rPr>
            </w:pPr>
            <w:r w:rsidRPr="005F683F">
              <w:rPr>
                <w:color w:val="000000"/>
                <w:sz w:val="20"/>
                <w:lang w:eastAsia="lv-LV"/>
              </w:rPr>
              <w:t>EKA</w:t>
            </w:r>
          </w:p>
        </w:tc>
        <w:tc>
          <w:tcPr>
            <w:tcW w:w="664" w:type="pct"/>
            <w:shd w:val="clear" w:color="auto" w:fill="auto"/>
            <w:noWrap/>
            <w:vAlign w:val="bottom"/>
            <w:hideMark/>
          </w:tcPr>
          <w:p w14:paraId="713D0550" w14:textId="77777777" w:rsidR="00F322FE" w:rsidRPr="00DF33A5" w:rsidRDefault="00F322FE" w:rsidP="006C195E">
            <w:pPr>
              <w:jc w:val="center"/>
              <w:rPr>
                <w:color w:val="000000"/>
                <w:sz w:val="22"/>
                <w:szCs w:val="22"/>
                <w:lang w:eastAsia="lv-LV"/>
              </w:rPr>
            </w:pPr>
            <w:r w:rsidRPr="00DF33A5">
              <w:rPr>
                <w:color w:val="000000"/>
                <w:sz w:val="22"/>
                <w:szCs w:val="22"/>
                <w:lang w:eastAsia="lv-LV"/>
              </w:rPr>
              <w:t>1</w:t>
            </w:r>
          </w:p>
        </w:tc>
        <w:tc>
          <w:tcPr>
            <w:tcW w:w="885" w:type="pct"/>
            <w:shd w:val="clear" w:color="auto" w:fill="auto"/>
            <w:noWrap/>
            <w:vAlign w:val="bottom"/>
            <w:hideMark/>
          </w:tcPr>
          <w:p w14:paraId="4D01C473"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590" w:type="pct"/>
          </w:tcPr>
          <w:p w14:paraId="57DA4951" w14:textId="77777777" w:rsidR="00F322FE" w:rsidRPr="00DF33A5" w:rsidRDefault="00DA1482" w:rsidP="006C195E">
            <w:pPr>
              <w:jc w:val="center"/>
              <w:rPr>
                <w:color w:val="000000"/>
                <w:sz w:val="22"/>
                <w:szCs w:val="22"/>
                <w:lang w:eastAsia="lv-LV"/>
              </w:rPr>
            </w:pPr>
            <w:r>
              <w:rPr>
                <w:color w:val="000000"/>
                <w:sz w:val="22"/>
                <w:szCs w:val="22"/>
                <w:lang w:eastAsia="lv-LV"/>
              </w:rPr>
              <w:t>0</w:t>
            </w:r>
          </w:p>
        </w:tc>
        <w:tc>
          <w:tcPr>
            <w:tcW w:w="516" w:type="pct"/>
            <w:shd w:val="clear" w:color="auto" w:fill="auto"/>
            <w:noWrap/>
            <w:vAlign w:val="bottom"/>
            <w:hideMark/>
          </w:tcPr>
          <w:p w14:paraId="6C3B8496" w14:textId="77777777" w:rsidR="00F322FE" w:rsidRPr="00DF33A5" w:rsidRDefault="00F322FE" w:rsidP="006C195E">
            <w:pPr>
              <w:jc w:val="center"/>
              <w:rPr>
                <w:color w:val="000000"/>
                <w:sz w:val="22"/>
                <w:szCs w:val="22"/>
                <w:lang w:eastAsia="lv-LV"/>
              </w:rPr>
            </w:pPr>
            <w:r w:rsidRPr="00DF33A5">
              <w:rPr>
                <w:color w:val="000000"/>
                <w:sz w:val="22"/>
                <w:szCs w:val="22"/>
                <w:lang w:eastAsia="lv-LV"/>
              </w:rPr>
              <w:t>1</w:t>
            </w:r>
          </w:p>
        </w:tc>
        <w:tc>
          <w:tcPr>
            <w:tcW w:w="519" w:type="pct"/>
            <w:shd w:val="clear" w:color="auto" w:fill="auto"/>
            <w:noWrap/>
            <w:vAlign w:val="bottom"/>
            <w:hideMark/>
          </w:tcPr>
          <w:p w14:paraId="425A585E"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43" w:type="pct"/>
            <w:shd w:val="clear" w:color="auto" w:fill="auto"/>
            <w:noWrap/>
            <w:vAlign w:val="bottom"/>
            <w:hideMark/>
          </w:tcPr>
          <w:p w14:paraId="1EFCDAF4"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23" w:type="pct"/>
            <w:shd w:val="clear" w:color="auto" w:fill="auto"/>
            <w:noWrap/>
            <w:vAlign w:val="bottom"/>
            <w:hideMark/>
          </w:tcPr>
          <w:p w14:paraId="65687D15"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2</w:t>
            </w:r>
          </w:p>
        </w:tc>
      </w:tr>
      <w:tr w:rsidR="005F683F" w:rsidRPr="00DF33A5" w14:paraId="2B7018B2" w14:textId="77777777" w:rsidTr="00DD6363">
        <w:trPr>
          <w:trHeight w:val="300"/>
        </w:trPr>
        <w:tc>
          <w:tcPr>
            <w:tcW w:w="368" w:type="pct"/>
            <w:vAlign w:val="center"/>
          </w:tcPr>
          <w:p w14:paraId="5A03E842" w14:textId="77777777" w:rsidR="00F322FE" w:rsidRPr="006C195E" w:rsidRDefault="00F322FE" w:rsidP="00AB5566">
            <w:pPr>
              <w:jc w:val="left"/>
              <w:rPr>
                <w:color w:val="000000"/>
                <w:sz w:val="22"/>
                <w:szCs w:val="22"/>
                <w:lang w:eastAsia="lv-LV"/>
              </w:rPr>
            </w:pPr>
            <w:r>
              <w:rPr>
                <w:color w:val="000000"/>
                <w:sz w:val="22"/>
                <w:szCs w:val="22"/>
                <w:lang w:eastAsia="lv-LV"/>
              </w:rPr>
              <w:t>17.</w:t>
            </w:r>
          </w:p>
        </w:tc>
        <w:tc>
          <w:tcPr>
            <w:tcW w:w="592" w:type="pct"/>
            <w:shd w:val="clear" w:color="auto" w:fill="auto"/>
            <w:noWrap/>
            <w:vAlign w:val="bottom"/>
            <w:hideMark/>
          </w:tcPr>
          <w:p w14:paraId="62F21D31" w14:textId="77777777" w:rsidR="00F322FE" w:rsidRPr="005F683F" w:rsidRDefault="00F322FE" w:rsidP="00DF33A5">
            <w:pPr>
              <w:jc w:val="left"/>
              <w:rPr>
                <w:color w:val="000000"/>
                <w:sz w:val="20"/>
                <w:lang w:eastAsia="lv-LV"/>
              </w:rPr>
            </w:pPr>
            <w:r w:rsidRPr="005F683F">
              <w:rPr>
                <w:color w:val="000000"/>
                <w:sz w:val="20"/>
                <w:lang w:eastAsia="lv-LV"/>
              </w:rPr>
              <w:t>ISMA</w:t>
            </w:r>
          </w:p>
        </w:tc>
        <w:tc>
          <w:tcPr>
            <w:tcW w:w="664" w:type="pct"/>
            <w:shd w:val="clear" w:color="auto" w:fill="auto"/>
            <w:noWrap/>
            <w:vAlign w:val="bottom"/>
            <w:hideMark/>
          </w:tcPr>
          <w:p w14:paraId="7D56CC3F" w14:textId="77777777" w:rsidR="00F322FE" w:rsidRPr="00DF33A5" w:rsidRDefault="00F322FE" w:rsidP="006C195E">
            <w:pPr>
              <w:jc w:val="center"/>
              <w:rPr>
                <w:color w:val="000000"/>
                <w:sz w:val="22"/>
                <w:szCs w:val="22"/>
                <w:lang w:eastAsia="lv-LV"/>
              </w:rPr>
            </w:pPr>
            <w:r w:rsidRPr="00DF33A5">
              <w:rPr>
                <w:color w:val="000000"/>
                <w:sz w:val="22"/>
                <w:szCs w:val="22"/>
                <w:lang w:eastAsia="lv-LV"/>
              </w:rPr>
              <w:t>3</w:t>
            </w:r>
          </w:p>
        </w:tc>
        <w:tc>
          <w:tcPr>
            <w:tcW w:w="885" w:type="pct"/>
            <w:shd w:val="clear" w:color="auto" w:fill="auto"/>
            <w:noWrap/>
            <w:vAlign w:val="bottom"/>
            <w:hideMark/>
          </w:tcPr>
          <w:p w14:paraId="05E678DD"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590" w:type="pct"/>
          </w:tcPr>
          <w:p w14:paraId="75B76004" w14:textId="77777777" w:rsidR="00F322FE" w:rsidRPr="00DF33A5" w:rsidRDefault="00DA1482" w:rsidP="006C195E">
            <w:pPr>
              <w:jc w:val="center"/>
              <w:rPr>
                <w:color w:val="000000"/>
                <w:sz w:val="22"/>
                <w:szCs w:val="22"/>
                <w:lang w:eastAsia="lv-LV"/>
              </w:rPr>
            </w:pPr>
            <w:r>
              <w:rPr>
                <w:color w:val="000000"/>
                <w:sz w:val="22"/>
                <w:szCs w:val="22"/>
                <w:lang w:eastAsia="lv-LV"/>
              </w:rPr>
              <w:t>0</w:t>
            </w:r>
          </w:p>
        </w:tc>
        <w:tc>
          <w:tcPr>
            <w:tcW w:w="516" w:type="pct"/>
            <w:shd w:val="clear" w:color="auto" w:fill="auto"/>
            <w:noWrap/>
            <w:vAlign w:val="bottom"/>
            <w:hideMark/>
          </w:tcPr>
          <w:p w14:paraId="16EB8054" w14:textId="77777777" w:rsidR="00F322FE" w:rsidRPr="00DF33A5" w:rsidRDefault="00F322FE" w:rsidP="006C195E">
            <w:pPr>
              <w:jc w:val="center"/>
              <w:rPr>
                <w:color w:val="000000"/>
                <w:sz w:val="22"/>
                <w:szCs w:val="22"/>
                <w:lang w:eastAsia="lv-LV"/>
              </w:rPr>
            </w:pPr>
            <w:r w:rsidRPr="00DF33A5">
              <w:rPr>
                <w:color w:val="000000"/>
                <w:sz w:val="22"/>
                <w:szCs w:val="22"/>
                <w:lang w:eastAsia="lv-LV"/>
              </w:rPr>
              <w:t>1</w:t>
            </w:r>
          </w:p>
        </w:tc>
        <w:tc>
          <w:tcPr>
            <w:tcW w:w="519" w:type="pct"/>
            <w:shd w:val="clear" w:color="auto" w:fill="auto"/>
            <w:noWrap/>
            <w:vAlign w:val="bottom"/>
            <w:hideMark/>
          </w:tcPr>
          <w:p w14:paraId="63A6C831"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43" w:type="pct"/>
            <w:shd w:val="clear" w:color="auto" w:fill="auto"/>
            <w:noWrap/>
            <w:vAlign w:val="bottom"/>
            <w:hideMark/>
          </w:tcPr>
          <w:p w14:paraId="105AEA0D"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23" w:type="pct"/>
            <w:shd w:val="clear" w:color="auto" w:fill="auto"/>
            <w:noWrap/>
            <w:vAlign w:val="bottom"/>
            <w:hideMark/>
          </w:tcPr>
          <w:p w14:paraId="0AD1BDEE"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4</w:t>
            </w:r>
          </w:p>
        </w:tc>
      </w:tr>
      <w:tr w:rsidR="005F683F" w:rsidRPr="00DF33A5" w14:paraId="7D3559BA" w14:textId="77777777" w:rsidTr="00DD6363">
        <w:trPr>
          <w:trHeight w:val="300"/>
        </w:trPr>
        <w:tc>
          <w:tcPr>
            <w:tcW w:w="368" w:type="pct"/>
            <w:vAlign w:val="center"/>
          </w:tcPr>
          <w:p w14:paraId="06703837" w14:textId="77777777" w:rsidR="00F322FE" w:rsidRPr="006C195E" w:rsidRDefault="00F322FE" w:rsidP="00AB5566">
            <w:pPr>
              <w:jc w:val="left"/>
              <w:rPr>
                <w:color w:val="000000"/>
                <w:sz w:val="22"/>
                <w:szCs w:val="22"/>
                <w:lang w:eastAsia="lv-LV"/>
              </w:rPr>
            </w:pPr>
            <w:r>
              <w:rPr>
                <w:color w:val="000000"/>
                <w:sz w:val="22"/>
                <w:szCs w:val="22"/>
                <w:lang w:eastAsia="lv-LV"/>
              </w:rPr>
              <w:t>18.</w:t>
            </w:r>
          </w:p>
        </w:tc>
        <w:tc>
          <w:tcPr>
            <w:tcW w:w="592" w:type="pct"/>
            <w:shd w:val="clear" w:color="auto" w:fill="auto"/>
            <w:noWrap/>
            <w:vAlign w:val="bottom"/>
            <w:hideMark/>
          </w:tcPr>
          <w:p w14:paraId="1A293767" w14:textId="77777777" w:rsidR="00F322FE" w:rsidRPr="005F683F" w:rsidRDefault="00FA46C0" w:rsidP="00FA46C0">
            <w:pPr>
              <w:jc w:val="left"/>
              <w:rPr>
                <w:color w:val="000000"/>
                <w:sz w:val="20"/>
                <w:lang w:eastAsia="lv-LV"/>
              </w:rPr>
            </w:pPr>
            <w:r w:rsidRPr="005F683F">
              <w:rPr>
                <w:color w:val="000000"/>
                <w:sz w:val="20"/>
                <w:lang w:eastAsia="lv-LV"/>
              </w:rPr>
              <w:t>R</w:t>
            </w:r>
            <w:r>
              <w:rPr>
                <w:color w:val="000000"/>
                <w:sz w:val="20"/>
                <w:lang w:eastAsia="lv-LV"/>
              </w:rPr>
              <w:t>ISEB</w:t>
            </w:r>
            <w:r w:rsidRPr="005F683F">
              <w:rPr>
                <w:color w:val="000000"/>
                <w:sz w:val="20"/>
                <w:lang w:eastAsia="lv-LV"/>
              </w:rPr>
              <w:t>A</w:t>
            </w:r>
          </w:p>
        </w:tc>
        <w:tc>
          <w:tcPr>
            <w:tcW w:w="664" w:type="pct"/>
            <w:shd w:val="clear" w:color="auto" w:fill="auto"/>
            <w:noWrap/>
            <w:vAlign w:val="bottom"/>
            <w:hideMark/>
          </w:tcPr>
          <w:p w14:paraId="3A3F1E58"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885" w:type="pct"/>
            <w:shd w:val="clear" w:color="auto" w:fill="auto"/>
            <w:noWrap/>
            <w:vAlign w:val="bottom"/>
            <w:hideMark/>
          </w:tcPr>
          <w:p w14:paraId="227BEB17" w14:textId="77777777" w:rsidR="00F322FE" w:rsidRPr="00DF33A5" w:rsidRDefault="00F322FE" w:rsidP="006C195E">
            <w:pPr>
              <w:jc w:val="center"/>
              <w:rPr>
                <w:color w:val="000000"/>
                <w:sz w:val="22"/>
                <w:szCs w:val="22"/>
                <w:lang w:eastAsia="lv-LV"/>
              </w:rPr>
            </w:pPr>
            <w:r w:rsidRPr="00DF33A5">
              <w:rPr>
                <w:color w:val="000000"/>
                <w:sz w:val="22"/>
                <w:szCs w:val="22"/>
                <w:lang w:eastAsia="lv-LV"/>
              </w:rPr>
              <w:t>1</w:t>
            </w:r>
          </w:p>
        </w:tc>
        <w:tc>
          <w:tcPr>
            <w:tcW w:w="590" w:type="pct"/>
          </w:tcPr>
          <w:p w14:paraId="06F69206" w14:textId="77777777" w:rsidR="00F322FE" w:rsidRPr="00DF33A5" w:rsidRDefault="00DA1482" w:rsidP="006C195E">
            <w:pPr>
              <w:jc w:val="center"/>
              <w:rPr>
                <w:color w:val="000000"/>
                <w:sz w:val="22"/>
                <w:szCs w:val="22"/>
                <w:lang w:eastAsia="lv-LV"/>
              </w:rPr>
            </w:pPr>
            <w:r>
              <w:rPr>
                <w:color w:val="000000"/>
                <w:sz w:val="22"/>
                <w:szCs w:val="22"/>
                <w:lang w:eastAsia="lv-LV"/>
              </w:rPr>
              <w:t>0</w:t>
            </w:r>
          </w:p>
        </w:tc>
        <w:tc>
          <w:tcPr>
            <w:tcW w:w="516" w:type="pct"/>
            <w:shd w:val="clear" w:color="auto" w:fill="auto"/>
            <w:noWrap/>
            <w:vAlign w:val="bottom"/>
            <w:hideMark/>
          </w:tcPr>
          <w:p w14:paraId="3C4C9A4A" w14:textId="77777777" w:rsidR="00F322FE" w:rsidRPr="00DF33A5" w:rsidRDefault="00F322FE" w:rsidP="006C195E">
            <w:pPr>
              <w:jc w:val="center"/>
              <w:rPr>
                <w:color w:val="000000"/>
                <w:sz w:val="22"/>
                <w:szCs w:val="22"/>
                <w:lang w:eastAsia="lv-LV"/>
              </w:rPr>
            </w:pPr>
            <w:r w:rsidRPr="00DF33A5">
              <w:rPr>
                <w:color w:val="000000"/>
                <w:sz w:val="22"/>
                <w:szCs w:val="22"/>
                <w:lang w:eastAsia="lv-LV"/>
              </w:rPr>
              <w:t>2</w:t>
            </w:r>
          </w:p>
        </w:tc>
        <w:tc>
          <w:tcPr>
            <w:tcW w:w="519" w:type="pct"/>
            <w:shd w:val="clear" w:color="auto" w:fill="auto"/>
            <w:noWrap/>
            <w:vAlign w:val="bottom"/>
            <w:hideMark/>
          </w:tcPr>
          <w:p w14:paraId="61C7E5DE"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43" w:type="pct"/>
            <w:shd w:val="clear" w:color="auto" w:fill="auto"/>
            <w:noWrap/>
            <w:vAlign w:val="bottom"/>
            <w:hideMark/>
          </w:tcPr>
          <w:p w14:paraId="4CCA5F72"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23" w:type="pct"/>
            <w:shd w:val="clear" w:color="auto" w:fill="auto"/>
            <w:noWrap/>
            <w:vAlign w:val="bottom"/>
            <w:hideMark/>
          </w:tcPr>
          <w:p w14:paraId="0ABC848A"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3</w:t>
            </w:r>
          </w:p>
        </w:tc>
      </w:tr>
      <w:tr w:rsidR="005F683F" w:rsidRPr="00DF33A5" w14:paraId="4EADF073" w14:textId="77777777" w:rsidTr="00DD6363">
        <w:trPr>
          <w:trHeight w:val="300"/>
        </w:trPr>
        <w:tc>
          <w:tcPr>
            <w:tcW w:w="368" w:type="pct"/>
            <w:vAlign w:val="center"/>
          </w:tcPr>
          <w:p w14:paraId="02C02C3C" w14:textId="77777777" w:rsidR="00F322FE" w:rsidRPr="006C195E" w:rsidRDefault="00F322FE" w:rsidP="00AB5566">
            <w:pPr>
              <w:jc w:val="left"/>
              <w:rPr>
                <w:color w:val="000000"/>
                <w:sz w:val="22"/>
                <w:szCs w:val="22"/>
                <w:lang w:eastAsia="lv-LV"/>
              </w:rPr>
            </w:pPr>
            <w:r>
              <w:rPr>
                <w:color w:val="000000"/>
                <w:sz w:val="22"/>
                <w:szCs w:val="22"/>
                <w:lang w:eastAsia="lv-LV"/>
              </w:rPr>
              <w:t>19.</w:t>
            </w:r>
          </w:p>
        </w:tc>
        <w:tc>
          <w:tcPr>
            <w:tcW w:w="592" w:type="pct"/>
            <w:shd w:val="clear" w:color="auto" w:fill="auto"/>
            <w:noWrap/>
            <w:vAlign w:val="bottom"/>
            <w:hideMark/>
          </w:tcPr>
          <w:p w14:paraId="216DB06C" w14:textId="77777777" w:rsidR="00F322FE" w:rsidRPr="005F683F" w:rsidRDefault="00F322FE" w:rsidP="00DF33A5">
            <w:pPr>
              <w:jc w:val="left"/>
              <w:rPr>
                <w:color w:val="000000"/>
                <w:sz w:val="20"/>
                <w:lang w:eastAsia="lv-LV"/>
              </w:rPr>
            </w:pPr>
            <w:r w:rsidRPr="005F683F">
              <w:rPr>
                <w:color w:val="000000"/>
                <w:sz w:val="20"/>
                <w:lang w:eastAsia="lv-LV"/>
              </w:rPr>
              <w:t>RAI</w:t>
            </w:r>
          </w:p>
        </w:tc>
        <w:tc>
          <w:tcPr>
            <w:tcW w:w="664" w:type="pct"/>
            <w:shd w:val="clear" w:color="auto" w:fill="auto"/>
            <w:noWrap/>
            <w:vAlign w:val="bottom"/>
            <w:hideMark/>
          </w:tcPr>
          <w:p w14:paraId="0815E2AD"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885" w:type="pct"/>
            <w:shd w:val="clear" w:color="auto" w:fill="auto"/>
            <w:noWrap/>
            <w:vAlign w:val="bottom"/>
            <w:hideMark/>
          </w:tcPr>
          <w:p w14:paraId="4AA5BD3F" w14:textId="77777777" w:rsidR="00F322FE" w:rsidRPr="00DF33A5" w:rsidRDefault="00F322FE" w:rsidP="006C195E">
            <w:pPr>
              <w:jc w:val="center"/>
              <w:rPr>
                <w:color w:val="000000"/>
                <w:sz w:val="22"/>
                <w:szCs w:val="22"/>
                <w:lang w:eastAsia="lv-LV"/>
              </w:rPr>
            </w:pPr>
            <w:r w:rsidRPr="00DF33A5">
              <w:rPr>
                <w:color w:val="000000"/>
                <w:sz w:val="22"/>
                <w:szCs w:val="22"/>
                <w:lang w:eastAsia="lv-LV"/>
              </w:rPr>
              <w:t>4</w:t>
            </w:r>
          </w:p>
        </w:tc>
        <w:tc>
          <w:tcPr>
            <w:tcW w:w="590" w:type="pct"/>
          </w:tcPr>
          <w:p w14:paraId="5359EEC8" w14:textId="77777777" w:rsidR="00F322FE" w:rsidRPr="00DF33A5" w:rsidRDefault="00DA1482" w:rsidP="006C195E">
            <w:pPr>
              <w:jc w:val="center"/>
              <w:rPr>
                <w:color w:val="000000"/>
                <w:sz w:val="22"/>
                <w:szCs w:val="22"/>
                <w:lang w:eastAsia="lv-LV"/>
              </w:rPr>
            </w:pPr>
            <w:r>
              <w:rPr>
                <w:color w:val="000000"/>
                <w:sz w:val="22"/>
                <w:szCs w:val="22"/>
                <w:lang w:eastAsia="lv-LV"/>
              </w:rPr>
              <w:t>0</w:t>
            </w:r>
          </w:p>
        </w:tc>
        <w:tc>
          <w:tcPr>
            <w:tcW w:w="516" w:type="pct"/>
            <w:shd w:val="clear" w:color="auto" w:fill="auto"/>
            <w:noWrap/>
            <w:vAlign w:val="bottom"/>
            <w:hideMark/>
          </w:tcPr>
          <w:p w14:paraId="3C2A40C7"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519" w:type="pct"/>
            <w:shd w:val="clear" w:color="auto" w:fill="auto"/>
            <w:noWrap/>
            <w:vAlign w:val="bottom"/>
            <w:hideMark/>
          </w:tcPr>
          <w:p w14:paraId="3C03EF21"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43" w:type="pct"/>
            <w:shd w:val="clear" w:color="auto" w:fill="auto"/>
            <w:noWrap/>
            <w:vAlign w:val="bottom"/>
            <w:hideMark/>
          </w:tcPr>
          <w:p w14:paraId="7DF9A0D9"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23" w:type="pct"/>
            <w:shd w:val="clear" w:color="auto" w:fill="auto"/>
            <w:noWrap/>
            <w:vAlign w:val="bottom"/>
            <w:hideMark/>
          </w:tcPr>
          <w:p w14:paraId="6C9C9931"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4</w:t>
            </w:r>
          </w:p>
        </w:tc>
      </w:tr>
      <w:tr w:rsidR="005F683F" w:rsidRPr="00DF33A5" w14:paraId="7281AD6C" w14:textId="77777777" w:rsidTr="00DD6363">
        <w:trPr>
          <w:trHeight w:val="300"/>
        </w:trPr>
        <w:tc>
          <w:tcPr>
            <w:tcW w:w="368" w:type="pct"/>
            <w:vAlign w:val="center"/>
          </w:tcPr>
          <w:p w14:paraId="01EE4B2A" w14:textId="77777777" w:rsidR="00F322FE" w:rsidRPr="006C195E" w:rsidRDefault="00F322FE" w:rsidP="00AB5566">
            <w:pPr>
              <w:jc w:val="left"/>
              <w:rPr>
                <w:color w:val="000000"/>
                <w:sz w:val="22"/>
                <w:szCs w:val="22"/>
                <w:lang w:eastAsia="lv-LV"/>
              </w:rPr>
            </w:pPr>
            <w:r>
              <w:rPr>
                <w:color w:val="000000"/>
                <w:sz w:val="22"/>
                <w:szCs w:val="22"/>
                <w:lang w:eastAsia="lv-LV"/>
              </w:rPr>
              <w:t>20.</w:t>
            </w:r>
          </w:p>
        </w:tc>
        <w:tc>
          <w:tcPr>
            <w:tcW w:w="592" w:type="pct"/>
            <w:shd w:val="clear" w:color="auto" w:fill="auto"/>
            <w:noWrap/>
            <w:vAlign w:val="bottom"/>
            <w:hideMark/>
          </w:tcPr>
          <w:p w14:paraId="2DC64680" w14:textId="77777777" w:rsidR="00F322FE" w:rsidRPr="005F683F" w:rsidRDefault="00F322FE" w:rsidP="00DF33A5">
            <w:pPr>
              <w:jc w:val="left"/>
              <w:rPr>
                <w:color w:val="000000"/>
                <w:sz w:val="20"/>
                <w:lang w:eastAsia="lv-LV"/>
              </w:rPr>
            </w:pPr>
            <w:r w:rsidRPr="005F683F">
              <w:rPr>
                <w:color w:val="000000"/>
                <w:sz w:val="20"/>
                <w:lang w:eastAsia="lv-LV"/>
              </w:rPr>
              <w:t>BSA</w:t>
            </w:r>
          </w:p>
        </w:tc>
        <w:tc>
          <w:tcPr>
            <w:tcW w:w="664" w:type="pct"/>
            <w:shd w:val="clear" w:color="auto" w:fill="auto"/>
            <w:noWrap/>
            <w:vAlign w:val="bottom"/>
            <w:hideMark/>
          </w:tcPr>
          <w:p w14:paraId="2A8B77D7" w14:textId="77777777" w:rsidR="00F322FE" w:rsidRPr="00DF33A5" w:rsidRDefault="00F322FE" w:rsidP="006C195E">
            <w:pPr>
              <w:jc w:val="center"/>
              <w:rPr>
                <w:color w:val="000000"/>
                <w:sz w:val="22"/>
                <w:szCs w:val="22"/>
                <w:lang w:eastAsia="lv-LV"/>
              </w:rPr>
            </w:pPr>
            <w:r w:rsidRPr="00DF33A5">
              <w:rPr>
                <w:color w:val="000000"/>
                <w:sz w:val="22"/>
                <w:szCs w:val="22"/>
                <w:lang w:eastAsia="lv-LV"/>
              </w:rPr>
              <w:t>1</w:t>
            </w:r>
          </w:p>
        </w:tc>
        <w:tc>
          <w:tcPr>
            <w:tcW w:w="885" w:type="pct"/>
            <w:shd w:val="clear" w:color="auto" w:fill="auto"/>
            <w:noWrap/>
            <w:vAlign w:val="bottom"/>
            <w:hideMark/>
          </w:tcPr>
          <w:p w14:paraId="43814DB2"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590" w:type="pct"/>
          </w:tcPr>
          <w:p w14:paraId="528E704B" w14:textId="77777777" w:rsidR="00F322FE" w:rsidRPr="00DF33A5" w:rsidRDefault="00DA1482" w:rsidP="006C195E">
            <w:pPr>
              <w:jc w:val="center"/>
              <w:rPr>
                <w:color w:val="000000"/>
                <w:sz w:val="22"/>
                <w:szCs w:val="22"/>
                <w:lang w:eastAsia="lv-LV"/>
              </w:rPr>
            </w:pPr>
            <w:r>
              <w:rPr>
                <w:color w:val="000000"/>
                <w:sz w:val="22"/>
                <w:szCs w:val="22"/>
                <w:lang w:eastAsia="lv-LV"/>
              </w:rPr>
              <w:t>0</w:t>
            </w:r>
          </w:p>
        </w:tc>
        <w:tc>
          <w:tcPr>
            <w:tcW w:w="516" w:type="pct"/>
            <w:shd w:val="clear" w:color="auto" w:fill="auto"/>
            <w:noWrap/>
            <w:vAlign w:val="bottom"/>
            <w:hideMark/>
          </w:tcPr>
          <w:p w14:paraId="3D76C3CA" w14:textId="77777777" w:rsidR="00F322FE" w:rsidRPr="00DF33A5" w:rsidRDefault="00F322FE" w:rsidP="006C195E">
            <w:pPr>
              <w:jc w:val="center"/>
              <w:rPr>
                <w:color w:val="000000"/>
                <w:sz w:val="22"/>
                <w:szCs w:val="22"/>
                <w:lang w:eastAsia="lv-LV"/>
              </w:rPr>
            </w:pPr>
            <w:r w:rsidRPr="00DF33A5">
              <w:rPr>
                <w:color w:val="000000"/>
                <w:sz w:val="22"/>
                <w:szCs w:val="22"/>
                <w:lang w:eastAsia="lv-LV"/>
              </w:rPr>
              <w:t>3</w:t>
            </w:r>
          </w:p>
        </w:tc>
        <w:tc>
          <w:tcPr>
            <w:tcW w:w="519" w:type="pct"/>
            <w:shd w:val="clear" w:color="auto" w:fill="auto"/>
            <w:noWrap/>
            <w:vAlign w:val="bottom"/>
            <w:hideMark/>
          </w:tcPr>
          <w:p w14:paraId="1041EE5C"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43" w:type="pct"/>
            <w:shd w:val="clear" w:color="auto" w:fill="auto"/>
            <w:noWrap/>
            <w:vAlign w:val="bottom"/>
            <w:hideMark/>
          </w:tcPr>
          <w:p w14:paraId="4C61E7F5"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23" w:type="pct"/>
            <w:shd w:val="clear" w:color="auto" w:fill="auto"/>
            <w:noWrap/>
            <w:vAlign w:val="bottom"/>
            <w:hideMark/>
          </w:tcPr>
          <w:p w14:paraId="630C861B"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4</w:t>
            </w:r>
          </w:p>
        </w:tc>
      </w:tr>
      <w:tr w:rsidR="005F683F" w:rsidRPr="00DF33A5" w14:paraId="4ECFB701" w14:textId="77777777" w:rsidTr="00DD6363">
        <w:trPr>
          <w:trHeight w:val="300"/>
        </w:trPr>
        <w:tc>
          <w:tcPr>
            <w:tcW w:w="368" w:type="pct"/>
            <w:vAlign w:val="center"/>
          </w:tcPr>
          <w:p w14:paraId="73E6EC7C" w14:textId="77777777" w:rsidR="00F322FE" w:rsidRPr="006C195E" w:rsidRDefault="00F322FE" w:rsidP="00AB5566">
            <w:pPr>
              <w:jc w:val="left"/>
              <w:rPr>
                <w:color w:val="000000"/>
                <w:sz w:val="22"/>
                <w:szCs w:val="22"/>
                <w:lang w:eastAsia="lv-LV"/>
              </w:rPr>
            </w:pPr>
            <w:r>
              <w:rPr>
                <w:color w:val="000000"/>
                <w:sz w:val="22"/>
                <w:szCs w:val="22"/>
                <w:lang w:eastAsia="lv-LV"/>
              </w:rPr>
              <w:t>21.</w:t>
            </w:r>
          </w:p>
        </w:tc>
        <w:tc>
          <w:tcPr>
            <w:tcW w:w="592" w:type="pct"/>
            <w:shd w:val="clear" w:color="auto" w:fill="auto"/>
            <w:noWrap/>
            <w:vAlign w:val="bottom"/>
            <w:hideMark/>
          </w:tcPr>
          <w:p w14:paraId="7D0B52BF" w14:textId="77777777" w:rsidR="00F322FE" w:rsidRPr="005F683F" w:rsidRDefault="00F322FE" w:rsidP="00DF33A5">
            <w:pPr>
              <w:jc w:val="left"/>
              <w:rPr>
                <w:color w:val="000000"/>
                <w:sz w:val="20"/>
                <w:lang w:eastAsia="lv-LV"/>
              </w:rPr>
            </w:pPr>
            <w:r w:rsidRPr="005F683F">
              <w:rPr>
                <w:color w:val="000000"/>
                <w:sz w:val="20"/>
                <w:lang w:eastAsia="lv-LV"/>
              </w:rPr>
              <w:t>LA</w:t>
            </w:r>
          </w:p>
        </w:tc>
        <w:tc>
          <w:tcPr>
            <w:tcW w:w="664" w:type="pct"/>
            <w:shd w:val="clear" w:color="auto" w:fill="auto"/>
            <w:noWrap/>
            <w:vAlign w:val="bottom"/>
            <w:hideMark/>
          </w:tcPr>
          <w:p w14:paraId="36725369"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885" w:type="pct"/>
            <w:shd w:val="clear" w:color="auto" w:fill="auto"/>
            <w:noWrap/>
            <w:vAlign w:val="bottom"/>
            <w:hideMark/>
          </w:tcPr>
          <w:p w14:paraId="5AF6BDE2"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590" w:type="pct"/>
          </w:tcPr>
          <w:p w14:paraId="46DF5FAB" w14:textId="77777777" w:rsidR="00F322FE" w:rsidRPr="00DF33A5" w:rsidRDefault="00DA1482" w:rsidP="006C195E">
            <w:pPr>
              <w:jc w:val="center"/>
              <w:rPr>
                <w:color w:val="000000"/>
                <w:sz w:val="22"/>
                <w:szCs w:val="22"/>
                <w:lang w:eastAsia="lv-LV"/>
              </w:rPr>
            </w:pPr>
            <w:r>
              <w:rPr>
                <w:color w:val="000000"/>
                <w:sz w:val="22"/>
                <w:szCs w:val="22"/>
                <w:lang w:eastAsia="lv-LV"/>
              </w:rPr>
              <w:t>0</w:t>
            </w:r>
          </w:p>
        </w:tc>
        <w:tc>
          <w:tcPr>
            <w:tcW w:w="516" w:type="pct"/>
            <w:shd w:val="clear" w:color="auto" w:fill="auto"/>
            <w:noWrap/>
            <w:vAlign w:val="bottom"/>
            <w:hideMark/>
          </w:tcPr>
          <w:p w14:paraId="0265F16D" w14:textId="77777777" w:rsidR="00F322FE" w:rsidRPr="00DF33A5" w:rsidRDefault="00F322FE" w:rsidP="006C195E">
            <w:pPr>
              <w:jc w:val="center"/>
              <w:rPr>
                <w:color w:val="000000"/>
                <w:sz w:val="22"/>
                <w:szCs w:val="22"/>
                <w:lang w:eastAsia="lv-LV"/>
              </w:rPr>
            </w:pPr>
            <w:r w:rsidRPr="00DF33A5">
              <w:rPr>
                <w:color w:val="000000"/>
                <w:sz w:val="22"/>
                <w:szCs w:val="22"/>
                <w:lang w:eastAsia="lv-LV"/>
              </w:rPr>
              <w:t>1</w:t>
            </w:r>
          </w:p>
        </w:tc>
        <w:tc>
          <w:tcPr>
            <w:tcW w:w="519" w:type="pct"/>
            <w:shd w:val="clear" w:color="auto" w:fill="auto"/>
            <w:noWrap/>
            <w:vAlign w:val="bottom"/>
            <w:hideMark/>
          </w:tcPr>
          <w:p w14:paraId="1BEB8EF5"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43" w:type="pct"/>
            <w:shd w:val="clear" w:color="auto" w:fill="auto"/>
            <w:noWrap/>
            <w:vAlign w:val="bottom"/>
            <w:hideMark/>
          </w:tcPr>
          <w:p w14:paraId="36D814DD" w14:textId="77777777" w:rsidR="00F322FE" w:rsidRPr="00DF33A5" w:rsidRDefault="00F322FE" w:rsidP="006C195E">
            <w:pPr>
              <w:jc w:val="center"/>
              <w:rPr>
                <w:color w:val="000000"/>
                <w:sz w:val="22"/>
                <w:szCs w:val="22"/>
                <w:lang w:eastAsia="lv-LV"/>
              </w:rPr>
            </w:pPr>
            <w:r w:rsidRPr="00DF33A5">
              <w:rPr>
                <w:color w:val="000000"/>
                <w:sz w:val="22"/>
                <w:szCs w:val="22"/>
                <w:lang w:eastAsia="lv-LV"/>
              </w:rPr>
              <w:t>0</w:t>
            </w:r>
          </w:p>
        </w:tc>
        <w:tc>
          <w:tcPr>
            <w:tcW w:w="423" w:type="pct"/>
            <w:shd w:val="clear" w:color="auto" w:fill="auto"/>
            <w:noWrap/>
            <w:vAlign w:val="bottom"/>
            <w:hideMark/>
          </w:tcPr>
          <w:p w14:paraId="1AA5342F" w14:textId="77777777" w:rsidR="00F322FE" w:rsidRPr="006C195E" w:rsidRDefault="00F322FE" w:rsidP="006C195E">
            <w:pPr>
              <w:jc w:val="center"/>
              <w:rPr>
                <w:b/>
                <w:color w:val="000000"/>
                <w:sz w:val="22"/>
                <w:szCs w:val="22"/>
                <w:lang w:eastAsia="lv-LV"/>
              </w:rPr>
            </w:pPr>
            <w:r w:rsidRPr="006C195E">
              <w:rPr>
                <w:b/>
                <w:color w:val="000000"/>
                <w:sz w:val="22"/>
                <w:szCs w:val="22"/>
                <w:lang w:eastAsia="lv-LV"/>
              </w:rPr>
              <w:t>1</w:t>
            </w:r>
          </w:p>
        </w:tc>
      </w:tr>
      <w:tr w:rsidR="005F683F" w:rsidRPr="00DF33A5" w14:paraId="6392B858" w14:textId="77777777" w:rsidTr="00DD6363">
        <w:trPr>
          <w:trHeight w:val="300"/>
        </w:trPr>
        <w:tc>
          <w:tcPr>
            <w:tcW w:w="368" w:type="pct"/>
            <w:vAlign w:val="center"/>
          </w:tcPr>
          <w:p w14:paraId="11AC8997" w14:textId="77777777" w:rsidR="00F322FE" w:rsidRPr="006C195E" w:rsidRDefault="00F322FE" w:rsidP="00AB5566">
            <w:pPr>
              <w:jc w:val="left"/>
              <w:rPr>
                <w:color w:val="000000"/>
                <w:sz w:val="22"/>
                <w:szCs w:val="22"/>
                <w:lang w:eastAsia="lv-LV"/>
              </w:rPr>
            </w:pPr>
            <w:r>
              <w:rPr>
                <w:color w:val="000000"/>
                <w:sz w:val="22"/>
                <w:szCs w:val="22"/>
                <w:lang w:eastAsia="lv-LV"/>
              </w:rPr>
              <w:t>22.</w:t>
            </w:r>
          </w:p>
        </w:tc>
        <w:tc>
          <w:tcPr>
            <w:tcW w:w="592" w:type="pct"/>
            <w:shd w:val="clear" w:color="auto" w:fill="auto"/>
            <w:noWrap/>
            <w:vAlign w:val="bottom"/>
          </w:tcPr>
          <w:p w14:paraId="232732BC" w14:textId="77777777" w:rsidR="00F322FE" w:rsidRPr="005F683F" w:rsidRDefault="00F322FE" w:rsidP="00EA601B">
            <w:pPr>
              <w:jc w:val="left"/>
              <w:rPr>
                <w:color w:val="000000"/>
                <w:sz w:val="20"/>
                <w:lang w:eastAsia="lv-LV"/>
              </w:rPr>
            </w:pPr>
            <w:proofErr w:type="spellStart"/>
            <w:r w:rsidRPr="005F683F">
              <w:rPr>
                <w:color w:val="000000"/>
                <w:sz w:val="20"/>
                <w:lang w:eastAsia="lv-LV"/>
              </w:rPr>
              <w:t>LKrA</w:t>
            </w:r>
            <w:proofErr w:type="spellEnd"/>
          </w:p>
        </w:tc>
        <w:tc>
          <w:tcPr>
            <w:tcW w:w="664" w:type="pct"/>
            <w:shd w:val="clear" w:color="auto" w:fill="auto"/>
            <w:noWrap/>
            <w:vAlign w:val="bottom"/>
          </w:tcPr>
          <w:p w14:paraId="31D217B6" w14:textId="77777777" w:rsidR="00F322FE" w:rsidRPr="00DF33A5" w:rsidRDefault="00F322FE" w:rsidP="00EA601B">
            <w:pPr>
              <w:jc w:val="center"/>
              <w:rPr>
                <w:color w:val="000000"/>
                <w:sz w:val="22"/>
                <w:szCs w:val="22"/>
                <w:lang w:eastAsia="lv-LV"/>
              </w:rPr>
            </w:pPr>
            <w:r w:rsidRPr="00DF33A5">
              <w:rPr>
                <w:color w:val="000000"/>
                <w:sz w:val="22"/>
                <w:szCs w:val="22"/>
                <w:lang w:eastAsia="lv-LV"/>
              </w:rPr>
              <w:t>0</w:t>
            </w:r>
          </w:p>
        </w:tc>
        <w:tc>
          <w:tcPr>
            <w:tcW w:w="885" w:type="pct"/>
            <w:shd w:val="clear" w:color="auto" w:fill="auto"/>
            <w:noWrap/>
            <w:vAlign w:val="bottom"/>
          </w:tcPr>
          <w:p w14:paraId="63E46A8C" w14:textId="77777777" w:rsidR="00F322FE" w:rsidRPr="00DF33A5" w:rsidRDefault="00F322FE" w:rsidP="00EA601B">
            <w:pPr>
              <w:jc w:val="center"/>
              <w:rPr>
                <w:color w:val="000000"/>
                <w:sz w:val="22"/>
                <w:szCs w:val="22"/>
                <w:lang w:eastAsia="lv-LV"/>
              </w:rPr>
            </w:pPr>
            <w:r w:rsidRPr="00DF33A5">
              <w:rPr>
                <w:color w:val="000000"/>
                <w:sz w:val="22"/>
                <w:szCs w:val="22"/>
                <w:lang w:eastAsia="lv-LV"/>
              </w:rPr>
              <w:t>0</w:t>
            </w:r>
          </w:p>
        </w:tc>
        <w:tc>
          <w:tcPr>
            <w:tcW w:w="590" w:type="pct"/>
          </w:tcPr>
          <w:p w14:paraId="4CD856FF" w14:textId="77777777" w:rsidR="00F322FE" w:rsidRPr="00DF33A5" w:rsidRDefault="00DA1482" w:rsidP="00EA601B">
            <w:pPr>
              <w:jc w:val="center"/>
              <w:rPr>
                <w:color w:val="000000"/>
                <w:sz w:val="22"/>
                <w:szCs w:val="22"/>
                <w:lang w:eastAsia="lv-LV"/>
              </w:rPr>
            </w:pPr>
            <w:r>
              <w:rPr>
                <w:color w:val="000000"/>
                <w:sz w:val="22"/>
                <w:szCs w:val="22"/>
                <w:lang w:eastAsia="lv-LV"/>
              </w:rPr>
              <w:t>0</w:t>
            </w:r>
          </w:p>
        </w:tc>
        <w:tc>
          <w:tcPr>
            <w:tcW w:w="516" w:type="pct"/>
            <w:shd w:val="clear" w:color="auto" w:fill="auto"/>
            <w:noWrap/>
            <w:vAlign w:val="bottom"/>
          </w:tcPr>
          <w:p w14:paraId="228E622F" w14:textId="77777777" w:rsidR="00F322FE" w:rsidRPr="00DF33A5" w:rsidRDefault="00F322FE" w:rsidP="00EA601B">
            <w:pPr>
              <w:jc w:val="center"/>
              <w:rPr>
                <w:color w:val="000000"/>
                <w:sz w:val="22"/>
                <w:szCs w:val="22"/>
                <w:lang w:eastAsia="lv-LV"/>
              </w:rPr>
            </w:pPr>
            <w:r w:rsidRPr="00DF33A5">
              <w:rPr>
                <w:color w:val="000000"/>
                <w:sz w:val="22"/>
                <w:szCs w:val="22"/>
                <w:lang w:eastAsia="lv-LV"/>
              </w:rPr>
              <w:t>2</w:t>
            </w:r>
          </w:p>
        </w:tc>
        <w:tc>
          <w:tcPr>
            <w:tcW w:w="519" w:type="pct"/>
            <w:shd w:val="clear" w:color="auto" w:fill="auto"/>
            <w:noWrap/>
            <w:vAlign w:val="bottom"/>
          </w:tcPr>
          <w:p w14:paraId="4B596DFB" w14:textId="77777777" w:rsidR="00F322FE" w:rsidRPr="00DF33A5" w:rsidRDefault="00F322FE" w:rsidP="00EA601B">
            <w:pPr>
              <w:jc w:val="center"/>
              <w:rPr>
                <w:color w:val="000000"/>
                <w:sz w:val="22"/>
                <w:szCs w:val="22"/>
                <w:lang w:eastAsia="lv-LV"/>
              </w:rPr>
            </w:pPr>
            <w:r w:rsidRPr="00DF33A5">
              <w:rPr>
                <w:color w:val="000000"/>
                <w:sz w:val="22"/>
                <w:szCs w:val="22"/>
                <w:lang w:eastAsia="lv-LV"/>
              </w:rPr>
              <w:t>0</w:t>
            </w:r>
          </w:p>
        </w:tc>
        <w:tc>
          <w:tcPr>
            <w:tcW w:w="443" w:type="pct"/>
            <w:shd w:val="clear" w:color="auto" w:fill="auto"/>
            <w:noWrap/>
            <w:vAlign w:val="bottom"/>
          </w:tcPr>
          <w:p w14:paraId="40DD05E8" w14:textId="77777777" w:rsidR="00F322FE" w:rsidRPr="00DF33A5" w:rsidRDefault="00F322FE" w:rsidP="00EA601B">
            <w:pPr>
              <w:jc w:val="center"/>
              <w:rPr>
                <w:color w:val="000000"/>
                <w:sz w:val="22"/>
                <w:szCs w:val="22"/>
                <w:lang w:eastAsia="lv-LV"/>
              </w:rPr>
            </w:pPr>
            <w:r w:rsidRPr="00DF33A5">
              <w:rPr>
                <w:color w:val="000000"/>
                <w:sz w:val="22"/>
                <w:szCs w:val="22"/>
                <w:lang w:eastAsia="lv-LV"/>
              </w:rPr>
              <w:t>0</w:t>
            </w:r>
          </w:p>
        </w:tc>
        <w:tc>
          <w:tcPr>
            <w:tcW w:w="423" w:type="pct"/>
            <w:shd w:val="clear" w:color="auto" w:fill="auto"/>
            <w:noWrap/>
            <w:vAlign w:val="bottom"/>
          </w:tcPr>
          <w:p w14:paraId="7A38794F" w14:textId="77777777" w:rsidR="00F322FE" w:rsidRPr="006C195E" w:rsidRDefault="00F322FE" w:rsidP="00EA601B">
            <w:pPr>
              <w:jc w:val="center"/>
              <w:rPr>
                <w:b/>
                <w:color w:val="000000"/>
                <w:sz w:val="22"/>
                <w:szCs w:val="22"/>
                <w:lang w:eastAsia="lv-LV"/>
              </w:rPr>
            </w:pPr>
            <w:r w:rsidRPr="006C195E">
              <w:rPr>
                <w:b/>
                <w:color w:val="000000"/>
                <w:sz w:val="22"/>
                <w:szCs w:val="22"/>
                <w:lang w:eastAsia="lv-LV"/>
              </w:rPr>
              <w:t>2</w:t>
            </w:r>
          </w:p>
        </w:tc>
      </w:tr>
      <w:tr w:rsidR="005F683F" w:rsidRPr="00DF33A5" w14:paraId="36AC5FFC" w14:textId="77777777" w:rsidTr="00AC3901">
        <w:trPr>
          <w:trHeight w:val="300"/>
        </w:trPr>
        <w:tc>
          <w:tcPr>
            <w:tcW w:w="960" w:type="pct"/>
            <w:gridSpan w:val="2"/>
            <w:shd w:val="clear" w:color="auto" w:fill="D9D9D9" w:themeFill="background1" w:themeFillShade="D9"/>
          </w:tcPr>
          <w:p w14:paraId="0EB6F07F" w14:textId="77777777" w:rsidR="00F322FE" w:rsidRPr="00AC3901" w:rsidRDefault="00F322FE" w:rsidP="00DF33A5">
            <w:pPr>
              <w:jc w:val="left"/>
              <w:rPr>
                <w:b/>
                <w:color w:val="000000"/>
                <w:sz w:val="22"/>
                <w:szCs w:val="22"/>
                <w:lang w:eastAsia="lv-LV"/>
              </w:rPr>
            </w:pPr>
            <w:r w:rsidRPr="00AC3901">
              <w:rPr>
                <w:b/>
                <w:color w:val="000000"/>
                <w:sz w:val="22"/>
                <w:szCs w:val="22"/>
                <w:lang w:eastAsia="lv-LV"/>
              </w:rPr>
              <w:t>Kopā privātās augstskolas</w:t>
            </w:r>
          </w:p>
        </w:tc>
        <w:tc>
          <w:tcPr>
            <w:tcW w:w="664" w:type="pct"/>
            <w:shd w:val="clear" w:color="auto" w:fill="D9D9D9" w:themeFill="background1" w:themeFillShade="D9"/>
            <w:noWrap/>
            <w:vAlign w:val="center"/>
          </w:tcPr>
          <w:p w14:paraId="1B34FA87" w14:textId="77777777" w:rsidR="00F322FE" w:rsidRPr="00D14275" w:rsidRDefault="00F322FE" w:rsidP="00DD6363">
            <w:pPr>
              <w:jc w:val="center"/>
              <w:rPr>
                <w:b/>
                <w:color w:val="000000"/>
                <w:sz w:val="22"/>
                <w:szCs w:val="22"/>
                <w:lang w:eastAsia="lv-LV"/>
              </w:rPr>
            </w:pPr>
            <w:r w:rsidRPr="00D14275">
              <w:rPr>
                <w:b/>
                <w:color w:val="000000"/>
                <w:sz w:val="22"/>
                <w:szCs w:val="22"/>
                <w:lang w:eastAsia="lv-LV"/>
              </w:rPr>
              <w:t>7</w:t>
            </w:r>
          </w:p>
        </w:tc>
        <w:tc>
          <w:tcPr>
            <w:tcW w:w="885" w:type="pct"/>
            <w:shd w:val="clear" w:color="auto" w:fill="D9D9D9" w:themeFill="background1" w:themeFillShade="D9"/>
            <w:noWrap/>
            <w:vAlign w:val="center"/>
          </w:tcPr>
          <w:p w14:paraId="5A7BBDF8" w14:textId="77777777" w:rsidR="00F322FE" w:rsidRPr="00D14275" w:rsidRDefault="00F322FE" w:rsidP="00DD6363">
            <w:pPr>
              <w:jc w:val="center"/>
              <w:rPr>
                <w:b/>
                <w:color w:val="000000"/>
                <w:sz w:val="22"/>
                <w:szCs w:val="22"/>
                <w:lang w:eastAsia="lv-LV"/>
              </w:rPr>
            </w:pPr>
            <w:r w:rsidRPr="00D14275">
              <w:rPr>
                <w:b/>
                <w:color w:val="000000"/>
                <w:sz w:val="22"/>
                <w:szCs w:val="22"/>
                <w:lang w:eastAsia="lv-LV"/>
              </w:rPr>
              <w:t>14</w:t>
            </w:r>
          </w:p>
        </w:tc>
        <w:tc>
          <w:tcPr>
            <w:tcW w:w="590" w:type="pct"/>
            <w:shd w:val="clear" w:color="auto" w:fill="D9D9D9" w:themeFill="background1" w:themeFillShade="D9"/>
            <w:vAlign w:val="center"/>
          </w:tcPr>
          <w:p w14:paraId="5833C462" w14:textId="77777777" w:rsidR="00F322FE" w:rsidRPr="00D14275" w:rsidRDefault="00DA1482" w:rsidP="00DD6363">
            <w:pPr>
              <w:jc w:val="center"/>
              <w:rPr>
                <w:b/>
                <w:color w:val="000000"/>
                <w:sz w:val="22"/>
                <w:szCs w:val="22"/>
                <w:lang w:eastAsia="lv-LV"/>
              </w:rPr>
            </w:pPr>
            <w:r>
              <w:rPr>
                <w:b/>
                <w:color w:val="000000"/>
                <w:sz w:val="22"/>
                <w:szCs w:val="22"/>
                <w:lang w:eastAsia="lv-LV"/>
              </w:rPr>
              <w:t>0</w:t>
            </w:r>
          </w:p>
        </w:tc>
        <w:tc>
          <w:tcPr>
            <w:tcW w:w="516" w:type="pct"/>
            <w:shd w:val="clear" w:color="auto" w:fill="D9D9D9" w:themeFill="background1" w:themeFillShade="D9"/>
            <w:noWrap/>
            <w:vAlign w:val="center"/>
          </w:tcPr>
          <w:p w14:paraId="5501D604" w14:textId="77777777" w:rsidR="00F322FE" w:rsidRPr="00D14275" w:rsidRDefault="00F322FE" w:rsidP="00DD6363">
            <w:pPr>
              <w:jc w:val="center"/>
              <w:rPr>
                <w:b/>
                <w:color w:val="000000"/>
                <w:sz w:val="22"/>
                <w:szCs w:val="22"/>
                <w:lang w:eastAsia="lv-LV"/>
              </w:rPr>
            </w:pPr>
            <w:r w:rsidRPr="00D14275">
              <w:rPr>
                <w:b/>
                <w:color w:val="000000"/>
                <w:sz w:val="22"/>
                <w:szCs w:val="22"/>
                <w:lang w:eastAsia="lv-LV"/>
              </w:rPr>
              <w:t>10</w:t>
            </w:r>
          </w:p>
        </w:tc>
        <w:tc>
          <w:tcPr>
            <w:tcW w:w="519" w:type="pct"/>
            <w:shd w:val="clear" w:color="auto" w:fill="D9D9D9" w:themeFill="background1" w:themeFillShade="D9"/>
            <w:noWrap/>
            <w:vAlign w:val="center"/>
          </w:tcPr>
          <w:p w14:paraId="427C3F4E" w14:textId="77777777" w:rsidR="00F322FE" w:rsidRPr="00D14275" w:rsidRDefault="00F322FE" w:rsidP="00DD6363">
            <w:pPr>
              <w:jc w:val="center"/>
              <w:rPr>
                <w:b/>
                <w:color w:val="000000"/>
                <w:sz w:val="22"/>
                <w:szCs w:val="22"/>
                <w:lang w:eastAsia="lv-LV"/>
              </w:rPr>
            </w:pPr>
            <w:r>
              <w:rPr>
                <w:b/>
                <w:color w:val="000000"/>
                <w:sz w:val="22"/>
                <w:szCs w:val="22"/>
                <w:lang w:eastAsia="lv-LV"/>
              </w:rPr>
              <w:t>0</w:t>
            </w:r>
          </w:p>
        </w:tc>
        <w:tc>
          <w:tcPr>
            <w:tcW w:w="443" w:type="pct"/>
            <w:shd w:val="clear" w:color="auto" w:fill="D9D9D9" w:themeFill="background1" w:themeFillShade="D9"/>
            <w:noWrap/>
            <w:vAlign w:val="center"/>
          </w:tcPr>
          <w:p w14:paraId="339563BC" w14:textId="77777777" w:rsidR="00F322FE" w:rsidRPr="00D14275" w:rsidRDefault="00F322FE" w:rsidP="00DD6363">
            <w:pPr>
              <w:jc w:val="center"/>
              <w:rPr>
                <w:b/>
                <w:color w:val="000000"/>
                <w:sz w:val="22"/>
                <w:szCs w:val="22"/>
                <w:lang w:eastAsia="lv-LV"/>
              </w:rPr>
            </w:pPr>
            <w:r>
              <w:rPr>
                <w:b/>
                <w:color w:val="000000"/>
                <w:sz w:val="22"/>
                <w:szCs w:val="22"/>
                <w:lang w:eastAsia="lv-LV"/>
              </w:rPr>
              <w:t>0</w:t>
            </w:r>
          </w:p>
        </w:tc>
        <w:tc>
          <w:tcPr>
            <w:tcW w:w="423" w:type="pct"/>
            <w:shd w:val="clear" w:color="auto" w:fill="D9D9D9" w:themeFill="background1" w:themeFillShade="D9"/>
            <w:noWrap/>
            <w:vAlign w:val="center"/>
          </w:tcPr>
          <w:p w14:paraId="051FF952" w14:textId="77777777" w:rsidR="00F322FE" w:rsidRPr="00D14275" w:rsidRDefault="00F322FE" w:rsidP="00DD6363">
            <w:pPr>
              <w:jc w:val="center"/>
              <w:rPr>
                <w:b/>
                <w:color w:val="000000"/>
                <w:sz w:val="22"/>
                <w:szCs w:val="22"/>
                <w:lang w:eastAsia="lv-LV"/>
              </w:rPr>
            </w:pPr>
            <w:r>
              <w:rPr>
                <w:b/>
                <w:color w:val="000000"/>
                <w:sz w:val="22"/>
                <w:szCs w:val="22"/>
                <w:lang w:eastAsia="lv-LV"/>
              </w:rPr>
              <w:t>31</w:t>
            </w:r>
          </w:p>
        </w:tc>
      </w:tr>
      <w:tr w:rsidR="005F683F" w:rsidRPr="00DF33A5" w14:paraId="56979BE1" w14:textId="77777777" w:rsidTr="00AC3901">
        <w:trPr>
          <w:trHeight w:val="529"/>
        </w:trPr>
        <w:tc>
          <w:tcPr>
            <w:tcW w:w="960" w:type="pct"/>
            <w:gridSpan w:val="2"/>
            <w:shd w:val="clear" w:color="auto" w:fill="D9D9D9" w:themeFill="background1" w:themeFillShade="D9"/>
            <w:vAlign w:val="center"/>
          </w:tcPr>
          <w:p w14:paraId="0DEB0BEF" w14:textId="77777777" w:rsidR="00F322FE" w:rsidRPr="006C195E" w:rsidRDefault="00DD6363" w:rsidP="00AC3901">
            <w:pPr>
              <w:jc w:val="right"/>
              <w:rPr>
                <w:b/>
                <w:color w:val="000000"/>
                <w:sz w:val="22"/>
                <w:szCs w:val="22"/>
                <w:lang w:eastAsia="lv-LV"/>
              </w:rPr>
            </w:pPr>
            <w:r>
              <w:rPr>
                <w:b/>
                <w:color w:val="000000"/>
                <w:sz w:val="22"/>
                <w:szCs w:val="22"/>
                <w:lang w:eastAsia="lv-LV"/>
              </w:rPr>
              <w:t>KOPĀ</w:t>
            </w:r>
            <w:r w:rsidR="00AC3901">
              <w:rPr>
                <w:b/>
                <w:color w:val="000000"/>
                <w:sz w:val="22"/>
                <w:szCs w:val="22"/>
                <w:lang w:eastAsia="lv-LV"/>
              </w:rPr>
              <w:t xml:space="preserve"> </w:t>
            </w:r>
          </w:p>
        </w:tc>
        <w:tc>
          <w:tcPr>
            <w:tcW w:w="664" w:type="pct"/>
            <w:shd w:val="clear" w:color="auto" w:fill="D9D9D9" w:themeFill="background1" w:themeFillShade="D9"/>
            <w:noWrap/>
            <w:vAlign w:val="center"/>
          </w:tcPr>
          <w:p w14:paraId="0D358AF2" w14:textId="77777777" w:rsidR="00F322FE" w:rsidRPr="006C195E" w:rsidRDefault="00F322FE" w:rsidP="00DD6363">
            <w:pPr>
              <w:jc w:val="center"/>
              <w:rPr>
                <w:b/>
                <w:color w:val="000000"/>
                <w:sz w:val="22"/>
                <w:szCs w:val="22"/>
                <w:lang w:eastAsia="lv-LV"/>
              </w:rPr>
            </w:pPr>
            <w:r w:rsidRPr="006C195E">
              <w:rPr>
                <w:b/>
                <w:color w:val="000000"/>
                <w:sz w:val="22"/>
                <w:szCs w:val="22"/>
                <w:lang w:eastAsia="lv-LV"/>
              </w:rPr>
              <w:t>82</w:t>
            </w:r>
          </w:p>
        </w:tc>
        <w:tc>
          <w:tcPr>
            <w:tcW w:w="885" w:type="pct"/>
            <w:shd w:val="clear" w:color="auto" w:fill="D9D9D9" w:themeFill="background1" w:themeFillShade="D9"/>
            <w:noWrap/>
            <w:vAlign w:val="center"/>
          </w:tcPr>
          <w:p w14:paraId="5A202574" w14:textId="77777777" w:rsidR="00F322FE" w:rsidRPr="006C195E" w:rsidRDefault="00F322FE" w:rsidP="00DD6363">
            <w:pPr>
              <w:jc w:val="center"/>
              <w:rPr>
                <w:b/>
                <w:color w:val="000000"/>
                <w:sz w:val="22"/>
                <w:szCs w:val="22"/>
                <w:lang w:eastAsia="lv-LV"/>
              </w:rPr>
            </w:pPr>
            <w:r w:rsidRPr="006C195E">
              <w:rPr>
                <w:b/>
                <w:color w:val="000000"/>
                <w:sz w:val="22"/>
                <w:szCs w:val="22"/>
                <w:lang w:eastAsia="lv-LV"/>
              </w:rPr>
              <w:t>15</w:t>
            </w:r>
            <w:r>
              <w:rPr>
                <w:b/>
                <w:color w:val="000000"/>
                <w:sz w:val="22"/>
                <w:szCs w:val="22"/>
                <w:lang w:eastAsia="lv-LV"/>
              </w:rPr>
              <w:t>2</w:t>
            </w:r>
          </w:p>
        </w:tc>
        <w:tc>
          <w:tcPr>
            <w:tcW w:w="590" w:type="pct"/>
            <w:shd w:val="clear" w:color="auto" w:fill="D9D9D9" w:themeFill="background1" w:themeFillShade="D9"/>
            <w:vAlign w:val="center"/>
          </w:tcPr>
          <w:p w14:paraId="1E49AE2E" w14:textId="77777777" w:rsidR="00F322FE" w:rsidRPr="006C195E" w:rsidRDefault="00DA1482" w:rsidP="00DD6363">
            <w:pPr>
              <w:jc w:val="center"/>
              <w:rPr>
                <w:b/>
                <w:color w:val="000000"/>
                <w:sz w:val="22"/>
                <w:szCs w:val="22"/>
                <w:lang w:eastAsia="lv-LV"/>
              </w:rPr>
            </w:pPr>
            <w:r>
              <w:rPr>
                <w:b/>
                <w:color w:val="000000"/>
                <w:sz w:val="22"/>
                <w:szCs w:val="22"/>
                <w:lang w:eastAsia="lv-LV"/>
              </w:rPr>
              <w:t>13</w:t>
            </w:r>
          </w:p>
        </w:tc>
        <w:tc>
          <w:tcPr>
            <w:tcW w:w="516" w:type="pct"/>
            <w:shd w:val="clear" w:color="auto" w:fill="D9D9D9" w:themeFill="background1" w:themeFillShade="D9"/>
            <w:noWrap/>
            <w:vAlign w:val="center"/>
          </w:tcPr>
          <w:p w14:paraId="0BABE8CA" w14:textId="77777777" w:rsidR="00F322FE" w:rsidRPr="006C195E" w:rsidRDefault="00F322FE" w:rsidP="00DD6363">
            <w:pPr>
              <w:jc w:val="center"/>
              <w:rPr>
                <w:b/>
                <w:color w:val="000000"/>
                <w:sz w:val="22"/>
                <w:szCs w:val="22"/>
                <w:lang w:eastAsia="lv-LV"/>
              </w:rPr>
            </w:pPr>
            <w:r w:rsidRPr="006C195E">
              <w:rPr>
                <w:b/>
                <w:color w:val="000000"/>
                <w:sz w:val="22"/>
                <w:szCs w:val="22"/>
                <w:lang w:eastAsia="lv-LV"/>
              </w:rPr>
              <w:t>44</w:t>
            </w:r>
          </w:p>
        </w:tc>
        <w:tc>
          <w:tcPr>
            <w:tcW w:w="519" w:type="pct"/>
            <w:shd w:val="clear" w:color="auto" w:fill="D9D9D9" w:themeFill="background1" w:themeFillShade="D9"/>
            <w:noWrap/>
            <w:vAlign w:val="center"/>
          </w:tcPr>
          <w:p w14:paraId="5D0E4B32" w14:textId="77777777" w:rsidR="00F322FE" w:rsidRPr="006C195E" w:rsidRDefault="00F322FE" w:rsidP="00DD6363">
            <w:pPr>
              <w:jc w:val="center"/>
              <w:rPr>
                <w:b/>
                <w:color w:val="000000"/>
                <w:sz w:val="22"/>
                <w:szCs w:val="22"/>
                <w:lang w:eastAsia="lv-LV"/>
              </w:rPr>
            </w:pPr>
            <w:r w:rsidRPr="006C195E">
              <w:rPr>
                <w:b/>
                <w:color w:val="000000"/>
                <w:sz w:val="22"/>
                <w:szCs w:val="22"/>
                <w:lang w:eastAsia="lv-LV"/>
              </w:rPr>
              <w:t>4</w:t>
            </w:r>
            <w:r w:rsidR="00DA1482">
              <w:rPr>
                <w:b/>
                <w:color w:val="000000"/>
                <w:sz w:val="22"/>
                <w:szCs w:val="22"/>
                <w:lang w:eastAsia="lv-LV"/>
              </w:rPr>
              <w:t>8</w:t>
            </w:r>
          </w:p>
        </w:tc>
        <w:tc>
          <w:tcPr>
            <w:tcW w:w="443" w:type="pct"/>
            <w:shd w:val="clear" w:color="auto" w:fill="D9D9D9" w:themeFill="background1" w:themeFillShade="D9"/>
            <w:noWrap/>
            <w:vAlign w:val="center"/>
          </w:tcPr>
          <w:p w14:paraId="0867B7C0" w14:textId="77777777" w:rsidR="00F322FE" w:rsidRPr="006C195E" w:rsidRDefault="00F322FE" w:rsidP="00DD6363">
            <w:pPr>
              <w:jc w:val="center"/>
              <w:rPr>
                <w:b/>
                <w:color w:val="000000"/>
                <w:sz w:val="22"/>
                <w:szCs w:val="22"/>
                <w:lang w:eastAsia="lv-LV"/>
              </w:rPr>
            </w:pPr>
            <w:r w:rsidRPr="006C195E">
              <w:rPr>
                <w:b/>
                <w:color w:val="000000"/>
                <w:sz w:val="22"/>
                <w:szCs w:val="22"/>
                <w:lang w:eastAsia="lv-LV"/>
              </w:rPr>
              <w:t>13</w:t>
            </w:r>
          </w:p>
        </w:tc>
        <w:tc>
          <w:tcPr>
            <w:tcW w:w="423" w:type="pct"/>
            <w:shd w:val="clear" w:color="auto" w:fill="D9D9D9" w:themeFill="background1" w:themeFillShade="D9"/>
            <w:noWrap/>
            <w:vAlign w:val="center"/>
          </w:tcPr>
          <w:p w14:paraId="0E00FA86" w14:textId="77777777" w:rsidR="00F322FE" w:rsidRPr="006C195E" w:rsidRDefault="00F322FE" w:rsidP="00DD6363">
            <w:pPr>
              <w:jc w:val="center"/>
              <w:rPr>
                <w:b/>
                <w:color w:val="000000"/>
                <w:sz w:val="22"/>
                <w:szCs w:val="22"/>
                <w:lang w:eastAsia="lv-LV"/>
              </w:rPr>
            </w:pPr>
            <w:r w:rsidRPr="006C195E">
              <w:rPr>
                <w:b/>
                <w:color w:val="000000"/>
                <w:sz w:val="22"/>
                <w:szCs w:val="22"/>
                <w:lang w:eastAsia="lv-LV"/>
              </w:rPr>
              <w:t>3</w:t>
            </w:r>
            <w:r w:rsidR="00DA1482">
              <w:rPr>
                <w:b/>
                <w:color w:val="000000"/>
                <w:sz w:val="22"/>
                <w:szCs w:val="22"/>
                <w:lang w:eastAsia="lv-LV"/>
              </w:rPr>
              <w:t>52</w:t>
            </w:r>
          </w:p>
        </w:tc>
      </w:tr>
    </w:tbl>
    <w:p w14:paraId="1143DF3B" w14:textId="77777777" w:rsidR="00DF33A5" w:rsidRDefault="00DF33A5">
      <w:pPr>
        <w:pStyle w:val="NormalWeb"/>
        <w:spacing w:before="0" w:beforeAutospacing="0" w:after="0" w:afterAutospacing="0"/>
        <w:ind w:firstLine="720"/>
        <w:jc w:val="both"/>
        <w:rPr>
          <w:color w:val="FF0000"/>
        </w:rPr>
      </w:pPr>
    </w:p>
    <w:p w14:paraId="73D7A1C3" w14:textId="77777777" w:rsidR="00BA7676" w:rsidRPr="00DE3289" w:rsidRDefault="00E071A1">
      <w:pPr>
        <w:pStyle w:val="NormalWeb"/>
        <w:spacing w:before="0" w:beforeAutospacing="0" w:after="0" w:afterAutospacing="0"/>
        <w:ind w:firstLine="720"/>
        <w:jc w:val="both"/>
      </w:pPr>
      <w:r w:rsidRPr="00DE3289">
        <w:t>Izvērtējot STEM jomas programmu skaita sadalījumu pa</w:t>
      </w:r>
      <w:r w:rsidR="0040464E" w:rsidRPr="00DE3289">
        <w:t xml:space="preserve"> </w:t>
      </w:r>
      <w:r w:rsidRPr="00DE3289">
        <w:t xml:space="preserve">izglītības tematiskajām grupām, redzams, ka </w:t>
      </w:r>
      <w:r w:rsidR="0040464E" w:rsidRPr="00DE3289">
        <w:t xml:space="preserve">lielāko daļu </w:t>
      </w:r>
      <w:r w:rsidR="00DF0013" w:rsidRPr="00DE3289">
        <w:t>(1</w:t>
      </w:r>
      <w:r w:rsidR="006F2E7B" w:rsidRPr="00DE3289">
        <w:t>5</w:t>
      </w:r>
      <w:r w:rsidR="00BB3D50" w:rsidRPr="00DE3289">
        <w:t>2</w:t>
      </w:r>
      <w:r w:rsidR="00DF0013" w:rsidRPr="00DE3289">
        <w:t xml:space="preserve"> </w:t>
      </w:r>
      <w:r w:rsidR="00DE3289" w:rsidRPr="00DE3289">
        <w:t xml:space="preserve">studiju </w:t>
      </w:r>
      <w:r w:rsidR="00DF0013" w:rsidRPr="00DE3289">
        <w:t>programmas jeb 4</w:t>
      </w:r>
      <w:r w:rsidR="005F683F" w:rsidRPr="00DE3289">
        <w:t>3</w:t>
      </w:r>
      <w:r w:rsidR="00DF0013" w:rsidRPr="00DE3289">
        <w:t xml:space="preserve">% no kopējā skaita) </w:t>
      </w:r>
      <w:r w:rsidR="0040464E" w:rsidRPr="00DE3289">
        <w:t xml:space="preserve">veido studiju programmas, kas ietilpst izglītības tematiskajā grupā </w:t>
      </w:r>
      <w:r w:rsidR="00DF0013" w:rsidRPr="00DE3289">
        <w:rPr>
          <w:i/>
        </w:rPr>
        <w:t>Inženierzinātnes, ražošana un būvniecība</w:t>
      </w:r>
      <w:r w:rsidR="002B65A6" w:rsidRPr="00DE3289">
        <w:rPr>
          <w:i/>
        </w:rPr>
        <w:t xml:space="preserve">, </w:t>
      </w:r>
      <w:r w:rsidR="002B65A6" w:rsidRPr="00DE3289">
        <w:t>bet otru lielāko daļu (8</w:t>
      </w:r>
      <w:r w:rsidR="006F2E7B" w:rsidRPr="00DE3289">
        <w:t>2</w:t>
      </w:r>
      <w:r w:rsidR="002B65A6" w:rsidRPr="00DE3289">
        <w:t xml:space="preserve"> </w:t>
      </w:r>
      <w:r w:rsidR="00DE3289" w:rsidRPr="00DE3289">
        <w:t xml:space="preserve">studiju </w:t>
      </w:r>
      <w:r w:rsidR="002B65A6" w:rsidRPr="00DE3289">
        <w:t>programmas jeb 2</w:t>
      </w:r>
      <w:r w:rsidR="005F683F" w:rsidRPr="00DE3289">
        <w:t>3</w:t>
      </w:r>
      <w:r w:rsidR="002B65A6" w:rsidRPr="00DE3289">
        <w:t xml:space="preserve">% no kopējā skaita) veido </w:t>
      </w:r>
      <w:r w:rsidR="00DE3289" w:rsidRPr="00DE3289">
        <w:t xml:space="preserve">studiju </w:t>
      </w:r>
      <w:r w:rsidR="00532FF6">
        <w:t xml:space="preserve">programmas, kas ietilpst </w:t>
      </w:r>
      <w:r w:rsidR="002B65A6" w:rsidRPr="00DE3289">
        <w:t xml:space="preserve">izglītības tematiskajā grupā </w:t>
      </w:r>
      <w:r w:rsidR="002B65A6" w:rsidRPr="00DE3289">
        <w:rPr>
          <w:i/>
        </w:rPr>
        <w:t xml:space="preserve">Dabas zinātnes, matemātika un informācijas tehnoloģijas </w:t>
      </w:r>
      <w:r w:rsidR="0040464E" w:rsidRPr="00DE3289">
        <w:t>(skat</w:t>
      </w:r>
      <w:r w:rsidR="00532FF6">
        <w:t>.</w:t>
      </w:r>
      <w:r w:rsidR="0040464E" w:rsidRPr="00DE3289">
        <w:t xml:space="preserve"> </w:t>
      </w:r>
      <w:r w:rsidR="005B701C" w:rsidRPr="00DE3289">
        <w:t>1.3.</w:t>
      </w:r>
      <w:r w:rsidR="0040464E" w:rsidRPr="00DE3289">
        <w:t xml:space="preserve"> attēlu).</w:t>
      </w:r>
    </w:p>
    <w:p w14:paraId="3265B30C" w14:textId="77777777" w:rsidR="0040464E" w:rsidRPr="0040464E" w:rsidRDefault="005B701C" w:rsidP="005B701C">
      <w:pPr>
        <w:pStyle w:val="NormalWeb"/>
        <w:spacing w:before="0" w:beforeAutospacing="0" w:after="0" w:afterAutospacing="0"/>
        <w:ind w:left="1080"/>
        <w:jc w:val="right"/>
      </w:pPr>
      <w:r>
        <w:t>1.3.attēls</w:t>
      </w:r>
    </w:p>
    <w:p w14:paraId="02929AEC" w14:textId="77777777" w:rsidR="00532FF6" w:rsidRDefault="00777F72" w:rsidP="0040464E">
      <w:pPr>
        <w:pStyle w:val="NormalWeb"/>
        <w:spacing w:before="0" w:beforeAutospacing="0" w:after="0" w:afterAutospacing="0"/>
        <w:ind w:firstLine="720"/>
        <w:jc w:val="center"/>
        <w:rPr>
          <w:b/>
        </w:rPr>
      </w:pPr>
      <w:r>
        <w:rPr>
          <w:b/>
        </w:rPr>
        <w:t xml:space="preserve">Augstskolās īstenoto </w:t>
      </w:r>
      <w:r w:rsidR="0040464E" w:rsidRPr="00532FF6">
        <w:rPr>
          <w:b/>
        </w:rPr>
        <w:t>STEM jomas programmu skaits</w:t>
      </w:r>
      <w:r w:rsidR="004F2923" w:rsidRPr="00532FF6">
        <w:rPr>
          <w:b/>
        </w:rPr>
        <w:t xml:space="preserve"> un īpatsvars</w:t>
      </w:r>
      <w:r w:rsidR="0040464E" w:rsidRPr="00532FF6">
        <w:rPr>
          <w:b/>
        </w:rPr>
        <w:t xml:space="preserve"> sadalījumā </w:t>
      </w:r>
    </w:p>
    <w:p w14:paraId="4D4DEEC1" w14:textId="77777777" w:rsidR="0040464E" w:rsidRDefault="0040464E" w:rsidP="0040464E">
      <w:pPr>
        <w:pStyle w:val="NormalWeb"/>
        <w:spacing w:before="0" w:beforeAutospacing="0" w:after="0" w:afterAutospacing="0"/>
        <w:ind w:firstLine="720"/>
        <w:jc w:val="center"/>
        <w:rPr>
          <w:b/>
        </w:rPr>
      </w:pPr>
      <w:r w:rsidRPr="00532FF6">
        <w:rPr>
          <w:b/>
        </w:rPr>
        <w:t>pa izglītības tematiskajām grupām un jomām</w:t>
      </w:r>
      <w:r w:rsidR="00E071A1" w:rsidRPr="00532FF6">
        <w:rPr>
          <w:b/>
        </w:rPr>
        <w:t xml:space="preserve"> 2015./2016. ak. gadā</w:t>
      </w:r>
    </w:p>
    <w:p w14:paraId="41CD4399" w14:textId="77777777" w:rsidR="00BA2886" w:rsidRPr="00BA2886" w:rsidRDefault="00BA2886" w:rsidP="0040464E">
      <w:pPr>
        <w:pStyle w:val="NormalWeb"/>
        <w:spacing w:before="0" w:beforeAutospacing="0" w:after="0" w:afterAutospacing="0"/>
        <w:ind w:firstLine="720"/>
        <w:jc w:val="center"/>
        <w:rPr>
          <w:b/>
          <w:sz w:val="16"/>
          <w:szCs w:val="16"/>
        </w:rPr>
      </w:pPr>
    </w:p>
    <w:p w14:paraId="7AA71B1F" w14:textId="77777777" w:rsidR="00F347C0" w:rsidRDefault="00BA2886" w:rsidP="0040464E">
      <w:pPr>
        <w:pStyle w:val="NormalWeb"/>
        <w:spacing w:before="0" w:beforeAutospacing="0" w:after="0" w:afterAutospacing="0"/>
        <w:ind w:firstLine="720"/>
        <w:jc w:val="center"/>
      </w:pPr>
      <w:r>
        <w:rPr>
          <w:noProof/>
        </w:rPr>
        <w:drawing>
          <wp:inline distT="0" distB="0" distL="0" distR="0" wp14:anchorId="30A393A1" wp14:editId="0E635E2F">
            <wp:extent cx="4781550" cy="2676525"/>
            <wp:effectExtent l="0" t="0" r="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C86C98" w14:textId="77777777" w:rsidR="00C04D3C" w:rsidRDefault="00C04D3C" w:rsidP="0040464E">
      <w:pPr>
        <w:pStyle w:val="NormalWeb"/>
        <w:spacing w:before="0" w:beforeAutospacing="0" w:after="0" w:afterAutospacing="0"/>
        <w:ind w:firstLine="720"/>
        <w:jc w:val="center"/>
      </w:pPr>
    </w:p>
    <w:p w14:paraId="5EFAF8A1" w14:textId="77777777" w:rsidR="00BA2886" w:rsidRDefault="00BA2886" w:rsidP="002B65A6">
      <w:pPr>
        <w:pStyle w:val="ListParagraph"/>
        <w:numPr>
          <w:ilvl w:val="0"/>
          <w:numId w:val="1"/>
        </w:numPr>
        <w:contextualSpacing/>
        <w:rPr>
          <w:i/>
          <w:sz w:val="22"/>
          <w:szCs w:val="22"/>
        </w:rPr>
      </w:pPr>
    </w:p>
    <w:p w14:paraId="5D212A9A" w14:textId="77777777" w:rsidR="002B65A6" w:rsidRPr="008807FF" w:rsidRDefault="002B65A6" w:rsidP="002B65A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5C6C4849" w14:textId="77777777" w:rsidR="00DF0013" w:rsidRPr="00DE3289" w:rsidRDefault="004753A1">
      <w:pPr>
        <w:pStyle w:val="NormalWeb"/>
        <w:spacing w:before="0" w:beforeAutospacing="0" w:after="0" w:afterAutospacing="0"/>
        <w:ind w:firstLine="720"/>
        <w:jc w:val="both"/>
      </w:pPr>
      <w:r w:rsidRPr="00DE3289">
        <w:lastRenderedPageBreak/>
        <w:t xml:space="preserve">Izvērtējot studiju programmu sadalījumu pa izglītības programmu veidiem, redzams, ka </w:t>
      </w:r>
      <w:r w:rsidR="00124F37" w:rsidRPr="00DE3289">
        <w:t>1</w:t>
      </w:r>
      <w:r w:rsidR="006F2E7B" w:rsidRPr="00DE3289">
        <w:t>7</w:t>
      </w:r>
      <w:r w:rsidR="008254DA" w:rsidRPr="00DE3289">
        <w:t>2</w:t>
      </w:r>
      <w:r w:rsidR="00DE3289" w:rsidRPr="00DE3289">
        <w:t xml:space="preserve"> studiju programmas </w:t>
      </w:r>
      <w:r w:rsidRPr="00DE3289">
        <w:t xml:space="preserve">attiecas uz </w:t>
      </w:r>
      <w:proofErr w:type="spellStart"/>
      <w:r w:rsidRPr="00DE3289">
        <w:t>pamatstudiju</w:t>
      </w:r>
      <w:proofErr w:type="spellEnd"/>
      <w:r w:rsidRPr="00DE3289">
        <w:t xml:space="preserve"> programmām, </w:t>
      </w:r>
      <w:r w:rsidR="008254DA" w:rsidRPr="00DE3289">
        <w:t>bet 180</w:t>
      </w:r>
      <w:r w:rsidRPr="00DE3289">
        <w:t xml:space="preserve"> studiju programmas attiecas uz augstākā līmeņa </w:t>
      </w:r>
      <w:r w:rsidR="008254DA" w:rsidRPr="00DE3289">
        <w:t xml:space="preserve">studiju </w:t>
      </w:r>
      <w:r w:rsidRPr="00DE3289">
        <w:t>programmām</w:t>
      </w:r>
      <w:r w:rsidR="00E071A1" w:rsidRPr="00DE3289">
        <w:t>.</w:t>
      </w:r>
      <w:r w:rsidR="00E071A1" w:rsidRPr="00DE3289">
        <w:rPr>
          <w:rStyle w:val="FootnoteReference"/>
        </w:rPr>
        <w:footnoteReference w:id="9"/>
      </w:r>
    </w:p>
    <w:p w14:paraId="411DF967" w14:textId="77777777" w:rsidR="00DB2422" w:rsidRPr="004753A1" w:rsidRDefault="00DB2422" w:rsidP="00DB2422">
      <w:pPr>
        <w:pStyle w:val="NormalWeb"/>
        <w:spacing w:before="0" w:beforeAutospacing="0" w:after="0" w:afterAutospacing="0"/>
        <w:ind w:firstLine="720"/>
        <w:jc w:val="center"/>
      </w:pPr>
    </w:p>
    <w:p w14:paraId="35F5B8F0" w14:textId="77777777" w:rsidR="00DB2422" w:rsidRPr="00DE3289" w:rsidRDefault="005B701C" w:rsidP="0016435E">
      <w:pPr>
        <w:pStyle w:val="NormalWeb"/>
        <w:spacing w:before="0" w:beforeAutospacing="0" w:after="0" w:afterAutospacing="0"/>
        <w:ind w:firstLine="720"/>
        <w:jc w:val="right"/>
      </w:pPr>
      <w:r w:rsidRPr="00DE3289">
        <w:t xml:space="preserve">1.4. </w:t>
      </w:r>
      <w:r w:rsidR="0016435E" w:rsidRPr="00DE3289">
        <w:t>attēls</w:t>
      </w:r>
    </w:p>
    <w:p w14:paraId="2EC4A4D5" w14:textId="77777777" w:rsidR="00DB2422" w:rsidRPr="00777F72" w:rsidRDefault="001079A9" w:rsidP="00DB2422">
      <w:pPr>
        <w:pStyle w:val="NormalWeb"/>
        <w:spacing w:before="0" w:beforeAutospacing="0" w:after="0" w:afterAutospacing="0"/>
        <w:ind w:firstLine="720"/>
        <w:jc w:val="center"/>
        <w:rPr>
          <w:b/>
        </w:rPr>
      </w:pPr>
      <w:r w:rsidRPr="001079A9">
        <w:rPr>
          <w:b/>
        </w:rPr>
        <w:t>Augstskolās īstenoto STEM jomas programmu skaits sadalījumā pa izglītības programmu veidiem (līmeņiem)</w:t>
      </w:r>
    </w:p>
    <w:p w14:paraId="48F44A75" w14:textId="77777777" w:rsidR="00DF0013" w:rsidRDefault="00DF0013">
      <w:pPr>
        <w:pStyle w:val="NormalWeb"/>
        <w:spacing w:before="0" w:beforeAutospacing="0" w:after="0" w:afterAutospacing="0"/>
        <w:ind w:firstLine="720"/>
        <w:jc w:val="both"/>
        <w:rPr>
          <w:b/>
        </w:rPr>
      </w:pPr>
    </w:p>
    <w:p w14:paraId="5ED9447E" w14:textId="77777777" w:rsidR="009369D1" w:rsidRDefault="005F683F">
      <w:pPr>
        <w:pStyle w:val="NormalWeb"/>
        <w:spacing w:before="0" w:beforeAutospacing="0" w:after="0" w:afterAutospacing="0"/>
        <w:ind w:firstLine="720"/>
        <w:jc w:val="both"/>
        <w:rPr>
          <w:b/>
        </w:rPr>
      </w:pPr>
      <w:r>
        <w:rPr>
          <w:noProof/>
        </w:rPr>
        <w:drawing>
          <wp:inline distT="0" distB="0" distL="0" distR="0" wp14:anchorId="1520EA9F" wp14:editId="2AD59C6C">
            <wp:extent cx="4791075" cy="2543176"/>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0257562" w14:textId="77777777" w:rsidR="009369D1" w:rsidRDefault="009369D1">
      <w:pPr>
        <w:pStyle w:val="NormalWeb"/>
        <w:spacing w:before="0" w:beforeAutospacing="0" w:after="0" w:afterAutospacing="0"/>
        <w:ind w:firstLine="720"/>
        <w:jc w:val="both"/>
        <w:rPr>
          <w:b/>
        </w:rPr>
      </w:pPr>
    </w:p>
    <w:p w14:paraId="481501C0" w14:textId="77777777" w:rsidR="002B65A6" w:rsidRPr="008807FF" w:rsidRDefault="002B65A6" w:rsidP="002B65A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68F0F1B9" w14:textId="77777777" w:rsidR="00DB2422" w:rsidRDefault="00DB2422">
      <w:pPr>
        <w:pStyle w:val="NormalWeb"/>
        <w:spacing w:before="0" w:beforeAutospacing="0" w:after="0" w:afterAutospacing="0"/>
        <w:ind w:firstLine="720"/>
        <w:jc w:val="both"/>
        <w:rPr>
          <w:b/>
        </w:rPr>
      </w:pPr>
    </w:p>
    <w:p w14:paraId="7E763147" w14:textId="77777777" w:rsidR="00310898" w:rsidRPr="00532FF6" w:rsidRDefault="00310898">
      <w:pPr>
        <w:pStyle w:val="NormalWeb"/>
        <w:spacing w:before="0" w:beforeAutospacing="0" w:after="0" w:afterAutospacing="0"/>
        <w:ind w:firstLine="720"/>
        <w:jc w:val="both"/>
      </w:pPr>
      <w:r w:rsidRPr="00532FF6">
        <w:t xml:space="preserve">Kā redzams </w:t>
      </w:r>
      <w:r w:rsidR="00532FF6" w:rsidRPr="00532FF6">
        <w:t>1.4.</w:t>
      </w:r>
      <w:r w:rsidRPr="00532FF6">
        <w:t xml:space="preserve">attēlā, lielākais studiju programmu skaits – </w:t>
      </w:r>
      <w:r w:rsidR="009369D1" w:rsidRPr="00532FF6">
        <w:t>8</w:t>
      </w:r>
      <w:r w:rsidR="00A030CD" w:rsidRPr="00532FF6">
        <w:t>9</w:t>
      </w:r>
      <w:r w:rsidRPr="00532FF6">
        <w:t xml:space="preserve"> programmas </w:t>
      </w:r>
      <w:r w:rsidR="00B03657">
        <w:t xml:space="preserve">– </w:t>
      </w:r>
      <w:r w:rsidRPr="00532FF6">
        <w:t>jeb 2</w:t>
      </w:r>
      <w:r w:rsidR="00A030CD" w:rsidRPr="00532FF6">
        <w:t>5</w:t>
      </w:r>
      <w:r w:rsidR="00EC0764" w:rsidRPr="00532FF6">
        <w:t xml:space="preserve"> </w:t>
      </w:r>
      <w:r w:rsidRPr="00532FF6">
        <w:t xml:space="preserve">% no kopējā skaita ir </w:t>
      </w:r>
      <w:r w:rsidR="00B413D5" w:rsidRPr="00532FF6">
        <w:t xml:space="preserve">2.līmeņa </w:t>
      </w:r>
      <w:r w:rsidRPr="00532FF6">
        <w:t xml:space="preserve">profesionālās </w:t>
      </w:r>
      <w:r w:rsidR="00B413D5" w:rsidRPr="00532FF6">
        <w:t xml:space="preserve">augstākās izglītības </w:t>
      </w:r>
      <w:proofErr w:type="spellStart"/>
      <w:r w:rsidRPr="00532FF6">
        <w:t>pamatstudiju</w:t>
      </w:r>
      <w:proofErr w:type="spellEnd"/>
      <w:r w:rsidRPr="00532FF6">
        <w:t xml:space="preserve"> programmas</w:t>
      </w:r>
      <w:r w:rsidR="00B413D5" w:rsidRPr="00532FF6">
        <w:t xml:space="preserve"> (5.līmeņa profesionālā kvalifikācija</w:t>
      </w:r>
      <w:r w:rsidRPr="00532FF6">
        <w:t>,</w:t>
      </w:r>
      <w:r w:rsidR="00B413D5" w:rsidRPr="00532FF6">
        <w:t xml:space="preserve"> profesionālā bakalaura grāds)</w:t>
      </w:r>
      <w:r w:rsidR="00532FF6" w:rsidRPr="00532FF6">
        <w:t>,</w:t>
      </w:r>
      <w:r w:rsidRPr="00532FF6">
        <w:t xml:space="preserve"> savukārt otrs lielākais </w:t>
      </w:r>
      <w:r w:rsidR="00532FF6" w:rsidRPr="00532FF6">
        <w:t xml:space="preserve">studiju </w:t>
      </w:r>
      <w:r w:rsidRPr="00532FF6">
        <w:t>programmu skaits – 6</w:t>
      </w:r>
      <w:r w:rsidR="00A030CD" w:rsidRPr="00532FF6">
        <w:t>9</w:t>
      </w:r>
      <w:r w:rsidRPr="00532FF6">
        <w:t xml:space="preserve"> programmas </w:t>
      </w:r>
      <w:r w:rsidR="00B03657">
        <w:t xml:space="preserve">– </w:t>
      </w:r>
      <w:r w:rsidRPr="00532FF6">
        <w:t xml:space="preserve">jeb </w:t>
      </w:r>
      <w:r w:rsidR="00A030CD" w:rsidRPr="00532FF6">
        <w:t>20</w:t>
      </w:r>
      <w:r w:rsidRPr="00532FF6">
        <w:t xml:space="preserve">% no kopējā skaita ir </w:t>
      </w:r>
      <w:r w:rsidR="00B413D5" w:rsidRPr="00532FF6">
        <w:t xml:space="preserve">akadēmiskā </w:t>
      </w:r>
      <w:r w:rsidRPr="00532FF6">
        <w:t xml:space="preserve">maģistra studiju programmas. </w:t>
      </w:r>
    </w:p>
    <w:p w14:paraId="174D604A" w14:textId="77777777" w:rsidR="00DB2422" w:rsidRPr="00310898" w:rsidRDefault="00DB2422">
      <w:pPr>
        <w:pStyle w:val="NormalWeb"/>
        <w:spacing w:before="0" w:beforeAutospacing="0" w:after="0" w:afterAutospacing="0"/>
        <w:ind w:firstLine="720"/>
        <w:jc w:val="both"/>
      </w:pPr>
    </w:p>
    <w:p w14:paraId="0E73B527" w14:textId="77777777" w:rsidR="00DF0013" w:rsidRPr="00532FF6" w:rsidRDefault="00310898">
      <w:pPr>
        <w:pStyle w:val="NormalWeb"/>
        <w:spacing w:before="0" w:beforeAutospacing="0" w:after="0" w:afterAutospacing="0"/>
        <w:ind w:firstLine="720"/>
        <w:jc w:val="both"/>
      </w:pPr>
      <w:r w:rsidRPr="00532FF6">
        <w:t>Ņemot vērā, ka kopējais studējošo skaits STEM jomas programmās kopš 2007. gada ir pieaudzis, būtiski ir izvē</w:t>
      </w:r>
      <w:r w:rsidR="00B413D5" w:rsidRPr="00532FF6">
        <w:t>rtēt, kā tas ir m</w:t>
      </w:r>
      <w:r w:rsidRPr="00532FF6">
        <w:t xml:space="preserve">ainījies dažādās izglītības tematiskajās </w:t>
      </w:r>
      <w:r w:rsidR="00122954" w:rsidRPr="00532FF6">
        <w:t xml:space="preserve">grupās un </w:t>
      </w:r>
      <w:r w:rsidRPr="00532FF6">
        <w:t xml:space="preserve">jomās. </w:t>
      </w:r>
      <w:r w:rsidR="00122954" w:rsidRPr="00532FF6">
        <w:t>Apkopojot IZM datus par studējošo skai</w:t>
      </w:r>
      <w:r w:rsidR="00532FF6" w:rsidRPr="00532FF6">
        <w:t>tu 2007./2008., 2009./2010., 20</w:t>
      </w:r>
      <w:r w:rsidR="00122954" w:rsidRPr="00532FF6">
        <w:t>13./2014. un 2015./2016. ak.</w:t>
      </w:r>
      <w:r w:rsidR="00532FF6" w:rsidRPr="00532FF6">
        <w:t xml:space="preserve"> </w:t>
      </w:r>
      <w:r w:rsidR="00122954" w:rsidRPr="00532FF6">
        <w:t>gados</w:t>
      </w:r>
      <w:r w:rsidR="00532FF6" w:rsidRPr="00532FF6">
        <w:t>,</w:t>
      </w:r>
      <w:r w:rsidR="00122954" w:rsidRPr="00532FF6">
        <w:t xml:space="preserve"> STEM jomas izglītības tematiskajās grupās un jomās, redzams, ka dažādās grupās un jomās studējošo skaita dinamika ir bijusi atšķirīga. Izglītības tematiskajās grupās </w:t>
      </w:r>
      <w:r w:rsidR="00122954" w:rsidRPr="00532FF6">
        <w:rPr>
          <w:i/>
        </w:rPr>
        <w:t xml:space="preserve">Dabas zinātnes, matemātika un informācijas tehnoloģijas, </w:t>
      </w:r>
      <w:r w:rsidR="00750C83" w:rsidRPr="00532FF6">
        <w:rPr>
          <w:i/>
        </w:rPr>
        <w:t xml:space="preserve">kā arī </w:t>
      </w:r>
      <w:r w:rsidR="00122954" w:rsidRPr="00532FF6">
        <w:rPr>
          <w:i/>
        </w:rPr>
        <w:t xml:space="preserve">Inženierzinātnes, ražošana un būvniecība </w:t>
      </w:r>
      <w:r w:rsidR="00122954" w:rsidRPr="00532FF6">
        <w:t xml:space="preserve">kopš 2007.gada studējošo skaits būtiski nav mainījies (skat. </w:t>
      </w:r>
      <w:r w:rsidR="005B701C" w:rsidRPr="00532FF6">
        <w:t xml:space="preserve">1.5. un 1.6. </w:t>
      </w:r>
      <w:r w:rsidR="00122954" w:rsidRPr="00532FF6">
        <w:t xml:space="preserve">attēlu). </w:t>
      </w:r>
    </w:p>
    <w:p w14:paraId="07F94A79" w14:textId="77777777" w:rsidR="00CF3B9C" w:rsidRDefault="00CF3B9C">
      <w:pPr>
        <w:pStyle w:val="NormalWeb"/>
        <w:spacing w:before="0" w:beforeAutospacing="0" w:after="0" w:afterAutospacing="0"/>
        <w:ind w:firstLine="720"/>
        <w:jc w:val="both"/>
      </w:pPr>
    </w:p>
    <w:p w14:paraId="01AACB5E" w14:textId="77777777" w:rsidR="00BA2886" w:rsidRDefault="00BA2886">
      <w:pPr>
        <w:pStyle w:val="NormalWeb"/>
        <w:spacing w:before="0" w:beforeAutospacing="0" w:after="0" w:afterAutospacing="0"/>
        <w:ind w:firstLine="720"/>
        <w:jc w:val="both"/>
      </w:pPr>
    </w:p>
    <w:p w14:paraId="10488C99" w14:textId="77777777" w:rsidR="00BA2886" w:rsidRDefault="00BA2886">
      <w:pPr>
        <w:pStyle w:val="NormalWeb"/>
        <w:spacing w:before="0" w:beforeAutospacing="0" w:after="0" w:afterAutospacing="0"/>
        <w:ind w:firstLine="720"/>
        <w:jc w:val="both"/>
      </w:pPr>
    </w:p>
    <w:p w14:paraId="4A468CF2" w14:textId="77777777" w:rsidR="00BA2886" w:rsidRDefault="00BA2886">
      <w:pPr>
        <w:pStyle w:val="NormalWeb"/>
        <w:spacing w:before="0" w:beforeAutospacing="0" w:after="0" w:afterAutospacing="0"/>
        <w:ind w:firstLine="720"/>
        <w:jc w:val="both"/>
      </w:pPr>
    </w:p>
    <w:p w14:paraId="0F99F5B6" w14:textId="77777777" w:rsidR="00BA2886" w:rsidRPr="00532FF6" w:rsidRDefault="00BA2886">
      <w:pPr>
        <w:pStyle w:val="NormalWeb"/>
        <w:spacing w:before="0" w:beforeAutospacing="0" w:after="0" w:afterAutospacing="0"/>
        <w:ind w:firstLine="720"/>
        <w:jc w:val="both"/>
      </w:pPr>
    </w:p>
    <w:p w14:paraId="2073F9C5" w14:textId="77777777" w:rsidR="00CF3B9C" w:rsidRPr="00532FF6" w:rsidRDefault="005B701C" w:rsidP="0016435E">
      <w:pPr>
        <w:pStyle w:val="NormalWeb"/>
        <w:spacing w:before="0" w:beforeAutospacing="0" w:after="0" w:afterAutospacing="0"/>
        <w:ind w:firstLine="720"/>
        <w:jc w:val="right"/>
      </w:pPr>
      <w:r w:rsidRPr="00532FF6">
        <w:lastRenderedPageBreak/>
        <w:t xml:space="preserve">1.5. </w:t>
      </w:r>
      <w:r w:rsidR="0016435E" w:rsidRPr="00532FF6">
        <w:t>attēls</w:t>
      </w:r>
    </w:p>
    <w:p w14:paraId="1C41CC51" w14:textId="77777777" w:rsidR="00532FF6" w:rsidRDefault="00CF3B9C" w:rsidP="00CF3B9C">
      <w:pPr>
        <w:pStyle w:val="NormalWeb"/>
        <w:spacing w:before="0" w:beforeAutospacing="0" w:after="0" w:afterAutospacing="0"/>
        <w:ind w:firstLine="720"/>
        <w:jc w:val="center"/>
        <w:rPr>
          <w:b/>
        </w:rPr>
      </w:pPr>
      <w:r w:rsidRPr="00532FF6">
        <w:rPr>
          <w:b/>
        </w:rPr>
        <w:t xml:space="preserve">Augstskolās studējošo skaita izmaiņas izglītības tematiskajā grupā </w:t>
      </w:r>
      <w:r w:rsidR="00532FF6" w:rsidRPr="00532FF6">
        <w:rPr>
          <w:b/>
        </w:rPr>
        <w:t>„</w:t>
      </w:r>
      <w:r w:rsidRPr="00532FF6">
        <w:rPr>
          <w:b/>
        </w:rPr>
        <w:t>Dabaszinātnes, matemātika un informācijas tehnoloģijas</w:t>
      </w:r>
      <w:r w:rsidR="00532FF6" w:rsidRPr="00532FF6">
        <w:rPr>
          <w:b/>
        </w:rPr>
        <w:t>”</w:t>
      </w:r>
      <w:r w:rsidRPr="00532FF6">
        <w:rPr>
          <w:b/>
        </w:rPr>
        <w:t xml:space="preserve"> </w:t>
      </w:r>
    </w:p>
    <w:p w14:paraId="2347F96C" w14:textId="77777777" w:rsidR="00DF0013" w:rsidRPr="00532FF6" w:rsidRDefault="00CF3B9C" w:rsidP="00CF3B9C">
      <w:pPr>
        <w:pStyle w:val="NormalWeb"/>
        <w:spacing w:before="0" w:beforeAutospacing="0" w:after="0" w:afterAutospacing="0"/>
        <w:ind w:firstLine="720"/>
        <w:jc w:val="center"/>
        <w:rPr>
          <w:b/>
        </w:rPr>
      </w:pPr>
      <w:r w:rsidRPr="00532FF6">
        <w:rPr>
          <w:b/>
        </w:rPr>
        <w:t>laika posmā 2007./2008</w:t>
      </w:r>
      <w:r w:rsidR="00532FF6" w:rsidRPr="00532FF6">
        <w:rPr>
          <w:b/>
        </w:rPr>
        <w:t>.</w:t>
      </w:r>
      <w:r w:rsidRPr="00532FF6">
        <w:rPr>
          <w:b/>
        </w:rPr>
        <w:t xml:space="preserve"> - 2015./2016.ak. gadam</w:t>
      </w:r>
    </w:p>
    <w:p w14:paraId="1B386E57" w14:textId="77777777" w:rsidR="00DF0013" w:rsidRDefault="00DF0013">
      <w:pPr>
        <w:pStyle w:val="NormalWeb"/>
        <w:spacing w:before="0" w:beforeAutospacing="0" w:after="0" w:afterAutospacing="0"/>
        <w:ind w:firstLine="720"/>
        <w:jc w:val="both"/>
        <w:rPr>
          <w:b/>
        </w:rPr>
      </w:pPr>
    </w:p>
    <w:p w14:paraId="5EEDCBBB" w14:textId="77777777" w:rsidR="00DF0013" w:rsidRDefault="00CF3B9C">
      <w:pPr>
        <w:pStyle w:val="NormalWeb"/>
        <w:spacing w:before="0" w:beforeAutospacing="0" w:after="0" w:afterAutospacing="0"/>
        <w:ind w:firstLine="720"/>
        <w:jc w:val="both"/>
        <w:rPr>
          <w:b/>
        </w:rPr>
      </w:pPr>
      <w:r>
        <w:rPr>
          <w:noProof/>
        </w:rPr>
        <w:drawing>
          <wp:inline distT="0" distB="0" distL="0" distR="0" wp14:anchorId="5FDE99B9" wp14:editId="79BC3AC6">
            <wp:extent cx="4333875" cy="2362200"/>
            <wp:effectExtent l="0" t="0" r="952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ADB3C0" w14:textId="77777777" w:rsidR="002B65A6" w:rsidRPr="008807FF" w:rsidRDefault="002B65A6" w:rsidP="002B65A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19D5BF65" w14:textId="77777777" w:rsidR="00DF0013" w:rsidRDefault="00DF0013">
      <w:pPr>
        <w:pStyle w:val="NormalWeb"/>
        <w:spacing w:before="0" w:beforeAutospacing="0" w:after="0" w:afterAutospacing="0"/>
        <w:ind w:firstLine="720"/>
        <w:jc w:val="both"/>
        <w:rPr>
          <w:b/>
        </w:rPr>
      </w:pPr>
    </w:p>
    <w:p w14:paraId="381C35B9" w14:textId="77777777" w:rsidR="0016435E" w:rsidRPr="00532FF6" w:rsidRDefault="005B701C" w:rsidP="0016435E">
      <w:pPr>
        <w:pStyle w:val="NormalWeb"/>
        <w:spacing w:before="0" w:beforeAutospacing="0" w:after="0" w:afterAutospacing="0"/>
        <w:ind w:firstLine="720"/>
        <w:jc w:val="right"/>
      </w:pPr>
      <w:r w:rsidRPr="00532FF6">
        <w:t xml:space="preserve">1.6. </w:t>
      </w:r>
      <w:r w:rsidR="0016435E" w:rsidRPr="00532FF6">
        <w:t>attēls</w:t>
      </w:r>
    </w:p>
    <w:p w14:paraId="2D45BE3E" w14:textId="77777777" w:rsidR="00532FF6" w:rsidRDefault="00CF3B9C" w:rsidP="00CF3B9C">
      <w:pPr>
        <w:pStyle w:val="NormalWeb"/>
        <w:spacing w:before="0" w:beforeAutospacing="0" w:after="0" w:afterAutospacing="0"/>
        <w:ind w:firstLine="720"/>
        <w:jc w:val="center"/>
        <w:rPr>
          <w:b/>
        </w:rPr>
      </w:pPr>
      <w:r w:rsidRPr="00532FF6">
        <w:rPr>
          <w:b/>
        </w:rPr>
        <w:t xml:space="preserve">Augstskolās studējošo skaita izmaiņas izglītības tematiskajā grupā </w:t>
      </w:r>
      <w:r w:rsidR="00532FF6" w:rsidRPr="00532FF6">
        <w:rPr>
          <w:b/>
        </w:rPr>
        <w:t>„</w:t>
      </w:r>
      <w:r w:rsidRPr="00532FF6">
        <w:rPr>
          <w:b/>
        </w:rPr>
        <w:t>Inženier</w:t>
      </w:r>
      <w:r w:rsidR="004D4825" w:rsidRPr="00532FF6">
        <w:rPr>
          <w:b/>
        </w:rPr>
        <w:t>zinātnes, ražošana un būvniecība</w:t>
      </w:r>
      <w:r w:rsidR="00532FF6" w:rsidRPr="00532FF6">
        <w:rPr>
          <w:b/>
        </w:rPr>
        <w:t>”</w:t>
      </w:r>
      <w:r w:rsidRPr="00532FF6">
        <w:rPr>
          <w:b/>
        </w:rPr>
        <w:t xml:space="preserve"> </w:t>
      </w:r>
    </w:p>
    <w:p w14:paraId="67A027AA" w14:textId="77777777" w:rsidR="00CF3B9C" w:rsidRPr="00532FF6" w:rsidRDefault="00CF3B9C" w:rsidP="00CF3B9C">
      <w:pPr>
        <w:pStyle w:val="NormalWeb"/>
        <w:spacing w:before="0" w:beforeAutospacing="0" w:after="0" w:afterAutospacing="0"/>
        <w:ind w:firstLine="720"/>
        <w:jc w:val="center"/>
        <w:rPr>
          <w:b/>
        </w:rPr>
      </w:pPr>
      <w:r w:rsidRPr="00532FF6">
        <w:rPr>
          <w:b/>
        </w:rPr>
        <w:t>laika posmā 2007./2008</w:t>
      </w:r>
      <w:r w:rsidR="00532FF6" w:rsidRPr="00532FF6">
        <w:rPr>
          <w:b/>
        </w:rPr>
        <w:t>.</w:t>
      </w:r>
      <w:r w:rsidRPr="00532FF6">
        <w:rPr>
          <w:b/>
        </w:rPr>
        <w:t xml:space="preserve"> - 2015./2016.ak. gadam</w:t>
      </w:r>
    </w:p>
    <w:p w14:paraId="061E881E" w14:textId="77777777" w:rsidR="00DF0013" w:rsidRDefault="00DF0013">
      <w:pPr>
        <w:pStyle w:val="NormalWeb"/>
        <w:spacing w:before="0" w:beforeAutospacing="0" w:after="0" w:afterAutospacing="0"/>
        <w:ind w:firstLine="720"/>
        <w:jc w:val="both"/>
        <w:rPr>
          <w:b/>
        </w:rPr>
      </w:pPr>
    </w:p>
    <w:p w14:paraId="5C5894D4" w14:textId="77777777" w:rsidR="00CF3B9C" w:rsidRDefault="00BB3D50">
      <w:pPr>
        <w:pStyle w:val="NormalWeb"/>
        <w:spacing w:before="0" w:beforeAutospacing="0" w:after="0" w:afterAutospacing="0"/>
        <w:ind w:firstLine="720"/>
        <w:jc w:val="both"/>
        <w:rPr>
          <w:b/>
        </w:rPr>
      </w:pPr>
      <w:r>
        <w:rPr>
          <w:noProof/>
        </w:rPr>
        <w:drawing>
          <wp:inline distT="0" distB="0" distL="0" distR="0" wp14:anchorId="4527C5B3" wp14:editId="21D842F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52701E" w14:textId="77777777" w:rsidR="00CF3B9C" w:rsidRDefault="00CF3B9C">
      <w:pPr>
        <w:pStyle w:val="NormalWeb"/>
        <w:spacing w:before="0" w:beforeAutospacing="0" w:after="0" w:afterAutospacing="0"/>
        <w:ind w:firstLine="720"/>
        <w:jc w:val="both"/>
        <w:rPr>
          <w:b/>
        </w:rPr>
      </w:pPr>
    </w:p>
    <w:p w14:paraId="6EA40656" w14:textId="77777777" w:rsidR="00C453AE" w:rsidRPr="008807FF" w:rsidRDefault="00C453AE" w:rsidP="00C453AE">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25941079" w14:textId="77777777" w:rsidR="00C453AE" w:rsidRDefault="00C453AE">
      <w:pPr>
        <w:pStyle w:val="NormalWeb"/>
        <w:spacing w:before="0" w:beforeAutospacing="0" w:after="0" w:afterAutospacing="0"/>
        <w:ind w:firstLine="720"/>
        <w:jc w:val="both"/>
        <w:rPr>
          <w:color w:val="FF0000"/>
        </w:rPr>
      </w:pPr>
    </w:p>
    <w:p w14:paraId="3C48B5EB" w14:textId="77777777" w:rsidR="008254DA" w:rsidRPr="00A86842" w:rsidRDefault="008254DA" w:rsidP="008254DA">
      <w:pPr>
        <w:pStyle w:val="NormalWeb"/>
        <w:spacing w:before="0" w:beforeAutospacing="0" w:after="0" w:afterAutospacing="0"/>
        <w:ind w:firstLine="720"/>
        <w:jc w:val="both"/>
      </w:pPr>
      <w:r w:rsidRPr="00A86842">
        <w:t xml:space="preserve">Izglītības tematiskajā grupā </w:t>
      </w:r>
      <w:r w:rsidRPr="00A86842">
        <w:rPr>
          <w:i/>
        </w:rPr>
        <w:t>Lauksaimniecība</w:t>
      </w:r>
      <w:r w:rsidRPr="00A86842">
        <w:t xml:space="preserve"> studiju programmas tiek īstenotas tikai </w:t>
      </w:r>
      <w:r w:rsidR="00A86842">
        <w:t>Latvijas Lauksaimniecības universitātē</w:t>
      </w:r>
      <w:r w:rsidRPr="00A86842">
        <w:t xml:space="preserve">, kur studējošo skaits šajā tematiskajā grupā </w:t>
      </w:r>
      <w:r w:rsidR="00165829" w:rsidRPr="00A86842">
        <w:t xml:space="preserve">laika posmā no 2007./2008. – 2015./2016. ak. gadam </w:t>
      </w:r>
      <w:r w:rsidRPr="00A86842">
        <w:t>ir gan palielinājies, gan samazinājies, tomēr</w:t>
      </w:r>
      <w:r w:rsidR="00165829" w:rsidRPr="00A86842">
        <w:t xml:space="preserve"> kopumā tas nav būtiski mainījies (1296 studējošie 2007./2008.ak. gadā un 1290 studējošie 2015./2016.</w:t>
      </w:r>
      <w:r w:rsidR="00A86842" w:rsidRPr="00A86842">
        <w:t xml:space="preserve"> ak. gadā</w:t>
      </w:r>
      <w:r w:rsidR="00165829" w:rsidRPr="00A86842">
        <w:t>). V</w:t>
      </w:r>
      <w:r w:rsidRPr="00A86842">
        <w:t xml:space="preserve">ienlaikus jāatzīmē, ka pēdējo gadu laikā palielinājies studējošo skaits augstākā līmeņa studiju programmās, bet samazinājies </w:t>
      </w:r>
      <w:proofErr w:type="spellStart"/>
      <w:r w:rsidRPr="00A86842">
        <w:t>pamatstudiju</w:t>
      </w:r>
      <w:proofErr w:type="spellEnd"/>
      <w:r w:rsidRPr="00A86842">
        <w:t xml:space="preserve"> </w:t>
      </w:r>
      <w:r w:rsidR="00A86842" w:rsidRPr="00A86842">
        <w:t xml:space="preserve">studiju </w:t>
      </w:r>
      <w:r w:rsidRPr="00A86842">
        <w:t>programmās (skat. 1.7. attēlu).</w:t>
      </w:r>
    </w:p>
    <w:p w14:paraId="4C77C88B" w14:textId="77777777" w:rsidR="008254DA" w:rsidRPr="00A86842" w:rsidRDefault="008254DA">
      <w:pPr>
        <w:pStyle w:val="NormalWeb"/>
        <w:spacing w:before="0" w:beforeAutospacing="0" w:after="0" w:afterAutospacing="0"/>
        <w:ind w:firstLine="720"/>
        <w:jc w:val="both"/>
      </w:pPr>
    </w:p>
    <w:p w14:paraId="2A5563F9" w14:textId="77777777" w:rsidR="008254DA" w:rsidRPr="00A86842" w:rsidRDefault="008254DA">
      <w:pPr>
        <w:pStyle w:val="NormalWeb"/>
        <w:spacing w:before="0" w:beforeAutospacing="0" w:after="0" w:afterAutospacing="0"/>
        <w:ind w:firstLine="720"/>
        <w:jc w:val="both"/>
      </w:pPr>
    </w:p>
    <w:p w14:paraId="28E91B61" w14:textId="77777777" w:rsidR="00B15A19" w:rsidRPr="00A86842" w:rsidRDefault="00B15A19" w:rsidP="00B15A19">
      <w:pPr>
        <w:pStyle w:val="NormalWeb"/>
        <w:spacing w:before="0" w:beforeAutospacing="0" w:after="0" w:afterAutospacing="0"/>
        <w:ind w:firstLine="720"/>
        <w:jc w:val="right"/>
      </w:pPr>
      <w:r w:rsidRPr="00A86842">
        <w:t>1.7. attēls</w:t>
      </w:r>
    </w:p>
    <w:p w14:paraId="11CC1C80" w14:textId="77777777" w:rsidR="00B15A19" w:rsidRPr="00A86842" w:rsidRDefault="00B56107" w:rsidP="00B15A19">
      <w:pPr>
        <w:pStyle w:val="NormalWeb"/>
        <w:spacing w:before="0" w:beforeAutospacing="0" w:after="0" w:afterAutospacing="0"/>
        <w:ind w:firstLine="720"/>
        <w:jc w:val="center"/>
        <w:rPr>
          <w:b/>
        </w:rPr>
      </w:pPr>
      <w:r w:rsidRPr="00532FF6">
        <w:rPr>
          <w:b/>
        </w:rPr>
        <w:t>Augstskolās</w:t>
      </w:r>
      <w:r w:rsidRPr="00A86842">
        <w:rPr>
          <w:b/>
        </w:rPr>
        <w:t xml:space="preserve"> </w:t>
      </w:r>
      <w:r>
        <w:rPr>
          <w:b/>
        </w:rPr>
        <w:t>s</w:t>
      </w:r>
      <w:r w:rsidR="00B15A19" w:rsidRPr="00A86842">
        <w:rPr>
          <w:b/>
        </w:rPr>
        <w:t>tudējošo skaita izmaiņas izglītības tematiskajā grupā</w:t>
      </w:r>
      <w:r w:rsidR="00B15A19" w:rsidRPr="00A86842">
        <w:rPr>
          <w:b/>
          <w:i/>
        </w:rPr>
        <w:t xml:space="preserve"> </w:t>
      </w:r>
      <w:r w:rsidR="00A86842" w:rsidRPr="00A86842">
        <w:rPr>
          <w:b/>
        </w:rPr>
        <w:t>„</w:t>
      </w:r>
      <w:r w:rsidR="00511327" w:rsidRPr="00A86842">
        <w:rPr>
          <w:b/>
        </w:rPr>
        <w:t>Lauksaimniecība</w:t>
      </w:r>
      <w:r w:rsidR="00A86842" w:rsidRPr="00A86842">
        <w:rPr>
          <w:b/>
        </w:rPr>
        <w:t>”</w:t>
      </w:r>
      <w:r w:rsidR="00B15A19" w:rsidRPr="00A86842">
        <w:rPr>
          <w:b/>
        </w:rPr>
        <w:t xml:space="preserve"> laika posmā 2007./2008</w:t>
      </w:r>
      <w:r w:rsidR="00A86842" w:rsidRPr="00A86842">
        <w:rPr>
          <w:b/>
        </w:rPr>
        <w:t>.</w:t>
      </w:r>
      <w:r w:rsidR="00B15A19" w:rsidRPr="00A86842">
        <w:rPr>
          <w:b/>
        </w:rPr>
        <w:t xml:space="preserve"> - 2015./2016.ak. gadam</w:t>
      </w:r>
    </w:p>
    <w:p w14:paraId="5E6E202F" w14:textId="77777777" w:rsidR="00C453AE" w:rsidRPr="00A86842" w:rsidRDefault="00C453AE">
      <w:pPr>
        <w:pStyle w:val="NormalWeb"/>
        <w:spacing w:before="0" w:beforeAutospacing="0" w:after="0" w:afterAutospacing="0"/>
        <w:ind w:firstLine="720"/>
        <w:jc w:val="both"/>
      </w:pPr>
    </w:p>
    <w:p w14:paraId="41D58211" w14:textId="77777777" w:rsidR="00B15A19" w:rsidRDefault="00B15A19">
      <w:pPr>
        <w:pStyle w:val="NormalWeb"/>
        <w:spacing w:before="0" w:beforeAutospacing="0" w:after="0" w:afterAutospacing="0"/>
        <w:ind w:firstLine="720"/>
        <w:jc w:val="both"/>
        <w:rPr>
          <w:color w:val="FF0000"/>
        </w:rPr>
      </w:pPr>
      <w:r>
        <w:rPr>
          <w:noProof/>
        </w:rPr>
        <w:drawing>
          <wp:inline distT="0" distB="0" distL="0" distR="0" wp14:anchorId="008DB688" wp14:editId="57A026BE">
            <wp:extent cx="4733925" cy="244792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EB9B98" w14:textId="77777777" w:rsidR="00B15A19" w:rsidRDefault="00B15A19">
      <w:pPr>
        <w:pStyle w:val="NormalWeb"/>
        <w:spacing w:before="0" w:beforeAutospacing="0" w:after="0" w:afterAutospacing="0"/>
        <w:ind w:firstLine="720"/>
        <w:jc w:val="both"/>
        <w:rPr>
          <w:color w:val="FF0000"/>
        </w:rPr>
      </w:pPr>
    </w:p>
    <w:p w14:paraId="07BCF2C2" w14:textId="77777777" w:rsidR="00B15A19" w:rsidRPr="008807FF" w:rsidRDefault="00B15A19" w:rsidP="00B15A19">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76B9BC76" w14:textId="77777777" w:rsidR="00B15A19" w:rsidRDefault="00B15A19">
      <w:pPr>
        <w:pStyle w:val="NormalWeb"/>
        <w:spacing w:before="0" w:beforeAutospacing="0" w:after="0" w:afterAutospacing="0"/>
        <w:ind w:firstLine="720"/>
        <w:jc w:val="both"/>
        <w:rPr>
          <w:color w:val="FF0000"/>
        </w:rPr>
      </w:pPr>
    </w:p>
    <w:p w14:paraId="4E7FFFB7" w14:textId="77777777" w:rsidR="00B15A19" w:rsidRDefault="00B15A19">
      <w:pPr>
        <w:pStyle w:val="NormalWeb"/>
        <w:spacing w:before="0" w:beforeAutospacing="0" w:after="0" w:afterAutospacing="0"/>
        <w:ind w:firstLine="720"/>
        <w:jc w:val="both"/>
        <w:rPr>
          <w:color w:val="FF0000"/>
        </w:rPr>
      </w:pPr>
    </w:p>
    <w:p w14:paraId="1F81EB45" w14:textId="77777777" w:rsidR="00122954" w:rsidRPr="00847C7E" w:rsidRDefault="00122954">
      <w:pPr>
        <w:pStyle w:val="NormalWeb"/>
        <w:spacing w:before="0" w:beforeAutospacing="0" w:after="0" w:afterAutospacing="0"/>
        <w:ind w:firstLine="720"/>
        <w:jc w:val="both"/>
      </w:pPr>
      <w:r w:rsidRPr="00847C7E">
        <w:t xml:space="preserve">Būtisks studējošo skaita samazinājums ir vērojams izglītības tematiskajā jomā </w:t>
      </w:r>
      <w:r w:rsidRPr="00847C7E">
        <w:rPr>
          <w:i/>
        </w:rPr>
        <w:t>Mākslas</w:t>
      </w:r>
      <w:r w:rsidRPr="00847C7E">
        <w:t>, kurā studējošo skaits laika periodā no 2007. – 2015. gadam ir samazinājies par 82</w:t>
      </w:r>
      <w:r w:rsidR="00D25E62" w:rsidRPr="00847C7E">
        <w:t>9</w:t>
      </w:r>
      <w:r w:rsidRPr="00847C7E">
        <w:t xml:space="preserve"> studentiem jeb 20%. Vienlaikus jāatzīmē, ka šajā tematiskajā jomā studējošo skaits ir samazinājies </w:t>
      </w:r>
      <w:proofErr w:type="spellStart"/>
      <w:r w:rsidRPr="00847C7E">
        <w:t>pamatstudiju</w:t>
      </w:r>
      <w:proofErr w:type="spellEnd"/>
      <w:r w:rsidRPr="00847C7E">
        <w:t xml:space="preserve"> programmās, savukārt augstākā līmeņa programmās t</w:t>
      </w:r>
      <w:r w:rsidR="00D72832" w:rsidRPr="00847C7E">
        <w:t>a</w:t>
      </w:r>
      <w:r w:rsidRPr="00847C7E">
        <w:t xml:space="preserve">s ir pieaudzis (skat. </w:t>
      </w:r>
      <w:r w:rsidR="005B701C" w:rsidRPr="00847C7E">
        <w:t>1.</w:t>
      </w:r>
      <w:r w:rsidR="00165829" w:rsidRPr="00847C7E">
        <w:t>8</w:t>
      </w:r>
      <w:r w:rsidR="005B701C" w:rsidRPr="00847C7E">
        <w:t xml:space="preserve">. </w:t>
      </w:r>
      <w:r w:rsidRPr="00847C7E">
        <w:t>attēlu).</w:t>
      </w:r>
      <w:r w:rsidR="00202F69" w:rsidRPr="00847C7E">
        <w:t xml:space="preserve"> </w:t>
      </w:r>
    </w:p>
    <w:p w14:paraId="562B7D19" w14:textId="77777777" w:rsidR="00122954" w:rsidRDefault="00122954">
      <w:pPr>
        <w:pStyle w:val="NormalWeb"/>
        <w:spacing w:before="0" w:beforeAutospacing="0" w:after="0" w:afterAutospacing="0"/>
        <w:ind w:firstLine="720"/>
        <w:jc w:val="both"/>
        <w:rPr>
          <w:b/>
        </w:rPr>
      </w:pPr>
    </w:p>
    <w:p w14:paraId="5D6B096A" w14:textId="77777777" w:rsidR="0016435E" w:rsidRPr="00B56107" w:rsidRDefault="005B701C" w:rsidP="0016435E">
      <w:pPr>
        <w:pStyle w:val="NormalWeb"/>
        <w:spacing w:before="0" w:beforeAutospacing="0" w:after="0" w:afterAutospacing="0"/>
        <w:ind w:firstLine="720"/>
        <w:jc w:val="right"/>
      </w:pPr>
      <w:r w:rsidRPr="00B56107">
        <w:t>1.</w:t>
      </w:r>
      <w:r w:rsidR="00165829" w:rsidRPr="00B56107">
        <w:t>8</w:t>
      </w:r>
      <w:r w:rsidRPr="00B56107">
        <w:t xml:space="preserve">. </w:t>
      </w:r>
      <w:r w:rsidR="0016435E" w:rsidRPr="00B56107">
        <w:t>attēls</w:t>
      </w:r>
    </w:p>
    <w:p w14:paraId="6E54FF79" w14:textId="77777777" w:rsidR="00B56107" w:rsidRPr="00B56107" w:rsidRDefault="00B56107" w:rsidP="00CF3B9C">
      <w:pPr>
        <w:pStyle w:val="NormalWeb"/>
        <w:spacing w:before="0" w:beforeAutospacing="0" w:after="0" w:afterAutospacing="0"/>
        <w:ind w:firstLine="720"/>
        <w:jc w:val="center"/>
        <w:rPr>
          <w:b/>
          <w:i/>
        </w:rPr>
      </w:pPr>
      <w:r w:rsidRPr="00532FF6">
        <w:rPr>
          <w:b/>
        </w:rPr>
        <w:t>Augstskolās</w:t>
      </w:r>
      <w:r>
        <w:rPr>
          <w:b/>
        </w:rPr>
        <w:t xml:space="preserve"> s</w:t>
      </w:r>
      <w:r w:rsidR="00CF3B9C" w:rsidRPr="00B56107">
        <w:rPr>
          <w:b/>
        </w:rPr>
        <w:t>tudējošo skaita izmaiņas</w:t>
      </w:r>
      <w:r w:rsidR="0067069B" w:rsidRPr="00B56107">
        <w:rPr>
          <w:b/>
        </w:rPr>
        <w:t xml:space="preserve"> </w:t>
      </w:r>
      <w:r w:rsidR="00CF3B9C" w:rsidRPr="00B56107">
        <w:rPr>
          <w:b/>
        </w:rPr>
        <w:t xml:space="preserve">izglītības tematiskajā jomā </w:t>
      </w:r>
      <w:r w:rsidR="00847C7E" w:rsidRPr="00B56107">
        <w:rPr>
          <w:b/>
        </w:rPr>
        <w:t>„</w:t>
      </w:r>
      <w:r w:rsidR="00CF3B9C" w:rsidRPr="00B56107">
        <w:rPr>
          <w:b/>
        </w:rPr>
        <w:t>M</w:t>
      </w:r>
      <w:r w:rsidR="004D4825" w:rsidRPr="00B56107">
        <w:rPr>
          <w:b/>
        </w:rPr>
        <w:t>ākslas</w:t>
      </w:r>
      <w:r w:rsidR="00847C7E" w:rsidRPr="00B56107">
        <w:rPr>
          <w:b/>
        </w:rPr>
        <w:t>”</w:t>
      </w:r>
    </w:p>
    <w:p w14:paraId="4DD9A83D" w14:textId="77777777" w:rsidR="00CF3B9C" w:rsidRPr="00B56107" w:rsidRDefault="00CF3B9C" w:rsidP="00CF3B9C">
      <w:pPr>
        <w:pStyle w:val="NormalWeb"/>
        <w:spacing w:before="0" w:beforeAutospacing="0" w:after="0" w:afterAutospacing="0"/>
        <w:ind w:firstLine="720"/>
        <w:jc w:val="center"/>
        <w:rPr>
          <w:b/>
        </w:rPr>
      </w:pPr>
      <w:r w:rsidRPr="00B56107">
        <w:rPr>
          <w:b/>
        </w:rPr>
        <w:t xml:space="preserve"> </w:t>
      </w:r>
      <w:r w:rsidR="00B56107" w:rsidRPr="00B56107">
        <w:rPr>
          <w:b/>
        </w:rPr>
        <w:t>laika posmā 2007./2008.</w:t>
      </w:r>
      <w:r w:rsidRPr="00B56107">
        <w:rPr>
          <w:b/>
        </w:rPr>
        <w:t xml:space="preserve"> - 2015./2016.ak. gadam</w:t>
      </w:r>
    </w:p>
    <w:p w14:paraId="3217F990" w14:textId="77777777" w:rsidR="00666727" w:rsidRPr="00CF3B9C" w:rsidRDefault="00666727" w:rsidP="00CF3B9C">
      <w:pPr>
        <w:pStyle w:val="NormalWeb"/>
        <w:spacing w:before="0" w:beforeAutospacing="0" w:after="0" w:afterAutospacing="0"/>
        <w:ind w:firstLine="720"/>
        <w:jc w:val="center"/>
        <w:rPr>
          <w:color w:val="FF0000"/>
        </w:rPr>
      </w:pPr>
    </w:p>
    <w:p w14:paraId="5CCDD523" w14:textId="77777777" w:rsidR="00CF3B9C" w:rsidRDefault="00666727">
      <w:pPr>
        <w:pStyle w:val="NormalWeb"/>
        <w:spacing w:before="0" w:beforeAutospacing="0" w:after="0" w:afterAutospacing="0"/>
        <w:ind w:firstLine="720"/>
        <w:jc w:val="both"/>
        <w:rPr>
          <w:b/>
        </w:rPr>
      </w:pPr>
      <w:r>
        <w:rPr>
          <w:noProof/>
        </w:rPr>
        <w:drawing>
          <wp:inline distT="0" distB="0" distL="0" distR="0" wp14:anchorId="35FB2EBA" wp14:editId="003C6380">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769906" w14:textId="77777777" w:rsidR="00CF3B9C" w:rsidRDefault="00CF3B9C">
      <w:pPr>
        <w:pStyle w:val="NormalWeb"/>
        <w:spacing w:before="0" w:beforeAutospacing="0" w:after="0" w:afterAutospacing="0"/>
        <w:ind w:firstLine="720"/>
        <w:jc w:val="both"/>
        <w:rPr>
          <w:b/>
        </w:rPr>
      </w:pPr>
    </w:p>
    <w:p w14:paraId="63D957F0" w14:textId="77777777" w:rsidR="002B65A6" w:rsidRPr="008807FF" w:rsidRDefault="002B65A6" w:rsidP="002B65A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240F8D72" w14:textId="77777777" w:rsidR="00CF3B9C" w:rsidRDefault="00CF3B9C">
      <w:pPr>
        <w:pStyle w:val="NormalWeb"/>
        <w:spacing w:before="0" w:beforeAutospacing="0" w:after="0" w:afterAutospacing="0"/>
        <w:ind w:firstLine="720"/>
        <w:jc w:val="both"/>
        <w:rPr>
          <w:b/>
        </w:rPr>
      </w:pPr>
      <w:bookmarkStart w:id="9" w:name="_GoBack"/>
      <w:bookmarkEnd w:id="9"/>
    </w:p>
    <w:p w14:paraId="03B2208A" w14:textId="77777777" w:rsidR="00202F69" w:rsidRPr="00B56107" w:rsidRDefault="00202F69" w:rsidP="00202F69">
      <w:pPr>
        <w:pStyle w:val="NormalWeb"/>
        <w:spacing w:before="0" w:beforeAutospacing="0" w:after="0" w:afterAutospacing="0"/>
        <w:ind w:firstLine="720"/>
        <w:jc w:val="both"/>
      </w:pPr>
      <w:r w:rsidRPr="00B56107">
        <w:lastRenderedPageBreak/>
        <w:t xml:space="preserve">Vislielākais studējošo skaita pieaugums ir vērojams izglītības tematiskajā jomā </w:t>
      </w:r>
      <w:r w:rsidRPr="00B56107">
        <w:rPr>
          <w:i/>
        </w:rPr>
        <w:t xml:space="preserve">Veselības aprūpe, </w:t>
      </w:r>
      <w:r w:rsidRPr="00B56107">
        <w:t xml:space="preserve">kur studējošo skaits laika posmā no 2007. – 2015. gadam ir palielinājies par </w:t>
      </w:r>
      <w:r w:rsidR="00D72832" w:rsidRPr="00B56107">
        <w:t>3</w:t>
      </w:r>
      <w:r w:rsidRPr="00B56107">
        <w:t>0</w:t>
      </w:r>
      <w:r w:rsidR="00D72832" w:rsidRPr="00B56107">
        <w:t>79</w:t>
      </w:r>
      <w:r w:rsidRPr="00B56107">
        <w:t xml:space="preserve"> studentiem jeb 6</w:t>
      </w:r>
      <w:r w:rsidR="00D72832" w:rsidRPr="00B56107">
        <w:t>8</w:t>
      </w:r>
      <w:r w:rsidR="00B56107">
        <w:t>% (skat.</w:t>
      </w:r>
      <w:r w:rsidR="005B701C" w:rsidRPr="00B56107">
        <w:t>1.</w:t>
      </w:r>
      <w:r w:rsidR="00165829" w:rsidRPr="00B56107">
        <w:t>9</w:t>
      </w:r>
      <w:r w:rsidR="005B701C" w:rsidRPr="00B56107">
        <w:t xml:space="preserve">. </w:t>
      </w:r>
      <w:r w:rsidRPr="00B56107">
        <w:t>a</w:t>
      </w:r>
      <w:r w:rsidR="00666727" w:rsidRPr="00B56107">
        <w:t>t</w:t>
      </w:r>
      <w:r w:rsidRPr="00B56107">
        <w:t>t</w:t>
      </w:r>
      <w:r w:rsidR="00666727" w:rsidRPr="00B56107">
        <w:t>ē</w:t>
      </w:r>
      <w:r w:rsidRPr="00B56107">
        <w:t xml:space="preserve">lu). </w:t>
      </w:r>
      <w:r w:rsidR="005653E8" w:rsidRPr="00B56107">
        <w:t xml:space="preserve">Vienlaikus jāatzīmē, ka pēdējos gados vērojama tendence samazināties </w:t>
      </w:r>
      <w:proofErr w:type="spellStart"/>
      <w:r w:rsidR="005653E8" w:rsidRPr="00B56107">
        <w:t>pamatstudiju</w:t>
      </w:r>
      <w:proofErr w:type="spellEnd"/>
      <w:r w:rsidR="005653E8" w:rsidRPr="00B56107">
        <w:t xml:space="preserve"> programmās studējošo skaitam, bet palielināties augstākā līmeņa studiju programmās studējošo skaitam.</w:t>
      </w:r>
    </w:p>
    <w:p w14:paraId="6397049B" w14:textId="77777777" w:rsidR="0016435E" w:rsidRDefault="0016435E" w:rsidP="00202F69">
      <w:pPr>
        <w:pStyle w:val="NormalWeb"/>
        <w:spacing w:before="0" w:beforeAutospacing="0" w:after="0" w:afterAutospacing="0"/>
        <w:ind w:firstLine="720"/>
        <w:jc w:val="both"/>
        <w:rPr>
          <w:color w:val="FF0000"/>
        </w:rPr>
      </w:pPr>
    </w:p>
    <w:p w14:paraId="33988A2C" w14:textId="77777777" w:rsidR="0016435E" w:rsidRPr="00B56107" w:rsidRDefault="005B701C" w:rsidP="0016435E">
      <w:pPr>
        <w:pStyle w:val="NormalWeb"/>
        <w:spacing w:before="0" w:beforeAutospacing="0" w:after="0" w:afterAutospacing="0"/>
        <w:ind w:firstLine="720"/>
        <w:jc w:val="right"/>
      </w:pPr>
      <w:r w:rsidRPr="00B56107">
        <w:t>1.</w:t>
      </w:r>
      <w:r w:rsidR="00165829" w:rsidRPr="00B56107">
        <w:t>9</w:t>
      </w:r>
      <w:r w:rsidRPr="00B56107">
        <w:t xml:space="preserve">. </w:t>
      </w:r>
      <w:r w:rsidR="0016435E" w:rsidRPr="00B56107">
        <w:t>attēls</w:t>
      </w:r>
    </w:p>
    <w:p w14:paraId="7DF987FB" w14:textId="77777777" w:rsidR="00B56107" w:rsidRDefault="00CF3B9C" w:rsidP="00202F69">
      <w:pPr>
        <w:pStyle w:val="NormalWeb"/>
        <w:spacing w:before="0" w:beforeAutospacing="0" w:after="0" w:afterAutospacing="0"/>
        <w:ind w:firstLine="720"/>
        <w:jc w:val="center"/>
        <w:rPr>
          <w:b/>
        </w:rPr>
      </w:pPr>
      <w:r w:rsidRPr="00B56107">
        <w:rPr>
          <w:b/>
        </w:rPr>
        <w:t xml:space="preserve">Augstskolās studējošo skaita izmaiņas izglītības tematiskajā jomā </w:t>
      </w:r>
    </w:p>
    <w:p w14:paraId="68E2ABC1" w14:textId="77777777" w:rsidR="00CF3B9C" w:rsidRPr="00B56107" w:rsidRDefault="00B56107" w:rsidP="00202F69">
      <w:pPr>
        <w:pStyle w:val="NormalWeb"/>
        <w:spacing w:before="0" w:beforeAutospacing="0" w:after="0" w:afterAutospacing="0"/>
        <w:ind w:firstLine="720"/>
        <w:jc w:val="center"/>
        <w:rPr>
          <w:b/>
        </w:rPr>
      </w:pPr>
      <w:r w:rsidRPr="00B56107">
        <w:rPr>
          <w:b/>
        </w:rPr>
        <w:t>„</w:t>
      </w:r>
      <w:r w:rsidR="00CF3B9C" w:rsidRPr="00B56107">
        <w:rPr>
          <w:b/>
        </w:rPr>
        <w:t>Veselības aprūpe</w:t>
      </w:r>
      <w:r w:rsidRPr="00B56107">
        <w:rPr>
          <w:b/>
        </w:rPr>
        <w:t>” laika posmā 2007./2008.</w:t>
      </w:r>
      <w:r w:rsidR="00CF3B9C" w:rsidRPr="00B56107">
        <w:rPr>
          <w:b/>
        </w:rPr>
        <w:t xml:space="preserve"> - 2015./2016.ak. gadam</w:t>
      </w:r>
    </w:p>
    <w:p w14:paraId="5AE409D1" w14:textId="77777777" w:rsidR="00CF3B9C" w:rsidRPr="00B56107" w:rsidRDefault="00CF3B9C">
      <w:pPr>
        <w:pStyle w:val="NormalWeb"/>
        <w:spacing w:before="0" w:beforeAutospacing="0" w:after="0" w:afterAutospacing="0"/>
        <w:ind w:firstLine="720"/>
        <w:jc w:val="both"/>
        <w:rPr>
          <w:b/>
        </w:rPr>
      </w:pPr>
    </w:p>
    <w:p w14:paraId="795976AE" w14:textId="77777777" w:rsidR="00D72832" w:rsidRDefault="00D72832">
      <w:pPr>
        <w:pStyle w:val="NormalWeb"/>
        <w:spacing w:before="0" w:beforeAutospacing="0" w:after="0" w:afterAutospacing="0"/>
        <w:ind w:firstLine="720"/>
        <w:jc w:val="both"/>
        <w:rPr>
          <w:b/>
        </w:rPr>
      </w:pPr>
    </w:p>
    <w:p w14:paraId="782AF6A8" w14:textId="77777777" w:rsidR="00D72832" w:rsidRDefault="00D72832">
      <w:pPr>
        <w:pStyle w:val="NormalWeb"/>
        <w:spacing w:before="0" w:beforeAutospacing="0" w:after="0" w:afterAutospacing="0"/>
        <w:ind w:firstLine="720"/>
        <w:jc w:val="both"/>
        <w:rPr>
          <w:b/>
        </w:rPr>
      </w:pPr>
      <w:r>
        <w:rPr>
          <w:noProof/>
        </w:rPr>
        <w:drawing>
          <wp:inline distT="0" distB="0" distL="0" distR="0" wp14:anchorId="27C1D562" wp14:editId="5223C6B3">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457834" w14:textId="77777777" w:rsidR="002B65A6" w:rsidRPr="008807FF" w:rsidRDefault="002B65A6" w:rsidP="002B65A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3B212F65" w14:textId="77777777" w:rsidR="00202F69" w:rsidRDefault="00202F69" w:rsidP="00202F69">
      <w:pPr>
        <w:pStyle w:val="NormalWeb"/>
        <w:spacing w:before="0" w:beforeAutospacing="0" w:after="0" w:afterAutospacing="0"/>
        <w:rPr>
          <w:b/>
        </w:rPr>
      </w:pPr>
    </w:p>
    <w:p w14:paraId="0323FAA1" w14:textId="77777777" w:rsidR="00202F69" w:rsidRPr="00B56107" w:rsidRDefault="00666727" w:rsidP="00C26389">
      <w:pPr>
        <w:pStyle w:val="NormalWeb"/>
        <w:spacing w:before="0" w:beforeAutospacing="0" w:after="0" w:afterAutospacing="0"/>
        <w:ind w:firstLine="720"/>
        <w:jc w:val="both"/>
      </w:pPr>
      <w:r w:rsidRPr="00B56107">
        <w:t xml:space="preserve">Negatīva </w:t>
      </w:r>
      <w:r w:rsidR="00202F69" w:rsidRPr="00B56107">
        <w:t>studējošo skaita dinamika ir vērojama</w:t>
      </w:r>
      <w:r w:rsidR="00BE3273" w:rsidRPr="00B56107">
        <w:t xml:space="preserve"> </w:t>
      </w:r>
      <w:r w:rsidR="00202F69" w:rsidRPr="00B56107">
        <w:t xml:space="preserve">izglītības tematiskajā jomā </w:t>
      </w:r>
      <w:r w:rsidR="00202F69" w:rsidRPr="00B56107">
        <w:rPr>
          <w:i/>
        </w:rPr>
        <w:t xml:space="preserve">Vides aizsardzība, </w:t>
      </w:r>
      <w:r w:rsidR="00202F69" w:rsidRPr="00B56107">
        <w:t>kur laika posmā no 2007. – 201</w:t>
      </w:r>
      <w:r w:rsidR="00B56107" w:rsidRPr="00B56107">
        <w:t>5</w:t>
      </w:r>
      <w:r w:rsidR="00202F69" w:rsidRPr="00B56107">
        <w:t xml:space="preserve">.gadam </w:t>
      </w:r>
      <w:r w:rsidR="00104BB5" w:rsidRPr="00B56107">
        <w:t xml:space="preserve">gandrīz </w:t>
      </w:r>
      <w:r w:rsidRPr="00B56107">
        <w:t xml:space="preserve">uz pusi ir samazinājies </w:t>
      </w:r>
      <w:r w:rsidR="00202F69" w:rsidRPr="00B56107">
        <w:t xml:space="preserve">studējošo skaits (par </w:t>
      </w:r>
      <w:r w:rsidR="00104BB5" w:rsidRPr="00B56107">
        <w:t>536</w:t>
      </w:r>
      <w:r w:rsidR="00202F69" w:rsidRPr="00B56107">
        <w:t xml:space="preserve"> studentiem jeb </w:t>
      </w:r>
      <w:r w:rsidR="00104BB5" w:rsidRPr="00B56107">
        <w:t xml:space="preserve">46 </w:t>
      </w:r>
      <w:r w:rsidRPr="00B56107">
        <w:t>%)</w:t>
      </w:r>
      <w:r w:rsidR="00BE3273" w:rsidRPr="00B56107">
        <w:t xml:space="preserve">. </w:t>
      </w:r>
    </w:p>
    <w:p w14:paraId="1652AA2A" w14:textId="77777777" w:rsidR="00202F69" w:rsidRDefault="00202F69" w:rsidP="004D4825">
      <w:pPr>
        <w:pStyle w:val="NormalWeb"/>
        <w:spacing w:before="0" w:beforeAutospacing="0" w:after="0" w:afterAutospacing="0"/>
        <w:ind w:firstLine="720"/>
        <w:jc w:val="center"/>
        <w:rPr>
          <w:color w:val="FF0000"/>
        </w:rPr>
      </w:pPr>
    </w:p>
    <w:p w14:paraId="7C56BF29" w14:textId="77777777" w:rsidR="00202F69" w:rsidRPr="00B56107" w:rsidRDefault="005B701C" w:rsidP="005B701C">
      <w:pPr>
        <w:pStyle w:val="NormalWeb"/>
        <w:spacing w:before="0" w:beforeAutospacing="0" w:after="0" w:afterAutospacing="0"/>
        <w:ind w:firstLine="720"/>
        <w:jc w:val="right"/>
      </w:pPr>
      <w:r w:rsidRPr="00B56107">
        <w:t>1.</w:t>
      </w:r>
      <w:r w:rsidR="00165829" w:rsidRPr="00B56107">
        <w:t>10</w:t>
      </w:r>
      <w:r w:rsidRPr="00B56107">
        <w:t>. attēls</w:t>
      </w:r>
    </w:p>
    <w:p w14:paraId="26F077B0" w14:textId="77777777" w:rsidR="004D4825" w:rsidRPr="00B56107" w:rsidRDefault="004D4825" w:rsidP="004D4825">
      <w:pPr>
        <w:pStyle w:val="NormalWeb"/>
        <w:spacing w:before="0" w:beforeAutospacing="0" w:after="0" w:afterAutospacing="0"/>
        <w:ind w:firstLine="720"/>
        <w:jc w:val="center"/>
        <w:rPr>
          <w:b/>
        </w:rPr>
      </w:pPr>
      <w:r w:rsidRPr="00B56107">
        <w:rPr>
          <w:b/>
        </w:rPr>
        <w:t xml:space="preserve">Augstskolās studējošo skaita izmaiņas izglītības tematiskajā jomā </w:t>
      </w:r>
      <w:r w:rsidR="00B56107" w:rsidRPr="00B56107">
        <w:rPr>
          <w:b/>
        </w:rPr>
        <w:t>„</w:t>
      </w:r>
      <w:r w:rsidRPr="00B56107">
        <w:rPr>
          <w:b/>
          <w:i/>
        </w:rPr>
        <w:t>Vides aizsardzība</w:t>
      </w:r>
      <w:r w:rsidR="00B56107" w:rsidRPr="00B56107">
        <w:rPr>
          <w:b/>
          <w:i/>
        </w:rPr>
        <w:t>”</w:t>
      </w:r>
      <w:r w:rsidRPr="00B56107">
        <w:rPr>
          <w:b/>
        </w:rPr>
        <w:t xml:space="preserve"> laika posmā 2007./2008</w:t>
      </w:r>
      <w:r w:rsidR="00B56107" w:rsidRPr="00B56107">
        <w:rPr>
          <w:b/>
        </w:rPr>
        <w:t>.</w:t>
      </w:r>
      <w:r w:rsidRPr="00B56107">
        <w:rPr>
          <w:b/>
        </w:rPr>
        <w:t xml:space="preserve"> - 2015./2016.ak. gadam</w:t>
      </w:r>
    </w:p>
    <w:p w14:paraId="722C7513" w14:textId="77777777" w:rsidR="00CF3B9C" w:rsidRDefault="00B56107">
      <w:pPr>
        <w:pStyle w:val="NormalWeb"/>
        <w:spacing w:before="0" w:beforeAutospacing="0" w:after="0" w:afterAutospacing="0"/>
        <w:ind w:firstLine="720"/>
        <w:jc w:val="both"/>
        <w:rPr>
          <w:b/>
        </w:rPr>
      </w:pPr>
      <w:r>
        <w:rPr>
          <w:noProof/>
        </w:rPr>
        <w:drawing>
          <wp:inline distT="0" distB="0" distL="0" distR="0" wp14:anchorId="418AAECC" wp14:editId="0060A5EC">
            <wp:extent cx="4548188" cy="2862263"/>
            <wp:effectExtent l="0" t="0" r="5080" b="14605"/>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944773" w14:textId="77777777" w:rsidR="001210B3" w:rsidRDefault="001210B3" w:rsidP="002B65A6">
      <w:pPr>
        <w:pStyle w:val="ListParagraph"/>
        <w:numPr>
          <w:ilvl w:val="0"/>
          <w:numId w:val="1"/>
        </w:numPr>
        <w:contextualSpacing/>
        <w:rPr>
          <w:i/>
          <w:sz w:val="22"/>
          <w:szCs w:val="22"/>
        </w:rPr>
      </w:pPr>
    </w:p>
    <w:p w14:paraId="0985CFD6" w14:textId="77777777" w:rsidR="001210B3" w:rsidRDefault="001210B3" w:rsidP="002B65A6">
      <w:pPr>
        <w:pStyle w:val="ListParagraph"/>
        <w:numPr>
          <w:ilvl w:val="0"/>
          <w:numId w:val="1"/>
        </w:numPr>
        <w:contextualSpacing/>
        <w:rPr>
          <w:i/>
          <w:sz w:val="22"/>
          <w:szCs w:val="22"/>
        </w:rPr>
      </w:pPr>
    </w:p>
    <w:p w14:paraId="6D82FC09" w14:textId="77777777" w:rsidR="002B65A6" w:rsidRPr="008807FF" w:rsidRDefault="002B65A6" w:rsidP="002B65A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550BE76B" w14:textId="77777777" w:rsidR="00CF3B9C" w:rsidRDefault="00CF3B9C">
      <w:pPr>
        <w:pStyle w:val="NormalWeb"/>
        <w:spacing w:before="0" w:beforeAutospacing="0" w:after="0" w:afterAutospacing="0"/>
        <w:ind w:firstLine="720"/>
        <w:jc w:val="both"/>
        <w:rPr>
          <w:b/>
        </w:rPr>
      </w:pPr>
    </w:p>
    <w:p w14:paraId="44B9E157" w14:textId="77777777" w:rsidR="00CF3B9C" w:rsidRDefault="00CF3B9C">
      <w:pPr>
        <w:pStyle w:val="NormalWeb"/>
        <w:spacing w:before="0" w:beforeAutospacing="0" w:after="0" w:afterAutospacing="0"/>
        <w:ind w:firstLine="720"/>
        <w:jc w:val="both"/>
        <w:rPr>
          <w:b/>
        </w:rPr>
      </w:pPr>
    </w:p>
    <w:p w14:paraId="2A06AEE8" w14:textId="77777777" w:rsidR="0063354C" w:rsidRDefault="00104BB5" w:rsidP="00104BB5">
      <w:pPr>
        <w:pStyle w:val="EYBodytextwithparaspace"/>
        <w:numPr>
          <w:ilvl w:val="7"/>
          <w:numId w:val="1"/>
        </w:numPr>
        <w:tabs>
          <w:tab w:val="clear" w:pos="0"/>
        </w:tabs>
        <w:spacing w:after="120"/>
        <w:jc w:val="both"/>
        <w:rPr>
          <w:rFonts w:ascii="Times New Roman" w:hAnsi="Times New Roman"/>
          <w:sz w:val="24"/>
        </w:rPr>
      </w:pPr>
      <w:r w:rsidRPr="00B56107">
        <w:rPr>
          <w:rFonts w:ascii="Times New Roman" w:hAnsi="Times New Roman"/>
          <w:sz w:val="24"/>
        </w:rPr>
        <w:t xml:space="preserve">Kā redzams </w:t>
      </w:r>
      <w:r w:rsidR="00D56DBC" w:rsidRPr="00B56107">
        <w:rPr>
          <w:rFonts w:ascii="Times New Roman" w:hAnsi="Times New Roman"/>
          <w:sz w:val="24"/>
        </w:rPr>
        <w:t>1.</w:t>
      </w:r>
      <w:r w:rsidR="00165829" w:rsidRPr="00B56107">
        <w:rPr>
          <w:rFonts w:ascii="Times New Roman" w:hAnsi="Times New Roman"/>
          <w:sz w:val="24"/>
        </w:rPr>
        <w:t>10</w:t>
      </w:r>
      <w:r w:rsidR="00D56DBC" w:rsidRPr="00B56107">
        <w:rPr>
          <w:rFonts w:ascii="Times New Roman" w:hAnsi="Times New Roman"/>
          <w:sz w:val="24"/>
        </w:rPr>
        <w:t>.</w:t>
      </w:r>
      <w:r w:rsidRPr="00B56107">
        <w:rPr>
          <w:rFonts w:ascii="Times New Roman" w:hAnsi="Times New Roman"/>
          <w:sz w:val="24"/>
        </w:rPr>
        <w:t xml:space="preserve"> attēlā, lielākais studējošo skaita samazinājums izglītības tematiskajā jomā </w:t>
      </w:r>
      <w:r w:rsidRPr="00B56107">
        <w:rPr>
          <w:rFonts w:ascii="Times New Roman" w:hAnsi="Times New Roman"/>
          <w:i/>
          <w:sz w:val="24"/>
        </w:rPr>
        <w:t>Vides aizsardzība</w:t>
      </w:r>
      <w:r w:rsidRPr="00B56107">
        <w:rPr>
          <w:rFonts w:ascii="Times New Roman" w:hAnsi="Times New Roman"/>
          <w:sz w:val="24"/>
        </w:rPr>
        <w:t xml:space="preserve"> ir vērojams </w:t>
      </w:r>
      <w:proofErr w:type="spellStart"/>
      <w:r w:rsidRPr="00B56107">
        <w:rPr>
          <w:rFonts w:ascii="Times New Roman" w:hAnsi="Times New Roman"/>
          <w:sz w:val="24"/>
        </w:rPr>
        <w:t>pamatstudiju</w:t>
      </w:r>
      <w:proofErr w:type="spellEnd"/>
      <w:r w:rsidRPr="00B56107">
        <w:rPr>
          <w:rFonts w:ascii="Times New Roman" w:hAnsi="Times New Roman"/>
          <w:sz w:val="24"/>
        </w:rPr>
        <w:t xml:space="preserve"> </w:t>
      </w:r>
      <w:r w:rsidR="00B56107" w:rsidRPr="00B56107">
        <w:rPr>
          <w:rFonts w:ascii="Times New Roman" w:hAnsi="Times New Roman"/>
          <w:sz w:val="24"/>
        </w:rPr>
        <w:t xml:space="preserve">studiju </w:t>
      </w:r>
      <w:r w:rsidRPr="00B56107">
        <w:rPr>
          <w:rFonts w:ascii="Times New Roman" w:hAnsi="Times New Roman"/>
          <w:sz w:val="24"/>
        </w:rPr>
        <w:t xml:space="preserve">programmās. </w:t>
      </w:r>
      <w:r w:rsidR="00A279AB" w:rsidRPr="00B56107">
        <w:rPr>
          <w:rFonts w:ascii="Times New Roman" w:hAnsi="Times New Roman"/>
          <w:sz w:val="24"/>
        </w:rPr>
        <w:t xml:space="preserve">Izvērtējot IZM apkopotos datus par studējošo skaitu šajās programmās 2007./2008. un 2015./2016. ak. gadā, secināms, ka studējošo skaits ir samazinājies visu augstskolu īstenotajās studiju programmās (izņemot </w:t>
      </w:r>
      <w:r w:rsidR="00B56107">
        <w:rPr>
          <w:rFonts w:ascii="Times New Roman" w:hAnsi="Times New Roman"/>
          <w:sz w:val="24"/>
        </w:rPr>
        <w:t>Rīgas Tehnisko universitāti</w:t>
      </w:r>
      <w:r w:rsidR="00A279AB" w:rsidRPr="00B56107">
        <w:rPr>
          <w:rFonts w:ascii="Times New Roman" w:hAnsi="Times New Roman"/>
          <w:sz w:val="24"/>
        </w:rPr>
        <w:t xml:space="preserve">), kas pamatā ir saistīts ar maksas studējošo skaita strauju samazināšanos. Ja 2007./2008. ak. gadā gandrīz puse jeb 46% </w:t>
      </w:r>
      <w:r w:rsidR="00B56107" w:rsidRPr="00B56107">
        <w:rPr>
          <w:rFonts w:ascii="Times New Roman" w:hAnsi="Times New Roman"/>
          <w:sz w:val="24"/>
        </w:rPr>
        <w:t>v</w:t>
      </w:r>
      <w:r w:rsidR="00745B0F" w:rsidRPr="00B56107">
        <w:rPr>
          <w:rFonts w:ascii="Times New Roman" w:hAnsi="Times New Roman"/>
          <w:sz w:val="24"/>
        </w:rPr>
        <w:t xml:space="preserve">ides aizsardzības jomā </w:t>
      </w:r>
      <w:r w:rsidR="00A279AB" w:rsidRPr="00B56107">
        <w:rPr>
          <w:rFonts w:ascii="Times New Roman" w:hAnsi="Times New Roman"/>
          <w:sz w:val="24"/>
        </w:rPr>
        <w:t xml:space="preserve">studējošo par savām studijām maksāja paši, tad 2015./2016. ak. gadā to īpatsvars ir tikai 9%. </w:t>
      </w:r>
      <w:r w:rsidR="00D56DBC" w:rsidRPr="00B56107">
        <w:rPr>
          <w:rFonts w:ascii="Times New Roman" w:hAnsi="Times New Roman"/>
          <w:sz w:val="24"/>
        </w:rPr>
        <w:t xml:space="preserve">Jāatzīmē, ka 2015./2016. ak. gadā pēc būtības studējošo skaita samazinājums </w:t>
      </w:r>
      <w:r w:rsidR="00B56107" w:rsidRPr="00B56107">
        <w:rPr>
          <w:rFonts w:ascii="Times New Roman" w:hAnsi="Times New Roman"/>
          <w:sz w:val="24"/>
        </w:rPr>
        <w:t>v</w:t>
      </w:r>
      <w:r w:rsidR="00D56DBC" w:rsidRPr="00B56107">
        <w:rPr>
          <w:rFonts w:ascii="Times New Roman" w:hAnsi="Times New Roman"/>
          <w:sz w:val="24"/>
        </w:rPr>
        <w:t xml:space="preserve">ides aizsardzības jomā ir </w:t>
      </w:r>
      <w:r w:rsidR="005653E8" w:rsidRPr="00B56107">
        <w:rPr>
          <w:rFonts w:ascii="Times New Roman" w:hAnsi="Times New Roman"/>
          <w:sz w:val="24"/>
        </w:rPr>
        <w:t xml:space="preserve">ievērojami </w:t>
      </w:r>
      <w:r w:rsidR="00D56DBC" w:rsidRPr="00B56107">
        <w:rPr>
          <w:rFonts w:ascii="Times New Roman" w:hAnsi="Times New Roman"/>
          <w:sz w:val="24"/>
        </w:rPr>
        <w:t xml:space="preserve">mazāks, jo </w:t>
      </w:r>
      <w:r w:rsidR="00B56107" w:rsidRPr="00B56107">
        <w:rPr>
          <w:rFonts w:ascii="Times New Roman" w:hAnsi="Times New Roman"/>
          <w:sz w:val="24"/>
        </w:rPr>
        <w:t>Rēzeknes Tehnoloģiju akadēmija</w:t>
      </w:r>
      <w:r w:rsidR="00D56DBC" w:rsidRPr="00B56107">
        <w:rPr>
          <w:rFonts w:ascii="Times New Roman" w:hAnsi="Times New Roman"/>
          <w:sz w:val="24"/>
        </w:rPr>
        <w:t xml:space="preserve"> šīs jomas programmas, kurās kopā studē 111 studenti, ir </w:t>
      </w:r>
      <w:r w:rsidR="00165829" w:rsidRPr="00B56107">
        <w:rPr>
          <w:rFonts w:ascii="Times New Roman" w:hAnsi="Times New Roman"/>
          <w:sz w:val="24"/>
        </w:rPr>
        <w:t>pārreģistrējusi</w:t>
      </w:r>
      <w:r w:rsidR="00D56DBC" w:rsidRPr="00B56107">
        <w:rPr>
          <w:rFonts w:ascii="Times New Roman" w:hAnsi="Times New Roman"/>
          <w:sz w:val="24"/>
        </w:rPr>
        <w:t xml:space="preserve"> uz izglītības tematisko grupu </w:t>
      </w:r>
      <w:r w:rsidR="00D56DBC" w:rsidRPr="00B56107">
        <w:rPr>
          <w:rFonts w:ascii="Times New Roman" w:hAnsi="Times New Roman"/>
          <w:i/>
          <w:sz w:val="24"/>
        </w:rPr>
        <w:t>Inženierzinātnes, ražošana un būvniecība.</w:t>
      </w:r>
      <w:r w:rsidR="00D56DBC" w:rsidRPr="00B56107">
        <w:rPr>
          <w:rFonts w:ascii="Times New Roman" w:hAnsi="Times New Roman"/>
          <w:sz w:val="24"/>
        </w:rPr>
        <w:t xml:space="preserve"> </w:t>
      </w:r>
    </w:p>
    <w:p w14:paraId="5D70CE20" w14:textId="77777777" w:rsidR="004D5CCF" w:rsidRPr="004D5CCF" w:rsidRDefault="00E65E5F" w:rsidP="00012582">
      <w:pPr>
        <w:pStyle w:val="EYBodytextwithparaspace"/>
        <w:numPr>
          <w:ilvl w:val="7"/>
          <w:numId w:val="1"/>
        </w:numPr>
        <w:tabs>
          <w:tab w:val="clear" w:pos="0"/>
        </w:tabs>
        <w:spacing w:after="120"/>
        <w:jc w:val="both"/>
        <w:rPr>
          <w:rFonts w:ascii="Times New Roman" w:hAnsi="Times New Roman"/>
          <w:sz w:val="24"/>
        </w:rPr>
      </w:pPr>
      <w:r w:rsidRPr="00012582">
        <w:rPr>
          <w:rFonts w:ascii="Times New Roman" w:hAnsi="Times New Roman"/>
          <w:sz w:val="24"/>
        </w:rPr>
        <w:t xml:space="preserve">Tā kā </w:t>
      </w:r>
      <w:r w:rsidR="00D06A3C" w:rsidRPr="00012582">
        <w:rPr>
          <w:rFonts w:ascii="Times New Roman" w:hAnsi="Times New Roman"/>
          <w:color w:val="222222"/>
          <w:sz w:val="24"/>
        </w:rPr>
        <w:t xml:space="preserve">ieguldījumiem STEM infrastruktūrā ir netieša ietekme uz horizontālo principu “Vienlīdzīgas iespējas”, kas attiecas uz dzimumu līdztiesības aspektu, būtiski ir noskaidrot sieviešu un vīriešu pārstāvniecību 8.1.1. SAM ietvaros atbalstāmajās STEM jomas studiju programmās. </w:t>
      </w:r>
    </w:p>
    <w:p w14:paraId="4BA08547" w14:textId="77777777" w:rsidR="004D5CCF" w:rsidRPr="004D5CCF" w:rsidRDefault="004D5CCF" w:rsidP="00012582">
      <w:pPr>
        <w:pStyle w:val="EYBodytextwithparaspace"/>
        <w:numPr>
          <w:ilvl w:val="7"/>
          <w:numId w:val="1"/>
        </w:numPr>
        <w:tabs>
          <w:tab w:val="clear" w:pos="0"/>
        </w:tabs>
        <w:spacing w:after="120"/>
        <w:jc w:val="both"/>
        <w:rPr>
          <w:rFonts w:ascii="Times New Roman" w:hAnsi="Times New Roman"/>
          <w:sz w:val="24"/>
        </w:rPr>
      </w:pPr>
      <w:r w:rsidRPr="004D5CCF">
        <w:rPr>
          <w:rFonts w:ascii="Times New Roman" w:hAnsi="Times New Roman"/>
          <w:color w:val="222222"/>
          <w:sz w:val="24"/>
        </w:rPr>
        <w:t>Studē</w:t>
      </w:r>
      <w:r w:rsidR="00502A3E" w:rsidRPr="00502A3E">
        <w:rPr>
          <w:rFonts w:ascii="Times New Roman" w:hAnsi="Times New Roman"/>
          <w:color w:val="222222"/>
          <w:sz w:val="24"/>
        </w:rPr>
        <w:t xml:space="preserve">jošo atšķirīgā dzimumu attiecība dažādās izglītības tematiskajās grupās ir </w:t>
      </w:r>
      <w:r>
        <w:rPr>
          <w:rFonts w:ascii="Times New Roman" w:hAnsi="Times New Roman"/>
          <w:color w:val="222222"/>
          <w:sz w:val="24"/>
        </w:rPr>
        <w:t>norādīta</w:t>
      </w:r>
      <w:r w:rsidR="00502A3E" w:rsidRPr="00502A3E">
        <w:rPr>
          <w:rFonts w:ascii="Times New Roman" w:hAnsi="Times New Roman"/>
          <w:color w:val="222222"/>
          <w:sz w:val="24"/>
        </w:rPr>
        <w:t xml:space="preserve"> OECD 2016.gada ziņojumā </w:t>
      </w:r>
      <w:r w:rsidRPr="004D5CCF">
        <w:rPr>
          <w:rFonts w:ascii="Times New Roman" w:hAnsi="Times New Roman"/>
          <w:i/>
          <w:color w:val="222222"/>
          <w:sz w:val="24"/>
        </w:rPr>
        <w:t>„</w:t>
      </w:r>
      <w:proofErr w:type="spellStart"/>
      <w:r w:rsidRPr="004D5CCF">
        <w:rPr>
          <w:rFonts w:ascii="Times New Roman" w:hAnsi="Times New Roman"/>
          <w:i/>
          <w:color w:val="222222"/>
          <w:sz w:val="24"/>
        </w:rPr>
        <w:t>Reviews</w:t>
      </w:r>
      <w:proofErr w:type="spellEnd"/>
      <w:r w:rsidRPr="004D5CCF">
        <w:rPr>
          <w:rFonts w:ascii="Times New Roman" w:hAnsi="Times New Roman"/>
          <w:i/>
          <w:color w:val="222222"/>
          <w:sz w:val="24"/>
        </w:rPr>
        <w:t xml:space="preserve"> </w:t>
      </w:r>
      <w:proofErr w:type="spellStart"/>
      <w:r w:rsidRPr="004D5CCF">
        <w:rPr>
          <w:rFonts w:ascii="Times New Roman" w:hAnsi="Times New Roman"/>
          <w:i/>
          <w:color w:val="222222"/>
          <w:sz w:val="24"/>
        </w:rPr>
        <w:t>of</w:t>
      </w:r>
      <w:proofErr w:type="spellEnd"/>
      <w:r w:rsidRPr="004D5CCF">
        <w:rPr>
          <w:rFonts w:ascii="Times New Roman" w:hAnsi="Times New Roman"/>
          <w:i/>
          <w:color w:val="222222"/>
          <w:sz w:val="24"/>
        </w:rPr>
        <w:t xml:space="preserve"> National </w:t>
      </w:r>
      <w:proofErr w:type="spellStart"/>
      <w:r w:rsidRPr="004D5CCF">
        <w:rPr>
          <w:rFonts w:ascii="Times New Roman" w:hAnsi="Times New Roman"/>
          <w:i/>
          <w:color w:val="222222"/>
          <w:sz w:val="24"/>
        </w:rPr>
        <w:t>Policies</w:t>
      </w:r>
      <w:proofErr w:type="spellEnd"/>
      <w:r w:rsidRPr="004D5CCF">
        <w:rPr>
          <w:rFonts w:ascii="Times New Roman" w:hAnsi="Times New Roman"/>
          <w:i/>
          <w:color w:val="222222"/>
          <w:sz w:val="24"/>
        </w:rPr>
        <w:t xml:space="preserve"> </w:t>
      </w:r>
      <w:proofErr w:type="spellStart"/>
      <w:r w:rsidRPr="004D5CCF">
        <w:rPr>
          <w:rFonts w:ascii="Times New Roman" w:hAnsi="Times New Roman"/>
          <w:i/>
          <w:color w:val="222222"/>
          <w:sz w:val="24"/>
        </w:rPr>
        <w:t>for</w:t>
      </w:r>
      <w:proofErr w:type="spellEnd"/>
      <w:r w:rsidRPr="004D5CCF">
        <w:rPr>
          <w:rFonts w:ascii="Times New Roman" w:hAnsi="Times New Roman"/>
          <w:i/>
          <w:color w:val="222222"/>
          <w:sz w:val="24"/>
        </w:rPr>
        <w:t xml:space="preserve"> </w:t>
      </w:r>
      <w:proofErr w:type="spellStart"/>
      <w:r w:rsidRPr="004D5CCF">
        <w:rPr>
          <w:rFonts w:ascii="Times New Roman" w:hAnsi="Times New Roman"/>
          <w:i/>
          <w:color w:val="222222"/>
          <w:sz w:val="24"/>
        </w:rPr>
        <w:t>Education</w:t>
      </w:r>
      <w:proofErr w:type="spellEnd"/>
      <w:r w:rsidRPr="004D5CCF">
        <w:rPr>
          <w:rFonts w:ascii="Times New Roman" w:hAnsi="Times New Roman"/>
          <w:i/>
          <w:color w:val="222222"/>
          <w:sz w:val="24"/>
        </w:rPr>
        <w:t xml:space="preserve">: </w:t>
      </w:r>
      <w:proofErr w:type="spellStart"/>
      <w:r w:rsidRPr="004D5CCF">
        <w:rPr>
          <w:rFonts w:ascii="Times New Roman" w:hAnsi="Times New Roman"/>
          <w:i/>
          <w:color w:val="222222"/>
          <w:sz w:val="24"/>
        </w:rPr>
        <w:t>Education</w:t>
      </w:r>
      <w:proofErr w:type="spellEnd"/>
      <w:r w:rsidRPr="004D5CCF">
        <w:rPr>
          <w:rFonts w:ascii="Times New Roman" w:hAnsi="Times New Roman"/>
          <w:i/>
          <w:color w:val="222222"/>
          <w:sz w:val="24"/>
        </w:rPr>
        <w:t xml:space="preserve"> </w:t>
      </w:r>
      <w:proofErr w:type="spellStart"/>
      <w:r w:rsidRPr="004D5CCF">
        <w:rPr>
          <w:rFonts w:ascii="Times New Roman" w:hAnsi="Times New Roman"/>
          <w:i/>
          <w:color w:val="222222"/>
          <w:sz w:val="24"/>
        </w:rPr>
        <w:t>in</w:t>
      </w:r>
      <w:proofErr w:type="spellEnd"/>
      <w:r w:rsidRPr="004D5CCF">
        <w:rPr>
          <w:rFonts w:ascii="Times New Roman" w:hAnsi="Times New Roman"/>
          <w:i/>
          <w:color w:val="222222"/>
          <w:sz w:val="24"/>
        </w:rPr>
        <w:t xml:space="preserve"> Latvia”</w:t>
      </w:r>
      <w:r w:rsidRPr="004D5CCF">
        <w:rPr>
          <w:rStyle w:val="FootnoteReference"/>
          <w:color w:val="222222"/>
          <w:sz w:val="24"/>
        </w:rPr>
        <w:footnoteReference w:id="10"/>
      </w:r>
      <w:r w:rsidR="00502A3E" w:rsidRPr="00502A3E">
        <w:rPr>
          <w:rFonts w:ascii="Times New Roman" w:hAnsi="Times New Roman"/>
          <w:color w:val="222222"/>
          <w:sz w:val="24"/>
        </w:rPr>
        <w:t>, kurā secināts, ka Latvijā ievērojams sieviešu pārsvars ir vērojams tematiskajās grupās</w:t>
      </w:r>
      <w:r>
        <w:rPr>
          <w:rFonts w:ascii="Times New Roman" w:hAnsi="Times New Roman"/>
          <w:color w:val="222222"/>
          <w:sz w:val="24"/>
        </w:rPr>
        <w:t xml:space="preserve"> </w:t>
      </w:r>
      <w:r w:rsidR="00502A3E" w:rsidRPr="00502A3E">
        <w:rPr>
          <w:rFonts w:ascii="Times New Roman" w:hAnsi="Times New Roman"/>
          <w:i/>
          <w:color w:val="222222"/>
          <w:sz w:val="24"/>
        </w:rPr>
        <w:t xml:space="preserve">Izglītība, Humanitārās zinātnes un māksla, Sociālās zinātnes, </w:t>
      </w:r>
      <w:proofErr w:type="spellStart"/>
      <w:r w:rsidR="00502A3E" w:rsidRPr="00502A3E">
        <w:rPr>
          <w:rFonts w:ascii="Times New Roman" w:hAnsi="Times New Roman"/>
          <w:i/>
          <w:color w:val="222222"/>
          <w:sz w:val="24"/>
        </w:rPr>
        <w:t>komerczinības</w:t>
      </w:r>
      <w:proofErr w:type="spellEnd"/>
      <w:r w:rsidR="00502A3E" w:rsidRPr="00502A3E">
        <w:rPr>
          <w:rFonts w:ascii="Times New Roman" w:hAnsi="Times New Roman"/>
          <w:i/>
          <w:color w:val="222222"/>
          <w:sz w:val="24"/>
        </w:rPr>
        <w:t xml:space="preserve"> un tiesības</w:t>
      </w:r>
      <w:r w:rsidR="00502A3E" w:rsidRPr="00502A3E">
        <w:rPr>
          <w:rFonts w:ascii="Times New Roman" w:hAnsi="Times New Roman"/>
          <w:color w:val="222222"/>
          <w:sz w:val="24"/>
        </w:rPr>
        <w:t xml:space="preserve"> un </w:t>
      </w:r>
      <w:r w:rsidR="00502A3E" w:rsidRPr="00502A3E">
        <w:rPr>
          <w:rFonts w:ascii="Times New Roman" w:hAnsi="Times New Roman"/>
          <w:i/>
          <w:color w:val="222222"/>
          <w:sz w:val="24"/>
        </w:rPr>
        <w:t>Veselības aprūpe un sociālā labklājība</w:t>
      </w:r>
      <w:r w:rsidR="00502A3E" w:rsidRPr="00502A3E">
        <w:rPr>
          <w:rFonts w:ascii="Times New Roman" w:hAnsi="Times New Roman"/>
          <w:color w:val="222222"/>
          <w:sz w:val="24"/>
        </w:rPr>
        <w:t xml:space="preserve">. Turpretī ievērojams vīriešu pārsvars ir raksturīgs izglītības tematiskajās grupās </w:t>
      </w:r>
      <w:r w:rsidR="00502A3E" w:rsidRPr="00502A3E">
        <w:rPr>
          <w:rFonts w:ascii="Times New Roman" w:hAnsi="Times New Roman"/>
          <w:i/>
          <w:color w:val="222222"/>
          <w:sz w:val="24"/>
        </w:rPr>
        <w:t>Dabas zinātnes, matemātika un informācijas tehnoloģijas</w:t>
      </w:r>
      <w:r w:rsidR="00502A3E" w:rsidRPr="00502A3E">
        <w:rPr>
          <w:rFonts w:ascii="Times New Roman" w:hAnsi="Times New Roman"/>
          <w:color w:val="222222"/>
          <w:sz w:val="24"/>
        </w:rPr>
        <w:t xml:space="preserve"> un </w:t>
      </w:r>
      <w:r w:rsidR="00502A3E" w:rsidRPr="00502A3E">
        <w:rPr>
          <w:rFonts w:ascii="Times New Roman" w:hAnsi="Times New Roman"/>
          <w:i/>
          <w:color w:val="222222"/>
          <w:sz w:val="24"/>
        </w:rPr>
        <w:t>Inženierzinātnes, ražošana un būvniecība</w:t>
      </w:r>
      <w:r>
        <w:rPr>
          <w:rFonts w:ascii="Times New Roman" w:hAnsi="Times New Roman"/>
          <w:color w:val="222222"/>
          <w:sz w:val="24"/>
        </w:rPr>
        <w:t xml:space="preserve">. </w:t>
      </w:r>
    </w:p>
    <w:p w14:paraId="6825E4F5" w14:textId="77777777" w:rsidR="00E65E5F" w:rsidRPr="00A9495D" w:rsidRDefault="00D06A3C" w:rsidP="00012582">
      <w:pPr>
        <w:pStyle w:val="EYBodytextwithparaspace"/>
        <w:numPr>
          <w:ilvl w:val="7"/>
          <w:numId w:val="1"/>
        </w:numPr>
        <w:tabs>
          <w:tab w:val="clear" w:pos="0"/>
        </w:tabs>
        <w:spacing w:after="120"/>
        <w:jc w:val="both"/>
        <w:rPr>
          <w:rFonts w:ascii="Times New Roman" w:hAnsi="Times New Roman"/>
          <w:sz w:val="24"/>
        </w:rPr>
      </w:pPr>
      <w:r w:rsidRPr="009433DD">
        <w:rPr>
          <w:rFonts w:ascii="Times New Roman" w:hAnsi="Times New Roman"/>
          <w:color w:val="222222"/>
          <w:sz w:val="24"/>
        </w:rPr>
        <w:t>Izvērtējot sieviešu un vīriešu skaita attiecību STEM jomas izglītības tematiskajās grupās un jomās, redzams, ka kopumā šajās jomās s</w:t>
      </w:r>
      <w:r w:rsidRPr="004D5CCF">
        <w:rPr>
          <w:rFonts w:ascii="Times New Roman" w:hAnsi="Times New Roman"/>
          <w:color w:val="222222"/>
          <w:sz w:val="24"/>
        </w:rPr>
        <w:t xml:space="preserve">tudējošo sadalījums pa dzimumiem </w:t>
      </w:r>
      <w:r w:rsidR="00E65E5F" w:rsidRPr="004D5CCF">
        <w:rPr>
          <w:rFonts w:ascii="Times New Roman" w:hAnsi="Times New Roman"/>
          <w:color w:val="222222"/>
          <w:sz w:val="24"/>
        </w:rPr>
        <w:t xml:space="preserve">augstskolās </w:t>
      </w:r>
      <w:r w:rsidRPr="004D5CCF">
        <w:rPr>
          <w:rFonts w:ascii="Times New Roman" w:hAnsi="Times New Roman"/>
          <w:color w:val="222222"/>
          <w:sz w:val="24"/>
        </w:rPr>
        <w:t>ir samērā līdzsvarots – 2015./2016.ak. gadā šajās programmās studēja 16 568 vīriešu (53,2% no kopējā skaita), kā arī 14 565 sievietes</w:t>
      </w:r>
      <w:r w:rsidR="00191DA2" w:rsidRPr="004D5CCF">
        <w:rPr>
          <w:rFonts w:ascii="Times New Roman" w:hAnsi="Times New Roman"/>
          <w:color w:val="222222"/>
          <w:sz w:val="24"/>
        </w:rPr>
        <w:t xml:space="preserve"> </w:t>
      </w:r>
      <w:r w:rsidRPr="004D5CCF">
        <w:rPr>
          <w:rFonts w:ascii="Times New Roman" w:hAnsi="Times New Roman"/>
          <w:color w:val="222222"/>
          <w:sz w:val="24"/>
        </w:rPr>
        <w:t xml:space="preserve">(46,8% no kopējā skaita). Vienlaikus jāatzīst, ka augstskolās studējošo </w:t>
      </w:r>
      <w:r w:rsidR="00E65E5F" w:rsidRPr="004D5CCF">
        <w:rPr>
          <w:rFonts w:ascii="Times New Roman" w:hAnsi="Times New Roman"/>
          <w:color w:val="222222"/>
          <w:sz w:val="24"/>
        </w:rPr>
        <w:t xml:space="preserve">personu </w:t>
      </w:r>
      <w:r w:rsidRPr="004D5CCF">
        <w:rPr>
          <w:rFonts w:ascii="Times New Roman" w:hAnsi="Times New Roman"/>
          <w:color w:val="222222"/>
          <w:sz w:val="24"/>
        </w:rPr>
        <w:t xml:space="preserve">dzimumu attiecība dažādās izglītības tematiskajās grupās un jomās ievērojami atšķiras. Vismazāk sievietes ir pārstāvētas izglītības tematiskajā grupā </w:t>
      </w:r>
      <w:r w:rsidR="00502A3E" w:rsidRPr="00502A3E">
        <w:rPr>
          <w:rFonts w:ascii="Times New Roman" w:hAnsi="Times New Roman"/>
          <w:i/>
          <w:sz w:val="24"/>
        </w:rPr>
        <w:t>Inženierzinātnes, ražošana un būvniecība</w:t>
      </w:r>
      <w:r w:rsidRPr="004D5CCF">
        <w:rPr>
          <w:rFonts w:ascii="Times New Roman" w:hAnsi="Times New Roman"/>
          <w:color w:val="222222"/>
          <w:sz w:val="24"/>
        </w:rPr>
        <w:t xml:space="preserve"> (28,2% no kopējā šajā tematiskajā grupā studējošo skaita), savukārt vismazāk vīriešu ir pārstāvēti izglītības tematiskās jomās </w:t>
      </w:r>
      <w:r w:rsidR="00502A3E" w:rsidRPr="00502A3E">
        <w:rPr>
          <w:rFonts w:ascii="Times New Roman" w:hAnsi="Times New Roman"/>
          <w:i/>
          <w:color w:val="222222"/>
          <w:sz w:val="24"/>
        </w:rPr>
        <w:t>Mākslas</w:t>
      </w:r>
      <w:r w:rsidRPr="004D5CCF">
        <w:rPr>
          <w:rFonts w:ascii="Times New Roman" w:hAnsi="Times New Roman"/>
          <w:color w:val="222222"/>
          <w:sz w:val="24"/>
        </w:rPr>
        <w:t xml:space="preserve"> (26,7%) un </w:t>
      </w:r>
      <w:r w:rsidR="00502A3E" w:rsidRPr="00502A3E">
        <w:rPr>
          <w:rFonts w:ascii="Times New Roman" w:hAnsi="Times New Roman"/>
          <w:i/>
          <w:color w:val="222222"/>
          <w:sz w:val="24"/>
        </w:rPr>
        <w:t>Veselības aprūpe</w:t>
      </w:r>
      <w:r w:rsidRPr="004D5CCF">
        <w:rPr>
          <w:rFonts w:ascii="Times New Roman" w:hAnsi="Times New Roman"/>
          <w:color w:val="222222"/>
          <w:sz w:val="24"/>
        </w:rPr>
        <w:t xml:space="preserve"> (2</w:t>
      </w:r>
      <w:r w:rsidR="009B4E90" w:rsidRPr="004D5CCF">
        <w:rPr>
          <w:rFonts w:ascii="Times New Roman" w:hAnsi="Times New Roman"/>
          <w:color w:val="222222"/>
          <w:sz w:val="24"/>
        </w:rPr>
        <w:t>6,6</w:t>
      </w:r>
      <w:r w:rsidRPr="004D5CCF">
        <w:rPr>
          <w:rFonts w:ascii="Times New Roman" w:hAnsi="Times New Roman"/>
          <w:color w:val="222222"/>
          <w:sz w:val="24"/>
        </w:rPr>
        <w:t xml:space="preserve">%). Savukārt līdzsvarotākais dzimumu sadalījums ir izglītības tematiskajā grupā </w:t>
      </w:r>
      <w:r w:rsidR="00502A3E" w:rsidRPr="00502A3E">
        <w:rPr>
          <w:rFonts w:ascii="Times New Roman" w:hAnsi="Times New Roman"/>
          <w:i/>
          <w:color w:val="222222"/>
          <w:sz w:val="24"/>
        </w:rPr>
        <w:t>Lauksaimniecība</w:t>
      </w:r>
      <w:r w:rsidRPr="004D5CCF">
        <w:rPr>
          <w:rFonts w:ascii="Times New Roman" w:hAnsi="Times New Roman"/>
          <w:color w:val="222222"/>
          <w:sz w:val="24"/>
        </w:rPr>
        <w:t xml:space="preserve"> (52,7% vīriešu un 47,3% sieviešu</w:t>
      </w:r>
      <w:r w:rsidR="00E65E5F" w:rsidRPr="00A9495D">
        <w:rPr>
          <w:rFonts w:ascii="Times New Roman" w:hAnsi="Times New Roman"/>
          <w:color w:val="222222"/>
          <w:sz w:val="24"/>
        </w:rPr>
        <w:t>). Skatīt 1.2 tabulu un 1.11. attēlu</w:t>
      </w:r>
    </w:p>
    <w:p w14:paraId="10CD87FD" w14:textId="77777777" w:rsidR="0063354C" w:rsidRPr="0063354C" w:rsidRDefault="00E65E5F" w:rsidP="0063354C">
      <w:pPr>
        <w:pStyle w:val="ListParagraph"/>
        <w:numPr>
          <w:ilvl w:val="0"/>
          <w:numId w:val="1"/>
        </w:numPr>
        <w:jc w:val="right"/>
        <w:rPr>
          <w:szCs w:val="24"/>
          <w:lang w:eastAsia="lv-LV"/>
        </w:rPr>
      </w:pPr>
      <w:r>
        <w:rPr>
          <w:szCs w:val="24"/>
          <w:lang w:eastAsia="lv-LV"/>
        </w:rPr>
        <w:t xml:space="preserve">1.2. </w:t>
      </w:r>
      <w:r w:rsidR="0063354C" w:rsidRPr="0063354C">
        <w:rPr>
          <w:szCs w:val="24"/>
          <w:lang w:eastAsia="lv-LV"/>
        </w:rPr>
        <w:t>tabula</w:t>
      </w:r>
    </w:p>
    <w:p w14:paraId="37E6A77D" w14:textId="77777777" w:rsidR="0063354C" w:rsidRPr="0063354C" w:rsidRDefault="001E1E8F" w:rsidP="0063354C">
      <w:pPr>
        <w:pStyle w:val="ListParagraph"/>
        <w:numPr>
          <w:ilvl w:val="0"/>
          <w:numId w:val="1"/>
        </w:numPr>
        <w:jc w:val="center"/>
        <w:rPr>
          <w:szCs w:val="24"/>
          <w:lang w:eastAsia="lv-LV"/>
        </w:rPr>
      </w:pPr>
      <w:r>
        <w:rPr>
          <w:szCs w:val="24"/>
          <w:lang w:eastAsia="lv-LV"/>
        </w:rPr>
        <w:t>A</w:t>
      </w:r>
      <w:r w:rsidR="00974715">
        <w:rPr>
          <w:szCs w:val="24"/>
          <w:lang w:eastAsia="lv-LV"/>
        </w:rPr>
        <w:t xml:space="preserve">ugstskolās </w:t>
      </w:r>
      <w:r w:rsidRPr="0063354C">
        <w:rPr>
          <w:szCs w:val="24"/>
          <w:lang w:eastAsia="lv-LV"/>
        </w:rPr>
        <w:t xml:space="preserve">STEM jomās </w:t>
      </w:r>
      <w:r w:rsidR="0063354C" w:rsidRPr="0063354C">
        <w:rPr>
          <w:szCs w:val="24"/>
          <w:lang w:eastAsia="lv-LV"/>
        </w:rPr>
        <w:t>studējošo dzimuma struktūra sadalījumā pa izglītības tematiskajām grupām un jomām 2015./2016. ak. gadā</w:t>
      </w:r>
    </w:p>
    <w:p w14:paraId="26B43131" w14:textId="77777777" w:rsidR="0063354C" w:rsidRPr="0063354C" w:rsidRDefault="0063354C" w:rsidP="0063354C">
      <w:pPr>
        <w:pStyle w:val="ListParagraph"/>
        <w:numPr>
          <w:ilvl w:val="0"/>
          <w:numId w:val="1"/>
        </w:numPr>
        <w:rPr>
          <w:szCs w:val="24"/>
          <w:lang w:eastAsia="lv-LV"/>
        </w:rPr>
      </w:pPr>
    </w:p>
    <w:tbl>
      <w:tblPr>
        <w:tblStyle w:val="TableGrid"/>
        <w:tblW w:w="9356" w:type="dxa"/>
        <w:tblInd w:w="-289" w:type="dxa"/>
        <w:tblLayout w:type="fixed"/>
        <w:tblLook w:val="04A0" w:firstRow="1" w:lastRow="0" w:firstColumn="1" w:lastColumn="0" w:noHBand="0" w:noVBand="1"/>
      </w:tblPr>
      <w:tblGrid>
        <w:gridCol w:w="993"/>
        <w:gridCol w:w="3544"/>
        <w:gridCol w:w="1559"/>
        <w:gridCol w:w="1559"/>
        <w:gridCol w:w="1701"/>
      </w:tblGrid>
      <w:tr w:rsidR="0063354C" w14:paraId="330D69C8" w14:textId="77777777" w:rsidTr="004048B7">
        <w:tc>
          <w:tcPr>
            <w:tcW w:w="4537" w:type="dxa"/>
            <w:gridSpan w:val="2"/>
            <w:vMerge w:val="restart"/>
            <w:vAlign w:val="center"/>
          </w:tcPr>
          <w:p w14:paraId="69CFE2EA" w14:textId="77777777" w:rsidR="0063354C" w:rsidRDefault="0063354C" w:rsidP="004048B7">
            <w:pPr>
              <w:jc w:val="center"/>
              <w:rPr>
                <w:szCs w:val="24"/>
              </w:rPr>
            </w:pPr>
            <w:r>
              <w:rPr>
                <w:szCs w:val="24"/>
              </w:rPr>
              <w:t>Izglītības tematiskās grupas un jomas</w:t>
            </w:r>
          </w:p>
        </w:tc>
        <w:tc>
          <w:tcPr>
            <w:tcW w:w="1559" w:type="dxa"/>
            <w:vMerge w:val="restart"/>
            <w:vAlign w:val="center"/>
          </w:tcPr>
          <w:p w14:paraId="67411B19" w14:textId="77777777" w:rsidR="0063354C" w:rsidRDefault="0063354C" w:rsidP="004048B7">
            <w:pPr>
              <w:jc w:val="center"/>
              <w:rPr>
                <w:szCs w:val="24"/>
              </w:rPr>
            </w:pPr>
            <w:r>
              <w:rPr>
                <w:szCs w:val="24"/>
              </w:rPr>
              <w:t>Studējošo skaits</w:t>
            </w:r>
          </w:p>
        </w:tc>
        <w:tc>
          <w:tcPr>
            <w:tcW w:w="3260" w:type="dxa"/>
            <w:gridSpan w:val="2"/>
            <w:vAlign w:val="center"/>
          </w:tcPr>
          <w:p w14:paraId="47B98418" w14:textId="77777777" w:rsidR="0063354C" w:rsidRDefault="0063354C" w:rsidP="004048B7">
            <w:pPr>
              <w:jc w:val="center"/>
              <w:rPr>
                <w:szCs w:val="24"/>
              </w:rPr>
            </w:pPr>
            <w:r>
              <w:rPr>
                <w:szCs w:val="24"/>
              </w:rPr>
              <w:t>Tajā skaitā sievietes</w:t>
            </w:r>
          </w:p>
        </w:tc>
      </w:tr>
      <w:tr w:rsidR="0063354C" w14:paraId="2574285F" w14:textId="77777777" w:rsidTr="004048B7">
        <w:tc>
          <w:tcPr>
            <w:tcW w:w="4537" w:type="dxa"/>
            <w:gridSpan w:val="2"/>
            <w:vMerge/>
            <w:vAlign w:val="center"/>
          </w:tcPr>
          <w:p w14:paraId="249FE810" w14:textId="77777777" w:rsidR="0063354C" w:rsidRDefault="0063354C" w:rsidP="004048B7">
            <w:pPr>
              <w:jc w:val="center"/>
              <w:rPr>
                <w:szCs w:val="24"/>
              </w:rPr>
            </w:pPr>
          </w:p>
        </w:tc>
        <w:tc>
          <w:tcPr>
            <w:tcW w:w="1559" w:type="dxa"/>
            <w:vMerge/>
            <w:vAlign w:val="center"/>
          </w:tcPr>
          <w:p w14:paraId="25966F74" w14:textId="77777777" w:rsidR="0063354C" w:rsidRDefault="0063354C" w:rsidP="004048B7">
            <w:pPr>
              <w:jc w:val="center"/>
              <w:rPr>
                <w:szCs w:val="24"/>
              </w:rPr>
            </w:pPr>
          </w:p>
        </w:tc>
        <w:tc>
          <w:tcPr>
            <w:tcW w:w="1559" w:type="dxa"/>
            <w:vAlign w:val="center"/>
          </w:tcPr>
          <w:p w14:paraId="173E6D1D" w14:textId="77777777" w:rsidR="0063354C" w:rsidRDefault="0063354C" w:rsidP="004048B7">
            <w:pPr>
              <w:jc w:val="center"/>
              <w:rPr>
                <w:szCs w:val="24"/>
              </w:rPr>
            </w:pPr>
            <w:r>
              <w:rPr>
                <w:szCs w:val="24"/>
              </w:rPr>
              <w:t>Kopā</w:t>
            </w:r>
          </w:p>
        </w:tc>
        <w:tc>
          <w:tcPr>
            <w:tcW w:w="1701" w:type="dxa"/>
            <w:vAlign w:val="center"/>
          </w:tcPr>
          <w:p w14:paraId="50ECBF4F" w14:textId="77777777" w:rsidR="0063354C" w:rsidRDefault="0063354C" w:rsidP="004048B7">
            <w:pPr>
              <w:jc w:val="center"/>
              <w:rPr>
                <w:szCs w:val="24"/>
              </w:rPr>
            </w:pPr>
            <w:r>
              <w:rPr>
                <w:szCs w:val="24"/>
              </w:rPr>
              <w:t>Īpatsvars no kopējā skaita, %</w:t>
            </w:r>
          </w:p>
        </w:tc>
      </w:tr>
      <w:tr w:rsidR="0063354C" w14:paraId="5CD675C1" w14:textId="77777777" w:rsidTr="004048B7">
        <w:trPr>
          <w:trHeight w:val="738"/>
        </w:trPr>
        <w:tc>
          <w:tcPr>
            <w:tcW w:w="993" w:type="dxa"/>
            <w:vMerge w:val="restart"/>
            <w:textDirection w:val="btLr"/>
          </w:tcPr>
          <w:p w14:paraId="743D82D9" w14:textId="77777777" w:rsidR="0063354C" w:rsidRPr="00B17EE8" w:rsidRDefault="0063354C" w:rsidP="004048B7">
            <w:pPr>
              <w:ind w:left="113" w:right="113"/>
              <w:jc w:val="center"/>
              <w:rPr>
                <w:szCs w:val="24"/>
              </w:rPr>
            </w:pPr>
            <w:r>
              <w:rPr>
                <w:szCs w:val="24"/>
              </w:rPr>
              <w:t>Izglītības tematiskā grupa</w:t>
            </w:r>
          </w:p>
        </w:tc>
        <w:tc>
          <w:tcPr>
            <w:tcW w:w="3544" w:type="dxa"/>
          </w:tcPr>
          <w:p w14:paraId="76D1C3D4" w14:textId="77777777" w:rsidR="0063354C" w:rsidRPr="00B17EE8" w:rsidRDefault="0063354C" w:rsidP="004048B7">
            <w:pPr>
              <w:rPr>
                <w:szCs w:val="24"/>
              </w:rPr>
            </w:pPr>
            <w:r w:rsidRPr="00B17EE8">
              <w:rPr>
                <w:szCs w:val="24"/>
              </w:rPr>
              <w:t>Dabas zinātnes, matemātika un informācijas tehnoloģijas</w:t>
            </w:r>
          </w:p>
        </w:tc>
        <w:tc>
          <w:tcPr>
            <w:tcW w:w="1559" w:type="dxa"/>
          </w:tcPr>
          <w:p w14:paraId="685285BD" w14:textId="77777777" w:rsidR="0063354C" w:rsidRDefault="0063354C" w:rsidP="004048B7">
            <w:pPr>
              <w:jc w:val="center"/>
              <w:rPr>
                <w:szCs w:val="24"/>
              </w:rPr>
            </w:pPr>
            <w:r>
              <w:rPr>
                <w:szCs w:val="24"/>
              </w:rPr>
              <w:t>6 239</w:t>
            </w:r>
          </w:p>
        </w:tc>
        <w:tc>
          <w:tcPr>
            <w:tcW w:w="1559" w:type="dxa"/>
          </w:tcPr>
          <w:p w14:paraId="40E188E3" w14:textId="77777777" w:rsidR="0063354C" w:rsidRDefault="0063354C" w:rsidP="004048B7">
            <w:pPr>
              <w:jc w:val="center"/>
              <w:rPr>
                <w:szCs w:val="24"/>
              </w:rPr>
            </w:pPr>
            <w:r>
              <w:rPr>
                <w:szCs w:val="24"/>
              </w:rPr>
              <w:t>2 104</w:t>
            </w:r>
          </w:p>
        </w:tc>
        <w:tc>
          <w:tcPr>
            <w:tcW w:w="1701" w:type="dxa"/>
          </w:tcPr>
          <w:p w14:paraId="274D5584" w14:textId="77777777" w:rsidR="0063354C" w:rsidRDefault="0063354C" w:rsidP="004048B7">
            <w:pPr>
              <w:jc w:val="center"/>
              <w:rPr>
                <w:szCs w:val="24"/>
              </w:rPr>
            </w:pPr>
            <w:r>
              <w:rPr>
                <w:szCs w:val="24"/>
              </w:rPr>
              <w:t>33,7</w:t>
            </w:r>
          </w:p>
        </w:tc>
      </w:tr>
      <w:tr w:rsidR="0063354C" w14:paraId="16672332" w14:textId="77777777" w:rsidTr="004048B7">
        <w:tc>
          <w:tcPr>
            <w:tcW w:w="993" w:type="dxa"/>
            <w:vMerge/>
          </w:tcPr>
          <w:p w14:paraId="2A704DEC" w14:textId="77777777" w:rsidR="0063354C" w:rsidRPr="00B17EE8" w:rsidRDefault="0063354C" w:rsidP="004048B7">
            <w:pPr>
              <w:jc w:val="center"/>
              <w:rPr>
                <w:szCs w:val="24"/>
              </w:rPr>
            </w:pPr>
          </w:p>
        </w:tc>
        <w:tc>
          <w:tcPr>
            <w:tcW w:w="3544" w:type="dxa"/>
          </w:tcPr>
          <w:p w14:paraId="316A2449" w14:textId="77777777" w:rsidR="0063354C" w:rsidRPr="00B17EE8" w:rsidRDefault="0063354C" w:rsidP="004048B7">
            <w:pPr>
              <w:rPr>
                <w:szCs w:val="24"/>
              </w:rPr>
            </w:pPr>
            <w:r w:rsidRPr="00B17EE8">
              <w:rPr>
                <w:szCs w:val="24"/>
              </w:rPr>
              <w:t>Inženierzinātnes, ražošana un būvniecība</w:t>
            </w:r>
          </w:p>
        </w:tc>
        <w:tc>
          <w:tcPr>
            <w:tcW w:w="1559" w:type="dxa"/>
          </w:tcPr>
          <w:p w14:paraId="4FFEDE48" w14:textId="77777777" w:rsidR="0063354C" w:rsidRDefault="0063354C" w:rsidP="004048B7">
            <w:pPr>
              <w:jc w:val="center"/>
              <w:rPr>
                <w:szCs w:val="24"/>
              </w:rPr>
            </w:pPr>
            <w:r>
              <w:rPr>
                <w:szCs w:val="24"/>
              </w:rPr>
              <w:t>12 003</w:t>
            </w:r>
          </w:p>
        </w:tc>
        <w:tc>
          <w:tcPr>
            <w:tcW w:w="1559" w:type="dxa"/>
          </w:tcPr>
          <w:p w14:paraId="7FA26138" w14:textId="77777777" w:rsidR="0063354C" w:rsidRDefault="0063354C" w:rsidP="004048B7">
            <w:pPr>
              <w:jc w:val="center"/>
              <w:rPr>
                <w:szCs w:val="24"/>
              </w:rPr>
            </w:pPr>
            <w:r>
              <w:rPr>
                <w:szCs w:val="24"/>
              </w:rPr>
              <w:t>3 386</w:t>
            </w:r>
          </w:p>
        </w:tc>
        <w:tc>
          <w:tcPr>
            <w:tcW w:w="1701" w:type="dxa"/>
          </w:tcPr>
          <w:p w14:paraId="1378A538" w14:textId="77777777" w:rsidR="0063354C" w:rsidRDefault="0063354C" w:rsidP="004048B7">
            <w:pPr>
              <w:jc w:val="center"/>
              <w:rPr>
                <w:szCs w:val="24"/>
              </w:rPr>
            </w:pPr>
            <w:r>
              <w:rPr>
                <w:szCs w:val="24"/>
              </w:rPr>
              <w:t>28,2</w:t>
            </w:r>
          </w:p>
        </w:tc>
      </w:tr>
      <w:tr w:rsidR="0063354C" w14:paraId="3CB29AFE" w14:textId="77777777" w:rsidTr="004048B7">
        <w:tc>
          <w:tcPr>
            <w:tcW w:w="993" w:type="dxa"/>
            <w:vMerge/>
          </w:tcPr>
          <w:p w14:paraId="0DBE0471" w14:textId="77777777" w:rsidR="0063354C" w:rsidRPr="00B17EE8" w:rsidRDefault="0063354C" w:rsidP="004048B7">
            <w:pPr>
              <w:jc w:val="center"/>
              <w:rPr>
                <w:szCs w:val="24"/>
                <w:lang w:eastAsia="lv-LV"/>
              </w:rPr>
            </w:pPr>
          </w:p>
        </w:tc>
        <w:tc>
          <w:tcPr>
            <w:tcW w:w="3544" w:type="dxa"/>
          </w:tcPr>
          <w:p w14:paraId="4DBD1D45" w14:textId="77777777" w:rsidR="0063354C" w:rsidRDefault="0063354C" w:rsidP="004048B7">
            <w:r w:rsidRPr="00B17EE8">
              <w:rPr>
                <w:szCs w:val="24"/>
                <w:lang w:eastAsia="lv-LV"/>
              </w:rPr>
              <w:t>Lauksaimniecība</w:t>
            </w:r>
          </w:p>
        </w:tc>
        <w:tc>
          <w:tcPr>
            <w:tcW w:w="1559" w:type="dxa"/>
          </w:tcPr>
          <w:p w14:paraId="6B18BF13" w14:textId="77777777" w:rsidR="0063354C" w:rsidRDefault="0063354C" w:rsidP="004048B7">
            <w:pPr>
              <w:jc w:val="center"/>
              <w:rPr>
                <w:szCs w:val="24"/>
              </w:rPr>
            </w:pPr>
            <w:r>
              <w:rPr>
                <w:szCs w:val="24"/>
              </w:rPr>
              <w:t>1 290</w:t>
            </w:r>
          </w:p>
        </w:tc>
        <w:tc>
          <w:tcPr>
            <w:tcW w:w="1559" w:type="dxa"/>
          </w:tcPr>
          <w:p w14:paraId="2F672208" w14:textId="77777777" w:rsidR="0063354C" w:rsidRDefault="0063354C" w:rsidP="004048B7">
            <w:pPr>
              <w:jc w:val="center"/>
              <w:rPr>
                <w:szCs w:val="24"/>
              </w:rPr>
            </w:pPr>
            <w:r>
              <w:rPr>
                <w:szCs w:val="24"/>
              </w:rPr>
              <w:t>610</w:t>
            </w:r>
          </w:p>
        </w:tc>
        <w:tc>
          <w:tcPr>
            <w:tcW w:w="1701" w:type="dxa"/>
          </w:tcPr>
          <w:p w14:paraId="22915690" w14:textId="77777777" w:rsidR="0063354C" w:rsidRDefault="0063354C" w:rsidP="004048B7">
            <w:pPr>
              <w:jc w:val="center"/>
              <w:rPr>
                <w:szCs w:val="24"/>
              </w:rPr>
            </w:pPr>
            <w:r>
              <w:rPr>
                <w:szCs w:val="24"/>
              </w:rPr>
              <w:t>47,3</w:t>
            </w:r>
          </w:p>
        </w:tc>
      </w:tr>
      <w:tr w:rsidR="0063354C" w14:paraId="1E1F0E94" w14:textId="77777777" w:rsidTr="004048B7">
        <w:tc>
          <w:tcPr>
            <w:tcW w:w="993" w:type="dxa"/>
            <w:vMerge w:val="restart"/>
            <w:textDirection w:val="btLr"/>
          </w:tcPr>
          <w:p w14:paraId="2AF0E375" w14:textId="77777777" w:rsidR="0063354C" w:rsidRPr="00BA44FE" w:rsidRDefault="0063354C" w:rsidP="004048B7">
            <w:pPr>
              <w:ind w:left="113" w:right="113"/>
              <w:jc w:val="center"/>
              <w:rPr>
                <w:szCs w:val="24"/>
                <w:lang w:eastAsia="lv-LV"/>
              </w:rPr>
            </w:pPr>
            <w:r>
              <w:rPr>
                <w:szCs w:val="24"/>
                <w:lang w:eastAsia="lv-LV"/>
              </w:rPr>
              <w:t>Izglītības tematiskā joma</w:t>
            </w:r>
          </w:p>
        </w:tc>
        <w:tc>
          <w:tcPr>
            <w:tcW w:w="3544" w:type="dxa"/>
          </w:tcPr>
          <w:p w14:paraId="7652C988" w14:textId="77777777" w:rsidR="0063354C" w:rsidRPr="00BA44FE" w:rsidRDefault="0063354C" w:rsidP="004048B7">
            <w:pPr>
              <w:rPr>
                <w:szCs w:val="24"/>
              </w:rPr>
            </w:pPr>
            <w:r w:rsidRPr="00BA44FE">
              <w:rPr>
                <w:szCs w:val="24"/>
                <w:lang w:eastAsia="lv-LV"/>
              </w:rPr>
              <w:t>Mākslas</w:t>
            </w:r>
          </w:p>
        </w:tc>
        <w:tc>
          <w:tcPr>
            <w:tcW w:w="1559" w:type="dxa"/>
          </w:tcPr>
          <w:p w14:paraId="610A51ED" w14:textId="77777777" w:rsidR="0063354C" w:rsidRDefault="0063354C" w:rsidP="004048B7">
            <w:pPr>
              <w:jc w:val="center"/>
              <w:rPr>
                <w:szCs w:val="24"/>
              </w:rPr>
            </w:pPr>
            <w:r>
              <w:rPr>
                <w:szCs w:val="24"/>
              </w:rPr>
              <w:t>3 381</w:t>
            </w:r>
          </w:p>
        </w:tc>
        <w:tc>
          <w:tcPr>
            <w:tcW w:w="1559" w:type="dxa"/>
          </w:tcPr>
          <w:p w14:paraId="63F5E41C" w14:textId="77777777" w:rsidR="0063354C" w:rsidRDefault="0063354C" w:rsidP="004048B7">
            <w:pPr>
              <w:jc w:val="center"/>
              <w:rPr>
                <w:szCs w:val="24"/>
              </w:rPr>
            </w:pPr>
            <w:r>
              <w:rPr>
                <w:szCs w:val="24"/>
              </w:rPr>
              <w:t>2 480</w:t>
            </w:r>
          </w:p>
        </w:tc>
        <w:tc>
          <w:tcPr>
            <w:tcW w:w="1701" w:type="dxa"/>
          </w:tcPr>
          <w:p w14:paraId="6B3CFF67" w14:textId="77777777" w:rsidR="0063354C" w:rsidRDefault="0063354C" w:rsidP="004048B7">
            <w:pPr>
              <w:jc w:val="center"/>
              <w:rPr>
                <w:szCs w:val="24"/>
              </w:rPr>
            </w:pPr>
            <w:r>
              <w:rPr>
                <w:szCs w:val="24"/>
              </w:rPr>
              <w:t>73,3</w:t>
            </w:r>
          </w:p>
        </w:tc>
      </w:tr>
      <w:tr w:rsidR="0063354C" w14:paraId="0E9DC458" w14:textId="77777777" w:rsidTr="004048B7">
        <w:tc>
          <w:tcPr>
            <w:tcW w:w="993" w:type="dxa"/>
            <w:vMerge/>
          </w:tcPr>
          <w:p w14:paraId="287EF67E" w14:textId="77777777" w:rsidR="0063354C" w:rsidRPr="00BA44FE" w:rsidRDefault="0063354C" w:rsidP="004048B7">
            <w:pPr>
              <w:rPr>
                <w:szCs w:val="24"/>
                <w:lang w:eastAsia="lv-LV"/>
              </w:rPr>
            </w:pPr>
          </w:p>
        </w:tc>
        <w:tc>
          <w:tcPr>
            <w:tcW w:w="3544" w:type="dxa"/>
          </w:tcPr>
          <w:p w14:paraId="29C3187D" w14:textId="77777777" w:rsidR="0063354C" w:rsidRPr="00BA44FE" w:rsidRDefault="0063354C" w:rsidP="004048B7">
            <w:pPr>
              <w:rPr>
                <w:szCs w:val="24"/>
              </w:rPr>
            </w:pPr>
            <w:r w:rsidRPr="00BA44FE">
              <w:rPr>
                <w:szCs w:val="24"/>
                <w:lang w:eastAsia="lv-LV"/>
              </w:rPr>
              <w:t>Veselības aprūpe</w:t>
            </w:r>
          </w:p>
        </w:tc>
        <w:tc>
          <w:tcPr>
            <w:tcW w:w="1559" w:type="dxa"/>
          </w:tcPr>
          <w:p w14:paraId="3C8F4FA6" w14:textId="77777777" w:rsidR="0063354C" w:rsidRDefault="0063354C" w:rsidP="004048B7">
            <w:pPr>
              <w:jc w:val="center"/>
              <w:rPr>
                <w:szCs w:val="24"/>
              </w:rPr>
            </w:pPr>
            <w:r>
              <w:rPr>
                <w:szCs w:val="24"/>
              </w:rPr>
              <w:t>7 585</w:t>
            </w:r>
          </w:p>
        </w:tc>
        <w:tc>
          <w:tcPr>
            <w:tcW w:w="1559" w:type="dxa"/>
          </w:tcPr>
          <w:p w14:paraId="60EF5DC8" w14:textId="77777777" w:rsidR="0063354C" w:rsidRDefault="0063354C" w:rsidP="004048B7">
            <w:pPr>
              <w:jc w:val="center"/>
              <w:rPr>
                <w:szCs w:val="24"/>
              </w:rPr>
            </w:pPr>
            <w:r>
              <w:rPr>
                <w:szCs w:val="24"/>
              </w:rPr>
              <w:t>5 533</w:t>
            </w:r>
          </w:p>
        </w:tc>
        <w:tc>
          <w:tcPr>
            <w:tcW w:w="1701" w:type="dxa"/>
          </w:tcPr>
          <w:p w14:paraId="59EDB0A0" w14:textId="77777777" w:rsidR="0063354C" w:rsidRDefault="0063354C" w:rsidP="004048B7">
            <w:pPr>
              <w:jc w:val="center"/>
              <w:rPr>
                <w:szCs w:val="24"/>
              </w:rPr>
            </w:pPr>
            <w:r>
              <w:rPr>
                <w:szCs w:val="24"/>
              </w:rPr>
              <w:t>73</w:t>
            </w:r>
            <w:r w:rsidR="009B4E90">
              <w:rPr>
                <w:szCs w:val="24"/>
              </w:rPr>
              <w:t>,4</w:t>
            </w:r>
          </w:p>
        </w:tc>
      </w:tr>
      <w:tr w:rsidR="0063354C" w14:paraId="41750608" w14:textId="77777777" w:rsidTr="004048B7">
        <w:trPr>
          <w:trHeight w:val="698"/>
        </w:trPr>
        <w:tc>
          <w:tcPr>
            <w:tcW w:w="993" w:type="dxa"/>
            <w:vMerge/>
          </w:tcPr>
          <w:p w14:paraId="55820BC1" w14:textId="77777777" w:rsidR="0063354C" w:rsidRPr="00BA44FE" w:rsidRDefault="0063354C" w:rsidP="004048B7">
            <w:pPr>
              <w:rPr>
                <w:szCs w:val="24"/>
                <w:lang w:eastAsia="lv-LV"/>
              </w:rPr>
            </w:pPr>
          </w:p>
        </w:tc>
        <w:tc>
          <w:tcPr>
            <w:tcW w:w="3544" w:type="dxa"/>
          </w:tcPr>
          <w:p w14:paraId="7909D642" w14:textId="77777777" w:rsidR="0063354C" w:rsidRPr="00BA44FE" w:rsidRDefault="0063354C" w:rsidP="004048B7">
            <w:pPr>
              <w:rPr>
                <w:szCs w:val="24"/>
              </w:rPr>
            </w:pPr>
            <w:r w:rsidRPr="00BA44FE">
              <w:rPr>
                <w:szCs w:val="24"/>
                <w:lang w:eastAsia="lv-LV"/>
              </w:rPr>
              <w:t>Vides aizsardzība</w:t>
            </w:r>
          </w:p>
        </w:tc>
        <w:tc>
          <w:tcPr>
            <w:tcW w:w="1559" w:type="dxa"/>
          </w:tcPr>
          <w:p w14:paraId="096D9871" w14:textId="77777777" w:rsidR="0063354C" w:rsidRDefault="0063354C" w:rsidP="004048B7">
            <w:pPr>
              <w:jc w:val="center"/>
              <w:rPr>
                <w:szCs w:val="24"/>
              </w:rPr>
            </w:pPr>
            <w:r>
              <w:rPr>
                <w:szCs w:val="24"/>
              </w:rPr>
              <w:t>635</w:t>
            </w:r>
          </w:p>
        </w:tc>
        <w:tc>
          <w:tcPr>
            <w:tcW w:w="1559" w:type="dxa"/>
          </w:tcPr>
          <w:p w14:paraId="4C7DE145" w14:textId="77777777" w:rsidR="0063354C" w:rsidRDefault="0063354C" w:rsidP="004048B7">
            <w:pPr>
              <w:jc w:val="center"/>
              <w:rPr>
                <w:szCs w:val="24"/>
              </w:rPr>
            </w:pPr>
            <w:r w:rsidRPr="005177D8">
              <w:rPr>
                <w:szCs w:val="24"/>
              </w:rPr>
              <w:t>45</w:t>
            </w:r>
            <w:r w:rsidR="009B4E90" w:rsidRPr="005177D8">
              <w:rPr>
                <w:szCs w:val="24"/>
              </w:rPr>
              <w:t>2</w:t>
            </w:r>
          </w:p>
        </w:tc>
        <w:tc>
          <w:tcPr>
            <w:tcW w:w="1701" w:type="dxa"/>
          </w:tcPr>
          <w:p w14:paraId="1437F314" w14:textId="77777777" w:rsidR="0063354C" w:rsidRDefault="0063354C" w:rsidP="004048B7">
            <w:pPr>
              <w:jc w:val="center"/>
              <w:rPr>
                <w:szCs w:val="24"/>
              </w:rPr>
            </w:pPr>
            <w:r w:rsidRPr="005177D8">
              <w:rPr>
                <w:szCs w:val="24"/>
              </w:rPr>
              <w:t>71</w:t>
            </w:r>
            <w:r w:rsidR="009B4E90" w:rsidRPr="005177D8">
              <w:rPr>
                <w:szCs w:val="24"/>
              </w:rPr>
              <w:t>,2</w:t>
            </w:r>
          </w:p>
        </w:tc>
      </w:tr>
      <w:tr w:rsidR="0063354C" w14:paraId="1C2AE522" w14:textId="77777777" w:rsidTr="004048B7">
        <w:tc>
          <w:tcPr>
            <w:tcW w:w="993" w:type="dxa"/>
          </w:tcPr>
          <w:p w14:paraId="41752A7C" w14:textId="77777777" w:rsidR="0063354C" w:rsidRDefault="0063354C" w:rsidP="004048B7">
            <w:pPr>
              <w:rPr>
                <w:szCs w:val="24"/>
                <w:lang w:eastAsia="lv-LV"/>
              </w:rPr>
            </w:pPr>
          </w:p>
        </w:tc>
        <w:tc>
          <w:tcPr>
            <w:tcW w:w="3544" w:type="dxa"/>
          </w:tcPr>
          <w:p w14:paraId="46EBBF1F" w14:textId="77777777" w:rsidR="0063354C" w:rsidRPr="002308E6" w:rsidRDefault="0063354C" w:rsidP="004048B7">
            <w:pPr>
              <w:rPr>
                <w:b/>
                <w:szCs w:val="24"/>
                <w:lang w:eastAsia="lv-LV"/>
              </w:rPr>
            </w:pPr>
            <w:r w:rsidRPr="002308E6">
              <w:rPr>
                <w:b/>
                <w:szCs w:val="24"/>
                <w:lang w:eastAsia="lv-LV"/>
              </w:rPr>
              <w:t>Kopā</w:t>
            </w:r>
          </w:p>
        </w:tc>
        <w:tc>
          <w:tcPr>
            <w:tcW w:w="1559" w:type="dxa"/>
          </w:tcPr>
          <w:p w14:paraId="5D0FED90" w14:textId="77777777" w:rsidR="0063354C" w:rsidRPr="002308E6" w:rsidRDefault="0063354C" w:rsidP="004048B7">
            <w:pPr>
              <w:jc w:val="center"/>
              <w:rPr>
                <w:b/>
                <w:szCs w:val="24"/>
              </w:rPr>
            </w:pPr>
            <w:r w:rsidRPr="002308E6">
              <w:rPr>
                <w:b/>
                <w:szCs w:val="24"/>
              </w:rPr>
              <w:t>31</w:t>
            </w:r>
            <w:r>
              <w:rPr>
                <w:b/>
                <w:szCs w:val="24"/>
              </w:rPr>
              <w:t xml:space="preserve"> </w:t>
            </w:r>
            <w:r w:rsidRPr="002308E6">
              <w:rPr>
                <w:b/>
                <w:szCs w:val="24"/>
              </w:rPr>
              <w:t>133</w:t>
            </w:r>
          </w:p>
        </w:tc>
        <w:tc>
          <w:tcPr>
            <w:tcW w:w="1559" w:type="dxa"/>
          </w:tcPr>
          <w:p w14:paraId="47199D55" w14:textId="77777777" w:rsidR="0063354C" w:rsidRPr="002308E6" w:rsidRDefault="0063354C" w:rsidP="004048B7">
            <w:pPr>
              <w:jc w:val="center"/>
              <w:rPr>
                <w:b/>
                <w:szCs w:val="24"/>
              </w:rPr>
            </w:pPr>
            <w:r w:rsidRPr="002308E6">
              <w:rPr>
                <w:b/>
                <w:szCs w:val="24"/>
              </w:rPr>
              <w:t>14</w:t>
            </w:r>
            <w:r>
              <w:rPr>
                <w:b/>
                <w:szCs w:val="24"/>
              </w:rPr>
              <w:t xml:space="preserve"> </w:t>
            </w:r>
            <w:r w:rsidRPr="002308E6">
              <w:rPr>
                <w:b/>
                <w:szCs w:val="24"/>
              </w:rPr>
              <w:t>565</w:t>
            </w:r>
          </w:p>
        </w:tc>
        <w:tc>
          <w:tcPr>
            <w:tcW w:w="1701" w:type="dxa"/>
          </w:tcPr>
          <w:p w14:paraId="3CB58E8F" w14:textId="77777777" w:rsidR="0063354C" w:rsidRPr="002308E6" w:rsidRDefault="0063354C" w:rsidP="004048B7">
            <w:pPr>
              <w:jc w:val="center"/>
              <w:rPr>
                <w:b/>
                <w:szCs w:val="24"/>
              </w:rPr>
            </w:pPr>
            <w:r w:rsidRPr="002308E6">
              <w:rPr>
                <w:b/>
                <w:szCs w:val="24"/>
              </w:rPr>
              <w:t>46,8</w:t>
            </w:r>
          </w:p>
        </w:tc>
      </w:tr>
    </w:tbl>
    <w:p w14:paraId="34A51362" w14:textId="77777777" w:rsidR="0063354C" w:rsidRPr="0063354C" w:rsidRDefault="0063354C" w:rsidP="0063354C">
      <w:pPr>
        <w:pStyle w:val="ListParagraph"/>
        <w:numPr>
          <w:ilvl w:val="0"/>
          <w:numId w:val="1"/>
        </w:numPr>
        <w:rPr>
          <w:szCs w:val="24"/>
        </w:rPr>
      </w:pPr>
    </w:p>
    <w:p w14:paraId="3BE55BC3" w14:textId="77777777" w:rsidR="00E65E5F" w:rsidRPr="008807FF" w:rsidRDefault="00E65E5F" w:rsidP="00E65E5F">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68FE146A" w14:textId="77777777" w:rsidR="0063354C" w:rsidRPr="0063354C" w:rsidRDefault="0063354C" w:rsidP="0063354C">
      <w:pPr>
        <w:pStyle w:val="ListParagraph"/>
        <w:numPr>
          <w:ilvl w:val="0"/>
          <w:numId w:val="1"/>
        </w:numPr>
        <w:rPr>
          <w:szCs w:val="24"/>
        </w:rPr>
      </w:pPr>
    </w:p>
    <w:p w14:paraId="766218C5" w14:textId="77777777" w:rsidR="0063354C" w:rsidRPr="0063354C" w:rsidRDefault="00E65E5F" w:rsidP="0063354C">
      <w:pPr>
        <w:pStyle w:val="ListParagraph"/>
        <w:numPr>
          <w:ilvl w:val="0"/>
          <w:numId w:val="1"/>
        </w:numPr>
        <w:jc w:val="right"/>
        <w:rPr>
          <w:szCs w:val="24"/>
        </w:rPr>
      </w:pPr>
      <w:r>
        <w:rPr>
          <w:szCs w:val="24"/>
        </w:rPr>
        <w:t xml:space="preserve">1.11. </w:t>
      </w:r>
      <w:r w:rsidR="0063354C" w:rsidRPr="0063354C">
        <w:rPr>
          <w:szCs w:val="24"/>
        </w:rPr>
        <w:t>attēls</w:t>
      </w:r>
    </w:p>
    <w:p w14:paraId="2C5D3DD8" w14:textId="77777777" w:rsidR="0063354C" w:rsidRPr="0063354C" w:rsidRDefault="001E1E8F" w:rsidP="0063354C">
      <w:pPr>
        <w:pStyle w:val="ListParagraph"/>
        <w:numPr>
          <w:ilvl w:val="0"/>
          <w:numId w:val="1"/>
        </w:numPr>
        <w:jc w:val="center"/>
        <w:rPr>
          <w:szCs w:val="24"/>
          <w:lang w:eastAsia="lv-LV"/>
        </w:rPr>
      </w:pPr>
      <w:r>
        <w:rPr>
          <w:szCs w:val="24"/>
          <w:lang w:eastAsia="lv-LV"/>
        </w:rPr>
        <w:t>Augstskolās</w:t>
      </w:r>
      <w:r w:rsidRPr="0063354C">
        <w:rPr>
          <w:szCs w:val="24"/>
          <w:lang w:eastAsia="lv-LV"/>
        </w:rPr>
        <w:t xml:space="preserve"> </w:t>
      </w:r>
      <w:r w:rsidR="0063354C" w:rsidRPr="0063354C">
        <w:rPr>
          <w:szCs w:val="24"/>
          <w:lang w:eastAsia="lv-LV"/>
        </w:rPr>
        <w:t>STEM jomās studējošo dzimuma struktūra sadalījumā pa izglītības tematiskajām grupām un jomām 2015./2016. ak. gadā</w:t>
      </w:r>
    </w:p>
    <w:p w14:paraId="101A601D" w14:textId="77777777" w:rsidR="00191DA2" w:rsidRDefault="004D3D21">
      <w:pPr>
        <w:pStyle w:val="EYBodytextwithparaspace"/>
        <w:numPr>
          <w:ilvl w:val="6"/>
          <w:numId w:val="1"/>
        </w:numPr>
        <w:spacing w:after="120"/>
        <w:jc w:val="both"/>
        <w:rPr>
          <w:rFonts w:ascii="Times New Roman" w:hAnsi="Times New Roman"/>
          <w:sz w:val="24"/>
        </w:rPr>
      </w:pPr>
      <w:r>
        <w:rPr>
          <w:noProof/>
          <w:lang w:eastAsia="lv-LV"/>
        </w:rPr>
        <w:drawing>
          <wp:inline distT="0" distB="0" distL="0" distR="0" wp14:anchorId="16CA1219" wp14:editId="612507DF">
            <wp:extent cx="5562600" cy="28098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E5E770" w14:textId="77777777" w:rsidR="00E65E5F" w:rsidRPr="008807FF" w:rsidRDefault="00E65E5F" w:rsidP="00E65E5F">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14:paraId="34ECA8A7" w14:textId="77777777" w:rsidR="00F5532E" w:rsidRDefault="00F5532E">
      <w:pPr>
        <w:pStyle w:val="EYBodytextwithparaspace"/>
        <w:numPr>
          <w:ilvl w:val="2"/>
          <w:numId w:val="1"/>
        </w:numPr>
      </w:pPr>
    </w:p>
    <w:p w14:paraId="760ED6E5" w14:textId="77777777" w:rsidR="00191DA2" w:rsidRDefault="00E65E5F">
      <w:pPr>
        <w:pStyle w:val="ListParagraph"/>
        <w:numPr>
          <w:ilvl w:val="1"/>
          <w:numId w:val="1"/>
        </w:numPr>
        <w:rPr>
          <w:color w:val="222222"/>
        </w:rPr>
      </w:pPr>
      <w:r w:rsidRPr="00E65E5F">
        <w:rPr>
          <w:color w:val="222222"/>
        </w:rPr>
        <w:t xml:space="preserve">Jāatzīmē, ka </w:t>
      </w:r>
      <w:r w:rsidR="001E1E8F">
        <w:rPr>
          <w:color w:val="222222"/>
        </w:rPr>
        <w:t>līdzīga</w:t>
      </w:r>
      <w:r w:rsidRPr="00E65E5F">
        <w:rPr>
          <w:color w:val="222222"/>
        </w:rPr>
        <w:t xml:space="preserve"> dzimumu attiecība STEM jomas </w:t>
      </w:r>
      <w:r w:rsidR="009B4E90">
        <w:rPr>
          <w:color w:val="222222"/>
        </w:rPr>
        <w:t xml:space="preserve">studiju programmās </w:t>
      </w:r>
      <w:r w:rsidRPr="00E65E5F">
        <w:rPr>
          <w:color w:val="222222"/>
        </w:rPr>
        <w:t xml:space="preserve">izglītības tematiskajās grupās un jomās ir raksturīga arī iepriekšējos gados, vienlaikus redzams, ka pēdējā laikā vērojama pozitīva tendence palielināties sieviešu skaita īpatsvaram izglītības tematiskajās grupās </w:t>
      </w:r>
      <w:r w:rsidR="00502A3E" w:rsidRPr="00502A3E">
        <w:rPr>
          <w:i/>
          <w:szCs w:val="24"/>
        </w:rPr>
        <w:t>Dabas zinātnes, matemātika un informācijas tehnoloģijas</w:t>
      </w:r>
      <w:r w:rsidR="00A9495D">
        <w:rPr>
          <w:i/>
          <w:szCs w:val="24"/>
        </w:rPr>
        <w:t xml:space="preserve"> </w:t>
      </w:r>
      <w:r w:rsidRPr="00E65E5F">
        <w:rPr>
          <w:szCs w:val="24"/>
        </w:rPr>
        <w:t>un</w:t>
      </w:r>
      <w:r w:rsidRPr="00E65E5F">
        <w:rPr>
          <w:color w:val="222222"/>
        </w:rPr>
        <w:t xml:space="preserve"> </w:t>
      </w:r>
      <w:r w:rsidR="00502A3E" w:rsidRPr="00502A3E">
        <w:rPr>
          <w:i/>
          <w:color w:val="222222"/>
        </w:rPr>
        <w:t>I</w:t>
      </w:r>
      <w:r w:rsidR="00502A3E" w:rsidRPr="00502A3E">
        <w:rPr>
          <w:i/>
          <w:szCs w:val="24"/>
        </w:rPr>
        <w:t>nženierzinātnes, ražošana un būvniecība</w:t>
      </w:r>
      <w:r w:rsidRPr="00E65E5F">
        <w:rPr>
          <w:color w:val="222222"/>
        </w:rPr>
        <w:t xml:space="preserve"> (skatīt </w:t>
      </w:r>
      <w:r w:rsidR="008660FD">
        <w:rPr>
          <w:color w:val="222222"/>
        </w:rPr>
        <w:t>1.12.</w:t>
      </w:r>
      <w:r w:rsidRPr="00E65E5F">
        <w:rPr>
          <w:color w:val="222222"/>
        </w:rPr>
        <w:t xml:space="preserve"> attēlu)</w:t>
      </w:r>
      <w:r w:rsidR="008660FD">
        <w:rPr>
          <w:color w:val="222222"/>
        </w:rPr>
        <w:t>.</w:t>
      </w:r>
      <w:r w:rsidRPr="00E65E5F">
        <w:rPr>
          <w:color w:val="222222"/>
        </w:rPr>
        <w:t xml:space="preserve"> </w:t>
      </w:r>
    </w:p>
    <w:p w14:paraId="3257134B" w14:textId="77777777" w:rsidR="00191DA2" w:rsidRDefault="008660FD">
      <w:pPr>
        <w:jc w:val="right"/>
        <w:rPr>
          <w:color w:val="222222"/>
        </w:rPr>
      </w:pPr>
      <w:r>
        <w:rPr>
          <w:color w:val="222222"/>
        </w:rPr>
        <w:t>1.12. attēls</w:t>
      </w:r>
    </w:p>
    <w:p w14:paraId="518BE0B6" w14:textId="77777777" w:rsidR="00191DA2" w:rsidRDefault="00191DA2">
      <w:pPr>
        <w:rPr>
          <w:color w:val="222222"/>
        </w:rPr>
      </w:pPr>
    </w:p>
    <w:p w14:paraId="7E38965B" w14:textId="77777777" w:rsidR="00191DA2" w:rsidRDefault="008660FD">
      <w:pPr>
        <w:jc w:val="center"/>
        <w:rPr>
          <w:color w:val="222222"/>
        </w:rPr>
      </w:pPr>
      <w:r>
        <w:rPr>
          <w:color w:val="222222"/>
        </w:rPr>
        <w:t xml:space="preserve">Augstskolās studējošo sieviešu skaita attiecība pret kopējo studējošo skaitu </w:t>
      </w:r>
      <w:r w:rsidRPr="00E65E5F">
        <w:rPr>
          <w:color w:val="222222"/>
        </w:rPr>
        <w:t xml:space="preserve">izglītības tematiskajās grupās </w:t>
      </w:r>
      <w:r w:rsidR="00502A3E" w:rsidRPr="00502A3E">
        <w:rPr>
          <w:i/>
          <w:szCs w:val="24"/>
        </w:rPr>
        <w:t>Dabas zinātnes, matemātika un informācijas tehnoloģijas</w:t>
      </w:r>
      <w:r w:rsidRPr="00E65E5F">
        <w:rPr>
          <w:szCs w:val="24"/>
        </w:rPr>
        <w:t xml:space="preserve"> un</w:t>
      </w:r>
      <w:r w:rsidR="00A9495D">
        <w:rPr>
          <w:color w:val="222222"/>
        </w:rPr>
        <w:t xml:space="preserve"> </w:t>
      </w:r>
      <w:r w:rsidR="00502A3E" w:rsidRPr="00502A3E">
        <w:rPr>
          <w:i/>
          <w:szCs w:val="24"/>
        </w:rPr>
        <w:t>Inženierzinātnes, ražošana un būvniecība</w:t>
      </w:r>
      <w:r w:rsidR="00A9495D">
        <w:rPr>
          <w:szCs w:val="24"/>
        </w:rPr>
        <w:t xml:space="preserve"> </w:t>
      </w:r>
      <w:r>
        <w:rPr>
          <w:color w:val="222222"/>
        </w:rPr>
        <w:t>2007./2008. ak. gadā, 2011./2012. ak. gadā un 2015./2016. ak. gadā, procentos</w:t>
      </w:r>
    </w:p>
    <w:p w14:paraId="5BED2502" w14:textId="77777777" w:rsidR="00191DA2" w:rsidRDefault="00191DA2">
      <w:pPr>
        <w:rPr>
          <w:color w:val="222222"/>
        </w:rPr>
      </w:pPr>
    </w:p>
    <w:p w14:paraId="33B1929F" w14:textId="77777777" w:rsidR="00191DA2" w:rsidRDefault="004D3D21">
      <w:pPr>
        <w:rPr>
          <w:color w:val="222222"/>
        </w:rPr>
      </w:pPr>
      <w:r>
        <w:rPr>
          <w:noProof/>
          <w:lang w:eastAsia="lv-LV"/>
        </w:rPr>
        <w:lastRenderedPageBreak/>
        <w:drawing>
          <wp:inline distT="0" distB="0" distL="0" distR="0" wp14:anchorId="64ABE675" wp14:editId="31B510DD">
            <wp:extent cx="5391150" cy="26289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E52AFE2" w14:textId="77777777" w:rsidR="003C10AD" w:rsidRPr="008807FF" w:rsidRDefault="003C10AD" w:rsidP="003C10AD">
      <w:pPr>
        <w:pStyle w:val="ListParagraph"/>
        <w:numPr>
          <w:ilvl w:val="0"/>
          <w:numId w:val="1"/>
        </w:numPr>
        <w:contextualSpacing/>
        <w:rPr>
          <w:i/>
          <w:sz w:val="22"/>
          <w:szCs w:val="22"/>
        </w:rPr>
      </w:pPr>
      <w:r w:rsidRPr="008807FF">
        <w:rPr>
          <w:i/>
          <w:sz w:val="22"/>
          <w:szCs w:val="22"/>
        </w:rPr>
        <w:t>Avots: IZM dati, Pārskat</w:t>
      </w:r>
      <w:r>
        <w:rPr>
          <w:i/>
          <w:sz w:val="22"/>
          <w:szCs w:val="22"/>
        </w:rPr>
        <w:t>i</w:t>
      </w:r>
      <w:r w:rsidRPr="008807FF">
        <w:rPr>
          <w:i/>
          <w:sz w:val="22"/>
          <w:szCs w:val="22"/>
        </w:rPr>
        <w:t xml:space="preserve"> par </w:t>
      </w:r>
      <w:r w:rsidRPr="008807FF">
        <w:rPr>
          <w:rFonts w:eastAsia="Calibri"/>
          <w:bCs/>
          <w:i/>
          <w:color w:val="000000"/>
          <w:sz w:val="22"/>
          <w:szCs w:val="22"/>
          <w:lang w:eastAsia="lv-LV"/>
        </w:rPr>
        <w:t xml:space="preserve">Latvijas augstāko izglītību </w:t>
      </w:r>
      <w:r w:rsidR="005A4293">
        <w:rPr>
          <w:rFonts w:eastAsia="Calibri"/>
          <w:bCs/>
          <w:i/>
          <w:color w:val="000000"/>
          <w:sz w:val="22"/>
          <w:szCs w:val="22"/>
          <w:lang w:eastAsia="lv-LV"/>
        </w:rPr>
        <w:t>(</w:t>
      </w:r>
      <w:r>
        <w:rPr>
          <w:rFonts w:eastAsia="Calibri"/>
          <w:bCs/>
          <w:i/>
          <w:color w:val="000000"/>
          <w:sz w:val="22"/>
          <w:szCs w:val="22"/>
          <w:lang w:eastAsia="lv-LV"/>
        </w:rPr>
        <w:t xml:space="preserve">2007.gads, 2011.gads un </w:t>
      </w:r>
      <w:r w:rsidRPr="008807FF">
        <w:rPr>
          <w:rFonts w:eastAsia="Calibri"/>
          <w:bCs/>
          <w:i/>
          <w:color w:val="000000"/>
          <w:sz w:val="22"/>
          <w:szCs w:val="22"/>
          <w:lang w:eastAsia="lv-LV"/>
        </w:rPr>
        <w:t>201</w:t>
      </w:r>
      <w:r>
        <w:rPr>
          <w:rFonts w:eastAsia="Calibri"/>
          <w:bCs/>
          <w:i/>
          <w:color w:val="000000"/>
          <w:sz w:val="22"/>
          <w:szCs w:val="22"/>
          <w:lang w:eastAsia="lv-LV"/>
        </w:rPr>
        <w:t>5</w:t>
      </w:r>
      <w:r w:rsidRPr="008807FF">
        <w:rPr>
          <w:rFonts w:eastAsia="Calibri"/>
          <w:bCs/>
          <w:i/>
          <w:color w:val="000000"/>
          <w:sz w:val="22"/>
          <w:szCs w:val="22"/>
          <w:lang w:eastAsia="lv-LV"/>
        </w:rPr>
        <w:t>.gads</w:t>
      </w:r>
      <w:r w:rsidR="005A4293">
        <w:rPr>
          <w:rFonts w:eastAsia="Calibri"/>
          <w:bCs/>
          <w:i/>
          <w:color w:val="000000"/>
          <w:sz w:val="22"/>
          <w:szCs w:val="22"/>
          <w:lang w:eastAsia="lv-LV"/>
        </w:rPr>
        <w:t>)</w:t>
      </w:r>
    </w:p>
    <w:p w14:paraId="05324DF1" w14:textId="77777777" w:rsidR="00191DA2" w:rsidRDefault="00191DA2">
      <w:pPr>
        <w:rPr>
          <w:color w:val="222222"/>
        </w:rPr>
      </w:pPr>
    </w:p>
    <w:p w14:paraId="75E4CC0C" w14:textId="77777777" w:rsidR="00191DA2" w:rsidRDefault="00191DA2">
      <w:pPr>
        <w:rPr>
          <w:color w:val="222222"/>
        </w:rPr>
      </w:pPr>
    </w:p>
    <w:p w14:paraId="0C922591" w14:textId="61F63A8D" w:rsidR="00553C66" w:rsidRPr="00553C66" w:rsidRDefault="00553C66" w:rsidP="00553C66">
      <w:pPr>
        <w:ind w:firstLine="720"/>
        <w:rPr>
          <w:b/>
          <w:color w:val="222222"/>
        </w:rPr>
      </w:pPr>
      <w:r w:rsidRPr="00553C66">
        <w:rPr>
          <w:b/>
          <w:color w:val="222222"/>
        </w:rPr>
        <w:t>8.1.1. SAM ietvaros plānotie ieguldījumi augstākās izglītības STEM infrastruktūras attīstībā  netieši veicinās sieviešu un vīriešu līdzsvarotāku pārstāvniecību STEM jomās. Abus  dzimumus uzrunājoša un motivējoša studiju vide, kas vienlaikus ir arī moderna  un  sakopta, veicina abu dzimumu līdzsvarotāku pārstāvniecību STEM jomās. Studiju vide kultūras un sociālā telpā veido un nostiprina dzimumu stereotipus  un  katram  dzimumam atbilstošas uzvedības modeli. Ir pieejami dažādi  pētījumi,</w:t>
      </w:r>
      <w:r w:rsidR="00EA0D07">
        <w:rPr>
          <w:b/>
          <w:color w:val="222222"/>
        </w:rPr>
        <w:t xml:space="preserve"> </w:t>
      </w:r>
      <w:r w:rsidRPr="00553C66">
        <w:rPr>
          <w:b/>
          <w:color w:val="222222"/>
        </w:rPr>
        <w:t>kuri  norāda  uz  dažādām  ietekmēm - vecāku, skolotāju, skolas  vides,  vietējās kopienas  -  kas  var  veicināt vai tieši otrādi neveicināt  interesi  un  ievirzi  STEM  jomā,  ietekmēt  to,  kā puiši vai meitenes  tiek  uztverti, kāda ir attieksme pret to, ko vieni vai otri dara un var darīt. Rezultātā tas ietekmē arī pašus puišus un meitenes, veidojot viņu  pašvērtējumu  un  uzskatus par to, kas ir atbilstošs vienam vai otram dzimumam.</w:t>
      </w:r>
    </w:p>
    <w:p w14:paraId="0C17A480" w14:textId="2A752A3E" w:rsidR="00553C66" w:rsidRPr="00553C66" w:rsidRDefault="00553C66" w:rsidP="00553C66">
      <w:pPr>
        <w:ind w:firstLine="720"/>
        <w:rPr>
          <w:b/>
          <w:color w:val="222222"/>
        </w:rPr>
      </w:pPr>
      <w:r w:rsidRPr="00553C66">
        <w:rPr>
          <w:b/>
          <w:color w:val="222222"/>
        </w:rPr>
        <w:t>Viens  no  būtiskiem  aspektiem  ir  sabiedrības  pr</w:t>
      </w:r>
      <w:r>
        <w:rPr>
          <w:b/>
          <w:color w:val="222222"/>
        </w:rPr>
        <w:t xml:space="preserve">iekšstatu veidošana par noteiktām studiju programmām </w:t>
      </w:r>
      <w:r w:rsidRPr="00553C66">
        <w:rPr>
          <w:b/>
          <w:color w:val="222222"/>
        </w:rPr>
        <w:t>un  vēlāk par profesijām. Lai veicinātu sieviešu  interesi  par  studijām  tehniskajās  studiju programmās,  kā arī vīriešu interesi par studijām mākslas vai veselības aprūpes jomā, ir jāveic kompleksi  un  mērķtiecīgi  pasākumi,  sākot jau ar pamatizglītības pakāpi.</w:t>
      </w:r>
    </w:p>
    <w:p w14:paraId="4F44827E" w14:textId="77777777" w:rsidR="00191DA2" w:rsidRDefault="009266D1">
      <w:pPr>
        <w:pStyle w:val="EYBodytextwithparaspace"/>
        <w:numPr>
          <w:ilvl w:val="2"/>
          <w:numId w:val="1"/>
        </w:numPr>
      </w:pPr>
      <w:r w:rsidRPr="00B56107">
        <w:br w:type="page"/>
      </w:r>
    </w:p>
    <w:p w14:paraId="124EFB16" w14:textId="77777777" w:rsidR="00191DA2" w:rsidRDefault="00191DA2">
      <w:pPr>
        <w:pStyle w:val="EYBodytextwithparaspace"/>
        <w:numPr>
          <w:ilvl w:val="3"/>
          <w:numId w:val="1"/>
        </w:numPr>
      </w:pPr>
    </w:p>
    <w:p w14:paraId="7B033043" w14:textId="77777777" w:rsidR="00D42476" w:rsidRPr="00295D20" w:rsidRDefault="00691C54" w:rsidP="00D93672">
      <w:pPr>
        <w:pStyle w:val="Heading2"/>
      </w:pPr>
      <w:bookmarkStart w:id="10" w:name="_Toc457815669"/>
      <w:r>
        <w:t xml:space="preserve">1.2. STEM jomas programmu piedāvājums Latvijas reģionos un to </w:t>
      </w:r>
      <w:r w:rsidR="008D6FCC" w:rsidRPr="00295D20">
        <w:t xml:space="preserve">atbilstība </w:t>
      </w:r>
      <w:r w:rsidR="006C7F3A">
        <w:t>darba tirgus pieprasījuma prognozēm</w:t>
      </w:r>
      <w:bookmarkEnd w:id="10"/>
    </w:p>
    <w:p w14:paraId="445F8029" w14:textId="77777777" w:rsidR="008D6FCC" w:rsidRPr="00D42476" w:rsidRDefault="008D6FCC" w:rsidP="008D6FCC">
      <w:pPr>
        <w:autoSpaceDE w:val="0"/>
        <w:autoSpaceDN w:val="0"/>
        <w:adjustRightInd w:val="0"/>
        <w:ind w:left="113" w:right="113" w:firstLine="607"/>
        <w:jc w:val="center"/>
        <w:rPr>
          <w:color w:val="365F91" w:themeColor="accent1" w:themeShade="BF"/>
          <w:szCs w:val="24"/>
        </w:rPr>
      </w:pPr>
    </w:p>
    <w:p w14:paraId="1EC48E9F" w14:textId="77777777" w:rsidR="00F82B9A" w:rsidRPr="00B56107" w:rsidRDefault="00064168" w:rsidP="000423B7">
      <w:pPr>
        <w:pStyle w:val="CommentText"/>
        <w:ind w:firstLine="720"/>
        <w:rPr>
          <w:sz w:val="24"/>
          <w:szCs w:val="24"/>
        </w:rPr>
      </w:pPr>
      <w:r>
        <w:rPr>
          <w:sz w:val="24"/>
          <w:szCs w:val="24"/>
        </w:rPr>
        <w:t>Kā tas uzsvērts pētījumā “</w:t>
      </w:r>
      <w:r w:rsidR="001079A9" w:rsidRPr="001079A9">
        <w:rPr>
          <w:sz w:val="24"/>
          <w:szCs w:val="24"/>
        </w:rPr>
        <w:t xml:space="preserve">Publisko individuālo pakalpojumu klāsta </w:t>
      </w:r>
      <w:proofErr w:type="spellStart"/>
      <w:r w:rsidR="001079A9" w:rsidRPr="001079A9">
        <w:rPr>
          <w:sz w:val="24"/>
          <w:szCs w:val="24"/>
        </w:rPr>
        <w:t>izvērtējums</w:t>
      </w:r>
      <w:proofErr w:type="spellEnd"/>
      <w:r w:rsidR="001079A9" w:rsidRPr="001079A9">
        <w:rPr>
          <w:sz w:val="24"/>
          <w:szCs w:val="24"/>
        </w:rPr>
        <w:t xml:space="preserve"> atbilstoši </w:t>
      </w:r>
      <w:proofErr w:type="spellStart"/>
      <w:r w:rsidR="001079A9" w:rsidRPr="001079A9">
        <w:rPr>
          <w:sz w:val="24"/>
          <w:szCs w:val="24"/>
        </w:rPr>
        <w:t>apdzīvojumam</w:t>
      </w:r>
      <w:proofErr w:type="spellEnd"/>
      <w:r>
        <w:rPr>
          <w:sz w:val="24"/>
          <w:szCs w:val="24"/>
        </w:rPr>
        <w:t>”, l</w:t>
      </w:r>
      <w:r w:rsidR="00D4596A" w:rsidRPr="00B56107">
        <w:rPr>
          <w:sz w:val="24"/>
          <w:szCs w:val="24"/>
        </w:rPr>
        <w:t xml:space="preserve">ai arī </w:t>
      </w:r>
      <w:r w:rsidR="00F82B9A" w:rsidRPr="00B56107">
        <w:rPr>
          <w:sz w:val="24"/>
          <w:szCs w:val="24"/>
        </w:rPr>
        <w:t xml:space="preserve">augstākajā izglītībā konkrētās izglītības iestādes atrašanās vieta nav tik būtisks faktors, kas </w:t>
      </w:r>
      <w:r w:rsidR="004F5624" w:rsidRPr="00B56107">
        <w:rPr>
          <w:sz w:val="24"/>
          <w:szCs w:val="24"/>
        </w:rPr>
        <w:t>ietekmē</w:t>
      </w:r>
      <w:r w:rsidR="00F82B9A" w:rsidRPr="00B56107">
        <w:rPr>
          <w:sz w:val="24"/>
          <w:szCs w:val="24"/>
        </w:rPr>
        <w:t xml:space="preserve"> potenciālā studenta izvēli, kā tas ir citās izglītības pakāpēs, tomēr augstskolu teritoriālais izvietojums svarīgs reģionālās attīstības kontekstā, lai nodrošinātu </w:t>
      </w:r>
      <w:proofErr w:type="spellStart"/>
      <w:r w:rsidR="00F82B9A" w:rsidRPr="00B56107">
        <w:rPr>
          <w:sz w:val="24"/>
          <w:szCs w:val="24"/>
        </w:rPr>
        <w:t>cilvēkkapitāla</w:t>
      </w:r>
      <w:proofErr w:type="spellEnd"/>
      <w:r w:rsidR="00F82B9A" w:rsidRPr="00B56107">
        <w:rPr>
          <w:sz w:val="24"/>
          <w:szCs w:val="24"/>
        </w:rPr>
        <w:t xml:space="preserve"> attīstību reģionos, nodrošinātu izglītības pieejamību un darbaspēku reģiona tautsaimniecības attīstībai.</w:t>
      </w:r>
      <w:r w:rsidR="00F82B9A" w:rsidRPr="00B56107">
        <w:rPr>
          <w:rStyle w:val="FootnoteReference"/>
          <w:sz w:val="24"/>
          <w:szCs w:val="24"/>
        </w:rPr>
        <w:footnoteReference w:id="11"/>
      </w:r>
    </w:p>
    <w:p w14:paraId="75A0288C" w14:textId="77777777" w:rsidR="00723D60" w:rsidRPr="00B56107" w:rsidRDefault="00723D60" w:rsidP="000423B7">
      <w:pPr>
        <w:pStyle w:val="CommentText"/>
        <w:ind w:firstLine="720"/>
        <w:rPr>
          <w:sz w:val="24"/>
          <w:szCs w:val="24"/>
        </w:rPr>
      </w:pPr>
      <w:r w:rsidRPr="00B56107">
        <w:rPr>
          <w:sz w:val="24"/>
          <w:szCs w:val="24"/>
        </w:rPr>
        <w:t xml:space="preserve">Gan valsts, gan reģiona interesēs ir kvalificēta darbaspēka nodrošināšana ilgtermiņā, plānojot izglītības programmas tā, lai jebkura izglītības līmeņa absolventi spētu vienkārši un ātri iekļauties darba tirgū, bet darba devējs </w:t>
      </w:r>
      <w:r w:rsidR="00CA186A" w:rsidRPr="00B56107">
        <w:rPr>
          <w:sz w:val="24"/>
          <w:szCs w:val="24"/>
        </w:rPr>
        <w:t>–</w:t>
      </w:r>
      <w:r w:rsidRPr="00B56107">
        <w:rPr>
          <w:sz w:val="24"/>
          <w:szCs w:val="24"/>
        </w:rPr>
        <w:t xml:space="preserve"> saņemt speciālistu, kura </w:t>
      </w:r>
      <w:r w:rsidR="006C4693" w:rsidRPr="00B56107">
        <w:rPr>
          <w:sz w:val="24"/>
          <w:szCs w:val="24"/>
        </w:rPr>
        <w:t xml:space="preserve">kompetences ir ne tikai </w:t>
      </w:r>
      <w:r w:rsidRPr="00B56107">
        <w:rPr>
          <w:sz w:val="24"/>
          <w:szCs w:val="24"/>
        </w:rPr>
        <w:t>pietiekamas un adekvātas karjeras uzsākšanai konkrētajā jomā</w:t>
      </w:r>
      <w:r w:rsidR="006C4693" w:rsidRPr="00B56107">
        <w:rPr>
          <w:sz w:val="24"/>
          <w:szCs w:val="24"/>
        </w:rPr>
        <w:t xml:space="preserve">, bet var nodrošināt jomas izaugsmi atbilstoši </w:t>
      </w:r>
      <w:r w:rsidR="00B56107" w:rsidRPr="00B56107">
        <w:rPr>
          <w:sz w:val="24"/>
          <w:szCs w:val="24"/>
        </w:rPr>
        <w:t xml:space="preserve">Latvijas </w:t>
      </w:r>
      <w:r w:rsidR="003E4ACC">
        <w:rPr>
          <w:sz w:val="24"/>
          <w:szCs w:val="24"/>
        </w:rPr>
        <w:t>V</w:t>
      </w:r>
      <w:r w:rsidR="006C4693" w:rsidRPr="00B56107">
        <w:rPr>
          <w:sz w:val="24"/>
          <w:szCs w:val="24"/>
        </w:rPr>
        <w:t>iedās specializācijas stratēģija</w:t>
      </w:r>
      <w:r w:rsidR="009948E4" w:rsidRPr="00B56107">
        <w:rPr>
          <w:sz w:val="24"/>
          <w:szCs w:val="24"/>
        </w:rPr>
        <w:t>s</w:t>
      </w:r>
      <w:r w:rsidR="006C4693" w:rsidRPr="00B56107">
        <w:rPr>
          <w:sz w:val="24"/>
          <w:szCs w:val="24"/>
        </w:rPr>
        <w:t xml:space="preserve"> nostādnēm</w:t>
      </w:r>
      <w:r w:rsidRPr="00B56107">
        <w:rPr>
          <w:sz w:val="24"/>
          <w:szCs w:val="24"/>
        </w:rPr>
        <w:t>.</w:t>
      </w:r>
    </w:p>
    <w:p w14:paraId="1C408B4E" w14:textId="77777777" w:rsidR="002D1AE4" w:rsidRPr="00B56107" w:rsidRDefault="004F5624" w:rsidP="00722156">
      <w:pPr>
        <w:numPr>
          <w:ilvl w:val="0"/>
          <w:numId w:val="1"/>
        </w:numPr>
        <w:shd w:val="clear" w:color="auto" w:fill="FFFFFF"/>
        <w:tabs>
          <w:tab w:val="clear" w:pos="0"/>
          <w:tab w:val="num" w:pos="709"/>
        </w:tabs>
        <w:rPr>
          <w:bCs/>
        </w:rPr>
      </w:pPr>
      <w:r w:rsidRPr="00B56107">
        <w:t xml:space="preserve">Apkopojot informāciju par augstskolām, kas īsteno STEM jomas programmas, redzams, ka tās atrodas visos Latvijas reģionos. </w:t>
      </w:r>
      <w:r w:rsidR="002D1AE4" w:rsidRPr="00B56107">
        <w:t>No</w:t>
      </w:r>
      <w:r w:rsidRPr="00B56107">
        <w:t xml:space="preserve"> 22 augstskolām, kas īsteno STEM programmas, 16 (</w:t>
      </w:r>
      <w:r w:rsidR="00422282" w:rsidRPr="00B56107">
        <w:t>8 valsts un 8 privātās)</w:t>
      </w:r>
      <w:r w:rsidR="002D1AE4" w:rsidRPr="00B56107">
        <w:t xml:space="preserve"> atrodas Rīgā, </w:t>
      </w:r>
      <w:r w:rsidR="00422282" w:rsidRPr="00B56107">
        <w:t>2</w:t>
      </w:r>
      <w:r w:rsidR="00CA186A" w:rsidRPr="00B56107">
        <w:t xml:space="preserve"> –</w:t>
      </w:r>
      <w:r w:rsidR="002D1AE4" w:rsidRPr="00B56107">
        <w:t xml:space="preserve"> Latgales reģionā, </w:t>
      </w:r>
      <w:r w:rsidR="00422282" w:rsidRPr="00B56107">
        <w:t xml:space="preserve">2 – Kurzemes reģionā, </w:t>
      </w:r>
      <w:r w:rsidR="002D1AE4" w:rsidRPr="00B56107">
        <w:t>1 – Zemgales</w:t>
      </w:r>
      <w:r w:rsidR="00422282" w:rsidRPr="00B56107">
        <w:t xml:space="preserve"> reģionā</w:t>
      </w:r>
      <w:r w:rsidR="002D1AE4" w:rsidRPr="00B56107">
        <w:t xml:space="preserve"> un 1 </w:t>
      </w:r>
      <w:r w:rsidR="00704BED" w:rsidRPr="00B56107">
        <w:t>–</w:t>
      </w:r>
      <w:r w:rsidR="002D1AE4" w:rsidRPr="00B56107">
        <w:t xml:space="preserve"> </w:t>
      </w:r>
      <w:r w:rsidR="00422282" w:rsidRPr="00B56107">
        <w:t>Vidzemes reģionā</w:t>
      </w:r>
      <w:r w:rsidR="002D1AE4" w:rsidRPr="00B56107">
        <w:t xml:space="preserve">. 3 valsts </w:t>
      </w:r>
      <w:r w:rsidR="00422282" w:rsidRPr="00B56107">
        <w:t>augstskola</w:t>
      </w:r>
      <w:r w:rsidR="002D1AE4" w:rsidRPr="00B56107">
        <w:t xml:space="preserve">s un </w:t>
      </w:r>
      <w:r w:rsidR="00422282" w:rsidRPr="00B56107">
        <w:t>2</w:t>
      </w:r>
      <w:r w:rsidR="002D1AE4" w:rsidRPr="00B56107">
        <w:t xml:space="preserve"> privātā</w:t>
      </w:r>
      <w:r w:rsidR="00422282" w:rsidRPr="00B56107">
        <w:t>s</w:t>
      </w:r>
      <w:r w:rsidR="002D1AE4" w:rsidRPr="00B56107">
        <w:t xml:space="preserve"> </w:t>
      </w:r>
      <w:r w:rsidR="00422282" w:rsidRPr="00B56107">
        <w:t>augstskolas</w:t>
      </w:r>
      <w:r w:rsidR="002D1AE4" w:rsidRPr="00B56107">
        <w:t xml:space="preserve"> īsteno </w:t>
      </w:r>
      <w:r w:rsidR="00422282" w:rsidRPr="00B56107">
        <w:t xml:space="preserve">STEM jomas </w:t>
      </w:r>
      <w:r w:rsidR="002D1AE4" w:rsidRPr="00B56107">
        <w:t>programmas arī to filiālēs. 1.</w:t>
      </w:r>
      <w:r w:rsidR="002739DC" w:rsidRPr="00B56107">
        <w:t>1</w:t>
      </w:r>
      <w:r w:rsidR="002739DC">
        <w:t>3</w:t>
      </w:r>
      <w:r w:rsidR="002D1AE4" w:rsidRPr="00B56107">
        <w:t>.attēlā atspoguļots</w:t>
      </w:r>
      <w:r w:rsidR="00422282" w:rsidRPr="00B56107">
        <w:t xml:space="preserve"> šo</w:t>
      </w:r>
      <w:r w:rsidR="002D1AE4" w:rsidRPr="00B56107">
        <w:t xml:space="preserve"> </w:t>
      </w:r>
      <w:r w:rsidR="00422282" w:rsidRPr="00B56107">
        <w:t>augstskolu</w:t>
      </w:r>
      <w:r w:rsidR="002D1AE4" w:rsidRPr="00B56107">
        <w:t xml:space="preserve"> un to filiāļu izvietojums un sadalījums pēc studējošo skaita.</w:t>
      </w:r>
    </w:p>
    <w:p w14:paraId="732D0055" w14:textId="77777777" w:rsidR="002D1AE4" w:rsidRDefault="002D1AE4" w:rsidP="002D1AE4">
      <w:pPr>
        <w:pStyle w:val="NormalWeb"/>
        <w:shd w:val="clear" w:color="auto" w:fill="FFFFFF"/>
        <w:spacing w:before="0" w:beforeAutospacing="0" w:after="0" w:afterAutospacing="0"/>
        <w:jc w:val="right"/>
        <w:rPr>
          <w:bCs/>
        </w:rPr>
      </w:pPr>
      <w:r w:rsidRPr="00DD6C86">
        <w:rPr>
          <w:bCs/>
        </w:rPr>
        <w:t>1.</w:t>
      </w:r>
      <w:r w:rsidR="00191DA2" w:rsidRPr="00DD6C86">
        <w:rPr>
          <w:bCs/>
        </w:rPr>
        <w:t>1</w:t>
      </w:r>
      <w:r w:rsidR="00191DA2">
        <w:rPr>
          <w:bCs/>
        </w:rPr>
        <w:t>3</w:t>
      </w:r>
      <w:r w:rsidR="00B03774" w:rsidRPr="00DD6C86">
        <w:rPr>
          <w:bCs/>
        </w:rPr>
        <w:t xml:space="preserve">. </w:t>
      </w:r>
      <w:r w:rsidRPr="00DD6C86">
        <w:rPr>
          <w:bCs/>
        </w:rPr>
        <w:t>attēls</w:t>
      </w:r>
    </w:p>
    <w:p w14:paraId="2072A448" w14:textId="77777777" w:rsidR="002D1AE4" w:rsidRPr="00B03774" w:rsidRDefault="007600AB" w:rsidP="00B03774">
      <w:pPr>
        <w:pStyle w:val="NormalWeb"/>
        <w:shd w:val="clear" w:color="auto" w:fill="FFFFFF"/>
        <w:spacing w:before="0" w:beforeAutospacing="0" w:after="0" w:afterAutospacing="0"/>
        <w:jc w:val="center"/>
        <w:rPr>
          <w:b/>
          <w:bCs/>
        </w:rPr>
      </w:pPr>
      <w:r>
        <w:rPr>
          <w:b/>
          <w:bCs/>
        </w:rPr>
        <w:t>Augstskolu, kas īsteno STEM jomas programmas</w:t>
      </w:r>
      <w:r w:rsidR="00B56107">
        <w:rPr>
          <w:b/>
          <w:bCs/>
        </w:rPr>
        <w:t>,</w:t>
      </w:r>
      <w:r w:rsidR="00B03774" w:rsidRPr="00B03774">
        <w:rPr>
          <w:b/>
          <w:bCs/>
        </w:rPr>
        <w:t xml:space="preserve"> un to filiāļu teritoriālais izvietojums</w:t>
      </w:r>
    </w:p>
    <w:p w14:paraId="69152B1B" w14:textId="77777777" w:rsidR="00A030CD" w:rsidRDefault="00A030CD" w:rsidP="00D42476">
      <w:pPr>
        <w:autoSpaceDE w:val="0"/>
        <w:autoSpaceDN w:val="0"/>
        <w:adjustRightInd w:val="0"/>
        <w:ind w:right="113" w:firstLine="720"/>
        <w:rPr>
          <w:color w:val="FF0000"/>
          <w:szCs w:val="24"/>
        </w:rPr>
      </w:pPr>
    </w:p>
    <w:p w14:paraId="6C23998D" w14:textId="77777777" w:rsidR="00A030CD" w:rsidRDefault="00A030CD" w:rsidP="00C849E7">
      <w:pPr>
        <w:autoSpaceDE w:val="0"/>
        <w:autoSpaceDN w:val="0"/>
        <w:adjustRightInd w:val="0"/>
        <w:ind w:right="113"/>
        <w:rPr>
          <w:color w:val="FF0000"/>
          <w:szCs w:val="24"/>
        </w:rPr>
      </w:pPr>
      <w:r w:rsidRPr="00B14A82">
        <w:rPr>
          <w:noProof/>
          <w:lang w:eastAsia="lv-LV"/>
        </w:rPr>
        <w:drawing>
          <wp:inline distT="0" distB="0" distL="0" distR="0" wp14:anchorId="0A54B984" wp14:editId="6F5DBE83">
            <wp:extent cx="5694045" cy="4305300"/>
            <wp:effectExtent l="0" t="0" r="0" b="0"/>
            <wp:docPr id="13" name="Picture 13" descr="C:\Users\vesma.abizare-vagre\AppData\Local\Microsoft\Windows\INetCache\Content.Outlook\DRAAL3TM\koledzas_14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sma.abizare-vagre\AppData\Local\Microsoft\Windows\INetCache\Content.Outlook\DRAAL3TM\koledzas_140616.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06685" cy="4314857"/>
                    </a:xfrm>
                    <a:prstGeom prst="rect">
                      <a:avLst/>
                    </a:prstGeom>
                    <a:noFill/>
                    <a:ln>
                      <a:noFill/>
                    </a:ln>
                  </pic:spPr>
                </pic:pic>
              </a:graphicData>
            </a:graphic>
          </wp:inline>
        </w:drawing>
      </w:r>
    </w:p>
    <w:p w14:paraId="2CC6A1E5" w14:textId="77777777" w:rsidR="00A030CD" w:rsidRDefault="00A030CD" w:rsidP="00D42476">
      <w:pPr>
        <w:autoSpaceDE w:val="0"/>
        <w:autoSpaceDN w:val="0"/>
        <w:adjustRightInd w:val="0"/>
        <w:ind w:right="113" w:firstLine="720"/>
        <w:rPr>
          <w:color w:val="FF0000"/>
          <w:szCs w:val="24"/>
        </w:rPr>
      </w:pPr>
    </w:p>
    <w:p w14:paraId="5B3DA8C7" w14:textId="77777777" w:rsidR="00A030CD" w:rsidRDefault="00A030CD" w:rsidP="00D42476">
      <w:pPr>
        <w:autoSpaceDE w:val="0"/>
        <w:autoSpaceDN w:val="0"/>
        <w:adjustRightInd w:val="0"/>
        <w:ind w:right="113" w:firstLine="720"/>
        <w:rPr>
          <w:color w:val="FF0000"/>
          <w:szCs w:val="24"/>
        </w:rPr>
      </w:pPr>
    </w:p>
    <w:p w14:paraId="6780CB48" w14:textId="77777777" w:rsidR="00A030CD" w:rsidRDefault="00A030CD" w:rsidP="00D42476">
      <w:pPr>
        <w:autoSpaceDE w:val="0"/>
        <w:autoSpaceDN w:val="0"/>
        <w:adjustRightInd w:val="0"/>
        <w:ind w:right="113" w:firstLine="720"/>
        <w:rPr>
          <w:color w:val="FF0000"/>
          <w:szCs w:val="24"/>
        </w:rPr>
      </w:pPr>
    </w:p>
    <w:p w14:paraId="53038610" w14:textId="77777777" w:rsidR="00A030CD" w:rsidRDefault="00A030CD" w:rsidP="00D42476">
      <w:pPr>
        <w:autoSpaceDE w:val="0"/>
        <w:autoSpaceDN w:val="0"/>
        <w:adjustRightInd w:val="0"/>
        <w:ind w:right="113" w:firstLine="720"/>
        <w:rPr>
          <w:color w:val="FF0000"/>
          <w:szCs w:val="24"/>
        </w:rPr>
      </w:pPr>
    </w:p>
    <w:p w14:paraId="493AE5C9" w14:textId="77777777" w:rsidR="00A030CD" w:rsidRDefault="00A030CD" w:rsidP="00D42476">
      <w:pPr>
        <w:autoSpaceDE w:val="0"/>
        <w:autoSpaceDN w:val="0"/>
        <w:adjustRightInd w:val="0"/>
        <w:ind w:right="113" w:firstLine="720"/>
        <w:rPr>
          <w:color w:val="FF0000"/>
          <w:szCs w:val="24"/>
        </w:rPr>
      </w:pPr>
    </w:p>
    <w:p w14:paraId="738E1EEB" w14:textId="77777777" w:rsidR="00D42476" w:rsidRPr="00B56107" w:rsidRDefault="00A84713" w:rsidP="00D42476">
      <w:pPr>
        <w:autoSpaceDE w:val="0"/>
        <w:autoSpaceDN w:val="0"/>
        <w:adjustRightInd w:val="0"/>
        <w:ind w:right="113" w:firstLine="720"/>
        <w:rPr>
          <w:szCs w:val="24"/>
        </w:rPr>
      </w:pPr>
      <w:r w:rsidRPr="00B56107">
        <w:rPr>
          <w:szCs w:val="24"/>
        </w:rPr>
        <w:t xml:space="preserve">STEM jomas programmas savās filiālēs īsteno 3 valsts augstskolas un 2 privātās augstskolas. </w:t>
      </w:r>
      <w:r w:rsidR="00D42476" w:rsidRPr="00B56107">
        <w:rPr>
          <w:szCs w:val="24"/>
        </w:rPr>
        <w:t xml:space="preserve">Detalizētāka informācija par </w:t>
      </w:r>
      <w:r w:rsidRPr="00B56107">
        <w:rPr>
          <w:szCs w:val="24"/>
        </w:rPr>
        <w:t>augstskolu</w:t>
      </w:r>
      <w:r w:rsidR="00D42476" w:rsidRPr="00B56107">
        <w:rPr>
          <w:szCs w:val="24"/>
        </w:rPr>
        <w:t xml:space="preserve"> filiālēs īstenotajām </w:t>
      </w:r>
      <w:r w:rsidRPr="00B56107">
        <w:rPr>
          <w:szCs w:val="24"/>
        </w:rPr>
        <w:t xml:space="preserve">STEM jomas </w:t>
      </w:r>
      <w:r w:rsidR="00D42476" w:rsidRPr="00B56107">
        <w:rPr>
          <w:szCs w:val="24"/>
        </w:rPr>
        <w:t>programmām un t</w:t>
      </w:r>
      <w:r w:rsidR="00DB4E13" w:rsidRPr="00B56107">
        <w:rPr>
          <w:szCs w:val="24"/>
        </w:rPr>
        <w:t xml:space="preserve">ajās studējošo skaitu apkopota </w:t>
      </w:r>
      <w:r w:rsidR="005B701C" w:rsidRPr="00B56107">
        <w:rPr>
          <w:szCs w:val="24"/>
        </w:rPr>
        <w:t>1.</w:t>
      </w:r>
      <w:r w:rsidR="002739DC">
        <w:rPr>
          <w:szCs w:val="24"/>
        </w:rPr>
        <w:t>3</w:t>
      </w:r>
      <w:r w:rsidR="00D42476" w:rsidRPr="00B56107">
        <w:rPr>
          <w:szCs w:val="24"/>
        </w:rPr>
        <w:t>.</w:t>
      </w:r>
      <w:r w:rsidR="005B701C" w:rsidRPr="00B56107">
        <w:rPr>
          <w:szCs w:val="24"/>
        </w:rPr>
        <w:t xml:space="preserve"> </w:t>
      </w:r>
      <w:r w:rsidR="00D42476" w:rsidRPr="00B56107">
        <w:rPr>
          <w:szCs w:val="24"/>
        </w:rPr>
        <w:t xml:space="preserve">tabulā. </w:t>
      </w:r>
    </w:p>
    <w:p w14:paraId="2E45017A" w14:textId="77777777" w:rsidR="00D42476" w:rsidRPr="006A03AC" w:rsidRDefault="00D42476" w:rsidP="00D42476">
      <w:pPr>
        <w:autoSpaceDE w:val="0"/>
        <w:autoSpaceDN w:val="0"/>
        <w:adjustRightInd w:val="0"/>
        <w:ind w:right="113"/>
        <w:jc w:val="right"/>
        <w:rPr>
          <w:szCs w:val="24"/>
        </w:rPr>
      </w:pPr>
      <w:r>
        <w:rPr>
          <w:szCs w:val="24"/>
        </w:rPr>
        <w:t>1.</w:t>
      </w:r>
      <w:r w:rsidR="00191DA2">
        <w:rPr>
          <w:szCs w:val="24"/>
        </w:rPr>
        <w:t>3</w:t>
      </w:r>
      <w:r>
        <w:rPr>
          <w:szCs w:val="24"/>
        </w:rPr>
        <w:t>.</w:t>
      </w:r>
      <w:r w:rsidRPr="006A03AC">
        <w:rPr>
          <w:szCs w:val="24"/>
        </w:rPr>
        <w:t xml:space="preserve"> tabula</w:t>
      </w:r>
    </w:p>
    <w:p w14:paraId="28567293" w14:textId="77777777" w:rsidR="00E30034" w:rsidRDefault="00704C64" w:rsidP="0013050C">
      <w:pPr>
        <w:jc w:val="center"/>
        <w:rPr>
          <w:b/>
          <w:noProof/>
          <w:szCs w:val="24"/>
          <w:lang w:eastAsia="lv-LV"/>
        </w:rPr>
      </w:pPr>
      <w:r>
        <w:rPr>
          <w:b/>
          <w:noProof/>
          <w:szCs w:val="24"/>
          <w:lang w:eastAsia="lv-LV"/>
        </w:rPr>
        <w:t>Augstskolu filiāles, kurās tiek īstenotas STEM jomas programmas</w:t>
      </w:r>
      <w:r w:rsidR="00E30034">
        <w:rPr>
          <w:b/>
          <w:noProof/>
          <w:szCs w:val="24"/>
          <w:lang w:eastAsia="lv-LV"/>
        </w:rPr>
        <w:t xml:space="preserve">, </w:t>
      </w:r>
    </w:p>
    <w:p w14:paraId="17762F4C" w14:textId="77777777" w:rsidR="00704C64" w:rsidRDefault="00E30034" w:rsidP="0013050C">
      <w:pPr>
        <w:jc w:val="center"/>
        <w:rPr>
          <w:b/>
          <w:noProof/>
          <w:szCs w:val="24"/>
          <w:lang w:eastAsia="lv-LV"/>
        </w:rPr>
      </w:pPr>
      <w:r w:rsidRPr="007A37DE">
        <w:rPr>
          <w:b/>
          <w:noProof/>
          <w:szCs w:val="24"/>
          <w:lang w:eastAsia="lv-LV"/>
        </w:rPr>
        <w:t>un tajās studējošo skaits 2015./2016.ak. gadā</w:t>
      </w:r>
    </w:p>
    <w:p w14:paraId="2C012B6F" w14:textId="77777777" w:rsidR="0013050C" w:rsidRDefault="0013050C" w:rsidP="00D42476">
      <w:pPr>
        <w:rPr>
          <w:b/>
          <w:noProof/>
          <w:szCs w:val="24"/>
          <w:lang w:eastAsia="lv-LV"/>
        </w:rPr>
      </w:pPr>
    </w:p>
    <w:tbl>
      <w:tblPr>
        <w:tblW w:w="88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29"/>
        <w:gridCol w:w="1320"/>
        <w:gridCol w:w="2591"/>
        <w:gridCol w:w="1077"/>
      </w:tblGrid>
      <w:tr w:rsidR="00FE6DA5" w:rsidRPr="006B7BAB" w14:paraId="7705872C" w14:textId="77777777" w:rsidTr="003E4176">
        <w:trPr>
          <w:trHeight w:val="300"/>
        </w:trPr>
        <w:tc>
          <w:tcPr>
            <w:tcW w:w="2268" w:type="dxa"/>
            <w:shd w:val="clear" w:color="auto" w:fill="auto"/>
            <w:noWrap/>
            <w:vAlign w:val="center"/>
            <w:hideMark/>
          </w:tcPr>
          <w:p w14:paraId="43EC1D56" w14:textId="77777777" w:rsidR="0013050C" w:rsidRPr="006B7BAB" w:rsidRDefault="0013050C" w:rsidP="00E30034">
            <w:pPr>
              <w:jc w:val="center"/>
              <w:rPr>
                <w:color w:val="000000"/>
                <w:sz w:val="22"/>
                <w:lang w:eastAsia="lv-LV"/>
              </w:rPr>
            </w:pPr>
            <w:r w:rsidRPr="006B7BAB">
              <w:rPr>
                <w:color w:val="000000"/>
                <w:sz w:val="22"/>
                <w:lang w:eastAsia="lv-LV"/>
              </w:rPr>
              <w:t>Augstskola</w:t>
            </w:r>
          </w:p>
        </w:tc>
        <w:tc>
          <w:tcPr>
            <w:tcW w:w="1843" w:type="dxa"/>
            <w:shd w:val="clear" w:color="auto" w:fill="auto"/>
            <w:noWrap/>
            <w:vAlign w:val="center"/>
            <w:hideMark/>
          </w:tcPr>
          <w:p w14:paraId="542E482E" w14:textId="77777777" w:rsidR="0013050C" w:rsidRPr="006B7BAB" w:rsidRDefault="0013050C" w:rsidP="00E30034">
            <w:pPr>
              <w:jc w:val="center"/>
              <w:rPr>
                <w:color w:val="000000"/>
                <w:sz w:val="22"/>
                <w:lang w:eastAsia="lv-LV"/>
              </w:rPr>
            </w:pPr>
            <w:r w:rsidRPr="006B7BAB">
              <w:rPr>
                <w:color w:val="000000"/>
                <w:sz w:val="22"/>
                <w:lang w:eastAsia="lv-LV"/>
              </w:rPr>
              <w:t>Filiāle</w:t>
            </w:r>
            <w:r>
              <w:rPr>
                <w:color w:val="000000"/>
                <w:sz w:val="22"/>
                <w:lang w:eastAsia="lv-LV"/>
              </w:rPr>
              <w:t>s atrašanās vieta</w:t>
            </w:r>
          </w:p>
        </w:tc>
        <w:tc>
          <w:tcPr>
            <w:tcW w:w="1329" w:type="dxa"/>
            <w:shd w:val="clear" w:color="auto" w:fill="auto"/>
            <w:noWrap/>
            <w:vAlign w:val="center"/>
            <w:hideMark/>
          </w:tcPr>
          <w:p w14:paraId="0E93E1AF" w14:textId="77777777" w:rsidR="0013050C" w:rsidRPr="006B7BAB" w:rsidRDefault="0013050C" w:rsidP="00E30034">
            <w:pPr>
              <w:jc w:val="center"/>
              <w:rPr>
                <w:color w:val="000000"/>
                <w:sz w:val="22"/>
                <w:lang w:eastAsia="lv-LV"/>
              </w:rPr>
            </w:pPr>
            <w:r w:rsidRPr="006B7BAB">
              <w:rPr>
                <w:color w:val="000000"/>
                <w:sz w:val="22"/>
                <w:lang w:eastAsia="lv-LV"/>
              </w:rPr>
              <w:t>Programmas kods</w:t>
            </w:r>
          </w:p>
        </w:tc>
        <w:tc>
          <w:tcPr>
            <w:tcW w:w="2611" w:type="dxa"/>
            <w:shd w:val="clear" w:color="auto" w:fill="auto"/>
            <w:vAlign w:val="center"/>
            <w:hideMark/>
          </w:tcPr>
          <w:p w14:paraId="5A45A94D" w14:textId="77777777" w:rsidR="0013050C" w:rsidRPr="006B7BAB" w:rsidRDefault="0013050C" w:rsidP="00E30034">
            <w:pPr>
              <w:jc w:val="center"/>
              <w:rPr>
                <w:color w:val="000000"/>
                <w:sz w:val="22"/>
                <w:lang w:eastAsia="lv-LV"/>
              </w:rPr>
            </w:pPr>
            <w:r w:rsidRPr="006B7BAB">
              <w:rPr>
                <w:color w:val="000000"/>
                <w:sz w:val="22"/>
                <w:lang w:eastAsia="lv-LV"/>
              </w:rPr>
              <w:t>Programmas nosaukums</w:t>
            </w:r>
          </w:p>
        </w:tc>
        <w:tc>
          <w:tcPr>
            <w:tcW w:w="788" w:type="dxa"/>
            <w:shd w:val="clear" w:color="auto" w:fill="auto"/>
            <w:noWrap/>
            <w:vAlign w:val="center"/>
            <w:hideMark/>
          </w:tcPr>
          <w:p w14:paraId="3D7CC7B0" w14:textId="77777777" w:rsidR="0013050C" w:rsidRPr="006B7BAB" w:rsidRDefault="0013050C" w:rsidP="00E30034">
            <w:pPr>
              <w:jc w:val="center"/>
              <w:rPr>
                <w:color w:val="000000"/>
                <w:sz w:val="22"/>
                <w:lang w:eastAsia="lv-LV"/>
              </w:rPr>
            </w:pPr>
            <w:r w:rsidRPr="006B7BAB">
              <w:rPr>
                <w:color w:val="000000"/>
                <w:sz w:val="22"/>
                <w:lang w:eastAsia="lv-LV"/>
              </w:rPr>
              <w:t>Studējošo skaits</w:t>
            </w:r>
            <w:r w:rsidR="00016798">
              <w:rPr>
                <w:color w:val="000000"/>
                <w:sz w:val="22"/>
                <w:lang w:eastAsia="lv-LV"/>
              </w:rPr>
              <w:t>*</w:t>
            </w:r>
          </w:p>
        </w:tc>
      </w:tr>
      <w:tr w:rsidR="0013050C" w:rsidRPr="006B7BAB" w14:paraId="3483474A" w14:textId="77777777" w:rsidTr="003E4176">
        <w:trPr>
          <w:trHeight w:val="300"/>
        </w:trPr>
        <w:tc>
          <w:tcPr>
            <w:tcW w:w="2268" w:type="dxa"/>
            <w:vMerge w:val="restart"/>
            <w:shd w:val="clear" w:color="auto" w:fill="auto"/>
            <w:noWrap/>
            <w:vAlign w:val="center"/>
            <w:hideMark/>
          </w:tcPr>
          <w:p w14:paraId="2A1F93D4" w14:textId="77777777" w:rsidR="0013050C" w:rsidRPr="006B7BAB" w:rsidRDefault="0013050C" w:rsidP="0013050C">
            <w:pPr>
              <w:jc w:val="center"/>
              <w:rPr>
                <w:color w:val="000000"/>
                <w:sz w:val="22"/>
                <w:lang w:eastAsia="lv-LV"/>
              </w:rPr>
            </w:pPr>
            <w:r w:rsidRPr="006B7BAB">
              <w:rPr>
                <w:color w:val="000000"/>
                <w:sz w:val="22"/>
                <w:lang w:eastAsia="lv-LV"/>
              </w:rPr>
              <w:t>Rīgas Stradiņa universitāte</w:t>
            </w:r>
          </w:p>
          <w:p w14:paraId="1876F4C6" w14:textId="77777777" w:rsidR="0013050C" w:rsidRPr="006B7BAB" w:rsidRDefault="0013050C" w:rsidP="0013050C">
            <w:pPr>
              <w:jc w:val="center"/>
              <w:rPr>
                <w:color w:val="000000"/>
                <w:sz w:val="22"/>
                <w:lang w:eastAsia="lv-LV"/>
              </w:rPr>
            </w:pPr>
          </w:p>
        </w:tc>
        <w:tc>
          <w:tcPr>
            <w:tcW w:w="1843" w:type="dxa"/>
            <w:vMerge w:val="restart"/>
            <w:shd w:val="clear" w:color="auto" w:fill="auto"/>
            <w:noWrap/>
            <w:vAlign w:val="center"/>
            <w:hideMark/>
          </w:tcPr>
          <w:p w14:paraId="269911B8" w14:textId="77777777" w:rsidR="0013050C" w:rsidRPr="006B7BAB" w:rsidRDefault="0013050C" w:rsidP="0013050C">
            <w:pPr>
              <w:jc w:val="center"/>
              <w:rPr>
                <w:color w:val="000000"/>
                <w:sz w:val="22"/>
                <w:lang w:eastAsia="lv-LV"/>
              </w:rPr>
            </w:pPr>
            <w:r>
              <w:rPr>
                <w:color w:val="000000"/>
                <w:sz w:val="22"/>
                <w:lang w:eastAsia="lv-LV"/>
              </w:rPr>
              <w:t>Liepāja</w:t>
            </w:r>
          </w:p>
          <w:p w14:paraId="594985C0" w14:textId="77777777" w:rsidR="0013050C" w:rsidRPr="006B7BAB" w:rsidRDefault="0013050C" w:rsidP="0013050C">
            <w:pPr>
              <w:jc w:val="center"/>
              <w:rPr>
                <w:color w:val="000000"/>
                <w:sz w:val="22"/>
                <w:lang w:eastAsia="lv-LV"/>
              </w:rPr>
            </w:pPr>
          </w:p>
        </w:tc>
        <w:tc>
          <w:tcPr>
            <w:tcW w:w="1329" w:type="dxa"/>
            <w:shd w:val="clear" w:color="auto" w:fill="auto"/>
            <w:noWrap/>
            <w:vAlign w:val="center"/>
            <w:hideMark/>
          </w:tcPr>
          <w:p w14:paraId="749D02A5" w14:textId="77777777" w:rsidR="0013050C" w:rsidRPr="006B7BAB" w:rsidRDefault="0013050C" w:rsidP="00E30034">
            <w:pPr>
              <w:jc w:val="center"/>
              <w:rPr>
                <w:color w:val="000000"/>
                <w:sz w:val="22"/>
                <w:lang w:eastAsia="lv-LV"/>
              </w:rPr>
            </w:pPr>
            <w:r w:rsidRPr="006B7BAB">
              <w:rPr>
                <w:color w:val="000000"/>
                <w:sz w:val="22"/>
                <w:lang w:eastAsia="lv-LV"/>
              </w:rPr>
              <w:t>42723</w:t>
            </w:r>
          </w:p>
        </w:tc>
        <w:tc>
          <w:tcPr>
            <w:tcW w:w="2611" w:type="dxa"/>
            <w:shd w:val="clear" w:color="auto" w:fill="auto"/>
            <w:vAlign w:val="center"/>
            <w:hideMark/>
          </w:tcPr>
          <w:p w14:paraId="467B635C" w14:textId="77777777" w:rsidR="0013050C" w:rsidRPr="006B7BAB" w:rsidRDefault="0013050C" w:rsidP="00E30034">
            <w:pPr>
              <w:jc w:val="left"/>
              <w:rPr>
                <w:color w:val="000000"/>
                <w:sz w:val="22"/>
                <w:lang w:eastAsia="lv-LV"/>
              </w:rPr>
            </w:pPr>
            <w:proofErr w:type="spellStart"/>
            <w:r w:rsidRPr="006B7BAB">
              <w:rPr>
                <w:color w:val="000000"/>
                <w:sz w:val="22"/>
                <w:lang w:eastAsia="lv-LV"/>
              </w:rPr>
              <w:t>Māszinības</w:t>
            </w:r>
            <w:proofErr w:type="spellEnd"/>
            <w:r w:rsidRPr="006B7BAB">
              <w:rPr>
                <w:color w:val="000000"/>
                <w:sz w:val="22"/>
                <w:lang w:eastAsia="lv-LV"/>
              </w:rPr>
              <w:t xml:space="preserve"> </w:t>
            </w:r>
            <w:r>
              <w:rPr>
                <w:color w:val="000000"/>
                <w:sz w:val="22"/>
                <w:lang w:eastAsia="lv-LV"/>
              </w:rPr>
              <w:t>(</w:t>
            </w:r>
            <w:r w:rsidRPr="006B7BAB">
              <w:rPr>
                <w:color w:val="000000"/>
                <w:sz w:val="22"/>
                <w:lang w:eastAsia="lv-LV"/>
              </w:rPr>
              <w:t>bakalaurs</w:t>
            </w:r>
            <w:r>
              <w:rPr>
                <w:color w:val="000000"/>
                <w:sz w:val="22"/>
                <w:lang w:eastAsia="lv-LV"/>
              </w:rPr>
              <w:t>)</w:t>
            </w:r>
          </w:p>
        </w:tc>
        <w:tc>
          <w:tcPr>
            <w:tcW w:w="788" w:type="dxa"/>
            <w:shd w:val="clear" w:color="auto" w:fill="auto"/>
            <w:noWrap/>
            <w:vAlign w:val="center"/>
            <w:hideMark/>
          </w:tcPr>
          <w:p w14:paraId="069F9E29" w14:textId="77777777" w:rsidR="0013050C" w:rsidRPr="006B7BAB" w:rsidRDefault="0013050C" w:rsidP="00E30034">
            <w:pPr>
              <w:jc w:val="center"/>
              <w:rPr>
                <w:color w:val="000000"/>
                <w:sz w:val="22"/>
                <w:lang w:eastAsia="lv-LV"/>
              </w:rPr>
            </w:pPr>
            <w:r w:rsidRPr="006B7BAB">
              <w:rPr>
                <w:color w:val="000000"/>
                <w:sz w:val="22"/>
                <w:lang w:eastAsia="lv-LV"/>
              </w:rPr>
              <w:t>103</w:t>
            </w:r>
          </w:p>
        </w:tc>
      </w:tr>
      <w:tr w:rsidR="0013050C" w:rsidRPr="006B7BAB" w14:paraId="4151A1E7" w14:textId="77777777" w:rsidTr="003E4176">
        <w:trPr>
          <w:trHeight w:val="300"/>
        </w:trPr>
        <w:tc>
          <w:tcPr>
            <w:tcW w:w="2268" w:type="dxa"/>
            <w:vMerge/>
            <w:shd w:val="clear" w:color="auto" w:fill="auto"/>
            <w:noWrap/>
            <w:vAlign w:val="bottom"/>
            <w:hideMark/>
          </w:tcPr>
          <w:p w14:paraId="2B52A4CC"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1C88E174"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4A3DF396" w14:textId="77777777" w:rsidR="0013050C" w:rsidRPr="006B7BAB" w:rsidRDefault="0013050C" w:rsidP="00E30034">
            <w:pPr>
              <w:jc w:val="center"/>
              <w:rPr>
                <w:color w:val="000000"/>
                <w:sz w:val="22"/>
                <w:lang w:eastAsia="lv-LV"/>
              </w:rPr>
            </w:pPr>
            <w:r w:rsidRPr="006B7BAB">
              <w:rPr>
                <w:color w:val="000000"/>
                <w:sz w:val="22"/>
                <w:lang w:eastAsia="lv-LV"/>
              </w:rPr>
              <w:t>41723</w:t>
            </w:r>
          </w:p>
        </w:tc>
        <w:tc>
          <w:tcPr>
            <w:tcW w:w="2611" w:type="dxa"/>
            <w:shd w:val="clear" w:color="auto" w:fill="auto"/>
            <w:vAlign w:val="center"/>
            <w:hideMark/>
          </w:tcPr>
          <w:p w14:paraId="45B6902B" w14:textId="77777777" w:rsidR="0013050C" w:rsidRPr="006B7BAB" w:rsidRDefault="0013050C" w:rsidP="00E30034">
            <w:pPr>
              <w:jc w:val="left"/>
              <w:rPr>
                <w:color w:val="000000"/>
                <w:sz w:val="22"/>
                <w:lang w:eastAsia="lv-LV"/>
              </w:rPr>
            </w:pPr>
            <w:proofErr w:type="spellStart"/>
            <w:r w:rsidRPr="006B7BAB">
              <w:rPr>
                <w:color w:val="000000"/>
                <w:sz w:val="22"/>
                <w:lang w:eastAsia="lv-LV"/>
              </w:rPr>
              <w:t>Māszinības</w:t>
            </w:r>
            <w:proofErr w:type="spellEnd"/>
            <w:r w:rsidRPr="006B7BAB">
              <w:rPr>
                <w:color w:val="000000"/>
                <w:sz w:val="22"/>
                <w:lang w:eastAsia="lv-LV"/>
              </w:rPr>
              <w:t xml:space="preserve">  </w:t>
            </w:r>
          </w:p>
        </w:tc>
        <w:tc>
          <w:tcPr>
            <w:tcW w:w="788" w:type="dxa"/>
            <w:shd w:val="clear" w:color="auto" w:fill="auto"/>
            <w:noWrap/>
            <w:vAlign w:val="center"/>
            <w:hideMark/>
          </w:tcPr>
          <w:p w14:paraId="07C590D3" w14:textId="77777777" w:rsidR="0013050C" w:rsidRPr="006B7BAB" w:rsidRDefault="0013050C" w:rsidP="00E30034">
            <w:pPr>
              <w:jc w:val="center"/>
              <w:rPr>
                <w:color w:val="000000"/>
                <w:sz w:val="22"/>
                <w:lang w:eastAsia="lv-LV"/>
              </w:rPr>
            </w:pPr>
            <w:r w:rsidRPr="006B7BAB">
              <w:rPr>
                <w:color w:val="000000"/>
                <w:sz w:val="22"/>
                <w:lang w:eastAsia="lv-LV"/>
              </w:rPr>
              <w:t>13</w:t>
            </w:r>
          </w:p>
        </w:tc>
      </w:tr>
      <w:tr w:rsidR="0013050C" w:rsidRPr="006B7BAB" w14:paraId="7D060D68" w14:textId="77777777" w:rsidTr="003E4176">
        <w:trPr>
          <w:trHeight w:val="300"/>
        </w:trPr>
        <w:tc>
          <w:tcPr>
            <w:tcW w:w="2268" w:type="dxa"/>
            <w:vMerge/>
            <w:shd w:val="clear" w:color="auto" w:fill="auto"/>
            <w:noWrap/>
            <w:vAlign w:val="bottom"/>
            <w:hideMark/>
          </w:tcPr>
          <w:p w14:paraId="73BCFE0C"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346AF81D"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06BD3DCA" w14:textId="77777777" w:rsidR="0013050C" w:rsidRPr="006B7BAB" w:rsidRDefault="0013050C" w:rsidP="00E30034">
            <w:pPr>
              <w:jc w:val="center"/>
              <w:rPr>
                <w:color w:val="000000"/>
                <w:sz w:val="22"/>
                <w:lang w:eastAsia="lv-LV"/>
              </w:rPr>
            </w:pPr>
            <w:r w:rsidRPr="006B7BAB">
              <w:rPr>
                <w:color w:val="000000"/>
                <w:sz w:val="22"/>
                <w:lang w:eastAsia="lv-LV"/>
              </w:rPr>
              <w:t>42723</w:t>
            </w:r>
          </w:p>
        </w:tc>
        <w:tc>
          <w:tcPr>
            <w:tcW w:w="2611" w:type="dxa"/>
            <w:shd w:val="clear" w:color="auto" w:fill="auto"/>
            <w:vAlign w:val="center"/>
            <w:hideMark/>
          </w:tcPr>
          <w:p w14:paraId="24F82C47" w14:textId="77777777" w:rsidR="0013050C" w:rsidRPr="006B7BAB" w:rsidRDefault="0013050C" w:rsidP="00E30034">
            <w:pPr>
              <w:jc w:val="left"/>
              <w:rPr>
                <w:color w:val="000000"/>
                <w:sz w:val="22"/>
                <w:lang w:eastAsia="lv-LV"/>
              </w:rPr>
            </w:pPr>
            <w:r w:rsidRPr="006B7BAB">
              <w:rPr>
                <w:color w:val="000000"/>
                <w:sz w:val="22"/>
                <w:lang w:eastAsia="lv-LV"/>
              </w:rPr>
              <w:t>Vecmāte</w:t>
            </w:r>
          </w:p>
        </w:tc>
        <w:tc>
          <w:tcPr>
            <w:tcW w:w="788" w:type="dxa"/>
            <w:shd w:val="clear" w:color="auto" w:fill="auto"/>
            <w:noWrap/>
            <w:vAlign w:val="center"/>
            <w:hideMark/>
          </w:tcPr>
          <w:p w14:paraId="5FC7549E" w14:textId="77777777" w:rsidR="0013050C" w:rsidRPr="006B7BAB" w:rsidRDefault="0013050C" w:rsidP="00E30034">
            <w:pPr>
              <w:jc w:val="center"/>
              <w:rPr>
                <w:color w:val="000000"/>
                <w:sz w:val="22"/>
                <w:lang w:eastAsia="lv-LV"/>
              </w:rPr>
            </w:pPr>
            <w:r w:rsidRPr="006B7BAB">
              <w:rPr>
                <w:color w:val="000000"/>
                <w:sz w:val="22"/>
                <w:lang w:eastAsia="lv-LV"/>
              </w:rPr>
              <w:t>5</w:t>
            </w:r>
          </w:p>
        </w:tc>
      </w:tr>
      <w:tr w:rsidR="0013050C" w:rsidRPr="006B7BAB" w14:paraId="38895CFF" w14:textId="77777777" w:rsidTr="003E4176">
        <w:trPr>
          <w:trHeight w:val="300"/>
        </w:trPr>
        <w:tc>
          <w:tcPr>
            <w:tcW w:w="2268" w:type="dxa"/>
            <w:vMerge/>
            <w:shd w:val="clear" w:color="auto" w:fill="auto"/>
            <w:noWrap/>
            <w:vAlign w:val="bottom"/>
            <w:hideMark/>
          </w:tcPr>
          <w:p w14:paraId="6C3D5114"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075C67AD"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7F02119D" w14:textId="77777777" w:rsidR="0013050C" w:rsidRPr="006B7BAB" w:rsidRDefault="0013050C" w:rsidP="00E30034">
            <w:pPr>
              <w:jc w:val="center"/>
              <w:rPr>
                <w:color w:val="000000"/>
                <w:sz w:val="22"/>
                <w:lang w:eastAsia="lv-LV"/>
              </w:rPr>
            </w:pPr>
            <w:r w:rsidRPr="006B7BAB">
              <w:rPr>
                <w:color w:val="000000"/>
                <w:sz w:val="22"/>
                <w:lang w:eastAsia="lv-LV"/>
              </w:rPr>
              <w:t>41721</w:t>
            </w:r>
          </w:p>
        </w:tc>
        <w:tc>
          <w:tcPr>
            <w:tcW w:w="2611" w:type="dxa"/>
            <w:shd w:val="clear" w:color="auto" w:fill="auto"/>
            <w:vAlign w:val="center"/>
            <w:hideMark/>
          </w:tcPr>
          <w:p w14:paraId="0D6AB5F7" w14:textId="77777777" w:rsidR="0013050C" w:rsidRPr="006B7BAB" w:rsidRDefault="0013050C" w:rsidP="00E30034">
            <w:pPr>
              <w:jc w:val="left"/>
              <w:rPr>
                <w:color w:val="000000"/>
                <w:sz w:val="22"/>
                <w:lang w:eastAsia="lv-LV"/>
              </w:rPr>
            </w:pPr>
            <w:r w:rsidRPr="006B7BAB">
              <w:rPr>
                <w:color w:val="000000"/>
                <w:sz w:val="22"/>
                <w:lang w:eastAsia="lv-LV"/>
              </w:rPr>
              <w:t>Ārsta palīgs</w:t>
            </w:r>
          </w:p>
        </w:tc>
        <w:tc>
          <w:tcPr>
            <w:tcW w:w="788" w:type="dxa"/>
            <w:shd w:val="clear" w:color="auto" w:fill="auto"/>
            <w:noWrap/>
            <w:vAlign w:val="center"/>
            <w:hideMark/>
          </w:tcPr>
          <w:p w14:paraId="51D37702" w14:textId="77777777" w:rsidR="0013050C" w:rsidRPr="006B7BAB" w:rsidRDefault="0013050C" w:rsidP="00E30034">
            <w:pPr>
              <w:jc w:val="center"/>
              <w:rPr>
                <w:color w:val="000000"/>
                <w:sz w:val="22"/>
                <w:lang w:eastAsia="lv-LV"/>
              </w:rPr>
            </w:pPr>
            <w:r w:rsidRPr="006B7BAB">
              <w:rPr>
                <w:color w:val="000000"/>
                <w:sz w:val="22"/>
                <w:lang w:eastAsia="lv-LV"/>
              </w:rPr>
              <w:t>52</w:t>
            </w:r>
          </w:p>
        </w:tc>
      </w:tr>
      <w:tr w:rsidR="0013050C" w:rsidRPr="006B7BAB" w14:paraId="3B0E7D27" w14:textId="77777777" w:rsidTr="003E4176">
        <w:trPr>
          <w:trHeight w:val="300"/>
        </w:trPr>
        <w:tc>
          <w:tcPr>
            <w:tcW w:w="2268" w:type="dxa"/>
            <w:vMerge/>
            <w:shd w:val="clear" w:color="auto" w:fill="auto"/>
            <w:noWrap/>
            <w:vAlign w:val="bottom"/>
            <w:hideMark/>
          </w:tcPr>
          <w:p w14:paraId="08C1713D"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0021F965"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32694F11" w14:textId="77777777" w:rsidR="0013050C" w:rsidRPr="006B7BAB" w:rsidRDefault="0013050C" w:rsidP="00E30034">
            <w:pPr>
              <w:jc w:val="center"/>
              <w:rPr>
                <w:color w:val="000000"/>
                <w:sz w:val="22"/>
                <w:lang w:eastAsia="lv-LV"/>
              </w:rPr>
            </w:pPr>
            <w:r w:rsidRPr="006B7BAB">
              <w:rPr>
                <w:color w:val="000000"/>
                <w:sz w:val="22"/>
                <w:lang w:eastAsia="lv-LV"/>
              </w:rPr>
              <w:t>41722</w:t>
            </w:r>
          </w:p>
        </w:tc>
        <w:tc>
          <w:tcPr>
            <w:tcW w:w="2611" w:type="dxa"/>
            <w:shd w:val="clear" w:color="auto" w:fill="auto"/>
            <w:vAlign w:val="center"/>
            <w:hideMark/>
          </w:tcPr>
          <w:p w14:paraId="0D0AFB93" w14:textId="77777777" w:rsidR="0013050C" w:rsidRPr="006B7BAB" w:rsidRDefault="0013050C" w:rsidP="00E30034">
            <w:pPr>
              <w:jc w:val="left"/>
              <w:rPr>
                <w:color w:val="000000"/>
                <w:sz w:val="22"/>
                <w:lang w:eastAsia="lv-LV"/>
              </w:rPr>
            </w:pPr>
            <w:r w:rsidRPr="006B7BAB">
              <w:rPr>
                <w:color w:val="000000"/>
                <w:sz w:val="22"/>
                <w:lang w:eastAsia="lv-LV"/>
              </w:rPr>
              <w:t>Ārstnieciskā masāža</w:t>
            </w:r>
          </w:p>
        </w:tc>
        <w:tc>
          <w:tcPr>
            <w:tcW w:w="788" w:type="dxa"/>
            <w:shd w:val="clear" w:color="auto" w:fill="auto"/>
            <w:noWrap/>
            <w:vAlign w:val="center"/>
            <w:hideMark/>
          </w:tcPr>
          <w:p w14:paraId="7961E155" w14:textId="77777777" w:rsidR="0013050C" w:rsidRPr="006B7BAB" w:rsidRDefault="0013050C" w:rsidP="00E30034">
            <w:pPr>
              <w:jc w:val="center"/>
              <w:rPr>
                <w:color w:val="000000"/>
                <w:sz w:val="22"/>
                <w:lang w:eastAsia="lv-LV"/>
              </w:rPr>
            </w:pPr>
            <w:r w:rsidRPr="006B7BAB">
              <w:rPr>
                <w:color w:val="000000"/>
                <w:sz w:val="22"/>
                <w:lang w:eastAsia="lv-LV"/>
              </w:rPr>
              <w:t>19</w:t>
            </w:r>
          </w:p>
        </w:tc>
      </w:tr>
      <w:tr w:rsidR="00FE6DA5" w:rsidRPr="006B7BAB" w14:paraId="6F5DDE52" w14:textId="77777777" w:rsidTr="003E4176">
        <w:trPr>
          <w:trHeight w:val="389"/>
        </w:trPr>
        <w:tc>
          <w:tcPr>
            <w:tcW w:w="8051" w:type="dxa"/>
            <w:gridSpan w:val="4"/>
            <w:shd w:val="clear" w:color="auto" w:fill="D9D9D9" w:themeFill="background1" w:themeFillShade="D9"/>
            <w:noWrap/>
            <w:vAlign w:val="center"/>
          </w:tcPr>
          <w:p w14:paraId="35E42400" w14:textId="77777777" w:rsidR="00FE6DA5" w:rsidRPr="00FE6DA5" w:rsidRDefault="00FE6DA5" w:rsidP="00E30034">
            <w:pPr>
              <w:jc w:val="right"/>
              <w:rPr>
                <w:b/>
                <w:color w:val="000000"/>
                <w:sz w:val="22"/>
                <w:lang w:eastAsia="lv-LV"/>
              </w:rPr>
            </w:pPr>
            <w:r w:rsidRPr="00FE6DA5">
              <w:rPr>
                <w:b/>
                <w:color w:val="000000"/>
                <w:sz w:val="22"/>
                <w:lang w:eastAsia="lv-LV"/>
              </w:rPr>
              <w:t>Kopā</w:t>
            </w:r>
            <w:r w:rsidR="00E30034">
              <w:rPr>
                <w:b/>
                <w:color w:val="000000"/>
                <w:sz w:val="22"/>
                <w:lang w:eastAsia="lv-LV"/>
              </w:rPr>
              <w:t xml:space="preserve"> RSU</w:t>
            </w:r>
          </w:p>
        </w:tc>
        <w:tc>
          <w:tcPr>
            <w:tcW w:w="788" w:type="dxa"/>
            <w:shd w:val="clear" w:color="auto" w:fill="D9D9D9" w:themeFill="background1" w:themeFillShade="D9"/>
            <w:noWrap/>
            <w:vAlign w:val="center"/>
          </w:tcPr>
          <w:p w14:paraId="0C45DDE2" w14:textId="77777777" w:rsidR="00FE6DA5" w:rsidRPr="00FE6DA5" w:rsidRDefault="00016798" w:rsidP="00E30034">
            <w:pPr>
              <w:jc w:val="center"/>
              <w:rPr>
                <w:b/>
                <w:color w:val="000000"/>
                <w:sz w:val="22"/>
                <w:lang w:eastAsia="lv-LV"/>
              </w:rPr>
            </w:pPr>
            <w:r>
              <w:rPr>
                <w:b/>
                <w:color w:val="000000"/>
                <w:sz w:val="22"/>
                <w:lang w:eastAsia="lv-LV"/>
              </w:rPr>
              <w:t>192</w:t>
            </w:r>
          </w:p>
        </w:tc>
      </w:tr>
      <w:tr w:rsidR="0013050C" w:rsidRPr="006B7BAB" w14:paraId="1C7D404E" w14:textId="77777777" w:rsidTr="003E4176">
        <w:trPr>
          <w:trHeight w:val="300"/>
        </w:trPr>
        <w:tc>
          <w:tcPr>
            <w:tcW w:w="2268" w:type="dxa"/>
            <w:vMerge w:val="restart"/>
            <w:shd w:val="clear" w:color="auto" w:fill="auto"/>
            <w:noWrap/>
            <w:vAlign w:val="center"/>
            <w:hideMark/>
          </w:tcPr>
          <w:p w14:paraId="7F26EAF8" w14:textId="77777777" w:rsidR="0013050C" w:rsidRPr="006B7BAB" w:rsidRDefault="0013050C" w:rsidP="0013050C">
            <w:pPr>
              <w:jc w:val="center"/>
              <w:rPr>
                <w:color w:val="000000"/>
                <w:sz w:val="22"/>
                <w:lang w:eastAsia="lv-LV"/>
              </w:rPr>
            </w:pPr>
            <w:r w:rsidRPr="006B7BAB">
              <w:rPr>
                <w:color w:val="000000"/>
                <w:sz w:val="22"/>
                <w:lang w:eastAsia="lv-LV"/>
              </w:rPr>
              <w:t>Rīgas Tehniskā universitāte</w:t>
            </w:r>
          </w:p>
          <w:p w14:paraId="13111D9D" w14:textId="77777777" w:rsidR="0013050C" w:rsidRPr="006B7BAB" w:rsidRDefault="0013050C" w:rsidP="0013050C">
            <w:pPr>
              <w:jc w:val="center"/>
              <w:rPr>
                <w:color w:val="000000"/>
                <w:sz w:val="22"/>
                <w:lang w:eastAsia="lv-LV"/>
              </w:rPr>
            </w:pPr>
          </w:p>
        </w:tc>
        <w:tc>
          <w:tcPr>
            <w:tcW w:w="1843" w:type="dxa"/>
            <w:vMerge w:val="restart"/>
            <w:shd w:val="clear" w:color="auto" w:fill="auto"/>
            <w:noWrap/>
            <w:vAlign w:val="center"/>
            <w:hideMark/>
          </w:tcPr>
          <w:p w14:paraId="12A9CAB5" w14:textId="77777777" w:rsidR="0013050C" w:rsidRPr="006B7BAB" w:rsidRDefault="0013050C" w:rsidP="0013050C">
            <w:pPr>
              <w:jc w:val="center"/>
              <w:rPr>
                <w:color w:val="000000"/>
                <w:sz w:val="22"/>
                <w:lang w:eastAsia="lv-LV"/>
              </w:rPr>
            </w:pPr>
            <w:r>
              <w:rPr>
                <w:color w:val="000000"/>
                <w:sz w:val="22"/>
                <w:lang w:eastAsia="lv-LV"/>
              </w:rPr>
              <w:t>Liepāja</w:t>
            </w:r>
          </w:p>
          <w:p w14:paraId="16D23DD9" w14:textId="77777777" w:rsidR="0013050C" w:rsidRPr="006B7BAB" w:rsidRDefault="0013050C" w:rsidP="0013050C">
            <w:pPr>
              <w:jc w:val="center"/>
              <w:rPr>
                <w:color w:val="000000"/>
                <w:sz w:val="22"/>
                <w:lang w:eastAsia="lv-LV"/>
              </w:rPr>
            </w:pPr>
          </w:p>
        </w:tc>
        <w:tc>
          <w:tcPr>
            <w:tcW w:w="1329" w:type="dxa"/>
            <w:shd w:val="clear" w:color="auto" w:fill="auto"/>
            <w:noWrap/>
            <w:vAlign w:val="center"/>
            <w:hideMark/>
          </w:tcPr>
          <w:p w14:paraId="1A9B7B3C" w14:textId="77777777" w:rsidR="0013050C" w:rsidRPr="006B7BAB" w:rsidRDefault="0013050C" w:rsidP="00E30034">
            <w:pPr>
              <w:jc w:val="center"/>
              <w:rPr>
                <w:color w:val="000000"/>
                <w:sz w:val="22"/>
                <w:lang w:eastAsia="lv-LV"/>
              </w:rPr>
            </w:pPr>
            <w:r w:rsidRPr="006B7BAB">
              <w:rPr>
                <w:color w:val="000000"/>
                <w:sz w:val="22"/>
                <w:lang w:eastAsia="lv-LV"/>
              </w:rPr>
              <w:t>41582</w:t>
            </w:r>
          </w:p>
        </w:tc>
        <w:tc>
          <w:tcPr>
            <w:tcW w:w="2611" w:type="dxa"/>
            <w:shd w:val="clear" w:color="auto" w:fill="auto"/>
            <w:vAlign w:val="center"/>
            <w:hideMark/>
          </w:tcPr>
          <w:p w14:paraId="59D378A0" w14:textId="77777777" w:rsidR="0013050C" w:rsidRPr="006B7BAB" w:rsidRDefault="0013050C" w:rsidP="00E30034">
            <w:pPr>
              <w:jc w:val="left"/>
              <w:rPr>
                <w:color w:val="000000"/>
                <w:sz w:val="22"/>
                <w:lang w:eastAsia="lv-LV"/>
              </w:rPr>
            </w:pPr>
            <w:r w:rsidRPr="006B7BAB">
              <w:rPr>
                <w:color w:val="000000"/>
                <w:sz w:val="22"/>
                <w:lang w:eastAsia="lv-LV"/>
              </w:rPr>
              <w:t xml:space="preserve">Būvdarbu vadīšana </w:t>
            </w:r>
          </w:p>
        </w:tc>
        <w:tc>
          <w:tcPr>
            <w:tcW w:w="788" w:type="dxa"/>
            <w:shd w:val="clear" w:color="auto" w:fill="auto"/>
            <w:noWrap/>
            <w:vAlign w:val="center"/>
            <w:hideMark/>
          </w:tcPr>
          <w:p w14:paraId="20C76513" w14:textId="77777777" w:rsidR="0013050C" w:rsidRPr="006B7BAB" w:rsidRDefault="0013050C" w:rsidP="00E30034">
            <w:pPr>
              <w:jc w:val="center"/>
              <w:rPr>
                <w:color w:val="000000"/>
                <w:sz w:val="22"/>
                <w:lang w:eastAsia="lv-LV"/>
              </w:rPr>
            </w:pPr>
            <w:r w:rsidRPr="006B7BAB">
              <w:rPr>
                <w:color w:val="000000"/>
                <w:sz w:val="22"/>
                <w:lang w:eastAsia="lv-LV"/>
              </w:rPr>
              <w:t>54</w:t>
            </w:r>
          </w:p>
        </w:tc>
      </w:tr>
      <w:tr w:rsidR="0013050C" w:rsidRPr="006B7BAB" w14:paraId="257B1CBE" w14:textId="77777777" w:rsidTr="003E4176">
        <w:trPr>
          <w:trHeight w:val="300"/>
        </w:trPr>
        <w:tc>
          <w:tcPr>
            <w:tcW w:w="2268" w:type="dxa"/>
            <w:vMerge/>
            <w:shd w:val="clear" w:color="auto" w:fill="auto"/>
            <w:noWrap/>
            <w:vAlign w:val="bottom"/>
            <w:hideMark/>
          </w:tcPr>
          <w:p w14:paraId="0C189EDF"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27937CC6"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60266E67" w14:textId="77777777" w:rsidR="0013050C" w:rsidRPr="006B7BAB" w:rsidRDefault="0013050C" w:rsidP="00E30034">
            <w:pPr>
              <w:jc w:val="center"/>
              <w:rPr>
                <w:color w:val="000000"/>
                <w:sz w:val="22"/>
                <w:lang w:eastAsia="lv-LV"/>
              </w:rPr>
            </w:pPr>
            <w:r w:rsidRPr="006B7BAB">
              <w:rPr>
                <w:color w:val="000000"/>
                <w:sz w:val="22"/>
                <w:lang w:eastAsia="lv-LV"/>
              </w:rPr>
              <w:t>41582</w:t>
            </w:r>
          </w:p>
        </w:tc>
        <w:tc>
          <w:tcPr>
            <w:tcW w:w="2611" w:type="dxa"/>
            <w:shd w:val="clear" w:color="auto" w:fill="auto"/>
            <w:vAlign w:val="center"/>
            <w:hideMark/>
          </w:tcPr>
          <w:p w14:paraId="3D664148" w14:textId="77777777" w:rsidR="0013050C" w:rsidRPr="006B7BAB" w:rsidRDefault="0013050C" w:rsidP="00E30034">
            <w:pPr>
              <w:jc w:val="left"/>
              <w:rPr>
                <w:color w:val="000000"/>
                <w:sz w:val="22"/>
                <w:lang w:eastAsia="lv-LV"/>
              </w:rPr>
            </w:pPr>
            <w:r w:rsidRPr="006B7BAB">
              <w:rPr>
                <w:color w:val="000000"/>
                <w:sz w:val="22"/>
                <w:lang w:eastAsia="lv-LV"/>
              </w:rPr>
              <w:t>Būvniecība</w:t>
            </w:r>
          </w:p>
        </w:tc>
        <w:tc>
          <w:tcPr>
            <w:tcW w:w="788" w:type="dxa"/>
            <w:shd w:val="clear" w:color="auto" w:fill="auto"/>
            <w:noWrap/>
            <w:vAlign w:val="center"/>
            <w:hideMark/>
          </w:tcPr>
          <w:p w14:paraId="16E33529" w14:textId="77777777" w:rsidR="0013050C" w:rsidRPr="006B7BAB" w:rsidRDefault="0013050C" w:rsidP="00E30034">
            <w:pPr>
              <w:jc w:val="center"/>
              <w:rPr>
                <w:color w:val="000000"/>
                <w:sz w:val="22"/>
                <w:lang w:eastAsia="lv-LV"/>
              </w:rPr>
            </w:pPr>
            <w:r w:rsidRPr="006B7BAB">
              <w:rPr>
                <w:color w:val="000000"/>
                <w:sz w:val="22"/>
                <w:lang w:eastAsia="lv-LV"/>
              </w:rPr>
              <w:t>17</w:t>
            </w:r>
          </w:p>
        </w:tc>
      </w:tr>
      <w:tr w:rsidR="0013050C" w:rsidRPr="006B7BAB" w14:paraId="650F19E1" w14:textId="77777777" w:rsidTr="003E4176">
        <w:trPr>
          <w:trHeight w:val="300"/>
        </w:trPr>
        <w:tc>
          <w:tcPr>
            <w:tcW w:w="2268" w:type="dxa"/>
            <w:vMerge/>
            <w:shd w:val="clear" w:color="auto" w:fill="auto"/>
            <w:noWrap/>
            <w:vAlign w:val="bottom"/>
            <w:hideMark/>
          </w:tcPr>
          <w:p w14:paraId="7F0A7D5C"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5078388B"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2F1E0BBB" w14:textId="77777777" w:rsidR="0013050C" w:rsidRPr="006B7BAB" w:rsidRDefault="0013050C" w:rsidP="00E30034">
            <w:pPr>
              <w:jc w:val="center"/>
              <w:rPr>
                <w:color w:val="000000"/>
                <w:sz w:val="22"/>
                <w:lang w:eastAsia="lv-LV"/>
              </w:rPr>
            </w:pPr>
            <w:r w:rsidRPr="006B7BAB">
              <w:rPr>
                <w:color w:val="000000"/>
                <w:sz w:val="22"/>
                <w:lang w:eastAsia="lv-LV"/>
              </w:rPr>
              <w:t>42582</w:t>
            </w:r>
          </w:p>
        </w:tc>
        <w:tc>
          <w:tcPr>
            <w:tcW w:w="2611" w:type="dxa"/>
            <w:shd w:val="clear" w:color="auto" w:fill="auto"/>
            <w:vAlign w:val="center"/>
            <w:hideMark/>
          </w:tcPr>
          <w:p w14:paraId="2EB4D99B" w14:textId="77777777" w:rsidR="0013050C" w:rsidRPr="006B7BAB" w:rsidRDefault="0013050C" w:rsidP="00E30034">
            <w:pPr>
              <w:jc w:val="left"/>
              <w:rPr>
                <w:color w:val="000000"/>
                <w:sz w:val="22"/>
                <w:lang w:eastAsia="lv-LV"/>
              </w:rPr>
            </w:pPr>
            <w:r w:rsidRPr="006B7BAB">
              <w:rPr>
                <w:color w:val="000000"/>
                <w:sz w:val="22"/>
                <w:lang w:eastAsia="lv-LV"/>
              </w:rPr>
              <w:t>Būvniecība</w:t>
            </w:r>
          </w:p>
        </w:tc>
        <w:tc>
          <w:tcPr>
            <w:tcW w:w="788" w:type="dxa"/>
            <w:shd w:val="clear" w:color="auto" w:fill="auto"/>
            <w:noWrap/>
            <w:vAlign w:val="center"/>
            <w:hideMark/>
          </w:tcPr>
          <w:p w14:paraId="6B0CCC86" w14:textId="77777777" w:rsidR="0013050C" w:rsidRPr="006B7BAB" w:rsidRDefault="0013050C" w:rsidP="00E30034">
            <w:pPr>
              <w:jc w:val="center"/>
              <w:rPr>
                <w:color w:val="000000"/>
                <w:sz w:val="22"/>
                <w:lang w:eastAsia="lv-LV"/>
              </w:rPr>
            </w:pPr>
            <w:r w:rsidRPr="006B7BAB">
              <w:rPr>
                <w:color w:val="000000"/>
                <w:sz w:val="22"/>
                <w:lang w:eastAsia="lv-LV"/>
              </w:rPr>
              <w:t>12</w:t>
            </w:r>
          </w:p>
        </w:tc>
      </w:tr>
      <w:tr w:rsidR="0013050C" w:rsidRPr="006B7BAB" w14:paraId="458DFEE6" w14:textId="77777777" w:rsidTr="003E4176">
        <w:trPr>
          <w:trHeight w:val="300"/>
        </w:trPr>
        <w:tc>
          <w:tcPr>
            <w:tcW w:w="2268" w:type="dxa"/>
            <w:vMerge/>
            <w:shd w:val="clear" w:color="auto" w:fill="auto"/>
            <w:noWrap/>
            <w:vAlign w:val="bottom"/>
            <w:hideMark/>
          </w:tcPr>
          <w:p w14:paraId="0F60A77B"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0A05CBE4"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1B6B91C4" w14:textId="77777777" w:rsidR="0013050C" w:rsidRPr="006B7BAB" w:rsidRDefault="0013050C" w:rsidP="00E30034">
            <w:pPr>
              <w:jc w:val="center"/>
              <w:rPr>
                <w:color w:val="000000"/>
                <w:sz w:val="22"/>
                <w:lang w:eastAsia="lv-LV"/>
              </w:rPr>
            </w:pPr>
            <w:r w:rsidRPr="006B7BAB">
              <w:rPr>
                <w:color w:val="000000"/>
                <w:sz w:val="22"/>
                <w:lang w:eastAsia="lv-LV"/>
              </w:rPr>
              <w:t>41481</w:t>
            </w:r>
          </w:p>
        </w:tc>
        <w:tc>
          <w:tcPr>
            <w:tcW w:w="2611" w:type="dxa"/>
            <w:shd w:val="clear" w:color="auto" w:fill="auto"/>
            <w:vAlign w:val="center"/>
            <w:hideMark/>
          </w:tcPr>
          <w:p w14:paraId="08C3DEED" w14:textId="77777777" w:rsidR="0013050C" w:rsidRPr="006B7BAB" w:rsidRDefault="0013050C" w:rsidP="00E30034">
            <w:pPr>
              <w:jc w:val="left"/>
              <w:rPr>
                <w:color w:val="000000"/>
                <w:sz w:val="22"/>
                <w:lang w:eastAsia="lv-LV"/>
              </w:rPr>
            </w:pPr>
            <w:r w:rsidRPr="006B7BAB">
              <w:rPr>
                <w:color w:val="000000"/>
                <w:sz w:val="22"/>
                <w:lang w:eastAsia="lv-LV"/>
              </w:rPr>
              <w:t>Datorsistēmas</w:t>
            </w:r>
          </w:p>
        </w:tc>
        <w:tc>
          <w:tcPr>
            <w:tcW w:w="788" w:type="dxa"/>
            <w:shd w:val="clear" w:color="auto" w:fill="auto"/>
            <w:noWrap/>
            <w:vAlign w:val="center"/>
            <w:hideMark/>
          </w:tcPr>
          <w:p w14:paraId="5D4BF1F4" w14:textId="77777777" w:rsidR="0013050C" w:rsidRPr="006B7BAB" w:rsidRDefault="0013050C" w:rsidP="00E30034">
            <w:pPr>
              <w:jc w:val="center"/>
              <w:rPr>
                <w:color w:val="000000"/>
                <w:sz w:val="22"/>
                <w:lang w:eastAsia="lv-LV"/>
              </w:rPr>
            </w:pPr>
            <w:r w:rsidRPr="006B7BAB">
              <w:rPr>
                <w:color w:val="000000"/>
                <w:sz w:val="22"/>
                <w:lang w:eastAsia="lv-LV"/>
              </w:rPr>
              <w:t>19</w:t>
            </w:r>
          </w:p>
        </w:tc>
      </w:tr>
      <w:tr w:rsidR="0013050C" w:rsidRPr="006B7BAB" w14:paraId="6DF7DC70" w14:textId="77777777" w:rsidTr="003E4176">
        <w:trPr>
          <w:trHeight w:val="600"/>
        </w:trPr>
        <w:tc>
          <w:tcPr>
            <w:tcW w:w="2268" w:type="dxa"/>
            <w:vMerge/>
            <w:shd w:val="clear" w:color="auto" w:fill="auto"/>
            <w:noWrap/>
            <w:vAlign w:val="bottom"/>
            <w:hideMark/>
          </w:tcPr>
          <w:p w14:paraId="73788E8D"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73019E9F"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202F2D14" w14:textId="77777777" w:rsidR="0013050C" w:rsidRPr="006B7BAB" w:rsidRDefault="0013050C" w:rsidP="00E30034">
            <w:pPr>
              <w:jc w:val="center"/>
              <w:rPr>
                <w:color w:val="000000"/>
                <w:sz w:val="22"/>
                <w:lang w:eastAsia="lv-LV"/>
              </w:rPr>
            </w:pPr>
            <w:r w:rsidRPr="006B7BAB">
              <w:rPr>
                <w:color w:val="000000"/>
                <w:sz w:val="22"/>
                <w:lang w:eastAsia="lv-LV"/>
              </w:rPr>
              <w:t>42522</w:t>
            </w:r>
          </w:p>
        </w:tc>
        <w:tc>
          <w:tcPr>
            <w:tcW w:w="2611" w:type="dxa"/>
            <w:shd w:val="clear" w:color="auto" w:fill="auto"/>
            <w:vAlign w:val="center"/>
            <w:hideMark/>
          </w:tcPr>
          <w:p w14:paraId="4CE120B9" w14:textId="77777777" w:rsidR="0013050C" w:rsidRPr="006B7BAB" w:rsidRDefault="0013050C" w:rsidP="00E30034">
            <w:pPr>
              <w:jc w:val="left"/>
              <w:rPr>
                <w:color w:val="000000"/>
                <w:sz w:val="22"/>
                <w:lang w:eastAsia="lv-LV"/>
              </w:rPr>
            </w:pPr>
            <w:proofErr w:type="spellStart"/>
            <w:r w:rsidRPr="006B7BAB">
              <w:rPr>
                <w:color w:val="000000"/>
                <w:sz w:val="22"/>
                <w:lang w:eastAsia="lv-LV"/>
              </w:rPr>
              <w:t>Elektrotehnoloģiju</w:t>
            </w:r>
            <w:proofErr w:type="spellEnd"/>
            <w:r w:rsidRPr="006B7BAB">
              <w:rPr>
                <w:color w:val="000000"/>
                <w:sz w:val="22"/>
                <w:lang w:eastAsia="lv-LV"/>
              </w:rPr>
              <w:t xml:space="preserve"> datorvadība</w:t>
            </w:r>
          </w:p>
        </w:tc>
        <w:tc>
          <w:tcPr>
            <w:tcW w:w="788" w:type="dxa"/>
            <w:shd w:val="clear" w:color="auto" w:fill="auto"/>
            <w:noWrap/>
            <w:vAlign w:val="center"/>
            <w:hideMark/>
          </w:tcPr>
          <w:p w14:paraId="73B1257B" w14:textId="77777777" w:rsidR="0013050C" w:rsidRPr="006B7BAB" w:rsidRDefault="0013050C" w:rsidP="00E30034">
            <w:pPr>
              <w:jc w:val="center"/>
              <w:rPr>
                <w:color w:val="000000"/>
                <w:sz w:val="22"/>
                <w:lang w:eastAsia="lv-LV"/>
              </w:rPr>
            </w:pPr>
            <w:r w:rsidRPr="006B7BAB">
              <w:rPr>
                <w:color w:val="000000"/>
                <w:sz w:val="22"/>
                <w:lang w:eastAsia="lv-LV"/>
              </w:rPr>
              <w:t>16</w:t>
            </w:r>
          </w:p>
        </w:tc>
      </w:tr>
      <w:tr w:rsidR="0013050C" w:rsidRPr="006B7BAB" w14:paraId="352BE896" w14:textId="77777777" w:rsidTr="003E4176">
        <w:trPr>
          <w:trHeight w:val="600"/>
        </w:trPr>
        <w:tc>
          <w:tcPr>
            <w:tcW w:w="2268" w:type="dxa"/>
            <w:vMerge/>
            <w:shd w:val="clear" w:color="auto" w:fill="auto"/>
            <w:noWrap/>
            <w:vAlign w:val="bottom"/>
            <w:hideMark/>
          </w:tcPr>
          <w:p w14:paraId="58D09F29"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5676C614"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2599D378" w14:textId="77777777" w:rsidR="0013050C" w:rsidRPr="006B7BAB" w:rsidRDefault="0013050C" w:rsidP="00E30034">
            <w:pPr>
              <w:jc w:val="center"/>
              <w:rPr>
                <w:color w:val="000000"/>
                <w:sz w:val="22"/>
                <w:lang w:eastAsia="lv-LV"/>
              </w:rPr>
            </w:pPr>
            <w:r w:rsidRPr="006B7BAB">
              <w:rPr>
                <w:color w:val="000000"/>
                <w:sz w:val="22"/>
                <w:lang w:eastAsia="lv-LV"/>
              </w:rPr>
              <w:t>43522</w:t>
            </w:r>
          </w:p>
        </w:tc>
        <w:tc>
          <w:tcPr>
            <w:tcW w:w="2611" w:type="dxa"/>
            <w:shd w:val="clear" w:color="auto" w:fill="auto"/>
            <w:vAlign w:val="center"/>
            <w:hideMark/>
          </w:tcPr>
          <w:p w14:paraId="19527325" w14:textId="77777777" w:rsidR="0013050C" w:rsidRPr="006B7BAB" w:rsidRDefault="0013050C" w:rsidP="00E30034">
            <w:pPr>
              <w:jc w:val="left"/>
              <w:rPr>
                <w:color w:val="000000"/>
                <w:sz w:val="22"/>
                <w:lang w:eastAsia="lv-LV"/>
              </w:rPr>
            </w:pPr>
            <w:r w:rsidRPr="006B7BAB">
              <w:rPr>
                <w:color w:val="000000"/>
                <w:sz w:val="22"/>
                <w:lang w:eastAsia="lv-LV"/>
              </w:rPr>
              <w:t>Enerģētika un elektrotehnika</w:t>
            </w:r>
          </w:p>
        </w:tc>
        <w:tc>
          <w:tcPr>
            <w:tcW w:w="788" w:type="dxa"/>
            <w:shd w:val="clear" w:color="auto" w:fill="auto"/>
            <w:noWrap/>
            <w:vAlign w:val="center"/>
            <w:hideMark/>
          </w:tcPr>
          <w:p w14:paraId="0B181009" w14:textId="77777777" w:rsidR="0013050C" w:rsidRPr="006B7BAB" w:rsidRDefault="0013050C" w:rsidP="00E30034">
            <w:pPr>
              <w:jc w:val="center"/>
              <w:rPr>
                <w:color w:val="000000"/>
                <w:sz w:val="22"/>
                <w:lang w:eastAsia="lv-LV"/>
              </w:rPr>
            </w:pPr>
            <w:r w:rsidRPr="006B7BAB">
              <w:rPr>
                <w:color w:val="000000"/>
                <w:sz w:val="22"/>
                <w:lang w:eastAsia="lv-LV"/>
              </w:rPr>
              <w:t>14</w:t>
            </w:r>
          </w:p>
        </w:tc>
      </w:tr>
      <w:tr w:rsidR="0013050C" w:rsidRPr="006B7BAB" w14:paraId="4C131965" w14:textId="77777777" w:rsidTr="003E4176">
        <w:trPr>
          <w:trHeight w:val="600"/>
        </w:trPr>
        <w:tc>
          <w:tcPr>
            <w:tcW w:w="2268" w:type="dxa"/>
            <w:vMerge/>
            <w:shd w:val="clear" w:color="auto" w:fill="auto"/>
            <w:noWrap/>
            <w:vAlign w:val="bottom"/>
            <w:hideMark/>
          </w:tcPr>
          <w:p w14:paraId="7086889F"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74343C90"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13044372" w14:textId="77777777" w:rsidR="0013050C" w:rsidRPr="006B7BAB" w:rsidRDefault="0013050C" w:rsidP="00E30034">
            <w:pPr>
              <w:jc w:val="center"/>
              <w:rPr>
                <w:color w:val="000000"/>
                <w:sz w:val="22"/>
                <w:lang w:eastAsia="lv-LV"/>
              </w:rPr>
            </w:pPr>
            <w:r w:rsidRPr="006B7BAB">
              <w:rPr>
                <w:color w:val="000000"/>
                <w:sz w:val="22"/>
                <w:lang w:eastAsia="lv-LV"/>
              </w:rPr>
              <w:t>43521</w:t>
            </w:r>
          </w:p>
        </w:tc>
        <w:tc>
          <w:tcPr>
            <w:tcW w:w="2611" w:type="dxa"/>
            <w:shd w:val="clear" w:color="auto" w:fill="auto"/>
            <w:vAlign w:val="center"/>
            <w:hideMark/>
          </w:tcPr>
          <w:p w14:paraId="259C2BE1" w14:textId="77777777" w:rsidR="0013050C" w:rsidRPr="006B7BAB" w:rsidRDefault="0013050C" w:rsidP="00E30034">
            <w:pPr>
              <w:jc w:val="left"/>
              <w:rPr>
                <w:color w:val="000000"/>
                <w:sz w:val="22"/>
                <w:lang w:eastAsia="lv-LV"/>
              </w:rPr>
            </w:pPr>
            <w:proofErr w:type="spellStart"/>
            <w:r w:rsidRPr="006B7BAB">
              <w:rPr>
                <w:color w:val="000000"/>
                <w:sz w:val="22"/>
                <w:lang w:eastAsia="lv-LV"/>
              </w:rPr>
              <w:t>Inženiertehnika</w:t>
            </w:r>
            <w:proofErr w:type="spellEnd"/>
            <w:r w:rsidRPr="006B7BAB">
              <w:rPr>
                <w:color w:val="000000"/>
                <w:sz w:val="22"/>
                <w:lang w:eastAsia="lv-LV"/>
              </w:rPr>
              <w:t>, mehānika un mašīnbūve</w:t>
            </w:r>
          </w:p>
        </w:tc>
        <w:tc>
          <w:tcPr>
            <w:tcW w:w="788" w:type="dxa"/>
            <w:shd w:val="clear" w:color="auto" w:fill="auto"/>
            <w:noWrap/>
            <w:vAlign w:val="center"/>
            <w:hideMark/>
          </w:tcPr>
          <w:p w14:paraId="734C2ACE" w14:textId="77777777" w:rsidR="0013050C" w:rsidRPr="006B7BAB" w:rsidRDefault="0013050C" w:rsidP="00E30034">
            <w:pPr>
              <w:jc w:val="center"/>
              <w:rPr>
                <w:color w:val="000000"/>
                <w:sz w:val="22"/>
                <w:lang w:eastAsia="lv-LV"/>
              </w:rPr>
            </w:pPr>
            <w:r w:rsidRPr="006B7BAB">
              <w:rPr>
                <w:color w:val="000000"/>
                <w:sz w:val="22"/>
                <w:lang w:eastAsia="lv-LV"/>
              </w:rPr>
              <w:t>3</w:t>
            </w:r>
          </w:p>
        </w:tc>
      </w:tr>
      <w:tr w:rsidR="0013050C" w:rsidRPr="006B7BAB" w14:paraId="04DD1561" w14:textId="77777777" w:rsidTr="003E4176">
        <w:trPr>
          <w:trHeight w:val="600"/>
        </w:trPr>
        <w:tc>
          <w:tcPr>
            <w:tcW w:w="2268" w:type="dxa"/>
            <w:vMerge/>
            <w:shd w:val="clear" w:color="auto" w:fill="auto"/>
            <w:noWrap/>
            <w:vAlign w:val="bottom"/>
            <w:hideMark/>
          </w:tcPr>
          <w:p w14:paraId="13C21B93"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18A88EC0"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15792602" w14:textId="77777777" w:rsidR="0013050C" w:rsidRPr="006B7BAB" w:rsidRDefault="0013050C" w:rsidP="00E30034">
            <w:pPr>
              <w:jc w:val="center"/>
              <w:rPr>
                <w:color w:val="000000"/>
                <w:sz w:val="22"/>
                <w:lang w:eastAsia="lv-LV"/>
              </w:rPr>
            </w:pPr>
            <w:r w:rsidRPr="006B7BAB">
              <w:rPr>
                <w:color w:val="000000"/>
                <w:sz w:val="22"/>
                <w:lang w:eastAsia="lv-LV"/>
              </w:rPr>
              <w:t>42521</w:t>
            </w:r>
          </w:p>
        </w:tc>
        <w:tc>
          <w:tcPr>
            <w:tcW w:w="2611" w:type="dxa"/>
            <w:shd w:val="clear" w:color="auto" w:fill="auto"/>
            <w:vAlign w:val="center"/>
            <w:hideMark/>
          </w:tcPr>
          <w:p w14:paraId="63B3CE6D" w14:textId="77777777" w:rsidR="0013050C" w:rsidRPr="006B7BAB" w:rsidRDefault="0013050C" w:rsidP="00E30034">
            <w:pPr>
              <w:jc w:val="left"/>
              <w:rPr>
                <w:color w:val="000000"/>
                <w:sz w:val="22"/>
                <w:lang w:eastAsia="lv-LV"/>
              </w:rPr>
            </w:pPr>
            <w:r w:rsidRPr="006B7BAB">
              <w:rPr>
                <w:color w:val="000000"/>
                <w:sz w:val="22"/>
                <w:lang w:eastAsia="lv-LV"/>
              </w:rPr>
              <w:t>Mašīnu un aparātu būvniecība</w:t>
            </w:r>
          </w:p>
        </w:tc>
        <w:tc>
          <w:tcPr>
            <w:tcW w:w="788" w:type="dxa"/>
            <w:shd w:val="clear" w:color="auto" w:fill="auto"/>
            <w:noWrap/>
            <w:vAlign w:val="center"/>
            <w:hideMark/>
          </w:tcPr>
          <w:p w14:paraId="0403122E" w14:textId="77777777" w:rsidR="0013050C" w:rsidRPr="006B7BAB" w:rsidRDefault="0013050C" w:rsidP="00E30034">
            <w:pPr>
              <w:jc w:val="center"/>
              <w:rPr>
                <w:color w:val="000000"/>
                <w:sz w:val="22"/>
                <w:lang w:eastAsia="lv-LV"/>
              </w:rPr>
            </w:pPr>
            <w:r w:rsidRPr="006B7BAB">
              <w:rPr>
                <w:color w:val="000000"/>
                <w:sz w:val="22"/>
                <w:lang w:eastAsia="lv-LV"/>
              </w:rPr>
              <w:t>9</w:t>
            </w:r>
          </w:p>
        </w:tc>
      </w:tr>
      <w:tr w:rsidR="0013050C" w:rsidRPr="006B7BAB" w14:paraId="1D460487" w14:textId="77777777" w:rsidTr="003E4176">
        <w:trPr>
          <w:trHeight w:val="300"/>
        </w:trPr>
        <w:tc>
          <w:tcPr>
            <w:tcW w:w="2268" w:type="dxa"/>
            <w:vMerge/>
            <w:shd w:val="clear" w:color="auto" w:fill="auto"/>
            <w:noWrap/>
            <w:vAlign w:val="bottom"/>
            <w:hideMark/>
          </w:tcPr>
          <w:p w14:paraId="3089D33A"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32791942"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6ACAD3DD" w14:textId="77777777" w:rsidR="0013050C" w:rsidRPr="006B7BAB" w:rsidRDefault="0013050C" w:rsidP="00E30034">
            <w:pPr>
              <w:jc w:val="center"/>
              <w:rPr>
                <w:color w:val="000000"/>
                <w:sz w:val="22"/>
                <w:lang w:eastAsia="lv-LV"/>
              </w:rPr>
            </w:pPr>
            <w:r w:rsidRPr="006B7BAB">
              <w:rPr>
                <w:color w:val="000000"/>
                <w:sz w:val="22"/>
                <w:lang w:eastAsia="lv-LV"/>
              </w:rPr>
              <w:t>42521</w:t>
            </w:r>
          </w:p>
        </w:tc>
        <w:tc>
          <w:tcPr>
            <w:tcW w:w="2611" w:type="dxa"/>
            <w:shd w:val="clear" w:color="auto" w:fill="auto"/>
            <w:vAlign w:val="center"/>
            <w:hideMark/>
          </w:tcPr>
          <w:p w14:paraId="022EABCB" w14:textId="77777777" w:rsidR="0013050C" w:rsidRPr="006B7BAB" w:rsidRDefault="0013050C" w:rsidP="00E30034">
            <w:pPr>
              <w:jc w:val="left"/>
              <w:rPr>
                <w:color w:val="000000"/>
                <w:sz w:val="22"/>
                <w:lang w:eastAsia="lv-LV"/>
              </w:rPr>
            </w:pPr>
            <w:proofErr w:type="spellStart"/>
            <w:r w:rsidRPr="006B7BAB">
              <w:rPr>
                <w:color w:val="000000"/>
                <w:sz w:val="22"/>
                <w:lang w:eastAsia="lv-LV"/>
              </w:rPr>
              <w:t>Mehatronika</w:t>
            </w:r>
            <w:proofErr w:type="spellEnd"/>
          </w:p>
        </w:tc>
        <w:tc>
          <w:tcPr>
            <w:tcW w:w="788" w:type="dxa"/>
            <w:shd w:val="clear" w:color="auto" w:fill="auto"/>
            <w:noWrap/>
            <w:vAlign w:val="center"/>
            <w:hideMark/>
          </w:tcPr>
          <w:p w14:paraId="53812A71" w14:textId="77777777" w:rsidR="0013050C" w:rsidRPr="006B7BAB" w:rsidRDefault="0013050C" w:rsidP="00E30034">
            <w:pPr>
              <w:jc w:val="center"/>
              <w:rPr>
                <w:color w:val="000000"/>
                <w:sz w:val="22"/>
                <w:lang w:eastAsia="lv-LV"/>
              </w:rPr>
            </w:pPr>
            <w:r w:rsidRPr="006B7BAB">
              <w:rPr>
                <w:color w:val="000000"/>
                <w:sz w:val="22"/>
                <w:lang w:eastAsia="lv-LV"/>
              </w:rPr>
              <w:t>31</w:t>
            </w:r>
          </w:p>
        </w:tc>
      </w:tr>
      <w:tr w:rsidR="0013050C" w:rsidRPr="006B7BAB" w14:paraId="41283FF5" w14:textId="77777777" w:rsidTr="003E4176">
        <w:trPr>
          <w:trHeight w:val="900"/>
        </w:trPr>
        <w:tc>
          <w:tcPr>
            <w:tcW w:w="2268" w:type="dxa"/>
            <w:vMerge/>
            <w:shd w:val="clear" w:color="auto" w:fill="auto"/>
            <w:noWrap/>
            <w:vAlign w:val="bottom"/>
            <w:hideMark/>
          </w:tcPr>
          <w:p w14:paraId="2228607F"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020ABD7C"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7113ED40" w14:textId="77777777" w:rsidR="0013050C" w:rsidRPr="006B7BAB" w:rsidRDefault="0013050C" w:rsidP="00E30034">
            <w:pPr>
              <w:jc w:val="center"/>
              <w:rPr>
                <w:color w:val="000000"/>
                <w:sz w:val="22"/>
                <w:lang w:eastAsia="lv-LV"/>
              </w:rPr>
            </w:pPr>
            <w:r w:rsidRPr="006B7BAB">
              <w:rPr>
                <w:color w:val="000000"/>
                <w:sz w:val="22"/>
                <w:lang w:eastAsia="lv-LV"/>
              </w:rPr>
              <w:t>42581</w:t>
            </w:r>
          </w:p>
        </w:tc>
        <w:tc>
          <w:tcPr>
            <w:tcW w:w="2611" w:type="dxa"/>
            <w:shd w:val="clear" w:color="auto" w:fill="auto"/>
            <w:vAlign w:val="center"/>
            <w:hideMark/>
          </w:tcPr>
          <w:p w14:paraId="24819ABA" w14:textId="77777777" w:rsidR="0013050C" w:rsidRPr="006B7BAB" w:rsidRDefault="0013050C" w:rsidP="00E30034">
            <w:pPr>
              <w:jc w:val="left"/>
              <w:rPr>
                <w:color w:val="000000"/>
                <w:sz w:val="22"/>
                <w:lang w:eastAsia="lv-LV"/>
              </w:rPr>
            </w:pPr>
            <w:r w:rsidRPr="006B7BAB">
              <w:rPr>
                <w:color w:val="000000"/>
                <w:sz w:val="22"/>
                <w:lang w:eastAsia="lv-LV"/>
              </w:rPr>
              <w:t xml:space="preserve">Reģionālās attīstības un </w:t>
            </w:r>
            <w:proofErr w:type="spellStart"/>
            <w:r w:rsidRPr="006B7BAB">
              <w:rPr>
                <w:color w:val="000000"/>
                <w:sz w:val="22"/>
                <w:lang w:eastAsia="lv-LV"/>
              </w:rPr>
              <w:t>pilsētekonomikas</w:t>
            </w:r>
            <w:proofErr w:type="spellEnd"/>
            <w:r w:rsidRPr="006B7BAB">
              <w:rPr>
                <w:color w:val="000000"/>
                <w:sz w:val="22"/>
                <w:lang w:eastAsia="lv-LV"/>
              </w:rPr>
              <w:t xml:space="preserve"> inženierija</w:t>
            </w:r>
          </w:p>
        </w:tc>
        <w:tc>
          <w:tcPr>
            <w:tcW w:w="788" w:type="dxa"/>
            <w:shd w:val="clear" w:color="auto" w:fill="auto"/>
            <w:noWrap/>
            <w:vAlign w:val="center"/>
            <w:hideMark/>
          </w:tcPr>
          <w:p w14:paraId="1B19A053" w14:textId="77777777" w:rsidR="0013050C" w:rsidRPr="006B7BAB" w:rsidRDefault="0013050C" w:rsidP="00E30034">
            <w:pPr>
              <w:jc w:val="center"/>
              <w:rPr>
                <w:color w:val="000000"/>
                <w:sz w:val="22"/>
                <w:lang w:eastAsia="lv-LV"/>
              </w:rPr>
            </w:pPr>
            <w:r w:rsidRPr="006B7BAB">
              <w:rPr>
                <w:color w:val="000000"/>
                <w:sz w:val="22"/>
                <w:lang w:eastAsia="lv-LV"/>
              </w:rPr>
              <w:t>7</w:t>
            </w:r>
          </w:p>
        </w:tc>
      </w:tr>
      <w:tr w:rsidR="0013050C" w:rsidRPr="006B7BAB" w14:paraId="1F60AB67" w14:textId="77777777" w:rsidTr="003E4176">
        <w:trPr>
          <w:trHeight w:val="600"/>
        </w:trPr>
        <w:tc>
          <w:tcPr>
            <w:tcW w:w="2268" w:type="dxa"/>
            <w:vMerge/>
            <w:shd w:val="clear" w:color="auto" w:fill="auto"/>
            <w:noWrap/>
            <w:vAlign w:val="bottom"/>
            <w:hideMark/>
          </w:tcPr>
          <w:p w14:paraId="402A6F7F"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37043EA4"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38E3FBCF" w14:textId="77777777" w:rsidR="0013050C" w:rsidRPr="006B7BAB" w:rsidRDefault="0013050C" w:rsidP="00E30034">
            <w:pPr>
              <w:jc w:val="center"/>
              <w:rPr>
                <w:color w:val="000000"/>
                <w:sz w:val="22"/>
                <w:lang w:eastAsia="lv-LV"/>
              </w:rPr>
            </w:pPr>
            <w:r w:rsidRPr="006B7BAB">
              <w:rPr>
                <w:color w:val="000000"/>
                <w:sz w:val="22"/>
                <w:lang w:eastAsia="lv-LV"/>
              </w:rPr>
              <w:t>42582</w:t>
            </w:r>
          </w:p>
        </w:tc>
        <w:tc>
          <w:tcPr>
            <w:tcW w:w="2611" w:type="dxa"/>
            <w:shd w:val="clear" w:color="auto" w:fill="auto"/>
            <w:vAlign w:val="center"/>
            <w:hideMark/>
          </w:tcPr>
          <w:p w14:paraId="1D401310" w14:textId="77777777" w:rsidR="0013050C" w:rsidRPr="006B7BAB" w:rsidRDefault="0013050C" w:rsidP="00E30034">
            <w:pPr>
              <w:jc w:val="left"/>
              <w:rPr>
                <w:color w:val="000000"/>
                <w:sz w:val="22"/>
                <w:lang w:eastAsia="lv-LV"/>
              </w:rPr>
            </w:pPr>
            <w:r w:rsidRPr="006B7BAB">
              <w:rPr>
                <w:color w:val="000000"/>
                <w:sz w:val="22"/>
                <w:lang w:eastAsia="lv-LV"/>
              </w:rPr>
              <w:t>Siltuma, gāzes un ūdens tehnoloģija</w:t>
            </w:r>
          </w:p>
        </w:tc>
        <w:tc>
          <w:tcPr>
            <w:tcW w:w="788" w:type="dxa"/>
            <w:shd w:val="clear" w:color="auto" w:fill="auto"/>
            <w:noWrap/>
            <w:vAlign w:val="center"/>
            <w:hideMark/>
          </w:tcPr>
          <w:p w14:paraId="3E27FEA4" w14:textId="77777777" w:rsidR="0013050C" w:rsidRPr="006B7BAB" w:rsidRDefault="0013050C" w:rsidP="00E30034">
            <w:pPr>
              <w:jc w:val="center"/>
              <w:rPr>
                <w:color w:val="000000"/>
                <w:sz w:val="22"/>
                <w:lang w:eastAsia="lv-LV"/>
              </w:rPr>
            </w:pPr>
            <w:r w:rsidRPr="006B7BAB">
              <w:rPr>
                <w:color w:val="000000"/>
                <w:sz w:val="22"/>
                <w:lang w:eastAsia="lv-LV"/>
              </w:rPr>
              <w:t>2</w:t>
            </w:r>
          </w:p>
        </w:tc>
      </w:tr>
      <w:tr w:rsidR="0013050C" w:rsidRPr="006B7BAB" w14:paraId="56F62D2B" w14:textId="77777777" w:rsidTr="003E4176">
        <w:trPr>
          <w:trHeight w:val="300"/>
        </w:trPr>
        <w:tc>
          <w:tcPr>
            <w:tcW w:w="2268" w:type="dxa"/>
            <w:vMerge/>
            <w:shd w:val="clear" w:color="auto" w:fill="auto"/>
            <w:noWrap/>
            <w:vAlign w:val="bottom"/>
            <w:hideMark/>
          </w:tcPr>
          <w:p w14:paraId="5A9C4F61"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399E2896"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0387CEFF" w14:textId="77777777" w:rsidR="0013050C" w:rsidRPr="006B7BAB" w:rsidRDefault="0013050C" w:rsidP="00E30034">
            <w:pPr>
              <w:jc w:val="center"/>
              <w:rPr>
                <w:color w:val="000000"/>
                <w:sz w:val="22"/>
                <w:lang w:eastAsia="lv-LV"/>
              </w:rPr>
            </w:pPr>
            <w:r w:rsidRPr="006B7BAB">
              <w:rPr>
                <w:color w:val="000000"/>
                <w:sz w:val="22"/>
                <w:lang w:eastAsia="lv-LV"/>
              </w:rPr>
              <w:t>43523</w:t>
            </w:r>
          </w:p>
        </w:tc>
        <w:tc>
          <w:tcPr>
            <w:tcW w:w="2611" w:type="dxa"/>
            <w:shd w:val="clear" w:color="auto" w:fill="auto"/>
            <w:vAlign w:val="center"/>
            <w:hideMark/>
          </w:tcPr>
          <w:p w14:paraId="0C1CD193" w14:textId="77777777" w:rsidR="0013050C" w:rsidRPr="006B7BAB" w:rsidRDefault="0013050C" w:rsidP="00E30034">
            <w:pPr>
              <w:jc w:val="left"/>
              <w:rPr>
                <w:color w:val="000000"/>
                <w:sz w:val="22"/>
                <w:lang w:eastAsia="lv-LV"/>
              </w:rPr>
            </w:pPr>
            <w:r w:rsidRPr="006B7BAB">
              <w:rPr>
                <w:color w:val="000000"/>
                <w:sz w:val="22"/>
                <w:lang w:eastAsia="lv-LV"/>
              </w:rPr>
              <w:t>Telekomunikācijas</w:t>
            </w:r>
          </w:p>
        </w:tc>
        <w:tc>
          <w:tcPr>
            <w:tcW w:w="788" w:type="dxa"/>
            <w:shd w:val="clear" w:color="auto" w:fill="auto"/>
            <w:noWrap/>
            <w:vAlign w:val="center"/>
            <w:hideMark/>
          </w:tcPr>
          <w:p w14:paraId="48A0AC13" w14:textId="77777777" w:rsidR="0013050C" w:rsidRPr="006B7BAB" w:rsidRDefault="0013050C" w:rsidP="00E30034">
            <w:pPr>
              <w:jc w:val="center"/>
              <w:rPr>
                <w:color w:val="000000"/>
                <w:sz w:val="22"/>
                <w:lang w:eastAsia="lv-LV"/>
              </w:rPr>
            </w:pPr>
            <w:r w:rsidRPr="006B7BAB">
              <w:rPr>
                <w:color w:val="000000"/>
                <w:sz w:val="22"/>
                <w:lang w:eastAsia="lv-LV"/>
              </w:rPr>
              <w:t>2</w:t>
            </w:r>
          </w:p>
        </w:tc>
      </w:tr>
      <w:tr w:rsidR="00FE6DA5" w:rsidRPr="006B7BAB" w14:paraId="06D8010F" w14:textId="77777777" w:rsidTr="003E4176">
        <w:trPr>
          <w:trHeight w:val="476"/>
        </w:trPr>
        <w:tc>
          <w:tcPr>
            <w:tcW w:w="8051" w:type="dxa"/>
            <w:gridSpan w:val="4"/>
            <w:shd w:val="clear" w:color="auto" w:fill="auto"/>
            <w:noWrap/>
            <w:vAlign w:val="center"/>
          </w:tcPr>
          <w:p w14:paraId="3D2FA369" w14:textId="77777777" w:rsidR="00FE6DA5" w:rsidRPr="00FE6DA5" w:rsidRDefault="00FE6DA5" w:rsidP="00016798">
            <w:pPr>
              <w:jc w:val="right"/>
              <w:rPr>
                <w:b/>
                <w:color w:val="000000"/>
                <w:sz w:val="22"/>
                <w:lang w:eastAsia="lv-LV"/>
              </w:rPr>
            </w:pPr>
            <w:r w:rsidRPr="00FE6DA5">
              <w:rPr>
                <w:b/>
                <w:color w:val="000000"/>
                <w:sz w:val="22"/>
                <w:lang w:eastAsia="lv-LV"/>
              </w:rPr>
              <w:t>Kopā</w:t>
            </w:r>
            <w:r w:rsidR="00E30034">
              <w:rPr>
                <w:b/>
                <w:color w:val="000000"/>
                <w:sz w:val="22"/>
                <w:lang w:eastAsia="lv-LV"/>
              </w:rPr>
              <w:t xml:space="preserve"> RTU Liepājas filiāle</w:t>
            </w:r>
          </w:p>
        </w:tc>
        <w:tc>
          <w:tcPr>
            <w:tcW w:w="788" w:type="dxa"/>
            <w:shd w:val="clear" w:color="auto" w:fill="auto"/>
            <w:noWrap/>
            <w:vAlign w:val="center"/>
          </w:tcPr>
          <w:p w14:paraId="679CD659" w14:textId="77777777" w:rsidR="00FE6DA5" w:rsidRPr="00016798" w:rsidRDefault="00016798" w:rsidP="00016798">
            <w:pPr>
              <w:jc w:val="center"/>
              <w:rPr>
                <w:b/>
                <w:color w:val="000000"/>
                <w:sz w:val="22"/>
                <w:lang w:eastAsia="lv-LV"/>
              </w:rPr>
            </w:pPr>
            <w:r w:rsidRPr="00016798">
              <w:rPr>
                <w:b/>
                <w:color w:val="000000"/>
                <w:sz w:val="22"/>
                <w:lang w:eastAsia="lv-LV"/>
              </w:rPr>
              <w:t>186</w:t>
            </w:r>
          </w:p>
        </w:tc>
      </w:tr>
      <w:tr w:rsidR="0013050C" w:rsidRPr="006B7BAB" w14:paraId="098AE327" w14:textId="77777777" w:rsidTr="003E4176">
        <w:trPr>
          <w:trHeight w:val="600"/>
        </w:trPr>
        <w:tc>
          <w:tcPr>
            <w:tcW w:w="2268" w:type="dxa"/>
            <w:vMerge w:val="restart"/>
            <w:shd w:val="clear" w:color="auto" w:fill="auto"/>
            <w:noWrap/>
            <w:vAlign w:val="center"/>
            <w:hideMark/>
          </w:tcPr>
          <w:p w14:paraId="27AD3F11" w14:textId="77777777" w:rsidR="0013050C" w:rsidRPr="006B7BAB" w:rsidRDefault="0013050C" w:rsidP="0013050C">
            <w:pPr>
              <w:jc w:val="center"/>
              <w:rPr>
                <w:color w:val="000000"/>
                <w:sz w:val="22"/>
                <w:lang w:eastAsia="lv-LV"/>
              </w:rPr>
            </w:pPr>
            <w:r w:rsidRPr="006B7BAB">
              <w:rPr>
                <w:color w:val="000000"/>
                <w:sz w:val="22"/>
                <w:lang w:eastAsia="lv-LV"/>
              </w:rPr>
              <w:t>Rīgas Tehniskā universitāte</w:t>
            </w:r>
          </w:p>
          <w:p w14:paraId="3C5945DE" w14:textId="77777777" w:rsidR="0013050C" w:rsidRPr="006B7BAB" w:rsidRDefault="0013050C" w:rsidP="0013050C">
            <w:pPr>
              <w:jc w:val="center"/>
              <w:rPr>
                <w:color w:val="000000"/>
                <w:sz w:val="22"/>
                <w:lang w:eastAsia="lv-LV"/>
              </w:rPr>
            </w:pPr>
          </w:p>
        </w:tc>
        <w:tc>
          <w:tcPr>
            <w:tcW w:w="1843" w:type="dxa"/>
            <w:vMerge w:val="restart"/>
            <w:shd w:val="clear" w:color="auto" w:fill="auto"/>
            <w:noWrap/>
            <w:vAlign w:val="center"/>
            <w:hideMark/>
          </w:tcPr>
          <w:p w14:paraId="47DA358E" w14:textId="77777777" w:rsidR="0013050C" w:rsidRPr="006B7BAB" w:rsidRDefault="0013050C" w:rsidP="0013050C">
            <w:pPr>
              <w:jc w:val="center"/>
              <w:rPr>
                <w:color w:val="000000"/>
                <w:sz w:val="22"/>
                <w:lang w:eastAsia="lv-LV"/>
              </w:rPr>
            </w:pPr>
            <w:r w:rsidRPr="006B7BAB">
              <w:rPr>
                <w:color w:val="000000"/>
                <w:sz w:val="22"/>
                <w:lang w:eastAsia="lv-LV"/>
              </w:rPr>
              <w:t>Cēsis</w:t>
            </w:r>
          </w:p>
          <w:p w14:paraId="1945759C" w14:textId="77777777" w:rsidR="0013050C" w:rsidRPr="006B7BAB" w:rsidRDefault="0013050C" w:rsidP="0013050C">
            <w:pPr>
              <w:jc w:val="center"/>
              <w:rPr>
                <w:color w:val="000000"/>
                <w:sz w:val="22"/>
                <w:lang w:eastAsia="lv-LV"/>
              </w:rPr>
            </w:pPr>
          </w:p>
        </w:tc>
        <w:tc>
          <w:tcPr>
            <w:tcW w:w="1329" w:type="dxa"/>
            <w:shd w:val="clear" w:color="auto" w:fill="auto"/>
            <w:noWrap/>
            <w:vAlign w:val="center"/>
            <w:hideMark/>
          </w:tcPr>
          <w:p w14:paraId="18BDA02A" w14:textId="77777777" w:rsidR="0013050C" w:rsidRPr="006B7BAB" w:rsidRDefault="0013050C" w:rsidP="00E30034">
            <w:pPr>
              <w:jc w:val="center"/>
              <w:rPr>
                <w:color w:val="000000"/>
                <w:sz w:val="22"/>
                <w:lang w:eastAsia="lv-LV"/>
              </w:rPr>
            </w:pPr>
            <w:r w:rsidRPr="006B7BAB">
              <w:rPr>
                <w:color w:val="000000"/>
                <w:sz w:val="22"/>
                <w:lang w:eastAsia="lv-LV"/>
              </w:rPr>
              <w:t>42522</w:t>
            </w:r>
          </w:p>
        </w:tc>
        <w:tc>
          <w:tcPr>
            <w:tcW w:w="2611" w:type="dxa"/>
            <w:shd w:val="clear" w:color="auto" w:fill="auto"/>
            <w:vAlign w:val="bottom"/>
            <w:hideMark/>
          </w:tcPr>
          <w:p w14:paraId="3DB63177" w14:textId="77777777" w:rsidR="0013050C" w:rsidRPr="006B7BAB" w:rsidRDefault="0013050C" w:rsidP="00FE6DA5">
            <w:pPr>
              <w:rPr>
                <w:color w:val="000000"/>
                <w:sz w:val="22"/>
                <w:lang w:eastAsia="lv-LV"/>
              </w:rPr>
            </w:pPr>
            <w:proofErr w:type="spellStart"/>
            <w:r w:rsidRPr="006B7BAB">
              <w:rPr>
                <w:color w:val="000000"/>
                <w:sz w:val="22"/>
                <w:lang w:eastAsia="lv-LV"/>
              </w:rPr>
              <w:t>Elektrotehnoloģiju</w:t>
            </w:r>
            <w:proofErr w:type="spellEnd"/>
            <w:r w:rsidRPr="006B7BAB">
              <w:rPr>
                <w:color w:val="000000"/>
                <w:sz w:val="22"/>
                <w:lang w:eastAsia="lv-LV"/>
              </w:rPr>
              <w:t xml:space="preserve"> datorvadība</w:t>
            </w:r>
          </w:p>
        </w:tc>
        <w:tc>
          <w:tcPr>
            <w:tcW w:w="788" w:type="dxa"/>
            <w:shd w:val="clear" w:color="auto" w:fill="auto"/>
            <w:noWrap/>
            <w:vAlign w:val="bottom"/>
            <w:hideMark/>
          </w:tcPr>
          <w:p w14:paraId="119483A4" w14:textId="77777777" w:rsidR="0013050C" w:rsidRPr="006B7BAB" w:rsidRDefault="0013050C" w:rsidP="00FE6DA5">
            <w:pPr>
              <w:jc w:val="center"/>
              <w:rPr>
                <w:color w:val="000000"/>
                <w:sz w:val="22"/>
                <w:lang w:eastAsia="lv-LV"/>
              </w:rPr>
            </w:pPr>
            <w:r w:rsidRPr="006B7BAB">
              <w:rPr>
                <w:color w:val="000000"/>
                <w:sz w:val="22"/>
                <w:lang w:eastAsia="lv-LV"/>
              </w:rPr>
              <w:t>15</w:t>
            </w:r>
          </w:p>
        </w:tc>
      </w:tr>
      <w:tr w:rsidR="0013050C" w:rsidRPr="006B7BAB" w14:paraId="2597221E" w14:textId="77777777" w:rsidTr="003E4176">
        <w:trPr>
          <w:trHeight w:val="600"/>
        </w:trPr>
        <w:tc>
          <w:tcPr>
            <w:tcW w:w="2268" w:type="dxa"/>
            <w:vMerge/>
            <w:shd w:val="clear" w:color="auto" w:fill="auto"/>
            <w:noWrap/>
            <w:vAlign w:val="bottom"/>
            <w:hideMark/>
          </w:tcPr>
          <w:p w14:paraId="303907F7" w14:textId="77777777" w:rsidR="0013050C" w:rsidRPr="006B7BAB" w:rsidRDefault="0013050C" w:rsidP="00FE6DA5">
            <w:pPr>
              <w:rPr>
                <w:color w:val="000000"/>
                <w:sz w:val="22"/>
                <w:lang w:eastAsia="lv-LV"/>
              </w:rPr>
            </w:pPr>
          </w:p>
        </w:tc>
        <w:tc>
          <w:tcPr>
            <w:tcW w:w="1843" w:type="dxa"/>
            <w:vMerge/>
            <w:shd w:val="clear" w:color="auto" w:fill="auto"/>
            <w:noWrap/>
            <w:vAlign w:val="bottom"/>
            <w:hideMark/>
          </w:tcPr>
          <w:p w14:paraId="16F35C6F" w14:textId="77777777" w:rsidR="0013050C" w:rsidRPr="006B7BAB" w:rsidRDefault="0013050C" w:rsidP="00FE6DA5">
            <w:pPr>
              <w:rPr>
                <w:color w:val="000000"/>
                <w:sz w:val="22"/>
                <w:lang w:eastAsia="lv-LV"/>
              </w:rPr>
            </w:pPr>
          </w:p>
        </w:tc>
        <w:tc>
          <w:tcPr>
            <w:tcW w:w="1329" w:type="dxa"/>
            <w:shd w:val="clear" w:color="auto" w:fill="auto"/>
            <w:noWrap/>
            <w:vAlign w:val="center"/>
            <w:hideMark/>
          </w:tcPr>
          <w:p w14:paraId="112DCFAA" w14:textId="77777777" w:rsidR="0013050C" w:rsidRPr="006B7BAB" w:rsidRDefault="0013050C" w:rsidP="00E30034">
            <w:pPr>
              <w:jc w:val="center"/>
              <w:rPr>
                <w:color w:val="000000"/>
                <w:sz w:val="22"/>
                <w:lang w:eastAsia="lv-LV"/>
              </w:rPr>
            </w:pPr>
            <w:r w:rsidRPr="006B7BAB">
              <w:rPr>
                <w:color w:val="000000"/>
                <w:sz w:val="22"/>
                <w:lang w:eastAsia="lv-LV"/>
              </w:rPr>
              <w:t>43522</w:t>
            </w:r>
          </w:p>
        </w:tc>
        <w:tc>
          <w:tcPr>
            <w:tcW w:w="2611" w:type="dxa"/>
            <w:shd w:val="clear" w:color="auto" w:fill="auto"/>
            <w:vAlign w:val="bottom"/>
            <w:hideMark/>
          </w:tcPr>
          <w:p w14:paraId="25846F39" w14:textId="77777777" w:rsidR="0013050C" w:rsidRPr="006B7BAB" w:rsidRDefault="0013050C" w:rsidP="00FE6DA5">
            <w:pPr>
              <w:rPr>
                <w:color w:val="000000"/>
                <w:sz w:val="22"/>
                <w:lang w:eastAsia="lv-LV"/>
              </w:rPr>
            </w:pPr>
            <w:r w:rsidRPr="006B7BAB">
              <w:rPr>
                <w:color w:val="000000"/>
                <w:sz w:val="22"/>
                <w:lang w:eastAsia="lv-LV"/>
              </w:rPr>
              <w:t>Enerģētika un elektrotehnika</w:t>
            </w:r>
          </w:p>
        </w:tc>
        <w:tc>
          <w:tcPr>
            <w:tcW w:w="788" w:type="dxa"/>
            <w:shd w:val="clear" w:color="auto" w:fill="auto"/>
            <w:noWrap/>
            <w:vAlign w:val="bottom"/>
            <w:hideMark/>
          </w:tcPr>
          <w:p w14:paraId="64AB959A" w14:textId="77777777" w:rsidR="0013050C" w:rsidRPr="006B7BAB" w:rsidRDefault="0013050C" w:rsidP="00FE6DA5">
            <w:pPr>
              <w:jc w:val="center"/>
              <w:rPr>
                <w:color w:val="000000"/>
                <w:sz w:val="22"/>
                <w:lang w:eastAsia="lv-LV"/>
              </w:rPr>
            </w:pPr>
            <w:r w:rsidRPr="006B7BAB">
              <w:rPr>
                <w:color w:val="000000"/>
                <w:sz w:val="22"/>
                <w:lang w:eastAsia="lv-LV"/>
              </w:rPr>
              <w:t>10</w:t>
            </w:r>
          </w:p>
        </w:tc>
      </w:tr>
      <w:tr w:rsidR="00016798" w:rsidRPr="006B7BAB" w14:paraId="044161D8" w14:textId="77777777" w:rsidTr="003E4176">
        <w:trPr>
          <w:trHeight w:val="469"/>
        </w:trPr>
        <w:tc>
          <w:tcPr>
            <w:tcW w:w="8051" w:type="dxa"/>
            <w:gridSpan w:val="4"/>
            <w:shd w:val="clear" w:color="auto" w:fill="auto"/>
            <w:noWrap/>
            <w:vAlign w:val="center"/>
          </w:tcPr>
          <w:p w14:paraId="3204A554" w14:textId="77777777" w:rsidR="00016798" w:rsidRPr="00016798" w:rsidRDefault="00E30034" w:rsidP="00E30034">
            <w:pPr>
              <w:jc w:val="right"/>
              <w:rPr>
                <w:b/>
                <w:color w:val="000000"/>
                <w:sz w:val="22"/>
                <w:lang w:eastAsia="lv-LV"/>
              </w:rPr>
            </w:pPr>
            <w:r w:rsidRPr="00FE6DA5">
              <w:rPr>
                <w:b/>
                <w:color w:val="000000"/>
                <w:sz w:val="22"/>
                <w:lang w:eastAsia="lv-LV"/>
              </w:rPr>
              <w:t>Kopā</w:t>
            </w:r>
            <w:r>
              <w:rPr>
                <w:b/>
                <w:color w:val="000000"/>
                <w:sz w:val="22"/>
                <w:lang w:eastAsia="lv-LV"/>
              </w:rPr>
              <w:t xml:space="preserve"> RTU </w:t>
            </w:r>
            <w:proofErr w:type="spellStart"/>
            <w:r>
              <w:rPr>
                <w:b/>
                <w:color w:val="000000"/>
                <w:sz w:val="22"/>
                <w:lang w:eastAsia="lv-LV"/>
              </w:rPr>
              <w:t>Cēsu</w:t>
            </w:r>
            <w:proofErr w:type="spellEnd"/>
            <w:r>
              <w:rPr>
                <w:b/>
                <w:color w:val="000000"/>
                <w:sz w:val="22"/>
                <w:lang w:eastAsia="lv-LV"/>
              </w:rPr>
              <w:t xml:space="preserve"> filiāle</w:t>
            </w:r>
          </w:p>
        </w:tc>
        <w:tc>
          <w:tcPr>
            <w:tcW w:w="788" w:type="dxa"/>
            <w:shd w:val="clear" w:color="auto" w:fill="auto"/>
            <w:noWrap/>
            <w:vAlign w:val="center"/>
          </w:tcPr>
          <w:p w14:paraId="7747457A" w14:textId="77777777" w:rsidR="00016798" w:rsidRPr="00016798" w:rsidRDefault="00016798" w:rsidP="00E30034">
            <w:pPr>
              <w:jc w:val="center"/>
              <w:rPr>
                <w:b/>
                <w:color w:val="000000"/>
                <w:sz w:val="22"/>
                <w:lang w:eastAsia="lv-LV"/>
              </w:rPr>
            </w:pPr>
            <w:r w:rsidRPr="00016798">
              <w:rPr>
                <w:b/>
                <w:color w:val="000000"/>
                <w:sz w:val="22"/>
                <w:lang w:eastAsia="lv-LV"/>
              </w:rPr>
              <w:t>25</w:t>
            </w:r>
          </w:p>
        </w:tc>
      </w:tr>
      <w:tr w:rsidR="00FE6DA5" w:rsidRPr="006B7BAB" w14:paraId="3EAA1F1A" w14:textId="77777777" w:rsidTr="003E4176">
        <w:trPr>
          <w:trHeight w:val="600"/>
        </w:trPr>
        <w:tc>
          <w:tcPr>
            <w:tcW w:w="2268" w:type="dxa"/>
            <w:vMerge w:val="restart"/>
            <w:shd w:val="clear" w:color="auto" w:fill="auto"/>
            <w:noWrap/>
            <w:vAlign w:val="center"/>
            <w:hideMark/>
          </w:tcPr>
          <w:p w14:paraId="5B534D25" w14:textId="77777777" w:rsidR="00FE6DA5" w:rsidRPr="006B7BAB" w:rsidRDefault="00FE6DA5" w:rsidP="00FE6DA5">
            <w:pPr>
              <w:jc w:val="center"/>
              <w:rPr>
                <w:color w:val="000000"/>
                <w:sz w:val="22"/>
                <w:lang w:eastAsia="lv-LV"/>
              </w:rPr>
            </w:pPr>
            <w:r w:rsidRPr="006B7BAB">
              <w:rPr>
                <w:color w:val="000000"/>
                <w:sz w:val="22"/>
                <w:lang w:eastAsia="lv-LV"/>
              </w:rPr>
              <w:t>Rīgas Tehniskā universitāte</w:t>
            </w:r>
          </w:p>
          <w:p w14:paraId="25C36EB1" w14:textId="77777777" w:rsidR="00FE6DA5" w:rsidRPr="006B7BAB" w:rsidRDefault="00FE6DA5" w:rsidP="00FE6DA5">
            <w:pPr>
              <w:jc w:val="center"/>
              <w:rPr>
                <w:color w:val="000000"/>
                <w:sz w:val="22"/>
                <w:lang w:eastAsia="lv-LV"/>
              </w:rPr>
            </w:pPr>
          </w:p>
        </w:tc>
        <w:tc>
          <w:tcPr>
            <w:tcW w:w="1843" w:type="dxa"/>
            <w:vMerge w:val="restart"/>
            <w:shd w:val="clear" w:color="auto" w:fill="auto"/>
            <w:noWrap/>
            <w:vAlign w:val="center"/>
            <w:hideMark/>
          </w:tcPr>
          <w:p w14:paraId="557A4581" w14:textId="77777777" w:rsidR="00FE6DA5" w:rsidRPr="006B7BAB" w:rsidRDefault="00FE6DA5" w:rsidP="00FE6DA5">
            <w:pPr>
              <w:jc w:val="center"/>
              <w:rPr>
                <w:color w:val="000000"/>
                <w:sz w:val="22"/>
                <w:lang w:eastAsia="lv-LV"/>
              </w:rPr>
            </w:pPr>
            <w:r>
              <w:rPr>
                <w:color w:val="000000"/>
                <w:sz w:val="22"/>
                <w:lang w:eastAsia="lv-LV"/>
              </w:rPr>
              <w:lastRenderedPageBreak/>
              <w:t>Daugavpils</w:t>
            </w:r>
          </w:p>
          <w:p w14:paraId="4EC95176" w14:textId="77777777" w:rsidR="00FE6DA5" w:rsidRPr="006B7BAB" w:rsidRDefault="00FE6DA5" w:rsidP="00FE6DA5">
            <w:pPr>
              <w:jc w:val="center"/>
              <w:rPr>
                <w:color w:val="000000"/>
                <w:sz w:val="22"/>
                <w:lang w:eastAsia="lv-LV"/>
              </w:rPr>
            </w:pPr>
          </w:p>
        </w:tc>
        <w:tc>
          <w:tcPr>
            <w:tcW w:w="1329" w:type="dxa"/>
            <w:shd w:val="clear" w:color="auto" w:fill="auto"/>
            <w:noWrap/>
            <w:vAlign w:val="center"/>
            <w:hideMark/>
          </w:tcPr>
          <w:p w14:paraId="1C46EF6A" w14:textId="77777777" w:rsidR="00FE6DA5" w:rsidRPr="006B7BAB" w:rsidRDefault="00FE6DA5" w:rsidP="00E30034">
            <w:pPr>
              <w:jc w:val="center"/>
              <w:rPr>
                <w:color w:val="000000"/>
                <w:sz w:val="22"/>
                <w:lang w:eastAsia="lv-LV"/>
              </w:rPr>
            </w:pPr>
            <w:r w:rsidRPr="006B7BAB">
              <w:rPr>
                <w:color w:val="000000"/>
                <w:sz w:val="22"/>
                <w:lang w:eastAsia="lv-LV"/>
              </w:rPr>
              <w:t>43523</w:t>
            </w:r>
          </w:p>
        </w:tc>
        <w:tc>
          <w:tcPr>
            <w:tcW w:w="2611" w:type="dxa"/>
            <w:shd w:val="clear" w:color="auto" w:fill="auto"/>
            <w:vAlign w:val="center"/>
            <w:hideMark/>
          </w:tcPr>
          <w:p w14:paraId="685B7D49" w14:textId="77777777" w:rsidR="00FE6DA5" w:rsidRPr="006B7BAB" w:rsidRDefault="00FE6DA5" w:rsidP="00E30034">
            <w:pPr>
              <w:jc w:val="left"/>
              <w:rPr>
                <w:color w:val="000000"/>
                <w:sz w:val="22"/>
                <w:lang w:eastAsia="lv-LV"/>
              </w:rPr>
            </w:pPr>
            <w:r w:rsidRPr="006B7BAB">
              <w:rPr>
                <w:color w:val="000000"/>
                <w:sz w:val="22"/>
                <w:lang w:eastAsia="lv-LV"/>
              </w:rPr>
              <w:t>Automātika un datortehnika</w:t>
            </w:r>
          </w:p>
        </w:tc>
        <w:tc>
          <w:tcPr>
            <w:tcW w:w="788" w:type="dxa"/>
            <w:shd w:val="clear" w:color="auto" w:fill="auto"/>
            <w:noWrap/>
            <w:vAlign w:val="center"/>
            <w:hideMark/>
          </w:tcPr>
          <w:p w14:paraId="18E25A2D" w14:textId="77777777" w:rsidR="00FE6DA5" w:rsidRPr="006B7BAB" w:rsidRDefault="00FE6DA5" w:rsidP="00E30034">
            <w:pPr>
              <w:jc w:val="center"/>
              <w:rPr>
                <w:color w:val="000000"/>
                <w:sz w:val="22"/>
                <w:lang w:eastAsia="lv-LV"/>
              </w:rPr>
            </w:pPr>
            <w:r w:rsidRPr="006B7BAB">
              <w:rPr>
                <w:color w:val="000000"/>
                <w:sz w:val="22"/>
                <w:lang w:eastAsia="lv-LV"/>
              </w:rPr>
              <w:t>5</w:t>
            </w:r>
          </w:p>
        </w:tc>
      </w:tr>
      <w:tr w:rsidR="00FE6DA5" w:rsidRPr="006B7BAB" w14:paraId="7E0FAE1E" w14:textId="77777777" w:rsidTr="003E4176">
        <w:trPr>
          <w:trHeight w:val="300"/>
        </w:trPr>
        <w:tc>
          <w:tcPr>
            <w:tcW w:w="2268" w:type="dxa"/>
            <w:vMerge/>
            <w:shd w:val="clear" w:color="auto" w:fill="auto"/>
            <w:noWrap/>
            <w:vAlign w:val="bottom"/>
            <w:hideMark/>
          </w:tcPr>
          <w:p w14:paraId="1F780F79"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5BF6656E"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169E09F3" w14:textId="77777777" w:rsidR="00FE6DA5" w:rsidRPr="006B7BAB" w:rsidRDefault="00FE6DA5" w:rsidP="00E30034">
            <w:pPr>
              <w:jc w:val="center"/>
              <w:rPr>
                <w:color w:val="000000"/>
                <w:sz w:val="22"/>
                <w:lang w:eastAsia="lv-LV"/>
              </w:rPr>
            </w:pPr>
            <w:r w:rsidRPr="006B7BAB">
              <w:rPr>
                <w:color w:val="000000"/>
                <w:sz w:val="22"/>
                <w:lang w:eastAsia="lv-LV"/>
              </w:rPr>
              <w:t>42525</w:t>
            </w:r>
          </w:p>
        </w:tc>
        <w:tc>
          <w:tcPr>
            <w:tcW w:w="2611" w:type="dxa"/>
            <w:shd w:val="clear" w:color="auto" w:fill="auto"/>
            <w:vAlign w:val="center"/>
            <w:hideMark/>
          </w:tcPr>
          <w:p w14:paraId="47F072B6" w14:textId="77777777" w:rsidR="00FE6DA5" w:rsidRPr="006B7BAB" w:rsidRDefault="00FE6DA5" w:rsidP="00E30034">
            <w:pPr>
              <w:jc w:val="left"/>
              <w:rPr>
                <w:color w:val="000000"/>
                <w:sz w:val="22"/>
                <w:lang w:eastAsia="lv-LV"/>
              </w:rPr>
            </w:pPr>
            <w:r w:rsidRPr="006B7BAB">
              <w:rPr>
                <w:color w:val="000000"/>
                <w:sz w:val="22"/>
                <w:lang w:eastAsia="lv-LV"/>
              </w:rPr>
              <w:t>Automobiļu transports</w:t>
            </w:r>
          </w:p>
        </w:tc>
        <w:tc>
          <w:tcPr>
            <w:tcW w:w="788" w:type="dxa"/>
            <w:shd w:val="clear" w:color="auto" w:fill="auto"/>
            <w:noWrap/>
            <w:vAlign w:val="center"/>
            <w:hideMark/>
          </w:tcPr>
          <w:p w14:paraId="6E6D9C3C" w14:textId="77777777" w:rsidR="00FE6DA5" w:rsidRPr="006B7BAB" w:rsidRDefault="00FE6DA5" w:rsidP="00E30034">
            <w:pPr>
              <w:jc w:val="center"/>
              <w:rPr>
                <w:color w:val="000000"/>
                <w:sz w:val="22"/>
                <w:lang w:eastAsia="lv-LV"/>
              </w:rPr>
            </w:pPr>
            <w:r w:rsidRPr="006B7BAB">
              <w:rPr>
                <w:color w:val="000000"/>
                <w:sz w:val="22"/>
                <w:lang w:eastAsia="lv-LV"/>
              </w:rPr>
              <w:t>5</w:t>
            </w:r>
          </w:p>
        </w:tc>
      </w:tr>
      <w:tr w:rsidR="00FE6DA5" w:rsidRPr="006B7BAB" w14:paraId="105D47ED" w14:textId="77777777" w:rsidTr="003E4176">
        <w:trPr>
          <w:trHeight w:val="300"/>
        </w:trPr>
        <w:tc>
          <w:tcPr>
            <w:tcW w:w="2268" w:type="dxa"/>
            <w:vMerge/>
            <w:shd w:val="clear" w:color="auto" w:fill="auto"/>
            <w:noWrap/>
            <w:vAlign w:val="bottom"/>
            <w:hideMark/>
          </w:tcPr>
          <w:p w14:paraId="3A97ACB6"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67C986AD"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39407C68" w14:textId="77777777" w:rsidR="00FE6DA5" w:rsidRPr="006B7BAB" w:rsidRDefault="00FE6DA5" w:rsidP="00E30034">
            <w:pPr>
              <w:jc w:val="center"/>
              <w:rPr>
                <w:color w:val="000000"/>
                <w:sz w:val="22"/>
                <w:lang w:eastAsia="lv-LV"/>
              </w:rPr>
            </w:pPr>
            <w:r w:rsidRPr="006B7BAB">
              <w:rPr>
                <w:color w:val="000000"/>
                <w:sz w:val="22"/>
                <w:lang w:eastAsia="lv-LV"/>
              </w:rPr>
              <w:t>41582</w:t>
            </w:r>
          </w:p>
        </w:tc>
        <w:tc>
          <w:tcPr>
            <w:tcW w:w="2611" w:type="dxa"/>
            <w:shd w:val="clear" w:color="auto" w:fill="auto"/>
            <w:vAlign w:val="center"/>
            <w:hideMark/>
          </w:tcPr>
          <w:p w14:paraId="79F16849" w14:textId="77777777" w:rsidR="00FE6DA5" w:rsidRPr="006B7BAB" w:rsidRDefault="00FE6DA5" w:rsidP="00E30034">
            <w:pPr>
              <w:jc w:val="left"/>
              <w:rPr>
                <w:color w:val="000000"/>
                <w:sz w:val="22"/>
                <w:lang w:eastAsia="lv-LV"/>
              </w:rPr>
            </w:pPr>
            <w:r w:rsidRPr="006B7BAB">
              <w:rPr>
                <w:color w:val="000000"/>
                <w:sz w:val="22"/>
                <w:lang w:eastAsia="lv-LV"/>
              </w:rPr>
              <w:t>Būvdarbu vadīšana</w:t>
            </w:r>
          </w:p>
        </w:tc>
        <w:tc>
          <w:tcPr>
            <w:tcW w:w="788" w:type="dxa"/>
            <w:shd w:val="clear" w:color="auto" w:fill="auto"/>
            <w:noWrap/>
            <w:vAlign w:val="center"/>
            <w:hideMark/>
          </w:tcPr>
          <w:p w14:paraId="3D3AB5CD" w14:textId="77777777" w:rsidR="00FE6DA5" w:rsidRPr="006B7BAB" w:rsidRDefault="00FE6DA5" w:rsidP="00E30034">
            <w:pPr>
              <w:jc w:val="center"/>
              <w:rPr>
                <w:color w:val="000000"/>
                <w:sz w:val="22"/>
                <w:lang w:eastAsia="lv-LV"/>
              </w:rPr>
            </w:pPr>
            <w:r w:rsidRPr="006B7BAB">
              <w:rPr>
                <w:color w:val="000000"/>
                <w:sz w:val="22"/>
                <w:lang w:eastAsia="lv-LV"/>
              </w:rPr>
              <w:t>21</w:t>
            </w:r>
          </w:p>
        </w:tc>
      </w:tr>
      <w:tr w:rsidR="00FE6DA5" w:rsidRPr="006B7BAB" w14:paraId="0CDF1396" w14:textId="77777777" w:rsidTr="003E4176">
        <w:trPr>
          <w:trHeight w:val="300"/>
        </w:trPr>
        <w:tc>
          <w:tcPr>
            <w:tcW w:w="2268" w:type="dxa"/>
            <w:vMerge/>
            <w:shd w:val="clear" w:color="auto" w:fill="auto"/>
            <w:noWrap/>
            <w:vAlign w:val="bottom"/>
            <w:hideMark/>
          </w:tcPr>
          <w:p w14:paraId="659D0964"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547E274E"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06B6BD59" w14:textId="77777777" w:rsidR="00FE6DA5" w:rsidRPr="006B7BAB" w:rsidRDefault="00FE6DA5" w:rsidP="00E30034">
            <w:pPr>
              <w:jc w:val="center"/>
              <w:rPr>
                <w:color w:val="000000"/>
                <w:sz w:val="22"/>
                <w:lang w:eastAsia="lv-LV"/>
              </w:rPr>
            </w:pPr>
            <w:r w:rsidRPr="006B7BAB">
              <w:rPr>
                <w:color w:val="000000"/>
                <w:sz w:val="22"/>
                <w:lang w:eastAsia="lv-LV"/>
              </w:rPr>
              <w:t>43481</w:t>
            </w:r>
          </w:p>
        </w:tc>
        <w:tc>
          <w:tcPr>
            <w:tcW w:w="2611" w:type="dxa"/>
            <w:shd w:val="clear" w:color="auto" w:fill="auto"/>
            <w:vAlign w:val="center"/>
            <w:hideMark/>
          </w:tcPr>
          <w:p w14:paraId="2B8AA2ED" w14:textId="77777777" w:rsidR="00FE6DA5" w:rsidRPr="006B7BAB" w:rsidRDefault="00FE6DA5" w:rsidP="00E30034">
            <w:pPr>
              <w:jc w:val="left"/>
              <w:rPr>
                <w:color w:val="000000"/>
                <w:sz w:val="22"/>
                <w:lang w:eastAsia="lv-LV"/>
              </w:rPr>
            </w:pPr>
            <w:r w:rsidRPr="006B7BAB">
              <w:rPr>
                <w:color w:val="000000"/>
                <w:sz w:val="22"/>
                <w:lang w:eastAsia="lv-LV"/>
              </w:rPr>
              <w:t>Datorsistēmas</w:t>
            </w:r>
          </w:p>
        </w:tc>
        <w:tc>
          <w:tcPr>
            <w:tcW w:w="788" w:type="dxa"/>
            <w:shd w:val="clear" w:color="auto" w:fill="auto"/>
            <w:noWrap/>
            <w:vAlign w:val="center"/>
            <w:hideMark/>
          </w:tcPr>
          <w:p w14:paraId="00991C4B" w14:textId="77777777" w:rsidR="00FE6DA5" w:rsidRPr="006B7BAB" w:rsidRDefault="00FE6DA5" w:rsidP="00E30034">
            <w:pPr>
              <w:jc w:val="center"/>
              <w:rPr>
                <w:color w:val="000000"/>
                <w:sz w:val="22"/>
                <w:lang w:eastAsia="lv-LV"/>
              </w:rPr>
            </w:pPr>
            <w:r w:rsidRPr="006B7BAB">
              <w:rPr>
                <w:color w:val="000000"/>
                <w:sz w:val="22"/>
                <w:lang w:eastAsia="lv-LV"/>
              </w:rPr>
              <w:t>17</w:t>
            </w:r>
          </w:p>
        </w:tc>
      </w:tr>
      <w:tr w:rsidR="00FE6DA5" w:rsidRPr="006B7BAB" w14:paraId="2043DEB6" w14:textId="77777777" w:rsidTr="003E4176">
        <w:trPr>
          <w:trHeight w:val="300"/>
        </w:trPr>
        <w:tc>
          <w:tcPr>
            <w:tcW w:w="2268" w:type="dxa"/>
            <w:vMerge/>
            <w:shd w:val="clear" w:color="auto" w:fill="auto"/>
            <w:noWrap/>
            <w:vAlign w:val="bottom"/>
            <w:hideMark/>
          </w:tcPr>
          <w:p w14:paraId="64FF06A8"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26AF43F8"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2CCF56AA" w14:textId="77777777" w:rsidR="00FE6DA5" w:rsidRPr="006B7BAB" w:rsidRDefault="00FE6DA5" w:rsidP="00E30034">
            <w:pPr>
              <w:jc w:val="center"/>
              <w:rPr>
                <w:color w:val="000000"/>
                <w:sz w:val="22"/>
                <w:lang w:eastAsia="lv-LV"/>
              </w:rPr>
            </w:pPr>
            <w:r w:rsidRPr="006B7BAB">
              <w:rPr>
                <w:color w:val="000000"/>
                <w:sz w:val="22"/>
                <w:lang w:eastAsia="lv-LV"/>
              </w:rPr>
              <w:t>42525</w:t>
            </w:r>
          </w:p>
        </w:tc>
        <w:tc>
          <w:tcPr>
            <w:tcW w:w="2611" w:type="dxa"/>
            <w:shd w:val="clear" w:color="auto" w:fill="auto"/>
            <w:vAlign w:val="center"/>
            <w:hideMark/>
          </w:tcPr>
          <w:p w14:paraId="293C7BDF" w14:textId="77777777" w:rsidR="00FE6DA5" w:rsidRPr="006B7BAB" w:rsidRDefault="00FE6DA5" w:rsidP="00E30034">
            <w:pPr>
              <w:jc w:val="left"/>
              <w:rPr>
                <w:color w:val="000000"/>
                <w:sz w:val="22"/>
                <w:lang w:eastAsia="lv-LV"/>
              </w:rPr>
            </w:pPr>
            <w:r w:rsidRPr="006B7BAB">
              <w:rPr>
                <w:color w:val="000000"/>
                <w:sz w:val="22"/>
                <w:lang w:eastAsia="lv-LV"/>
              </w:rPr>
              <w:t>Dzelzceļa transports</w:t>
            </w:r>
          </w:p>
        </w:tc>
        <w:tc>
          <w:tcPr>
            <w:tcW w:w="788" w:type="dxa"/>
            <w:shd w:val="clear" w:color="auto" w:fill="auto"/>
            <w:noWrap/>
            <w:vAlign w:val="center"/>
            <w:hideMark/>
          </w:tcPr>
          <w:p w14:paraId="1068D1C3" w14:textId="77777777" w:rsidR="00FE6DA5" w:rsidRPr="006B7BAB" w:rsidRDefault="00FE6DA5" w:rsidP="00E30034">
            <w:pPr>
              <w:jc w:val="center"/>
              <w:rPr>
                <w:color w:val="000000"/>
                <w:sz w:val="22"/>
                <w:lang w:eastAsia="lv-LV"/>
              </w:rPr>
            </w:pPr>
            <w:r w:rsidRPr="006B7BAB">
              <w:rPr>
                <w:color w:val="000000"/>
                <w:sz w:val="22"/>
                <w:lang w:eastAsia="lv-LV"/>
              </w:rPr>
              <w:t>23</w:t>
            </w:r>
          </w:p>
        </w:tc>
      </w:tr>
      <w:tr w:rsidR="00FE6DA5" w:rsidRPr="006B7BAB" w14:paraId="03F01C48" w14:textId="77777777" w:rsidTr="003E4176">
        <w:trPr>
          <w:trHeight w:val="600"/>
        </w:trPr>
        <w:tc>
          <w:tcPr>
            <w:tcW w:w="2268" w:type="dxa"/>
            <w:vMerge/>
            <w:shd w:val="clear" w:color="auto" w:fill="auto"/>
            <w:noWrap/>
            <w:vAlign w:val="bottom"/>
            <w:hideMark/>
          </w:tcPr>
          <w:p w14:paraId="66C3C0C9"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7EC7C299"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508150C8" w14:textId="77777777" w:rsidR="00FE6DA5" w:rsidRPr="006B7BAB" w:rsidRDefault="00FE6DA5" w:rsidP="00E30034">
            <w:pPr>
              <w:jc w:val="center"/>
              <w:rPr>
                <w:color w:val="000000"/>
                <w:sz w:val="22"/>
                <w:lang w:eastAsia="lv-LV"/>
              </w:rPr>
            </w:pPr>
            <w:r w:rsidRPr="006B7BAB">
              <w:rPr>
                <w:color w:val="000000"/>
                <w:sz w:val="22"/>
                <w:lang w:eastAsia="lv-LV"/>
              </w:rPr>
              <w:t>43523</w:t>
            </w:r>
          </w:p>
        </w:tc>
        <w:tc>
          <w:tcPr>
            <w:tcW w:w="2611" w:type="dxa"/>
            <w:shd w:val="clear" w:color="auto" w:fill="auto"/>
            <w:vAlign w:val="center"/>
            <w:hideMark/>
          </w:tcPr>
          <w:p w14:paraId="0C04E366" w14:textId="77777777" w:rsidR="00FE6DA5" w:rsidRPr="006B7BAB" w:rsidRDefault="00FE6DA5" w:rsidP="00E30034">
            <w:pPr>
              <w:jc w:val="left"/>
              <w:rPr>
                <w:color w:val="000000"/>
                <w:sz w:val="22"/>
                <w:lang w:eastAsia="lv-LV"/>
              </w:rPr>
            </w:pPr>
            <w:r w:rsidRPr="006B7BAB">
              <w:rPr>
                <w:color w:val="000000"/>
                <w:sz w:val="22"/>
                <w:lang w:eastAsia="lv-LV"/>
              </w:rPr>
              <w:t>Elektronika un mobilie sakari</w:t>
            </w:r>
          </w:p>
        </w:tc>
        <w:tc>
          <w:tcPr>
            <w:tcW w:w="788" w:type="dxa"/>
            <w:shd w:val="clear" w:color="auto" w:fill="auto"/>
            <w:noWrap/>
            <w:vAlign w:val="center"/>
            <w:hideMark/>
          </w:tcPr>
          <w:p w14:paraId="32947242" w14:textId="77777777" w:rsidR="00FE6DA5" w:rsidRPr="006B7BAB" w:rsidRDefault="00FE6DA5" w:rsidP="00E30034">
            <w:pPr>
              <w:jc w:val="center"/>
              <w:rPr>
                <w:color w:val="000000"/>
                <w:sz w:val="22"/>
                <w:lang w:eastAsia="lv-LV"/>
              </w:rPr>
            </w:pPr>
            <w:r w:rsidRPr="006B7BAB">
              <w:rPr>
                <w:color w:val="000000"/>
                <w:sz w:val="22"/>
                <w:lang w:eastAsia="lv-LV"/>
              </w:rPr>
              <w:t>1</w:t>
            </w:r>
          </w:p>
        </w:tc>
      </w:tr>
      <w:tr w:rsidR="00FE6DA5" w:rsidRPr="006B7BAB" w14:paraId="5FBA23DE" w14:textId="77777777" w:rsidTr="003E4176">
        <w:trPr>
          <w:trHeight w:val="600"/>
        </w:trPr>
        <w:tc>
          <w:tcPr>
            <w:tcW w:w="2268" w:type="dxa"/>
            <w:vMerge/>
            <w:shd w:val="clear" w:color="auto" w:fill="auto"/>
            <w:noWrap/>
            <w:vAlign w:val="bottom"/>
            <w:hideMark/>
          </w:tcPr>
          <w:p w14:paraId="2D79A284"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2E5C69D0"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2A540B75" w14:textId="77777777" w:rsidR="00FE6DA5" w:rsidRPr="006B7BAB" w:rsidRDefault="00FE6DA5" w:rsidP="00E30034">
            <w:pPr>
              <w:jc w:val="center"/>
              <w:rPr>
                <w:color w:val="000000"/>
                <w:sz w:val="22"/>
                <w:lang w:eastAsia="lv-LV"/>
              </w:rPr>
            </w:pPr>
            <w:r w:rsidRPr="006B7BAB">
              <w:rPr>
                <w:color w:val="000000"/>
                <w:sz w:val="22"/>
                <w:lang w:eastAsia="lv-LV"/>
              </w:rPr>
              <w:t>42522</w:t>
            </w:r>
          </w:p>
        </w:tc>
        <w:tc>
          <w:tcPr>
            <w:tcW w:w="2611" w:type="dxa"/>
            <w:shd w:val="clear" w:color="auto" w:fill="auto"/>
            <w:vAlign w:val="center"/>
            <w:hideMark/>
          </w:tcPr>
          <w:p w14:paraId="75485880" w14:textId="77777777" w:rsidR="00FE6DA5" w:rsidRPr="006B7BAB" w:rsidRDefault="00FE6DA5" w:rsidP="00E30034">
            <w:pPr>
              <w:jc w:val="left"/>
              <w:rPr>
                <w:color w:val="000000"/>
                <w:sz w:val="22"/>
                <w:lang w:eastAsia="lv-LV"/>
              </w:rPr>
            </w:pPr>
            <w:proofErr w:type="spellStart"/>
            <w:r w:rsidRPr="006B7BAB">
              <w:rPr>
                <w:color w:val="000000"/>
                <w:sz w:val="22"/>
                <w:lang w:eastAsia="lv-LV"/>
              </w:rPr>
              <w:t>Elektrotehnoloģiju</w:t>
            </w:r>
            <w:proofErr w:type="spellEnd"/>
            <w:r w:rsidRPr="006B7BAB">
              <w:rPr>
                <w:color w:val="000000"/>
                <w:sz w:val="22"/>
                <w:lang w:eastAsia="lv-LV"/>
              </w:rPr>
              <w:t xml:space="preserve"> datorvadība</w:t>
            </w:r>
          </w:p>
        </w:tc>
        <w:tc>
          <w:tcPr>
            <w:tcW w:w="788" w:type="dxa"/>
            <w:shd w:val="clear" w:color="auto" w:fill="auto"/>
            <w:noWrap/>
            <w:vAlign w:val="center"/>
            <w:hideMark/>
          </w:tcPr>
          <w:p w14:paraId="73780DE6" w14:textId="77777777" w:rsidR="00FE6DA5" w:rsidRPr="006B7BAB" w:rsidRDefault="00FE6DA5" w:rsidP="00E30034">
            <w:pPr>
              <w:jc w:val="center"/>
              <w:rPr>
                <w:color w:val="000000"/>
                <w:sz w:val="22"/>
                <w:lang w:eastAsia="lv-LV"/>
              </w:rPr>
            </w:pPr>
            <w:r w:rsidRPr="006B7BAB">
              <w:rPr>
                <w:color w:val="000000"/>
                <w:sz w:val="22"/>
                <w:lang w:eastAsia="lv-LV"/>
              </w:rPr>
              <w:t>3</w:t>
            </w:r>
          </w:p>
        </w:tc>
      </w:tr>
      <w:tr w:rsidR="00FE6DA5" w:rsidRPr="006B7BAB" w14:paraId="00871EC1" w14:textId="77777777" w:rsidTr="003E4176">
        <w:trPr>
          <w:trHeight w:val="600"/>
        </w:trPr>
        <w:tc>
          <w:tcPr>
            <w:tcW w:w="2268" w:type="dxa"/>
            <w:vMerge/>
            <w:shd w:val="clear" w:color="auto" w:fill="auto"/>
            <w:noWrap/>
            <w:vAlign w:val="bottom"/>
            <w:hideMark/>
          </w:tcPr>
          <w:p w14:paraId="02FEEA79"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0875C9E0"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29CE4668" w14:textId="77777777" w:rsidR="00FE6DA5" w:rsidRPr="006B7BAB" w:rsidRDefault="00FE6DA5" w:rsidP="00E30034">
            <w:pPr>
              <w:jc w:val="center"/>
              <w:rPr>
                <w:color w:val="000000"/>
                <w:sz w:val="22"/>
                <w:lang w:eastAsia="lv-LV"/>
              </w:rPr>
            </w:pPr>
            <w:r w:rsidRPr="006B7BAB">
              <w:rPr>
                <w:color w:val="000000"/>
                <w:sz w:val="22"/>
                <w:lang w:eastAsia="lv-LV"/>
              </w:rPr>
              <w:t>43522</w:t>
            </w:r>
          </w:p>
        </w:tc>
        <w:tc>
          <w:tcPr>
            <w:tcW w:w="2611" w:type="dxa"/>
            <w:shd w:val="clear" w:color="auto" w:fill="auto"/>
            <w:vAlign w:val="center"/>
            <w:hideMark/>
          </w:tcPr>
          <w:p w14:paraId="696FDECF" w14:textId="77777777" w:rsidR="00FE6DA5" w:rsidRPr="006B7BAB" w:rsidRDefault="00FE6DA5" w:rsidP="00E30034">
            <w:pPr>
              <w:jc w:val="left"/>
              <w:rPr>
                <w:color w:val="000000"/>
                <w:sz w:val="22"/>
                <w:lang w:eastAsia="lv-LV"/>
              </w:rPr>
            </w:pPr>
            <w:r w:rsidRPr="006B7BAB">
              <w:rPr>
                <w:color w:val="000000"/>
                <w:sz w:val="22"/>
                <w:lang w:eastAsia="lv-LV"/>
              </w:rPr>
              <w:t>Enerģētika un elektrotehnika</w:t>
            </w:r>
          </w:p>
        </w:tc>
        <w:tc>
          <w:tcPr>
            <w:tcW w:w="788" w:type="dxa"/>
            <w:shd w:val="clear" w:color="auto" w:fill="auto"/>
            <w:noWrap/>
            <w:vAlign w:val="center"/>
            <w:hideMark/>
          </w:tcPr>
          <w:p w14:paraId="03C39065" w14:textId="77777777" w:rsidR="00FE6DA5" w:rsidRPr="006B7BAB" w:rsidRDefault="00FE6DA5" w:rsidP="00E30034">
            <w:pPr>
              <w:jc w:val="center"/>
              <w:rPr>
                <w:color w:val="000000"/>
                <w:sz w:val="22"/>
                <w:lang w:eastAsia="lv-LV"/>
              </w:rPr>
            </w:pPr>
            <w:r w:rsidRPr="006B7BAB">
              <w:rPr>
                <w:color w:val="000000"/>
                <w:sz w:val="22"/>
                <w:lang w:eastAsia="lv-LV"/>
              </w:rPr>
              <w:t>33</w:t>
            </w:r>
          </w:p>
        </w:tc>
      </w:tr>
      <w:tr w:rsidR="00FE6DA5" w:rsidRPr="006B7BAB" w14:paraId="7FF5522C" w14:textId="77777777" w:rsidTr="003E4176">
        <w:trPr>
          <w:trHeight w:val="300"/>
        </w:trPr>
        <w:tc>
          <w:tcPr>
            <w:tcW w:w="2268" w:type="dxa"/>
            <w:vMerge/>
            <w:shd w:val="clear" w:color="auto" w:fill="auto"/>
            <w:noWrap/>
            <w:vAlign w:val="bottom"/>
            <w:hideMark/>
          </w:tcPr>
          <w:p w14:paraId="5AB37E18"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32F95076"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219099D5" w14:textId="77777777" w:rsidR="00FE6DA5" w:rsidRPr="006B7BAB" w:rsidRDefault="00FE6DA5" w:rsidP="00E30034">
            <w:pPr>
              <w:jc w:val="center"/>
              <w:rPr>
                <w:color w:val="000000"/>
                <w:sz w:val="22"/>
                <w:lang w:eastAsia="lv-LV"/>
              </w:rPr>
            </w:pPr>
            <w:r w:rsidRPr="006B7BAB">
              <w:rPr>
                <w:color w:val="000000"/>
                <w:sz w:val="22"/>
                <w:lang w:eastAsia="lv-LV"/>
              </w:rPr>
              <w:t>43481</w:t>
            </w:r>
          </w:p>
        </w:tc>
        <w:tc>
          <w:tcPr>
            <w:tcW w:w="2611" w:type="dxa"/>
            <w:shd w:val="clear" w:color="auto" w:fill="auto"/>
            <w:vAlign w:val="center"/>
            <w:hideMark/>
          </w:tcPr>
          <w:p w14:paraId="436A477C" w14:textId="77777777" w:rsidR="00FE6DA5" w:rsidRPr="006B7BAB" w:rsidRDefault="00FE6DA5" w:rsidP="00E30034">
            <w:pPr>
              <w:jc w:val="left"/>
              <w:rPr>
                <w:color w:val="000000"/>
                <w:sz w:val="22"/>
                <w:lang w:eastAsia="lv-LV"/>
              </w:rPr>
            </w:pPr>
            <w:r w:rsidRPr="006B7BAB">
              <w:rPr>
                <w:color w:val="000000"/>
                <w:sz w:val="22"/>
                <w:lang w:eastAsia="lv-LV"/>
              </w:rPr>
              <w:t>Informācijas tehnoloģija</w:t>
            </w:r>
          </w:p>
        </w:tc>
        <w:tc>
          <w:tcPr>
            <w:tcW w:w="788" w:type="dxa"/>
            <w:shd w:val="clear" w:color="auto" w:fill="auto"/>
            <w:noWrap/>
            <w:vAlign w:val="center"/>
            <w:hideMark/>
          </w:tcPr>
          <w:p w14:paraId="5F454858" w14:textId="77777777" w:rsidR="00FE6DA5" w:rsidRPr="006B7BAB" w:rsidRDefault="00FE6DA5" w:rsidP="00E30034">
            <w:pPr>
              <w:jc w:val="center"/>
              <w:rPr>
                <w:color w:val="000000"/>
                <w:sz w:val="22"/>
                <w:lang w:eastAsia="lv-LV"/>
              </w:rPr>
            </w:pPr>
            <w:r w:rsidRPr="006B7BAB">
              <w:rPr>
                <w:color w:val="000000"/>
                <w:sz w:val="22"/>
                <w:lang w:eastAsia="lv-LV"/>
              </w:rPr>
              <w:t>19</w:t>
            </w:r>
          </w:p>
        </w:tc>
      </w:tr>
      <w:tr w:rsidR="00FE6DA5" w:rsidRPr="006B7BAB" w14:paraId="1747F514" w14:textId="77777777" w:rsidTr="003E4176">
        <w:trPr>
          <w:trHeight w:val="600"/>
        </w:trPr>
        <w:tc>
          <w:tcPr>
            <w:tcW w:w="2268" w:type="dxa"/>
            <w:vMerge/>
            <w:shd w:val="clear" w:color="auto" w:fill="auto"/>
            <w:noWrap/>
            <w:vAlign w:val="bottom"/>
            <w:hideMark/>
          </w:tcPr>
          <w:p w14:paraId="015E6C02"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1E622C52"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374B03FB" w14:textId="77777777" w:rsidR="00FE6DA5" w:rsidRPr="006B7BAB" w:rsidRDefault="00FE6DA5" w:rsidP="00E30034">
            <w:pPr>
              <w:jc w:val="center"/>
              <w:rPr>
                <w:color w:val="000000"/>
                <w:sz w:val="22"/>
                <w:lang w:eastAsia="lv-LV"/>
              </w:rPr>
            </w:pPr>
            <w:r w:rsidRPr="006B7BAB">
              <w:rPr>
                <w:color w:val="000000"/>
                <w:sz w:val="22"/>
                <w:lang w:eastAsia="lv-LV"/>
              </w:rPr>
              <w:t>43521</w:t>
            </w:r>
          </w:p>
        </w:tc>
        <w:tc>
          <w:tcPr>
            <w:tcW w:w="2611" w:type="dxa"/>
            <w:shd w:val="clear" w:color="auto" w:fill="auto"/>
            <w:vAlign w:val="center"/>
            <w:hideMark/>
          </w:tcPr>
          <w:p w14:paraId="53E49062" w14:textId="77777777" w:rsidR="00FE6DA5" w:rsidRPr="006B7BAB" w:rsidRDefault="00FE6DA5" w:rsidP="00E30034">
            <w:pPr>
              <w:jc w:val="left"/>
              <w:rPr>
                <w:color w:val="000000"/>
                <w:sz w:val="22"/>
                <w:lang w:eastAsia="lv-LV"/>
              </w:rPr>
            </w:pPr>
            <w:proofErr w:type="spellStart"/>
            <w:r w:rsidRPr="006B7BAB">
              <w:rPr>
                <w:color w:val="000000"/>
                <w:sz w:val="22"/>
                <w:lang w:eastAsia="lv-LV"/>
              </w:rPr>
              <w:t>Inženiertehnika</w:t>
            </w:r>
            <w:proofErr w:type="spellEnd"/>
            <w:r w:rsidRPr="006B7BAB">
              <w:rPr>
                <w:color w:val="000000"/>
                <w:sz w:val="22"/>
                <w:lang w:eastAsia="lv-LV"/>
              </w:rPr>
              <w:t>, mehānika un mašīnbūve</w:t>
            </w:r>
          </w:p>
        </w:tc>
        <w:tc>
          <w:tcPr>
            <w:tcW w:w="788" w:type="dxa"/>
            <w:shd w:val="clear" w:color="auto" w:fill="auto"/>
            <w:noWrap/>
            <w:vAlign w:val="center"/>
            <w:hideMark/>
          </w:tcPr>
          <w:p w14:paraId="0283D9D2" w14:textId="77777777" w:rsidR="00FE6DA5" w:rsidRPr="006B7BAB" w:rsidRDefault="00FE6DA5" w:rsidP="00E30034">
            <w:pPr>
              <w:jc w:val="center"/>
              <w:rPr>
                <w:color w:val="000000"/>
                <w:sz w:val="22"/>
                <w:lang w:eastAsia="lv-LV"/>
              </w:rPr>
            </w:pPr>
            <w:r w:rsidRPr="006B7BAB">
              <w:rPr>
                <w:color w:val="000000"/>
                <w:sz w:val="22"/>
                <w:lang w:eastAsia="lv-LV"/>
              </w:rPr>
              <w:t>3</w:t>
            </w:r>
          </w:p>
        </w:tc>
      </w:tr>
      <w:tr w:rsidR="00FE6DA5" w:rsidRPr="006B7BAB" w14:paraId="68D1F376" w14:textId="77777777" w:rsidTr="003E4176">
        <w:trPr>
          <w:trHeight w:val="300"/>
        </w:trPr>
        <w:tc>
          <w:tcPr>
            <w:tcW w:w="2268" w:type="dxa"/>
            <w:vMerge/>
            <w:shd w:val="clear" w:color="auto" w:fill="auto"/>
            <w:noWrap/>
            <w:vAlign w:val="bottom"/>
            <w:hideMark/>
          </w:tcPr>
          <w:p w14:paraId="3E91C50D"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79416AD2"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5DABF818" w14:textId="77777777" w:rsidR="00FE6DA5" w:rsidRPr="006B7BAB" w:rsidRDefault="00FE6DA5" w:rsidP="00E30034">
            <w:pPr>
              <w:jc w:val="center"/>
              <w:rPr>
                <w:color w:val="000000"/>
                <w:sz w:val="22"/>
                <w:lang w:eastAsia="lv-LV"/>
              </w:rPr>
            </w:pPr>
            <w:r w:rsidRPr="006B7BAB">
              <w:rPr>
                <w:color w:val="000000"/>
                <w:sz w:val="22"/>
                <w:lang w:eastAsia="lv-LV"/>
              </w:rPr>
              <w:t>42521</w:t>
            </w:r>
          </w:p>
        </w:tc>
        <w:tc>
          <w:tcPr>
            <w:tcW w:w="2611" w:type="dxa"/>
            <w:shd w:val="clear" w:color="auto" w:fill="auto"/>
            <w:vAlign w:val="center"/>
            <w:hideMark/>
          </w:tcPr>
          <w:p w14:paraId="295989A9" w14:textId="77777777" w:rsidR="00FE6DA5" w:rsidRPr="006B7BAB" w:rsidRDefault="00FE6DA5" w:rsidP="00E30034">
            <w:pPr>
              <w:jc w:val="left"/>
              <w:rPr>
                <w:color w:val="000000"/>
                <w:sz w:val="22"/>
                <w:lang w:eastAsia="lv-LV"/>
              </w:rPr>
            </w:pPr>
            <w:proofErr w:type="spellStart"/>
            <w:r w:rsidRPr="006B7BAB">
              <w:rPr>
                <w:color w:val="000000"/>
                <w:sz w:val="22"/>
                <w:lang w:eastAsia="lv-LV"/>
              </w:rPr>
              <w:t>Mehatronika</w:t>
            </w:r>
            <w:proofErr w:type="spellEnd"/>
          </w:p>
        </w:tc>
        <w:tc>
          <w:tcPr>
            <w:tcW w:w="788" w:type="dxa"/>
            <w:shd w:val="clear" w:color="auto" w:fill="auto"/>
            <w:noWrap/>
            <w:vAlign w:val="center"/>
            <w:hideMark/>
          </w:tcPr>
          <w:p w14:paraId="6B02E32C" w14:textId="77777777" w:rsidR="00FE6DA5" w:rsidRPr="006B7BAB" w:rsidRDefault="00FE6DA5" w:rsidP="00E30034">
            <w:pPr>
              <w:jc w:val="center"/>
              <w:rPr>
                <w:color w:val="000000"/>
                <w:sz w:val="22"/>
                <w:lang w:eastAsia="lv-LV"/>
              </w:rPr>
            </w:pPr>
            <w:r w:rsidRPr="006B7BAB">
              <w:rPr>
                <w:color w:val="000000"/>
                <w:sz w:val="22"/>
                <w:lang w:eastAsia="lv-LV"/>
              </w:rPr>
              <w:t>7</w:t>
            </w:r>
          </w:p>
        </w:tc>
      </w:tr>
      <w:tr w:rsidR="00FE6DA5" w:rsidRPr="006B7BAB" w14:paraId="1D0BCD6F" w14:textId="77777777" w:rsidTr="003E4176">
        <w:trPr>
          <w:trHeight w:val="600"/>
        </w:trPr>
        <w:tc>
          <w:tcPr>
            <w:tcW w:w="2268" w:type="dxa"/>
            <w:vMerge/>
            <w:shd w:val="clear" w:color="auto" w:fill="auto"/>
            <w:noWrap/>
            <w:vAlign w:val="bottom"/>
            <w:hideMark/>
          </w:tcPr>
          <w:p w14:paraId="5975E609"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1B06BDE4"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6CAF8667" w14:textId="77777777" w:rsidR="00FE6DA5" w:rsidRPr="006B7BAB" w:rsidRDefault="00FE6DA5" w:rsidP="00E30034">
            <w:pPr>
              <w:jc w:val="center"/>
              <w:rPr>
                <w:color w:val="000000"/>
                <w:sz w:val="22"/>
                <w:lang w:eastAsia="lv-LV"/>
              </w:rPr>
            </w:pPr>
            <w:r w:rsidRPr="006B7BAB">
              <w:rPr>
                <w:color w:val="000000"/>
                <w:sz w:val="22"/>
                <w:lang w:eastAsia="lv-LV"/>
              </w:rPr>
              <w:t>42522</w:t>
            </w:r>
          </w:p>
        </w:tc>
        <w:tc>
          <w:tcPr>
            <w:tcW w:w="2611" w:type="dxa"/>
            <w:shd w:val="clear" w:color="auto" w:fill="auto"/>
            <w:vAlign w:val="center"/>
            <w:hideMark/>
          </w:tcPr>
          <w:p w14:paraId="24C40E90" w14:textId="77777777" w:rsidR="00FE6DA5" w:rsidRPr="006B7BAB" w:rsidRDefault="00FE6DA5" w:rsidP="00E30034">
            <w:pPr>
              <w:jc w:val="left"/>
              <w:rPr>
                <w:color w:val="000000"/>
                <w:sz w:val="22"/>
                <w:lang w:eastAsia="lv-LV"/>
              </w:rPr>
            </w:pPr>
            <w:proofErr w:type="spellStart"/>
            <w:r w:rsidRPr="006B7BAB">
              <w:rPr>
                <w:color w:val="000000"/>
                <w:sz w:val="22"/>
                <w:lang w:eastAsia="lv-LV"/>
              </w:rPr>
              <w:t>Siltumenerģētika</w:t>
            </w:r>
            <w:proofErr w:type="spellEnd"/>
            <w:r w:rsidRPr="006B7BAB">
              <w:rPr>
                <w:color w:val="000000"/>
                <w:sz w:val="22"/>
                <w:lang w:eastAsia="lv-LV"/>
              </w:rPr>
              <w:t xml:space="preserve"> un siltumtehnika</w:t>
            </w:r>
          </w:p>
        </w:tc>
        <w:tc>
          <w:tcPr>
            <w:tcW w:w="788" w:type="dxa"/>
            <w:shd w:val="clear" w:color="auto" w:fill="auto"/>
            <w:noWrap/>
            <w:vAlign w:val="center"/>
            <w:hideMark/>
          </w:tcPr>
          <w:p w14:paraId="106F6895" w14:textId="77777777" w:rsidR="00FE6DA5" w:rsidRPr="006B7BAB" w:rsidRDefault="00FE6DA5" w:rsidP="00E30034">
            <w:pPr>
              <w:jc w:val="center"/>
              <w:rPr>
                <w:color w:val="000000"/>
                <w:sz w:val="22"/>
                <w:lang w:eastAsia="lv-LV"/>
              </w:rPr>
            </w:pPr>
            <w:r w:rsidRPr="006B7BAB">
              <w:rPr>
                <w:color w:val="000000"/>
                <w:sz w:val="22"/>
                <w:lang w:eastAsia="lv-LV"/>
              </w:rPr>
              <w:t>13</w:t>
            </w:r>
          </w:p>
        </w:tc>
      </w:tr>
      <w:tr w:rsidR="00FE6DA5" w:rsidRPr="006B7BAB" w14:paraId="08D579E8" w14:textId="77777777" w:rsidTr="003E4176">
        <w:trPr>
          <w:trHeight w:val="300"/>
        </w:trPr>
        <w:tc>
          <w:tcPr>
            <w:tcW w:w="2268" w:type="dxa"/>
            <w:vMerge/>
            <w:shd w:val="clear" w:color="auto" w:fill="auto"/>
            <w:noWrap/>
            <w:vAlign w:val="bottom"/>
            <w:hideMark/>
          </w:tcPr>
          <w:p w14:paraId="68D4E2BB"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4A0AFDBE"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22B54BC0" w14:textId="77777777" w:rsidR="00FE6DA5" w:rsidRPr="006B7BAB" w:rsidRDefault="00FE6DA5" w:rsidP="00E30034">
            <w:pPr>
              <w:jc w:val="center"/>
              <w:rPr>
                <w:color w:val="000000"/>
                <w:sz w:val="22"/>
                <w:lang w:eastAsia="lv-LV"/>
              </w:rPr>
            </w:pPr>
            <w:r w:rsidRPr="006B7BAB">
              <w:rPr>
                <w:color w:val="000000"/>
                <w:sz w:val="22"/>
                <w:lang w:eastAsia="lv-LV"/>
              </w:rPr>
              <w:t>43523</w:t>
            </w:r>
          </w:p>
        </w:tc>
        <w:tc>
          <w:tcPr>
            <w:tcW w:w="2611" w:type="dxa"/>
            <w:shd w:val="clear" w:color="auto" w:fill="auto"/>
            <w:vAlign w:val="center"/>
            <w:hideMark/>
          </w:tcPr>
          <w:p w14:paraId="2027C38B" w14:textId="77777777" w:rsidR="00FE6DA5" w:rsidRPr="006B7BAB" w:rsidRDefault="00FE6DA5" w:rsidP="00E30034">
            <w:pPr>
              <w:jc w:val="left"/>
              <w:rPr>
                <w:color w:val="000000"/>
                <w:sz w:val="22"/>
                <w:lang w:eastAsia="lv-LV"/>
              </w:rPr>
            </w:pPr>
            <w:r w:rsidRPr="006B7BAB">
              <w:rPr>
                <w:color w:val="000000"/>
                <w:sz w:val="22"/>
                <w:lang w:eastAsia="lv-LV"/>
              </w:rPr>
              <w:t>Telekomunikācijas</w:t>
            </w:r>
          </w:p>
        </w:tc>
        <w:tc>
          <w:tcPr>
            <w:tcW w:w="788" w:type="dxa"/>
            <w:shd w:val="clear" w:color="auto" w:fill="auto"/>
            <w:noWrap/>
            <w:vAlign w:val="center"/>
            <w:hideMark/>
          </w:tcPr>
          <w:p w14:paraId="30856737" w14:textId="77777777" w:rsidR="00FE6DA5" w:rsidRPr="006B7BAB" w:rsidRDefault="00FE6DA5" w:rsidP="00E30034">
            <w:pPr>
              <w:jc w:val="center"/>
              <w:rPr>
                <w:color w:val="000000"/>
                <w:sz w:val="22"/>
                <w:lang w:eastAsia="lv-LV"/>
              </w:rPr>
            </w:pPr>
            <w:r w:rsidRPr="006B7BAB">
              <w:rPr>
                <w:color w:val="000000"/>
                <w:sz w:val="22"/>
                <w:lang w:eastAsia="lv-LV"/>
              </w:rPr>
              <w:t>4</w:t>
            </w:r>
          </w:p>
        </w:tc>
      </w:tr>
      <w:tr w:rsidR="00016798" w:rsidRPr="006B7BAB" w14:paraId="73299192" w14:textId="77777777" w:rsidTr="003E4176">
        <w:trPr>
          <w:trHeight w:val="300"/>
        </w:trPr>
        <w:tc>
          <w:tcPr>
            <w:tcW w:w="8051" w:type="dxa"/>
            <w:gridSpan w:val="4"/>
            <w:shd w:val="clear" w:color="auto" w:fill="auto"/>
            <w:noWrap/>
            <w:vAlign w:val="center"/>
          </w:tcPr>
          <w:p w14:paraId="00B2735B" w14:textId="77777777" w:rsidR="00016798" w:rsidRPr="00016798" w:rsidRDefault="00016798" w:rsidP="00E30034">
            <w:pPr>
              <w:jc w:val="right"/>
              <w:rPr>
                <w:b/>
                <w:color w:val="000000"/>
                <w:sz w:val="22"/>
                <w:lang w:eastAsia="lv-LV"/>
              </w:rPr>
            </w:pPr>
            <w:r w:rsidRPr="00016798">
              <w:rPr>
                <w:b/>
                <w:color w:val="000000"/>
                <w:sz w:val="22"/>
                <w:lang w:eastAsia="lv-LV"/>
              </w:rPr>
              <w:t>Kopā</w:t>
            </w:r>
            <w:r w:rsidR="00E30034">
              <w:rPr>
                <w:b/>
                <w:color w:val="000000"/>
                <w:sz w:val="22"/>
                <w:lang w:eastAsia="lv-LV"/>
              </w:rPr>
              <w:t xml:space="preserve"> RTU Daugavpils filiāle </w:t>
            </w:r>
          </w:p>
        </w:tc>
        <w:tc>
          <w:tcPr>
            <w:tcW w:w="788" w:type="dxa"/>
            <w:shd w:val="clear" w:color="auto" w:fill="auto"/>
            <w:noWrap/>
            <w:vAlign w:val="bottom"/>
          </w:tcPr>
          <w:p w14:paraId="590014C4" w14:textId="77777777" w:rsidR="00016798" w:rsidRPr="00016798" w:rsidRDefault="00016798" w:rsidP="00FE6DA5">
            <w:pPr>
              <w:jc w:val="center"/>
              <w:rPr>
                <w:b/>
                <w:color w:val="000000"/>
                <w:sz w:val="22"/>
                <w:lang w:eastAsia="lv-LV"/>
              </w:rPr>
            </w:pPr>
            <w:r w:rsidRPr="00016798">
              <w:rPr>
                <w:b/>
                <w:color w:val="000000"/>
                <w:sz w:val="22"/>
                <w:lang w:eastAsia="lv-LV"/>
              </w:rPr>
              <w:t>154</w:t>
            </w:r>
          </w:p>
        </w:tc>
      </w:tr>
      <w:tr w:rsidR="00FE6DA5" w:rsidRPr="006B7BAB" w14:paraId="1557BE57" w14:textId="77777777" w:rsidTr="003E4176">
        <w:trPr>
          <w:trHeight w:val="300"/>
        </w:trPr>
        <w:tc>
          <w:tcPr>
            <w:tcW w:w="2268" w:type="dxa"/>
            <w:vMerge w:val="restart"/>
            <w:shd w:val="clear" w:color="auto" w:fill="auto"/>
            <w:noWrap/>
            <w:vAlign w:val="center"/>
            <w:hideMark/>
          </w:tcPr>
          <w:p w14:paraId="1CC288B3" w14:textId="77777777" w:rsidR="00FE6DA5" w:rsidRPr="006B7BAB" w:rsidRDefault="00FE6DA5" w:rsidP="00FE6DA5">
            <w:pPr>
              <w:jc w:val="center"/>
              <w:rPr>
                <w:color w:val="000000"/>
                <w:sz w:val="22"/>
                <w:lang w:eastAsia="lv-LV"/>
              </w:rPr>
            </w:pPr>
            <w:r w:rsidRPr="006B7BAB">
              <w:rPr>
                <w:color w:val="000000"/>
                <w:sz w:val="22"/>
                <w:lang w:eastAsia="lv-LV"/>
              </w:rPr>
              <w:t>Rīgas Tehniskā universitāte</w:t>
            </w:r>
          </w:p>
          <w:p w14:paraId="6E02FBD6" w14:textId="77777777" w:rsidR="00FE6DA5" w:rsidRPr="006B7BAB" w:rsidRDefault="00FE6DA5" w:rsidP="00FE6DA5">
            <w:pPr>
              <w:jc w:val="center"/>
              <w:rPr>
                <w:color w:val="000000"/>
                <w:sz w:val="22"/>
                <w:lang w:eastAsia="lv-LV"/>
              </w:rPr>
            </w:pPr>
          </w:p>
        </w:tc>
        <w:tc>
          <w:tcPr>
            <w:tcW w:w="1843" w:type="dxa"/>
            <w:vMerge w:val="restart"/>
            <w:shd w:val="clear" w:color="auto" w:fill="auto"/>
            <w:noWrap/>
            <w:vAlign w:val="center"/>
            <w:hideMark/>
          </w:tcPr>
          <w:p w14:paraId="03844585" w14:textId="77777777" w:rsidR="00FE6DA5" w:rsidRPr="006B7BAB" w:rsidRDefault="00FE6DA5" w:rsidP="00FE6DA5">
            <w:pPr>
              <w:jc w:val="center"/>
              <w:rPr>
                <w:color w:val="000000"/>
                <w:sz w:val="22"/>
                <w:lang w:eastAsia="lv-LV"/>
              </w:rPr>
            </w:pPr>
            <w:r>
              <w:rPr>
                <w:color w:val="000000"/>
                <w:sz w:val="22"/>
                <w:lang w:eastAsia="lv-LV"/>
              </w:rPr>
              <w:t>Ventspils</w:t>
            </w:r>
          </w:p>
          <w:p w14:paraId="046BADB3" w14:textId="77777777" w:rsidR="00FE6DA5" w:rsidRPr="006B7BAB" w:rsidRDefault="00FE6DA5" w:rsidP="00FE6DA5">
            <w:pPr>
              <w:jc w:val="center"/>
              <w:rPr>
                <w:color w:val="000000"/>
                <w:sz w:val="22"/>
                <w:lang w:eastAsia="lv-LV"/>
              </w:rPr>
            </w:pPr>
          </w:p>
        </w:tc>
        <w:tc>
          <w:tcPr>
            <w:tcW w:w="1329" w:type="dxa"/>
            <w:shd w:val="clear" w:color="auto" w:fill="auto"/>
            <w:noWrap/>
            <w:vAlign w:val="center"/>
            <w:hideMark/>
          </w:tcPr>
          <w:p w14:paraId="31F37037" w14:textId="77777777" w:rsidR="00FE6DA5" w:rsidRPr="006B7BAB" w:rsidRDefault="00FE6DA5" w:rsidP="00E30034">
            <w:pPr>
              <w:jc w:val="center"/>
              <w:rPr>
                <w:color w:val="000000"/>
                <w:sz w:val="22"/>
                <w:lang w:eastAsia="lv-LV"/>
              </w:rPr>
            </w:pPr>
            <w:r w:rsidRPr="006B7BAB">
              <w:rPr>
                <w:color w:val="000000"/>
                <w:sz w:val="22"/>
                <w:lang w:eastAsia="lv-LV"/>
              </w:rPr>
              <w:t>42522</w:t>
            </w:r>
          </w:p>
        </w:tc>
        <w:tc>
          <w:tcPr>
            <w:tcW w:w="2611" w:type="dxa"/>
            <w:shd w:val="clear" w:color="auto" w:fill="auto"/>
            <w:vAlign w:val="center"/>
            <w:hideMark/>
          </w:tcPr>
          <w:p w14:paraId="6324ACB2" w14:textId="77777777" w:rsidR="00FE6DA5" w:rsidRPr="006B7BAB" w:rsidRDefault="00FE6DA5" w:rsidP="00E30034">
            <w:pPr>
              <w:jc w:val="left"/>
              <w:rPr>
                <w:color w:val="000000"/>
                <w:sz w:val="22"/>
                <w:lang w:eastAsia="lv-LV"/>
              </w:rPr>
            </w:pPr>
            <w:proofErr w:type="spellStart"/>
            <w:r w:rsidRPr="006B7BAB">
              <w:rPr>
                <w:color w:val="000000"/>
                <w:sz w:val="22"/>
                <w:lang w:eastAsia="lv-LV"/>
              </w:rPr>
              <w:t>Adaptronika</w:t>
            </w:r>
            <w:proofErr w:type="spellEnd"/>
          </w:p>
        </w:tc>
        <w:tc>
          <w:tcPr>
            <w:tcW w:w="788" w:type="dxa"/>
            <w:shd w:val="clear" w:color="auto" w:fill="auto"/>
            <w:noWrap/>
            <w:vAlign w:val="center"/>
            <w:hideMark/>
          </w:tcPr>
          <w:p w14:paraId="110203C8" w14:textId="77777777" w:rsidR="00FE6DA5" w:rsidRPr="006B7BAB" w:rsidRDefault="00FE6DA5" w:rsidP="00E30034">
            <w:pPr>
              <w:jc w:val="center"/>
              <w:rPr>
                <w:color w:val="000000"/>
                <w:sz w:val="22"/>
                <w:lang w:eastAsia="lv-LV"/>
              </w:rPr>
            </w:pPr>
            <w:r w:rsidRPr="006B7BAB">
              <w:rPr>
                <w:color w:val="000000"/>
                <w:sz w:val="22"/>
                <w:lang w:eastAsia="lv-LV"/>
              </w:rPr>
              <w:t>3</w:t>
            </w:r>
          </w:p>
        </w:tc>
      </w:tr>
      <w:tr w:rsidR="00FE6DA5" w:rsidRPr="006B7BAB" w14:paraId="436D8C8D" w14:textId="77777777" w:rsidTr="003E4176">
        <w:trPr>
          <w:trHeight w:val="300"/>
        </w:trPr>
        <w:tc>
          <w:tcPr>
            <w:tcW w:w="2268" w:type="dxa"/>
            <w:vMerge/>
            <w:shd w:val="clear" w:color="auto" w:fill="auto"/>
            <w:noWrap/>
            <w:vAlign w:val="bottom"/>
            <w:hideMark/>
          </w:tcPr>
          <w:p w14:paraId="622DC94C"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11906392"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6B488E49" w14:textId="77777777" w:rsidR="00FE6DA5" w:rsidRPr="006B7BAB" w:rsidRDefault="00FE6DA5" w:rsidP="00E30034">
            <w:pPr>
              <w:jc w:val="center"/>
              <w:rPr>
                <w:color w:val="000000"/>
                <w:sz w:val="22"/>
                <w:lang w:eastAsia="lv-LV"/>
              </w:rPr>
            </w:pPr>
            <w:r w:rsidRPr="006B7BAB">
              <w:rPr>
                <w:color w:val="000000"/>
                <w:sz w:val="22"/>
                <w:lang w:eastAsia="lv-LV"/>
              </w:rPr>
              <w:t>42525</w:t>
            </w:r>
          </w:p>
        </w:tc>
        <w:tc>
          <w:tcPr>
            <w:tcW w:w="2611" w:type="dxa"/>
            <w:shd w:val="clear" w:color="auto" w:fill="auto"/>
            <w:vAlign w:val="center"/>
            <w:hideMark/>
          </w:tcPr>
          <w:p w14:paraId="598773D7" w14:textId="77777777" w:rsidR="00FE6DA5" w:rsidRPr="006B7BAB" w:rsidRDefault="00FE6DA5" w:rsidP="00E30034">
            <w:pPr>
              <w:jc w:val="left"/>
              <w:rPr>
                <w:color w:val="000000"/>
                <w:sz w:val="22"/>
                <w:lang w:eastAsia="lv-LV"/>
              </w:rPr>
            </w:pPr>
            <w:r w:rsidRPr="006B7BAB">
              <w:rPr>
                <w:color w:val="000000"/>
                <w:sz w:val="22"/>
                <w:lang w:eastAsia="lv-LV"/>
              </w:rPr>
              <w:t>Automobiļu transports</w:t>
            </w:r>
          </w:p>
        </w:tc>
        <w:tc>
          <w:tcPr>
            <w:tcW w:w="788" w:type="dxa"/>
            <w:shd w:val="clear" w:color="auto" w:fill="auto"/>
            <w:noWrap/>
            <w:vAlign w:val="center"/>
            <w:hideMark/>
          </w:tcPr>
          <w:p w14:paraId="3C73D98B" w14:textId="77777777" w:rsidR="00FE6DA5" w:rsidRPr="006B7BAB" w:rsidRDefault="00FE6DA5" w:rsidP="00E30034">
            <w:pPr>
              <w:jc w:val="center"/>
              <w:rPr>
                <w:color w:val="000000"/>
                <w:sz w:val="22"/>
                <w:lang w:eastAsia="lv-LV"/>
              </w:rPr>
            </w:pPr>
            <w:r w:rsidRPr="006B7BAB">
              <w:rPr>
                <w:color w:val="000000"/>
                <w:sz w:val="22"/>
                <w:lang w:eastAsia="lv-LV"/>
              </w:rPr>
              <w:t>1</w:t>
            </w:r>
          </w:p>
        </w:tc>
      </w:tr>
      <w:tr w:rsidR="00FE6DA5" w:rsidRPr="006B7BAB" w14:paraId="22E10EA5" w14:textId="77777777" w:rsidTr="003E4176">
        <w:trPr>
          <w:trHeight w:val="300"/>
        </w:trPr>
        <w:tc>
          <w:tcPr>
            <w:tcW w:w="2268" w:type="dxa"/>
            <w:vMerge/>
            <w:shd w:val="clear" w:color="auto" w:fill="auto"/>
            <w:noWrap/>
            <w:vAlign w:val="bottom"/>
            <w:hideMark/>
          </w:tcPr>
          <w:p w14:paraId="5CB5DC01"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47C609F3"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13788539" w14:textId="77777777" w:rsidR="00FE6DA5" w:rsidRPr="006B7BAB" w:rsidRDefault="00FE6DA5" w:rsidP="00E30034">
            <w:pPr>
              <w:jc w:val="center"/>
              <w:rPr>
                <w:color w:val="000000"/>
                <w:sz w:val="22"/>
                <w:lang w:eastAsia="lv-LV"/>
              </w:rPr>
            </w:pPr>
            <w:r w:rsidRPr="006B7BAB">
              <w:rPr>
                <w:color w:val="000000"/>
                <w:sz w:val="22"/>
                <w:lang w:eastAsia="lv-LV"/>
              </w:rPr>
              <w:t>41582</w:t>
            </w:r>
          </w:p>
        </w:tc>
        <w:tc>
          <w:tcPr>
            <w:tcW w:w="2611" w:type="dxa"/>
            <w:shd w:val="clear" w:color="auto" w:fill="auto"/>
            <w:vAlign w:val="center"/>
            <w:hideMark/>
          </w:tcPr>
          <w:p w14:paraId="119B9C4C" w14:textId="77777777" w:rsidR="00FE6DA5" w:rsidRPr="006B7BAB" w:rsidRDefault="00FE6DA5" w:rsidP="00E30034">
            <w:pPr>
              <w:jc w:val="left"/>
              <w:rPr>
                <w:color w:val="000000"/>
                <w:sz w:val="22"/>
                <w:lang w:eastAsia="lv-LV"/>
              </w:rPr>
            </w:pPr>
            <w:r w:rsidRPr="006B7BAB">
              <w:rPr>
                <w:color w:val="000000"/>
                <w:sz w:val="22"/>
                <w:lang w:eastAsia="lv-LV"/>
              </w:rPr>
              <w:t>Būvniecība</w:t>
            </w:r>
          </w:p>
        </w:tc>
        <w:tc>
          <w:tcPr>
            <w:tcW w:w="788" w:type="dxa"/>
            <w:shd w:val="clear" w:color="auto" w:fill="auto"/>
            <w:noWrap/>
            <w:vAlign w:val="center"/>
            <w:hideMark/>
          </w:tcPr>
          <w:p w14:paraId="19C7D91E" w14:textId="77777777" w:rsidR="00FE6DA5" w:rsidRPr="006B7BAB" w:rsidRDefault="00FE6DA5" w:rsidP="00E30034">
            <w:pPr>
              <w:jc w:val="center"/>
              <w:rPr>
                <w:color w:val="000000"/>
                <w:sz w:val="22"/>
                <w:lang w:eastAsia="lv-LV"/>
              </w:rPr>
            </w:pPr>
            <w:r w:rsidRPr="006B7BAB">
              <w:rPr>
                <w:color w:val="000000"/>
                <w:sz w:val="22"/>
                <w:lang w:eastAsia="lv-LV"/>
              </w:rPr>
              <w:t>2</w:t>
            </w:r>
          </w:p>
        </w:tc>
      </w:tr>
      <w:tr w:rsidR="00FE6DA5" w:rsidRPr="006B7BAB" w14:paraId="61878F9A" w14:textId="77777777" w:rsidTr="003E4176">
        <w:trPr>
          <w:trHeight w:val="300"/>
        </w:trPr>
        <w:tc>
          <w:tcPr>
            <w:tcW w:w="2268" w:type="dxa"/>
            <w:vMerge/>
            <w:shd w:val="clear" w:color="auto" w:fill="auto"/>
            <w:noWrap/>
            <w:vAlign w:val="bottom"/>
            <w:hideMark/>
          </w:tcPr>
          <w:p w14:paraId="2EFB9301"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044356A6"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265FC425" w14:textId="77777777" w:rsidR="00FE6DA5" w:rsidRPr="006B7BAB" w:rsidRDefault="00FE6DA5" w:rsidP="00E30034">
            <w:pPr>
              <w:jc w:val="center"/>
              <w:rPr>
                <w:color w:val="000000"/>
                <w:sz w:val="22"/>
                <w:lang w:eastAsia="lv-LV"/>
              </w:rPr>
            </w:pPr>
            <w:r w:rsidRPr="006B7BAB">
              <w:rPr>
                <w:color w:val="000000"/>
                <w:sz w:val="22"/>
                <w:lang w:eastAsia="lv-LV"/>
              </w:rPr>
              <w:t>43481</w:t>
            </w:r>
          </w:p>
        </w:tc>
        <w:tc>
          <w:tcPr>
            <w:tcW w:w="2611" w:type="dxa"/>
            <w:shd w:val="clear" w:color="auto" w:fill="auto"/>
            <w:vAlign w:val="center"/>
            <w:hideMark/>
          </w:tcPr>
          <w:p w14:paraId="42F48EDE" w14:textId="77777777" w:rsidR="00FE6DA5" w:rsidRPr="006B7BAB" w:rsidRDefault="00FE6DA5" w:rsidP="00E30034">
            <w:pPr>
              <w:jc w:val="left"/>
              <w:rPr>
                <w:color w:val="000000"/>
                <w:sz w:val="22"/>
                <w:lang w:eastAsia="lv-LV"/>
              </w:rPr>
            </w:pPr>
            <w:r w:rsidRPr="006B7BAB">
              <w:rPr>
                <w:color w:val="000000"/>
                <w:sz w:val="22"/>
                <w:lang w:eastAsia="lv-LV"/>
              </w:rPr>
              <w:t>Datorsistēmas</w:t>
            </w:r>
          </w:p>
        </w:tc>
        <w:tc>
          <w:tcPr>
            <w:tcW w:w="788" w:type="dxa"/>
            <w:shd w:val="clear" w:color="auto" w:fill="auto"/>
            <w:noWrap/>
            <w:vAlign w:val="center"/>
            <w:hideMark/>
          </w:tcPr>
          <w:p w14:paraId="3B19A2CE" w14:textId="77777777" w:rsidR="00FE6DA5" w:rsidRPr="006B7BAB" w:rsidRDefault="00FE6DA5" w:rsidP="00E30034">
            <w:pPr>
              <w:jc w:val="center"/>
              <w:rPr>
                <w:color w:val="000000"/>
                <w:sz w:val="22"/>
                <w:lang w:eastAsia="lv-LV"/>
              </w:rPr>
            </w:pPr>
            <w:r w:rsidRPr="006B7BAB">
              <w:rPr>
                <w:color w:val="000000"/>
                <w:sz w:val="22"/>
                <w:lang w:eastAsia="lv-LV"/>
              </w:rPr>
              <w:t>5</w:t>
            </w:r>
          </w:p>
        </w:tc>
      </w:tr>
      <w:tr w:rsidR="00FE6DA5" w:rsidRPr="006B7BAB" w14:paraId="32CB24CF" w14:textId="77777777" w:rsidTr="003E4176">
        <w:trPr>
          <w:trHeight w:val="600"/>
        </w:trPr>
        <w:tc>
          <w:tcPr>
            <w:tcW w:w="2268" w:type="dxa"/>
            <w:vMerge/>
            <w:shd w:val="clear" w:color="auto" w:fill="auto"/>
            <w:noWrap/>
            <w:vAlign w:val="bottom"/>
            <w:hideMark/>
          </w:tcPr>
          <w:p w14:paraId="289CEDD3"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275C7A31"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21C868AB" w14:textId="77777777" w:rsidR="00FE6DA5" w:rsidRPr="006B7BAB" w:rsidRDefault="00FE6DA5" w:rsidP="00E30034">
            <w:pPr>
              <w:jc w:val="center"/>
              <w:rPr>
                <w:color w:val="000000"/>
                <w:sz w:val="22"/>
                <w:lang w:eastAsia="lv-LV"/>
              </w:rPr>
            </w:pPr>
            <w:r w:rsidRPr="006B7BAB">
              <w:rPr>
                <w:color w:val="000000"/>
                <w:sz w:val="22"/>
                <w:lang w:eastAsia="lv-LV"/>
              </w:rPr>
              <w:t>43522</w:t>
            </w:r>
          </w:p>
        </w:tc>
        <w:tc>
          <w:tcPr>
            <w:tcW w:w="2611" w:type="dxa"/>
            <w:shd w:val="clear" w:color="auto" w:fill="auto"/>
            <w:vAlign w:val="center"/>
            <w:hideMark/>
          </w:tcPr>
          <w:p w14:paraId="20642ACF" w14:textId="77777777" w:rsidR="00FE6DA5" w:rsidRPr="006B7BAB" w:rsidRDefault="00FE6DA5" w:rsidP="00E30034">
            <w:pPr>
              <w:jc w:val="left"/>
              <w:rPr>
                <w:color w:val="000000"/>
                <w:sz w:val="22"/>
                <w:lang w:eastAsia="lv-LV"/>
              </w:rPr>
            </w:pPr>
            <w:r w:rsidRPr="006B7BAB">
              <w:rPr>
                <w:color w:val="000000"/>
                <w:sz w:val="22"/>
                <w:lang w:eastAsia="lv-LV"/>
              </w:rPr>
              <w:t>Enerģētika un elektrotehnika</w:t>
            </w:r>
          </w:p>
        </w:tc>
        <w:tc>
          <w:tcPr>
            <w:tcW w:w="788" w:type="dxa"/>
            <w:shd w:val="clear" w:color="auto" w:fill="auto"/>
            <w:noWrap/>
            <w:vAlign w:val="center"/>
            <w:hideMark/>
          </w:tcPr>
          <w:p w14:paraId="3DCB1400" w14:textId="77777777" w:rsidR="00FE6DA5" w:rsidRPr="006B7BAB" w:rsidRDefault="00FE6DA5" w:rsidP="00E30034">
            <w:pPr>
              <w:jc w:val="center"/>
              <w:rPr>
                <w:color w:val="000000"/>
                <w:sz w:val="22"/>
                <w:lang w:eastAsia="lv-LV"/>
              </w:rPr>
            </w:pPr>
            <w:r w:rsidRPr="006B7BAB">
              <w:rPr>
                <w:color w:val="000000"/>
                <w:sz w:val="22"/>
                <w:lang w:eastAsia="lv-LV"/>
              </w:rPr>
              <w:t>5</w:t>
            </w:r>
          </w:p>
        </w:tc>
      </w:tr>
      <w:tr w:rsidR="00FE6DA5" w:rsidRPr="006B7BAB" w14:paraId="3524709B" w14:textId="77777777" w:rsidTr="003E4176">
        <w:trPr>
          <w:trHeight w:val="300"/>
        </w:trPr>
        <w:tc>
          <w:tcPr>
            <w:tcW w:w="2268" w:type="dxa"/>
            <w:vMerge/>
            <w:shd w:val="clear" w:color="auto" w:fill="auto"/>
            <w:noWrap/>
            <w:vAlign w:val="bottom"/>
            <w:hideMark/>
          </w:tcPr>
          <w:p w14:paraId="364FE6C0"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32542D84"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6262EBA8" w14:textId="77777777" w:rsidR="00FE6DA5" w:rsidRPr="006B7BAB" w:rsidRDefault="00FE6DA5" w:rsidP="00E30034">
            <w:pPr>
              <w:jc w:val="center"/>
              <w:rPr>
                <w:color w:val="000000"/>
                <w:sz w:val="22"/>
                <w:lang w:eastAsia="lv-LV"/>
              </w:rPr>
            </w:pPr>
            <w:r w:rsidRPr="006B7BAB">
              <w:rPr>
                <w:color w:val="000000"/>
                <w:sz w:val="22"/>
                <w:lang w:eastAsia="lv-LV"/>
              </w:rPr>
              <w:t>42460</w:t>
            </w:r>
          </w:p>
        </w:tc>
        <w:tc>
          <w:tcPr>
            <w:tcW w:w="2611" w:type="dxa"/>
            <w:shd w:val="clear" w:color="auto" w:fill="auto"/>
            <w:vAlign w:val="center"/>
            <w:hideMark/>
          </w:tcPr>
          <w:p w14:paraId="07F7698C" w14:textId="77777777" w:rsidR="00FE6DA5" w:rsidRPr="006B7BAB" w:rsidRDefault="00FE6DA5" w:rsidP="00E30034">
            <w:pPr>
              <w:jc w:val="left"/>
              <w:rPr>
                <w:color w:val="000000"/>
                <w:sz w:val="22"/>
                <w:lang w:eastAsia="lv-LV"/>
              </w:rPr>
            </w:pPr>
            <w:r w:rsidRPr="006B7BAB">
              <w:rPr>
                <w:color w:val="000000"/>
                <w:sz w:val="22"/>
                <w:lang w:eastAsia="lv-LV"/>
              </w:rPr>
              <w:t>Finanšu inženierija</w:t>
            </w:r>
          </w:p>
        </w:tc>
        <w:tc>
          <w:tcPr>
            <w:tcW w:w="788" w:type="dxa"/>
            <w:shd w:val="clear" w:color="auto" w:fill="auto"/>
            <w:noWrap/>
            <w:vAlign w:val="center"/>
            <w:hideMark/>
          </w:tcPr>
          <w:p w14:paraId="3998C759" w14:textId="77777777" w:rsidR="00FE6DA5" w:rsidRPr="006B7BAB" w:rsidRDefault="00FE6DA5" w:rsidP="00E30034">
            <w:pPr>
              <w:jc w:val="center"/>
              <w:rPr>
                <w:color w:val="000000"/>
                <w:sz w:val="22"/>
                <w:lang w:eastAsia="lv-LV"/>
              </w:rPr>
            </w:pPr>
            <w:r w:rsidRPr="006B7BAB">
              <w:rPr>
                <w:color w:val="000000"/>
                <w:sz w:val="22"/>
                <w:lang w:eastAsia="lv-LV"/>
              </w:rPr>
              <w:t>3</w:t>
            </w:r>
          </w:p>
        </w:tc>
      </w:tr>
      <w:tr w:rsidR="00FE6DA5" w:rsidRPr="006B7BAB" w14:paraId="43E4F9C4" w14:textId="77777777" w:rsidTr="003E4176">
        <w:trPr>
          <w:trHeight w:val="600"/>
        </w:trPr>
        <w:tc>
          <w:tcPr>
            <w:tcW w:w="2268" w:type="dxa"/>
            <w:vMerge/>
            <w:shd w:val="clear" w:color="auto" w:fill="auto"/>
            <w:noWrap/>
            <w:vAlign w:val="bottom"/>
            <w:hideMark/>
          </w:tcPr>
          <w:p w14:paraId="5200CAE4"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03746BD7"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2459D6DF" w14:textId="77777777" w:rsidR="00FE6DA5" w:rsidRPr="006B7BAB" w:rsidRDefault="00FE6DA5" w:rsidP="00E30034">
            <w:pPr>
              <w:jc w:val="center"/>
              <w:rPr>
                <w:color w:val="000000"/>
                <w:sz w:val="22"/>
                <w:lang w:eastAsia="lv-LV"/>
              </w:rPr>
            </w:pPr>
            <w:r w:rsidRPr="006B7BAB">
              <w:rPr>
                <w:color w:val="000000"/>
                <w:sz w:val="22"/>
                <w:lang w:eastAsia="lv-LV"/>
              </w:rPr>
              <w:t>43521</w:t>
            </w:r>
          </w:p>
        </w:tc>
        <w:tc>
          <w:tcPr>
            <w:tcW w:w="2611" w:type="dxa"/>
            <w:shd w:val="clear" w:color="auto" w:fill="auto"/>
            <w:vAlign w:val="center"/>
            <w:hideMark/>
          </w:tcPr>
          <w:p w14:paraId="2594F298" w14:textId="77777777" w:rsidR="00FE6DA5" w:rsidRPr="006B7BAB" w:rsidRDefault="00FE6DA5" w:rsidP="00E30034">
            <w:pPr>
              <w:jc w:val="left"/>
              <w:rPr>
                <w:color w:val="000000"/>
                <w:sz w:val="22"/>
                <w:lang w:eastAsia="lv-LV"/>
              </w:rPr>
            </w:pPr>
            <w:proofErr w:type="spellStart"/>
            <w:r w:rsidRPr="006B7BAB">
              <w:rPr>
                <w:color w:val="000000"/>
                <w:sz w:val="22"/>
                <w:lang w:eastAsia="lv-LV"/>
              </w:rPr>
              <w:t>Inženiertehnika</w:t>
            </w:r>
            <w:proofErr w:type="spellEnd"/>
            <w:r w:rsidRPr="006B7BAB">
              <w:rPr>
                <w:color w:val="000000"/>
                <w:sz w:val="22"/>
                <w:lang w:eastAsia="lv-LV"/>
              </w:rPr>
              <w:t>, mehānika un mašīnbūve</w:t>
            </w:r>
          </w:p>
        </w:tc>
        <w:tc>
          <w:tcPr>
            <w:tcW w:w="788" w:type="dxa"/>
            <w:shd w:val="clear" w:color="auto" w:fill="auto"/>
            <w:noWrap/>
            <w:vAlign w:val="center"/>
            <w:hideMark/>
          </w:tcPr>
          <w:p w14:paraId="5E2B72EE" w14:textId="77777777" w:rsidR="00FE6DA5" w:rsidRPr="006B7BAB" w:rsidRDefault="00FE6DA5" w:rsidP="00E30034">
            <w:pPr>
              <w:jc w:val="center"/>
              <w:rPr>
                <w:color w:val="000000"/>
                <w:sz w:val="22"/>
                <w:lang w:eastAsia="lv-LV"/>
              </w:rPr>
            </w:pPr>
            <w:r w:rsidRPr="006B7BAB">
              <w:rPr>
                <w:color w:val="000000"/>
                <w:sz w:val="22"/>
                <w:lang w:eastAsia="lv-LV"/>
              </w:rPr>
              <w:t>7</w:t>
            </w:r>
          </w:p>
        </w:tc>
      </w:tr>
      <w:tr w:rsidR="00FE6DA5" w:rsidRPr="006B7BAB" w14:paraId="0834CC67" w14:textId="77777777" w:rsidTr="003E4176">
        <w:trPr>
          <w:trHeight w:val="300"/>
        </w:trPr>
        <w:tc>
          <w:tcPr>
            <w:tcW w:w="2268" w:type="dxa"/>
            <w:vMerge/>
            <w:shd w:val="clear" w:color="auto" w:fill="auto"/>
            <w:noWrap/>
            <w:vAlign w:val="bottom"/>
            <w:hideMark/>
          </w:tcPr>
          <w:p w14:paraId="424E9DDC"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5D0AC99A"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01E4FA22" w14:textId="77777777" w:rsidR="00FE6DA5" w:rsidRPr="006B7BAB" w:rsidRDefault="00FE6DA5" w:rsidP="00E30034">
            <w:pPr>
              <w:jc w:val="center"/>
              <w:rPr>
                <w:color w:val="000000"/>
                <w:sz w:val="22"/>
                <w:lang w:eastAsia="lv-LV"/>
              </w:rPr>
            </w:pPr>
            <w:r w:rsidRPr="006B7BAB">
              <w:rPr>
                <w:color w:val="000000"/>
                <w:sz w:val="22"/>
                <w:lang w:eastAsia="lv-LV"/>
              </w:rPr>
              <w:t>43523</w:t>
            </w:r>
          </w:p>
        </w:tc>
        <w:tc>
          <w:tcPr>
            <w:tcW w:w="2611" w:type="dxa"/>
            <w:shd w:val="clear" w:color="auto" w:fill="auto"/>
            <w:vAlign w:val="center"/>
            <w:hideMark/>
          </w:tcPr>
          <w:p w14:paraId="485C8E04" w14:textId="77777777" w:rsidR="00FE6DA5" w:rsidRPr="006B7BAB" w:rsidRDefault="00FE6DA5" w:rsidP="00E30034">
            <w:pPr>
              <w:jc w:val="left"/>
              <w:rPr>
                <w:color w:val="000000"/>
                <w:sz w:val="22"/>
                <w:lang w:eastAsia="lv-LV"/>
              </w:rPr>
            </w:pPr>
            <w:r w:rsidRPr="006B7BAB">
              <w:rPr>
                <w:color w:val="000000"/>
                <w:sz w:val="22"/>
                <w:lang w:eastAsia="lv-LV"/>
              </w:rPr>
              <w:t>Telekomunikācijas</w:t>
            </w:r>
          </w:p>
        </w:tc>
        <w:tc>
          <w:tcPr>
            <w:tcW w:w="788" w:type="dxa"/>
            <w:shd w:val="clear" w:color="auto" w:fill="auto"/>
            <w:noWrap/>
            <w:vAlign w:val="center"/>
            <w:hideMark/>
          </w:tcPr>
          <w:p w14:paraId="21C11AFB" w14:textId="77777777" w:rsidR="00FE6DA5" w:rsidRPr="006B7BAB" w:rsidRDefault="00FE6DA5" w:rsidP="00E30034">
            <w:pPr>
              <w:jc w:val="center"/>
              <w:rPr>
                <w:color w:val="000000"/>
                <w:sz w:val="22"/>
                <w:lang w:eastAsia="lv-LV"/>
              </w:rPr>
            </w:pPr>
            <w:r w:rsidRPr="006B7BAB">
              <w:rPr>
                <w:color w:val="000000"/>
                <w:sz w:val="22"/>
                <w:lang w:eastAsia="lv-LV"/>
              </w:rPr>
              <w:t>3</w:t>
            </w:r>
          </w:p>
        </w:tc>
      </w:tr>
      <w:tr w:rsidR="00FE6DA5" w:rsidRPr="006B7BAB" w14:paraId="28C63F1C" w14:textId="77777777" w:rsidTr="003E4176">
        <w:trPr>
          <w:trHeight w:val="300"/>
        </w:trPr>
        <w:tc>
          <w:tcPr>
            <w:tcW w:w="2268" w:type="dxa"/>
            <w:vMerge/>
            <w:shd w:val="clear" w:color="auto" w:fill="auto"/>
            <w:noWrap/>
            <w:vAlign w:val="bottom"/>
            <w:hideMark/>
          </w:tcPr>
          <w:p w14:paraId="6C924E40"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43D0EE5A"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4154CB56" w14:textId="77777777" w:rsidR="00FE6DA5" w:rsidRPr="006B7BAB" w:rsidRDefault="00FE6DA5" w:rsidP="00E30034">
            <w:pPr>
              <w:jc w:val="center"/>
              <w:rPr>
                <w:color w:val="000000"/>
                <w:sz w:val="22"/>
                <w:lang w:eastAsia="lv-LV"/>
              </w:rPr>
            </w:pPr>
            <w:r w:rsidRPr="006B7BAB">
              <w:rPr>
                <w:color w:val="000000"/>
                <w:sz w:val="22"/>
                <w:lang w:eastAsia="lv-LV"/>
              </w:rPr>
              <w:t>43850</w:t>
            </w:r>
          </w:p>
        </w:tc>
        <w:tc>
          <w:tcPr>
            <w:tcW w:w="2611" w:type="dxa"/>
            <w:shd w:val="clear" w:color="auto" w:fill="auto"/>
            <w:vAlign w:val="center"/>
            <w:hideMark/>
          </w:tcPr>
          <w:p w14:paraId="6D097782" w14:textId="77777777" w:rsidR="00FE6DA5" w:rsidRPr="006B7BAB" w:rsidRDefault="00FE6DA5" w:rsidP="00E30034">
            <w:pPr>
              <w:jc w:val="left"/>
              <w:rPr>
                <w:color w:val="000000"/>
                <w:sz w:val="22"/>
                <w:lang w:eastAsia="lv-LV"/>
              </w:rPr>
            </w:pPr>
            <w:r w:rsidRPr="006B7BAB">
              <w:rPr>
                <w:color w:val="000000"/>
                <w:sz w:val="22"/>
                <w:lang w:eastAsia="lv-LV"/>
              </w:rPr>
              <w:t>Vides zinātne</w:t>
            </w:r>
          </w:p>
        </w:tc>
        <w:tc>
          <w:tcPr>
            <w:tcW w:w="788" w:type="dxa"/>
            <w:shd w:val="clear" w:color="auto" w:fill="auto"/>
            <w:noWrap/>
            <w:vAlign w:val="center"/>
            <w:hideMark/>
          </w:tcPr>
          <w:p w14:paraId="1F3AAB31" w14:textId="77777777" w:rsidR="00FE6DA5" w:rsidRPr="006B7BAB" w:rsidRDefault="00FE6DA5" w:rsidP="00E30034">
            <w:pPr>
              <w:jc w:val="center"/>
              <w:rPr>
                <w:color w:val="000000"/>
                <w:sz w:val="22"/>
                <w:lang w:eastAsia="lv-LV"/>
              </w:rPr>
            </w:pPr>
            <w:r w:rsidRPr="006B7BAB">
              <w:rPr>
                <w:color w:val="000000"/>
                <w:sz w:val="22"/>
                <w:lang w:eastAsia="lv-LV"/>
              </w:rPr>
              <w:t>1</w:t>
            </w:r>
          </w:p>
        </w:tc>
      </w:tr>
      <w:tr w:rsidR="00016798" w:rsidRPr="006B7BAB" w14:paraId="34779F5B" w14:textId="77777777" w:rsidTr="003E4176">
        <w:trPr>
          <w:trHeight w:val="411"/>
        </w:trPr>
        <w:tc>
          <w:tcPr>
            <w:tcW w:w="8051" w:type="dxa"/>
            <w:gridSpan w:val="4"/>
            <w:shd w:val="clear" w:color="auto" w:fill="auto"/>
            <w:noWrap/>
            <w:vAlign w:val="center"/>
          </w:tcPr>
          <w:p w14:paraId="586FD383" w14:textId="77777777" w:rsidR="00016798" w:rsidRPr="00016798" w:rsidRDefault="00016798" w:rsidP="00E30034">
            <w:pPr>
              <w:jc w:val="right"/>
              <w:rPr>
                <w:b/>
                <w:color w:val="000000"/>
                <w:sz w:val="22"/>
                <w:lang w:eastAsia="lv-LV"/>
              </w:rPr>
            </w:pPr>
            <w:r w:rsidRPr="00016798">
              <w:rPr>
                <w:b/>
                <w:color w:val="000000"/>
                <w:sz w:val="22"/>
                <w:lang w:eastAsia="lv-LV"/>
              </w:rPr>
              <w:t>Kopā</w:t>
            </w:r>
            <w:r w:rsidR="00E30034">
              <w:rPr>
                <w:b/>
                <w:color w:val="000000"/>
                <w:sz w:val="22"/>
                <w:lang w:eastAsia="lv-LV"/>
              </w:rPr>
              <w:t xml:space="preserve"> RTU Ventspils filiāle</w:t>
            </w:r>
          </w:p>
        </w:tc>
        <w:tc>
          <w:tcPr>
            <w:tcW w:w="788" w:type="dxa"/>
            <w:shd w:val="clear" w:color="auto" w:fill="auto"/>
            <w:noWrap/>
            <w:vAlign w:val="center"/>
          </w:tcPr>
          <w:p w14:paraId="55122739" w14:textId="77777777" w:rsidR="00016798" w:rsidRPr="00016798" w:rsidRDefault="00016798" w:rsidP="00E30034">
            <w:pPr>
              <w:jc w:val="center"/>
              <w:rPr>
                <w:b/>
                <w:color w:val="000000"/>
                <w:sz w:val="22"/>
                <w:lang w:eastAsia="lv-LV"/>
              </w:rPr>
            </w:pPr>
            <w:r w:rsidRPr="00016798">
              <w:rPr>
                <w:b/>
                <w:color w:val="000000"/>
                <w:sz w:val="22"/>
                <w:lang w:eastAsia="lv-LV"/>
              </w:rPr>
              <w:t>30</w:t>
            </w:r>
          </w:p>
        </w:tc>
      </w:tr>
      <w:tr w:rsidR="00E30034" w:rsidRPr="006B7BAB" w14:paraId="5CF2841E" w14:textId="77777777" w:rsidTr="003E4176">
        <w:trPr>
          <w:trHeight w:val="437"/>
        </w:trPr>
        <w:tc>
          <w:tcPr>
            <w:tcW w:w="8051" w:type="dxa"/>
            <w:gridSpan w:val="4"/>
            <w:shd w:val="clear" w:color="auto" w:fill="D9D9D9" w:themeFill="background1" w:themeFillShade="D9"/>
            <w:noWrap/>
            <w:vAlign w:val="center"/>
          </w:tcPr>
          <w:p w14:paraId="6C29443E" w14:textId="77777777" w:rsidR="00E30034" w:rsidRPr="00E30034" w:rsidRDefault="00E30034" w:rsidP="00E30034">
            <w:pPr>
              <w:jc w:val="right"/>
              <w:rPr>
                <w:b/>
                <w:color w:val="000000"/>
                <w:sz w:val="22"/>
                <w:lang w:eastAsia="lv-LV"/>
              </w:rPr>
            </w:pPr>
            <w:r w:rsidRPr="00E30034">
              <w:rPr>
                <w:b/>
                <w:color w:val="000000"/>
                <w:sz w:val="22"/>
                <w:lang w:eastAsia="lv-LV"/>
              </w:rPr>
              <w:t>Kopā RTU</w:t>
            </w:r>
          </w:p>
        </w:tc>
        <w:tc>
          <w:tcPr>
            <w:tcW w:w="788" w:type="dxa"/>
            <w:shd w:val="clear" w:color="auto" w:fill="D9D9D9" w:themeFill="background1" w:themeFillShade="D9"/>
            <w:noWrap/>
            <w:vAlign w:val="center"/>
          </w:tcPr>
          <w:p w14:paraId="062BE4BB" w14:textId="77777777" w:rsidR="00E30034" w:rsidRPr="00E75F73" w:rsidRDefault="00E75F73" w:rsidP="00E30034">
            <w:pPr>
              <w:jc w:val="center"/>
              <w:rPr>
                <w:b/>
                <w:color w:val="000000"/>
                <w:sz w:val="22"/>
                <w:lang w:eastAsia="lv-LV"/>
              </w:rPr>
            </w:pPr>
            <w:r w:rsidRPr="00E75F73">
              <w:rPr>
                <w:b/>
                <w:color w:val="000000"/>
                <w:sz w:val="22"/>
                <w:lang w:eastAsia="lv-LV"/>
              </w:rPr>
              <w:t>395</w:t>
            </w:r>
          </w:p>
        </w:tc>
      </w:tr>
      <w:tr w:rsidR="00016798" w:rsidRPr="006B7BAB" w14:paraId="57E81458" w14:textId="77777777" w:rsidTr="003E4176">
        <w:trPr>
          <w:trHeight w:val="437"/>
        </w:trPr>
        <w:tc>
          <w:tcPr>
            <w:tcW w:w="2268" w:type="dxa"/>
            <w:shd w:val="clear" w:color="auto" w:fill="auto"/>
            <w:noWrap/>
            <w:vAlign w:val="center"/>
          </w:tcPr>
          <w:p w14:paraId="5EC356DA" w14:textId="77777777" w:rsidR="00016798" w:rsidRPr="006B7BAB" w:rsidRDefault="00016798" w:rsidP="00E75F73">
            <w:pPr>
              <w:jc w:val="center"/>
              <w:rPr>
                <w:color w:val="000000"/>
                <w:sz w:val="22"/>
                <w:lang w:eastAsia="lv-LV"/>
              </w:rPr>
            </w:pPr>
            <w:r w:rsidRPr="006B7BAB">
              <w:rPr>
                <w:color w:val="000000"/>
                <w:sz w:val="22"/>
                <w:lang w:eastAsia="lv-LV"/>
              </w:rPr>
              <w:t>Latvijas Mākslas akadēmija</w:t>
            </w:r>
          </w:p>
        </w:tc>
        <w:tc>
          <w:tcPr>
            <w:tcW w:w="1843" w:type="dxa"/>
            <w:shd w:val="clear" w:color="auto" w:fill="auto"/>
            <w:noWrap/>
            <w:vAlign w:val="center"/>
          </w:tcPr>
          <w:p w14:paraId="06E7CEE0" w14:textId="77777777" w:rsidR="00016798" w:rsidRPr="006B7BAB" w:rsidRDefault="00016798" w:rsidP="00E75F73">
            <w:pPr>
              <w:jc w:val="center"/>
              <w:rPr>
                <w:color w:val="000000"/>
                <w:sz w:val="22"/>
                <w:lang w:eastAsia="lv-LV"/>
              </w:rPr>
            </w:pPr>
            <w:r>
              <w:rPr>
                <w:color w:val="000000"/>
                <w:sz w:val="22"/>
                <w:lang w:eastAsia="lv-LV"/>
              </w:rPr>
              <w:t>Rēzekne</w:t>
            </w:r>
          </w:p>
        </w:tc>
        <w:tc>
          <w:tcPr>
            <w:tcW w:w="1329" w:type="dxa"/>
            <w:shd w:val="clear" w:color="auto" w:fill="auto"/>
            <w:noWrap/>
            <w:vAlign w:val="center"/>
          </w:tcPr>
          <w:p w14:paraId="05F82D83" w14:textId="77777777" w:rsidR="00016798" w:rsidRPr="006B7BAB" w:rsidRDefault="00016798" w:rsidP="00E75F73">
            <w:pPr>
              <w:jc w:val="center"/>
              <w:rPr>
                <w:color w:val="000000"/>
                <w:sz w:val="22"/>
                <w:lang w:eastAsia="lv-LV"/>
              </w:rPr>
            </w:pPr>
            <w:r w:rsidRPr="006B7BAB">
              <w:rPr>
                <w:color w:val="000000"/>
                <w:sz w:val="22"/>
                <w:lang w:eastAsia="lv-LV"/>
              </w:rPr>
              <w:t>43211</w:t>
            </w:r>
          </w:p>
        </w:tc>
        <w:tc>
          <w:tcPr>
            <w:tcW w:w="2611" w:type="dxa"/>
            <w:shd w:val="clear" w:color="auto" w:fill="auto"/>
            <w:vAlign w:val="center"/>
          </w:tcPr>
          <w:p w14:paraId="1CF6AEAB" w14:textId="77777777" w:rsidR="00016798" w:rsidRPr="006B7BAB" w:rsidRDefault="00016798" w:rsidP="00E75F73">
            <w:pPr>
              <w:jc w:val="left"/>
              <w:rPr>
                <w:color w:val="000000"/>
                <w:sz w:val="22"/>
                <w:lang w:eastAsia="lv-LV"/>
              </w:rPr>
            </w:pPr>
            <w:r w:rsidRPr="006B7BAB">
              <w:rPr>
                <w:color w:val="000000"/>
                <w:sz w:val="22"/>
                <w:lang w:eastAsia="lv-LV"/>
              </w:rPr>
              <w:t>Māksla</w:t>
            </w:r>
          </w:p>
        </w:tc>
        <w:tc>
          <w:tcPr>
            <w:tcW w:w="788" w:type="dxa"/>
            <w:shd w:val="clear" w:color="auto" w:fill="auto"/>
            <w:noWrap/>
            <w:vAlign w:val="center"/>
          </w:tcPr>
          <w:p w14:paraId="3E9792D0" w14:textId="77777777" w:rsidR="00016798" w:rsidRPr="00E30034" w:rsidRDefault="00016798" w:rsidP="00E75F73">
            <w:pPr>
              <w:jc w:val="center"/>
              <w:rPr>
                <w:color w:val="000000"/>
                <w:sz w:val="22"/>
                <w:lang w:eastAsia="lv-LV"/>
              </w:rPr>
            </w:pPr>
            <w:r w:rsidRPr="00E30034">
              <w:rPr>
                <w:color w:val="000000"/>
                <w:sz w:val="22"/>
                <w:lang w:eastAsia="lv-LV"/>
              </w:rPr>
              <w:t>43</w:t>
            </w:r>
          </w:p>
        </w:tc>
      </w:tr>
      <w:tr w:rsidR="00E30034" w:rsidRPr="006B7BAB" w14:paraId="394FAE12" w14:textId="77777777" w:rsidTr="003E4176">
        <w:trPr>
          <w:trHeight w:val="441"/>
        </w:trPr>
        <w:tc>
          <w:tcPr>
            <w:tcW w:w="8051" w:type="dxa"/>
            <w:gridSpan w:val="4"/>
            <w:shd w:val="clear" w:color="auto" w:fill="D9D9D9" w:themeFill="background1" w:themeFillShade="D9"/>
            <w:noWrap/>
            <w:vAlign w:val="center"/>
          </w:tcPr>
          <w:p w14:paraId="7D616B8D" w14:textId="77777777" w:rsidR="00E30034" w:rsidRPr="006B7BAB" w:rsidRDefault="00E30034" w:rsidP="00E30034">
            <w:pPr>
              <w:jc w:val="right"/>
              <w:rPr>
                <w:color w:val="000000"/>
                <w:sz w:val="22"/>
                <w:lang w:eastAsia="lv-LV"/>
              </w:rPr>
            </w:pPr>
            <w:r w:rsidRPr="00016798">
              <w:rPr>
                <w:b/>
                <w:color w:val="000000"/>
                <w:sz w:val="22"/>
                <w:lang w:eastAsia="lv-LV"/>
              </w:rPr>
              <w:t>Kopā</w:t>
            </w:r>
            <w:r>
              <w:rPr>
                <w:b/>
                <w:color w:val="000000"/>
                <w:sz w:val="22"/>
                <w:lang w:eastAsia="lv-LV"/>
              </w:rPr>
              <w:t xml:space="preserve"> </w:t>
            </w:r>
            <w:proofErr w:type="spellStart"/>
            <w:r>
              <w:rPr>
                <w:b/>
                <w:color w:val="000000"/>
                <w:sz w:val="22"/>
                <w:lang w:eastAsia="lv-LV"/>
              </w:rPr>
              <w:t>LMāA</w:t>
            </w:r>
            <w:proofErr w:type="spellEnd"/>
          </w:p>
        </w:tc>
        <w:tc>
          <w:tcPr>
            <w:tcW w:w="788" w:type="dxa"/>
            <w:shd w:val="clear" w:color="auto" w:fill="D9D9D9" w:themeFill="background1" w:themeFillShade="D9"/>
            <w:noWrap/>
            <w:vAlign w:val="center"/>
          </w:tcPr>
          <w:p w14:paraId="1D67FC88" w14:textId="77777777" w:rsidR="00E30034" w:rsidRPr="006B7BAB" w:rsidRDefault="00E30034" w:rsidP="00E30034">
            <w:pPr>
              <w:jc w:val="center"/>
              <w:rPr>
                <w:color w:val="000000"/>
                <w:sz w:val="22"/>
                <w:lang w:eastAsia="lv-LV"/>
              </w:rPr>
            </w:pPr>
            <w:r w:rsidRPr="00D4596A">
              <w:rPr>
                <w:b/>
                <w:color w:val="000000"/>
                <w:sz w:val="22"/>
                <w:lang w:eastAsia="lv-LV"/>
              </w:rPr>
              <w:t>43</w:t>
            </w:r>
          </w:p>
        </w:tc>
      </w:tr>
      <w:tr w:rsidR="00FE6DA5" w:rsidRPr="006B7BAB" w14:paraId="354D9EFA" w14:textId="77777777" w:rsidTr="003E4176">
        <w:trPr>
          <w:trHeight w:val="487"/>
        </w:trPr>
        <w:tc>
          <w:tcPr>
            <w:tcW w:w="2268" w:type="dxa"/>
            <w:vMerge w:val="restart"/>
            <w:shd w:val="clear" w:color="auto" w:fill="auto"/>
            <w:noWrap/>
            <w:vAlign w:val="center"/>
          </w:tcPr>
          <w:p w14:paraId="40D5B903" w14:textId="77777777" w:rsidR="00FE6DA5" w:rsidRPr="006B7BAB" w:rsidRDefault="00FE6DA5" w:rsidP="00E75F73">
            <w:pPr>
              <w:jc w:val="center"/>
              <w:rPr>
                <w:color w:val="000000"/>
                <w:sz w:val="22"/>
                <w:lang w:eastAsia="lv-LV"/>
              </w:rPr>
            </w:pPr>
            <w:r w:rsidRPr="006B7BAB">
              <w:rPr>
                <w:color w:val="000000"/>
                <w:sz w:val="22"/>
                <w:lang w:eastAsia="lv-LV"/>
              </w:rPr>
              <w:t>Baltijas Starptautiskā akadēmija</w:t>
            </w:r>
          </w:p>
          <w:p w14:paraId="62278513" w14:textId="77777777" w:rsidR="00FE6DA5" w:rsidRPr="006B7BAB" w:rsidRDefault="00FE6DA5" w:rsidP="00E75F73">
            <w:pPr>
              <w:jc w:val="center"/>
              <w:rPr>
                <w:color w:val="000000"/>
                <w:sz w:val="22"/>
                <w:lang w:eastAsia="lv-LV"/>
              </w:rPr>
            </w:pPr>
          </w:p>
        </w:tc>
        <w:tc>
          <w:tcPr>
            <w:tcW w:w="1843" w:type="dxa"/>
            <w:vMerge w:val="restart"/>
            <w:shd w:val="clear" w:color="auto" w:fill="auto"/>
            <w:noWrap/>
            <w:vAlign w:val="center"/>
          </w:tcPr>
          <w:p w14:paraId="212913B4" w14:textId="77777777" w:rsidR="00FE6DA5" w:rsidRPr="006B7BAB" w:rsidRDefault="00FE6DA5" w:rsidP="00E75F73">
            <w:pPr>
              <w:jc w:val="center"/>
              <w:rPr>
                <w:color w:val="000000"/>
                <w:sz w:val="22"/>
                <w:lang w:eastAsia="lv-LV"/>
              </w:rPr>
            </w:pPr>
            <w:r>
              <w:rPr>
                <w:color w:val="000000"/>
                <w:sz w:val="22"/>
                <w:lang w:eastAsia="lv-LV"/>
              </w:rPr>
              <w:t>Daugavpils</w:t>
            </w:r>
          </w:p>
          <w:p w14:paraId="3FE5A626" w14:textId="77777777" w:rsidR="00FE6DA5" w:rsidRPr="006B7BAB" w:rsidRDefault="00FE6DA5" w:rsidP="00E75F73">
            <w:pPr>
              <w:jc w:val="center"/>
              <w:rPr>
                <w:color w:val="000000"/>
                <w:sz w:val="22"/>
                <w:lang w:eastAsia="lv-LV"/>
              </w:rPr>
            </w:pPr>
          </w:p>
        </w:tc>
        <w:tc>
          <w:tcPr>
            <w:tcW w:w="1329" w:type="dxa"/>
            <w:shd w:val="clear" w:color="auto" w:fill="auto"/>
            <w:noWrap/>
            <w:vAlign w:val="center"/>
          </w:tcPr>
          <w:p w14:paraId="6823DDC3" w14:textId="77777777" w:rsidR="00FE6DA5" w:rsidRPr="006B7BAB" w:rsidRDefault="00FE6DA5" w:rsidP="00E75F73">
            <w:pPr>
              <w:jc w:val="center"/>
              <w:rPr>
                <w:color w:val="000000"/>
                <w:sz w:val="22"/>
                <w:lang w:eastAsia="lv-LV"/>
              </w:rPr>
            </w:pPr>
            <w:r w:rsidRPr="006B7BAB">
              <w:rPr>
                <w:color w:val="000000"/>
                <w:sz w:val="22"/>
                <w:lang w:eastAsia="lv-LV"/>
              </w:rPr>
              <w:t>41214</w:t>
            </w:r>
          </w:p>
        </w:tc>
        <w:tc>
          <w:tcPr>
            <w:tcW w:w="2611" w:type="dxa"/>
            <w:shd w:val="clear" w:color="auto" w:fill="auto"/>
            <w:vAlign w:val="center"/>
          </w:tcPr>
          <w:p w14:paraId="42FF7980" w14:textId="77777777" w:rsidR="00FE6DA5" w:rsidRPr="006B7BAB" w:rsidRDefault="00FE6DA5" w:rsidP="00E75F73">
            <w:pPr>
              <w:jc w:val="left"/>
              <w:rPr>
                <w:color w:val="000000"/>
                <w:sz w:val="22"/>
                <w:lang w:eastAsia="lv-LV"/>
              </w:rPr>
            </w:pPr>
            <w:r w:rsidRPr="006B7BAB">
              <w:rPr>
                <w:color w:val="000000"/>
                <w:sz w:val="22"/>
                <w:lang w:eastAsia="lv-LV"/>
              </w:rPr>
              <w:t>Vides dizains</w:t>
            </w:r>
          </w:p>
        </w:tc>
        <w:tc>
          <w:tcPr>
            <w:tcW w:w="788" w:type="dxa"/>
            <w:shd w:val="clear" w:color="auto" w:fill="auto"/>
            <w:noWrap/>
            <w:vAlign w:val="center"/>
          </w:tcPr>
          <w:p w14:paraId="5DE50069" w14:textId="77777777" w:rsidR="00FE6DA5" w:rsidRPr="006B7BAB" w:rsidRDefault="00FE6DA5" w:rsidP="00E75F73">
            <w:pPr>
              <w:jc w:val="center"/>
              <w:rPr>
                <w:color w:val="000000"/>
                <w:sz w:val="22"/>
                <w:lang w:eastAsia="lv-LV"/>
              </w:rPr>
            </w:pPr>
            <w:r w:rsidRPr="006B7BAB">
              <w:rPr>
                <w:color w:val="000000"/>
                <w:sz w:val="22"/>
                <w:lang w:eastAsia="lv-LV"/>
              </w:rPr>
              <w:t>2</w:t>
            </w:r>
          </w:p>
        </w:tc>
      </w:tr>
      <w:tr w:rsidR="00FE6DA5" w:rsidRPr="006B7BAB" w14:paraId="497F1A5B" w14:textId="77777777" w:rsidTr="003E4176">
        <w:trPr>
          <w:trHeight w:val="410"/>
        </w:trPr>
        <w:tc>
          <w:tcPr>
            <w:tcW w:w="2268" w:type="dxa"/>
            <w:vMerge/>
            <w:shd w:val="clear" w:color="auto" w:fill="auto"/>
            <w:noWrap/>
            <w:vAlign w:val="bottom"/>
          </w:tcPr>
          <w:p w14:paraId="7DD8A6B2" w14:textId="77777777" w:rsidR="00FE6DA5" w:rsidRPr="006B7BAB" w:rsidRDefault="00FE6DA5" w:rsidP="0013050C">
            <w:pPr>
              <w:rPr>
                <w:color w:val="000000"/>
                <w:sz w:val="22"/>
                <w:lang w:eastAsia="lv-LV"/>
              </w:rPr>
            </w:pPr>
          </w:p>
        </w:tc>
        <w:tc>
          <w:tcPr>
            <w:tcW w:w="1843" w:type="dxa"/>
            <w:vMerge/>
            <w:shd w:val="clear" w:color="auto" w:fill="auto"/>
            <w:noWrap/>
            <w:vAlign w:val="bottom"/>
          </w:tcPr>
          <w:p w14:paraId="7B7FFE9C" w14:textId="77777777" w:rsidR="00FE6DA5" w:rsidRPr="006B7BAB" w:rsidRDefault="00FE6DA5" w:rsidP="0013050C">
            <w:pPr>
              <w:rPr>
                <w:color w:val="000000"/>
                <w:sz w:val="22"/>
                <w:lang w:eastAsia="lv-LV"/>
              </w:rPr>
            </w:pPr>
          </w:p>
        </w:tc>
        <w:tc>
          <w:tcPr>
            <w:tcW w:w="1329" w:type="dxa"/>
            <w:shd w:val="clear" w:color="auto" w:fill="auto"/>
            <w:noWrap/>
            <w:vAlign w:val="center"/>
          </w:tcPr>
          <w:p w14:paraId="7857A1ED" w14:textId="77777777" w:rsidR="00FE6DA5" w:rsidRPr="006B7BAB" w:rsidRDefault="00FE6DA5" w:rsidP="00E75F73">
            <w:pPr>
              <w:jc w:val="center"/>
              <w:rPr>
                <w:color w:val="000000"/>
                <w:sz w:val="22"/>
                <w:lang w:eastAsia="lv-LV"/>
              </w:rPr>
            </w:pPr>
            <w:r w:rsidRPr="006B7BAB">
              <w:rPr>
                <w:color w:val="000000"/>
                <w:sz w:val="22"/>
                <w:lang w:eastAsia="lv-LV"/>
              </w:rPr>
              <w:t>42214</w:t>
            </w:r>
          </w:p>
        </w:tc>
        <w:tc>
          <w:tcPr>
            <w:tcW w:w="2611" w:type="dxa"/>
            <w:shd w:val="clear" w:color="auto" w:fill="auto"/>
            <w:vAlign w:val="center"/>
          </w:tcPr>
          <w:p w14:paraId="54EBF9A8" w14:textId="77777777" w:rsidR="00FE6DA5" w:rsidRPr="006B7BAB" w:rsidRDefault="00FE6DA5" w:rsidP="00E75F73">
            <w:pPr>
              <w:jc w:val="left"/>
              <w:rPr>
                <w:color w:val="000000"/>
                <w:sz w:val="22"/>
                <w:lang w:eastAsia="lv-LV"/>
              </w:rPr>
            </w:pPr>
            <w:proofErr w:type="spellStart"/>
            <w:r w:rsidRPr="006B7BAB">
              <w:rPr>
                <w:color w:val="000000"/>
                <w:sz w:val="22"/>
                <w:lang w:eastAsia="lv-LV"/>
              </w:rPr>
              <w:t>Datordizains</w:t>
            </w:r>
            <w:proofErr w:type="spellEnd"/>
          </w:p>
        </w:tc>
        <w:tc>
          <w:tcPr>
            <w:tcW w:w="788" w:type="dxa"/>
            <w:shd w:val="clear" w:color="auto" w:fill="auto"/>
            <w:noWrap/>
            <w:vAlign w:val="center"/>
          </w:tcPr>
          <w:p w14:paraId="7BD585E8" w14:textId="77777777" w:rsidR="00FE6DA5" w:rsidRPr="006B7BAB" w:rsidRDefault="00FE6DA5" w:rsidP="00E75F73">
            <w:pPr>
              <w:jc w:val="center"/>
              <w:rPr>
                <w:color w:val="000000"/>
                <w:sz w:val="22"/>
                <w:lang w:eastAsia="lv-LV"/>
              </w:rPr>
            </w:pPr>
            <w:r w:rsidRPr="006B7BAB">
              <w:rPr>
                <w:color w:val="000000"/>
                <w:sz w:val="22"/>
                <w:lang w:eastAsia="lv-LV"/>
              </w:rPr>
              <w:t>13</w:t>
            </w:r>
          </w:p>
        </w:tc>
      </w:tr>
      <w:tr w:rsidR="00016798" w:rsidRPr="006B7BAB" w14:paraId="6A05E433" w14:textId="77777777" w:rsidTr="003E4176">
        <w:trPr>
          <w:trHeight w:val="447"/>
        </w:trPr>
        <w:tc>
          <w:tcPr>
            <w:tcW w:w="8051" w:type="dxa"/>
            <w:gridSpan w:val="4"/>
            <w:shd w:val="clear" w:color="auto" w:fill="D9D9D9" w:themeFill="background1" w:themeFillShade="D9"/>
            <w:noWrap/>
            <w:vAlign w:val="center"/>
          </w:tcPr>
          <w:p w14:paraId="2C22DF50" w14:textId="77777777" w:rsidR="00016798" w:rsidRPr="00016798" w:rsidRDefault="00016798" w:rsidP="00E75F73">
            <w:pPr>
              <w:jc w:val="right"/>
              <w:rPr>
                <w:b/>
                <w:color w:val="000000"/>
                <w:sz w:val="22"/>
                <w:lang w:eastAsia="lv-LV"/>
              </w:rPr>
            </w:pPr>
            <w:r w:rsidRPr="00016798">
              <w:rPr>
                <w:b/>
                <w:color w:val="000000"/>
                <w:sz w:val="22"/>
                <w:lang w:eastAsia="lv-LV"/>
              </w:rPr>
              <w:t>Kopā</w:t>
            </w:r>
            <w:r>
              <w:rPr>
                <w:b/>
                <w:color w:val="000000"/>
                <w:sz w:val="22"/>
                <w:lang w:eastAsia="lv-LV"/>
              </w:rPr>
              <w:t xml:space="preserve"> BSA</w:t>
            </w:r>
          </w:p>
        </w:tc>
        <w:tc>
          <w:tcPr>
            <w:tcW w:w="788" w:type="dxa"/>
            <w:shd w:val="clear" w:color="auto" w:fill="D9D9D9" w:themeFill="background1" w:themeFillShade="D9"/>
            <w:noWrap/>
            <w:vAlign w:val="center"/>
          </w:tcPr>
          <w:p w14:paraId="50DDDA20" w14:textId="77777777" w:rsidR="00016798" w:rsidRPr="00016798" w:rsidRDefault="00016798" w:rsidP="00E30034">
            <w:pPr>
              <w:jc w:val="center"/>
              <w:rPr>
                <w:b/>
                <w:color w:val="000000"/>
                <w:sz w:val="22"/>
                <w:lang w:eastAsia="lv-LV"/>
              </w:rPr>
            </w:pPr>
            <w:r w:rsidRPr="00016798">
              <w:rPr>
                <w:b/>
                <w:color w:val="000000"/>
                <w:sz w:val="22"/>
                <w:lang w:eastAsia="lv-LV"/>
              </w:rPr>
              <w:t>15</w:t>
            </w:r>
          </w:p>
        </w:tc>
      </w:tr>
      <w:tr w:rsidR="00FE6DA5" w:rsidRPr="006B7BAB" w14:paraId="50F98ACD" w14:textId="77777777" w:rsidTr="003E4176">
        <w:trPr>
          <w:trHeight w:val="381"/>
        </w:trPr>
        <w:tc>
          <w:tcPr>
            <w:tcW w:w="2268" w:type="dxa"/>
            <w:vMerge w:val="restart"/>
            <w:shd w:val="clear" w:color="auto" w:fill="auto"/>
            <w:noWrap/>
            <w:vAlign w:val="center"/>
            <w:hideMark/>
          </w:tcPr>
          <w:p w14:paraId="7F106BEA" w14:textId="77777777" w:rsidR="00FE6DA5" w:rsidRPr="006B7BAB" w:rsidRDefault="00FE6DA5" w:rsidP="00E75F73">
            <w:pPr>
              <w:jc w:val="center"/>
              <w:rPr>
                <w:color w:val="000000"/>
                <w:sz w:val="22"/>
                <w:lang w:eastAsia="lv-LV"/>
              </w:rPr>
            </w:pPr>
            <w:r w:rsidRPr="006B7BAB">
              <w:rPr>
                <w:color w:val="000000"/>
                <w:sz w:val="22"/>
                <w:lang w:eastAsia="lv-LV"/>
              </w:rPr>
              <w:t>Transporta un sakaru institūts</w:t>
            </w:r>
          </w:p>
          <w:p w14:paraId="3408E5B9" w14:textId="77777777" w:rsidR="00FE6DA5" w:rsidRPr="006B7BAB" w:rsidRDefault="00FE6DA5" w:rsidP="00E75F73">
            <w:pPr>
              <w:jc w:val="center"/>
              <w:rPr>
                <w:color w:val="000000"/>
                <w:sz w:val="22"/>
                <w:lang w:eastAsia="lv-LV"/>
              </w:rPr>
            </w:pPr>
          </w:p>
        </w:tc>
        <w:tc>
          <w:tcPr>
            <w:tcW w:w="1843" w:type="dxa"/>
            <w:vMerge w:val="restart"/>
            <w:shd w:val="clear" w:color="auto" w:fill="auto"/>
            <w:noWrap/>
            <w:vAlign w:val="center"/>
            <w:hideMark/>
          </w:tcPr>
          <w:p w14:paraId="5461AB78" w14:textId="77777777" w:rsidR="00FE6DA5" w:rsidRPr="006B7BAB" w:rsidRDefault="00FE6DA5" w:rsidP="00E75F73">
            <w:pPr>
              <w:jc w:val="center"/>
              <w:rPr>
                <w:color w:val="000000"/>
                <w:sz w:val="22"/>
                <w:lang w:eastAsia="lv-LV"/>
              </w:rPr>
            </w:pPr>
            <w:r>
              <w:rPr>
                <w:color w:val="000000"/>
                <w:sz w:val="22"/>
                <w:lang w:eastAsia="lv-LV"/>
              </w:rPr>
              <w:t>Daugavpils</w:t>
            </w:r>
          </w:p>
          <w:p w14:paraId="41FBFC73" w14:textId="77777777" w:rsidR="00FE6DA5" w:rsidRPr="006B7BAB" w:rsidRDefault="00FE6DA5" w:rsidP="00E75F73">
            <w:pPr>
              <w:jc w:val="center"/>
              <w:rPr>
                <w:color w:val="000000"/>
                <w:sz w:val="22"/>
                <w:lang w:eastAsia="lv-LV"/>
              </w:rPr>
            </w:pPr>
          </w:p>
        </w:tc>
        <w:tc>
          <w:tcPr>
            <w:tcW w:w="1329" w:type="dxa"/>
            <w:shd w:val="clear" w:color="auto" w:fill="auto"/>
            <w:noWrap/>
            <w:vAlign w:val="center"/>
            <w:hideMark/>
          </w:tcPr>
          <w:p w14:paraId="7B10AA28" w14:textId="77777777" w:rsidR="00FE6DA5" w:rsidRPr="006B7BAB" w:rsidRDefault="00FE6DA5" w:rsidP="00E75F73">
            <w:pPr>
              <w:jc w:val="center"/>
              <w:rPr>
                <w:color w:val="000000"/>
                <w:sz w:val="22"/>
                <w:lang w:eastAsia="lv-LV"/>
              </w:rPr>
            </w:pPr>
            <w:r w:rsidRPr="006B7BAB">
              <w:rPr>
                <w:color w:val="000000"/>
                <w:sz w:val="22"/>
                <w:lang w:eastAsia="lv-LV"/>
              </w:rPr>
              <w:t>44482</w:t>
            </w:r>
          </w:p>
        </w:tc>
        <w:tc>
          <w:tcPr>
            <w:tcW w:w="2611" w:type="dxa"/>
            <w:shd w:val="clear" w:color="auto" w:fill="auto"/>
            <w:vAlign w:val="center"/>
            <w:hideMark/>
          </w:tcPr>
          <w:p w14:paraId="495CAD54" w14:textId="77777777" w:rsidR="00FE6DA5" w:rsidRPr="006B7BAB" w:rsidRDefault="00FE6DA5" w:rsidP="00E75F73">
            <w:pPr>
              <w:jc w:val="left"/>
              <w:rPr>
                <w:color w:val="000000"/>
                <w:sz w:val="22"/>
                <w:lang w:eastAsia="lv-LV"/>
              </w:rPr>
            </w:pPr>
            <w:r w:rsidRPr="006B7BAB">
              <w:rPr>
                <w:color w:val="000000"/>
                <w:sz w:val="22"/>
                <w:lang w:eastAsia="lv-LV"/>
              </w:rPr>
              <w:t>Dabaszinātņu bakalaurs datorzinātnēs</w:t>
            </w:r>
          </w:p>
        </w:tc>
        <w:tc>
          <w:tcPr>
            <w:tcW w:w="788" w:type="dxa"/>
            <w:shd w:val="clear" w:color="auto" w:fill="auto"/>
            <w:noWrap/>
            <w:vAlign w:val="center"/>
            <w:hideMark/>
          </w:tcPr>
          <w:p w14:paraId="03723F78" w14:textId="77777777" w:rsidR="00FE6DA5" w:rsidRPr="006B7BAB" w:rsidRDefault="00FE6DA5" w:rsidP="00E75F73">
            <w:pPr>
              <w:jc w:val="center"/>
              <w:rPr>
                <w:color w:val="000000"/>
                <w:sz w:val="22"/>
                <w:lang w:eastAsia="lv-LV"/>
              </w:rPr>
            </w:pPr>
            <w:r w:rsidRPr="006B7BAB">
              <w:rPr>
                <w:color w:val="000000"/>
                <w:sz w:val="22"/>
                <w:lang w:eastAsia="lv-LV"/>
              </w:rPr>
              <w:t>23</w:t>
            </w:r>
          </w:p>
        </w:tc>
      </w:tr>
      <w:tr w:rsidR="00FE6DA5" w:rsidRPr="006B7BAB" w14:paraId="735E1D05" w14:textId="77777777" w:rsidTr="003E4176">
        <w:trPr>
          <w:trHeight w:val="417"/>
        </w:trPr>
        <w:tc>
          <w:tcPr>
            <w:tcW w:w="2268" w:type="dxa"/>
            <w:vMerge/>
            <w:shd w:val="clear" w:color="auto" w:fill="auto"/>
            <w:noWrap/>
            <w:vAlign w:val="bottom"/>
            <w:hideMark/>
          </w:tcPr>
          <w:p w14:paraId="104EBAC2" w14:textId="77777777" w:rsidR="00FE6DA5" w:rsidRPr="006B7BAB" w:rsidRDefault="00FE6DA5" w:rsidP="00FE6DA5">
            <w:pPr>
              <w:rPr>
                <w:color w:val="000000"/>
                <w:sz w:val="22"/>
                <w:lang w:eastAsia="lv-LV"/>
              </w:rPr>
            </w:pPr>
          </w:p>
        </w:tc>
        <w:tc>
          <w:tcPr>
            <w:tcW w:w="1843" w:type="dxa"/>
            <w:vMerge/>
            <w:shd w:val="clear" w:color="auto" w:fill="auto"/>
            <w:noWrap/>
            <w:vAlign w:val="bottom"/>
            <w:hideMark/>
          </w:tcPr>
          <w:p w14:paraId="375F679D" w14:textId="77777777" w:rsidR="00FE6DA5" w:rsidRPr="006B7BAB" w:rsidRDefault="00FE6DA5" w:rsidP="00FE6DA5">
            <w:pPr>
              <w:rPr>
                <w:color w:val="000000"/>
                <w:sz w:val="22"/>
                <w:lang w:eastAsia="lv-LV"/>
              </w:rPr>
            </w:pPr>
          </w:p>
        </w:tc>
        <w:tc>
          <w:tcPr>
            <w:tcW w:w="1329" w:type="dxa"/>
            <w:shd w:val="clear" w:color="auto" w:fill="auto"/>
            <w:noWrap/>
            <w:vAlign w:val="center"/>
            <w:hideMark/>
          </w:tcPr>
          <w:p w14:paraId="6216C248" w14:textId="77777777" w:rsidR="00FE6DA5" w:rsidRPr="006B7BAB" w:rsidRDefault="00FE6DA5" w:rsidP="00E75F73">
            <w:pPr>
              <w:jc w:val="center"/>
              <w:rPr>
                <w:color w:val="000000"/>
                <w:sz w:val="22"/>
                <w:lang w:eastAsia="lv-LV"/>
              </w:rPr>
            </w:pPr>
            <w:r w:rsidRPr="006B7BAB">
              <w:rPr>
                <w:color w:val="000000"/>
                <w:sz w:val="22"/>
                <w:lang w:eastAsia="lv-LV"/>
              </w:rPr>
              <w:t>45526</w:t>
            </w:r>
          </w:p>
        </w:tc>
        <w:tc>
          <w:tcPr>
            <w:tcW w:w="2611" w:type="dxa"/>
            <w:shd w:val="clear" w:color="auto" w:fill="auto"/>
            <w:vAlign w:val="center"/>
            <w:hideMark/>
          </w:tcPr>
          <w:p w14:paraId="1E28329A" w14:textId="77777777" w:rsidR="00FE6DA5" w:rsidRPr="006B7BAB" w:rsidRDefault="00FE6DA5" w:rsidP="00E75F73">
            <w:pPr>
              <w:jc w:val="left"/>
              <w:rPr>
                <w:color w:val="000000"/>
                <w:sz w:val="22"/>
                <w:lang w:eastAsia="lv-LV"/>
              </w:rPr>
            </w:pPr>
            <w:r w:rsidRPr="006B7BAB">
              <w:rPr>
                <w:color w:val="000000"/>
                <w:sz w:val="22"/>
                <w:lang w:eastAsia="lv-LV"/>
              </w:rPr>
              <w:t>Informācijas sistēmu vadība</w:t>
            </w:r>
          </w:p>
        </w:tc>
        <w:tc>
          <w:tcPr>
            <w:tcW w:w="788" w:type="dxa"/>
            <w:shd w:val="clear" w:color="auto" w:fill="auto"/>
            <w:noWrap/>
            <w:vAlign w:val="center"/>
            <w:hideMark/>
          </w:tcPr>
          <w:p w14:paraId="072A0DBF" w14:textId="77777777" w:rsidR="00FE6DA5" w:rsidRPr="006B7BAB" w:rsidRDefault="00FE6DA5" w:rsidP="00E75F73">
            <w:pPr>
              <w:jc w:val="center"/>
              <w:rPr>
                <w:color w:val="000000"/>
                <w:sz w:val="22"/>
                <w:lang w:eastAsia="lv-LV"/>
              </w:rPr>
            </w:pPr>
            <w:r w:rsidRPr="006B7BAB">
              <w:rPr>
                <w:color w:val="000000"/>
                <w:sz w:val="22"/>
                <w:lang w:eastAsia="lv-LV"/>
              </w:rPr>
              <w:t>1</w:t>
            </w:r>
          </w:p>
        </w:tc>
      </w:tr>
      <w:tr w:rsidR="00016798" w:rsidRPr="006B7BAB" w14:paraId="26B5BD4C" w14:textId="77777777" w:rsidTr="003E4176">
        <w:trPr>
          <w:trHeight w:val="425"/>
        </w:trPr>
        <w:tc>
          <w:tcPr>
            <w:tcW w:w="8051" w:type="dxa"/>
            <w:gridSpan w:val="4"/>
            <w:shd w:val="clear" w:color="auto" w:fill="D9D9D9" w:themeFill="background1" w:themeFillShade="D9"/>
            <w:noWrap/>
            <w:vAlign w:val="center"/>
          </w:tcPr>
          <w:p w14:paraId="7C8C3157" w14:textId="77777777" w:rsidR="00016798" w:rsidRPr="00016798" w:rsidRDefault="00016798" w:rsidP="00E75F73">
            <w:pPr>
              <w:jc w:val="right"/>
              <w:rPr>
                <w:b/>
                <w:color w:val="000000"/>
                <w:sz w:val="22"/>
                <w:lang w:eastAsia="lv-LV"/>
              </w:rPr>
            </w:pPr>
            <w:r w:rsidRPr="00016798">
              <w:rPr>
                <w:b/>
                <w:color w:val="000000"/>
                <w:sz w:val="22"/>
                <w:lang w:eastAsia="lv-LV"/>
              </w:rPr>
              <w:t>Kopā</w:t>
            </w:r>
            <w:r w:rsidR="00A84713">
              <w:rPr>
                <w:b/>
                <w:color w:val="000000"/>
                <w:sz w:val="22"/>
                <w:lang w:eastAsia="lv-LV"/>
              </w:rPr>
              <w:t xml:space="preserve"> TSI</w:t>
            </w:r>
          </w:p>
        </w:tc>
        <w:tc>
          <w:tcPr>
            <w:tcW w:w="788" w:type="dxa"/>
            <w:shd w:val="clear" w:color="auto" w:fill="D9D9D9" w:themeFill="background1" w:themeFillShade="D9"/>
            <w:noWrap/>
            <w:vAlign w:val="center"/>
          </w:tcPr>
          <w:p w14:paraId="294DBF6F" w14:textId="77777777" w:rsidR="00016798" w:rsidRPr="00016798" w:rsidRDefault="00016798" w:rsidP="00E75F73">
            <w:pPr>
              <w:jc w:val="center"/>
              <w:rPr>
                <w:b/>
                <w:color w:val="000000"/>
                <w:sz w:val="22"/>
                <w:lang w:eastAsia="lv-LV"/>
              </w:rPr>
            </w:pPr>
            <w:r w:rsidRPr="00016798">
              <w:rPr>
                <w:b/>
                <w:color w:val="000000"/>
                <w:sz w:val="22"/>
                <w:lang w:eastAsia="lv-LV"/>
              </w:rPr>
              <w:t>24</w:t>
            </w:r>
          </w:p>
        </w:tc>
      </w:tr>
      <w:tr w:rsidR="00A84713" w:rsidRPr="006B7BAB" w14:paraId="42F3CBC5" w14:textId="77777777" w:rsidTr="003E4176">
        <w:trPr>
          <w:trHeight w:val="416"/>
        </w:trPr>
        <w:tc>
          <w:tcPr>
            <w:tcW w:w="8051" w:type="dxa"/>
            <w:gridSpan w:val="4"/>
            <w:shd w:val="clear" w:color="auto" w:fill="D9D9D9" w:themeFill="background1" w:themeFillShade="D9"/>
            <w:noWrap/>
            <w:vAlign w:val="center"/>
          </w:tcPr>
          <w:p w14:paraId="252BDA63" w14:textId="77777777" w:rsidR="00A84713" w:rsidRPr="00A84713" w:rsidRDefault="00A84713" w:rsidP="00E75F73">
            <w:pPr>
              <w:jc w:val="right"/>
              <w:rPr>
                <w:b/>
                <w:color w:val="000000"/>
                <w:sz w:val="22"/>
                <w:lang w:eastAsia="lv-LV"/>
              </w:rPr>
            </w:pPr>
            <w:r w:rsidRPr="00A84713">
              <w:rPr>
                <w:b/>
                <w:color w:val="000000"/>
                <w:sz w:val="22"/>
                <w:lang w:eastAsia="lv-LV"/>
              </w:rPr>
              <w:t>K</w:t>
            </w:r>
            <w:r w:rsidR="00E75F73">
              <w:rPr>
                <w:b/>
                <w:color w:val="000000"/>
                <w:sz w:val="22"/>
                <w:lang w:eastAsia="lv-LV"/>
              </w:rPr>
              <w:t>OPĀ</w:t>
            </w:r>
          </w:p>
        </w:tc>
        <w:tc>
          <w:tcPr>
            <w:tcW w:w="788" w:type="dxa"/>
            <w:shd w:val="clear" w:color="auto" w:fill="D9D9D9" w:themeFill="background1" w:themeFillShade="D9"/>
            <w:noWrap/>
            <w:vAlign w:val="center"/>
          </w:tcPr>
          <w:p w14:paraId="1E65D046" w14:textId="77777777" w:rsidR="00A84713" w:rsidRPr="00A84713" w:rsidRDefault="00A84713" w:rsidP="00E75F73">
            <w:pPr>
              <w:jc w:val="center"/>
              <w:rPr>
                <w:b/>
                <w:color w:val="000000"/>
                <w:sz w:val="22"/>
                <w:lang w:eastAsia="lv-LV"/>
              </w:rPr>
            </w:pPr>
            <w:r w:rsidRPr="00A84713">
              <w:rPr>
                <w:b/>
                <w:color w:val="000000"/>
                <w:sz w:val="22"/>
                <w:lang w:eastAsia="lv-LV"/>
              </w:rPr>
              <w:t>669</w:t>
            </w:r>
          </w:p>
        </w:tc>
      </w:tr>
    </w:tbl>
    <w:p w14:paraId="1DDD2334" w14:textId="77777777" w:rsidR="0013050C" w:rsidRPr="00016798" w:rsidRDefault="00016798" w:rsidP="00D42476">
      <w:pPr>
        <w:rPr>
          <w:noProof/>
          <w:szCs w:val="24"/>
          <w:lang w:eastAsia="lv-LV"/>
        </w:rPr>
      </w:pPr>
      <w:r w:rsidRPr="00016798">
        <w:rPr>
          <w:noProof/>
          <w:szCs w:val="24"/>
          <w:lang w:eastAsia="lv-LV"/>
        </w:rPr>
        <w:t>*-studējošo skaits uz 01.04.2016.</w:t>
      </w:r>
    </w:p>
    <w:p w14:paraId="479C452D" w14:textId="77777777" w:rsidR="007A37DE" w:rsidRPr="007A37DE" w:rsidRDefault="007A37DE" w:rsidP="007A37DE">
      <w:pPr>
        <w:rPr>
          <w:i/>
          <w:sz w:val="8"/>
          <w:szCs w:val="8"/>
        </w:rPr>
      </w:pPr>
    </w:p>
    <w:p w14:paraId="5116AD88" w14:textId="77777777" w:rsidR="00C40F89" w:rsidRDefault="00D81BEC" w:rsidP="007A37DE">
      <w:r w:rsidRPr="00D81BEC">
        <w:rPr>
          <w:i/>
          <w:sz w:val="22"/>
          <w:szCs w:val="22"/>
        </w:rPr>
        <w:lastRenderedPageBreak/>
        <w:t xml:space="preserve">Piezīme. Madonā </w:t>
      </w:r>
      <w:r>
        <w:rPr>
          <w:i/>
          <w:sz w:val="22"/>
          <w:szCs w:val="22"/>
        </w:rPr>
        <w:t>darbojas</w:t>
      </w:r>
      <w:r w:rsidRPr="00D81BEC">
        <w:rPr>
          <w:i/>
          <w:sz w:val="22"/>
          <w:szCs w:val="22"/>
        </w:rPr>
        <w:t xml:space="preserve"> Rēzeknes Tehnoloģiju akadēmijas filiāle, tomēr šī filiāle tiek izmantota kā studiju vieta tikai atsevišķiem studiju kursiem, bet ne visai programmai. Rēzeknē notiek lielākā daļa studiju procesa</w:t>
      </w:r>
      <w:r>
        <w:rPr>
          <w:i/>
          <w:sz w:val="22"/>
          <w:szCs w:val="22"/>
        </w:rPr>
        <w:t xml:space="preserve"> un studenti, kas atsevišķus studiju kursus apgūst Madonā, </w:t>
      </w:r>
      <w:r w:rsidRPr="00D81BEC">
        <w:rPr>
          <w:i/>
          <w:sz w:val="22"/>
          <w:szCs w:val="22"/>
        </w:rPr>
        <w:t>netiek atsevišķi izdalīti.</w:t>
      </w:r>
    </w:p>
    <w:p w14:paraId="6E0C209B" w14:textId="77777777" w:rsidR="00D81BEC" w:rsidRPr="001727A8" w:rsidRDefault="00A84713" w:rsidP="005508B6">
      <w:pPr>
        <w:ind w:firstLine="720"/>
      </w:pPr>
      <w:r w:rsidRPr="001727A8">
        <w:t>Kopumā augstskolu filiālēs STEM jomas programmās studē 669 studenti, kas veido tikai 2,2 % no kopējā STEM programmās studējošo skaita.</w:t>
      </w:r>
      <w:r w:rsidR="005508B6" w:rsidRPr="001727A8">
        <w:t xml:space="preserve"> Vienlaikus jāatzīmē, ka vairāk kā puse no tiem ir </w:t>
      </w:r>
      <w:r w:rsidR="00E75F73" w:rsidRPr="001727A8">
        <w:t>Rīgas Tehniskās universitātes</w:t>
      </w:r>
      <w:r w:rsidR="005508B6" w:rsidRPr="001727A8">
        <w:t xml:space="preserve"> filiāļu studenti (395 studenti jeb 59% no kopējā filiālēs studējošo skaita). </w:t>
      </w:r>
      <w:r w:rsidR="00E75F73" w:rsidRPr="001727A8">
        <w:t>Rīgas Tehniskās universitātes</w:t>
      </w:r>
      <w:r w:rsidR="00C40F89" w:rsidRPr="001727A8">
        <w:t xml:space="preserve"> filiālēs ir arī visplašākais studiju programmu piedāvājums.</w:t>
      </w:r>
      <w:r w:rsidRPr="001727A8">
        <w:t xml:space="preserve"> Kā redzams </w:t>
      </w:r>
      <w:r w:rsidR="007600AB" w:rsidRPr="001727A8">
        <w:t>1.</w:t>
      </w:r>
      <w:r w:rsidR="00F5532E">
        <w:t>3</w:t>
      </w:r>
      <w:r w:rsidR="007600AB" w:rsidRPr="001727A8">
        <w:t xml:space="preserve">. </w:t>
      </w:r>
      <w:r w:rsidRPr="001727A8">
        <w:t xml:space="preserve">tabulā, lielākais studējošo skaits ir </w:t>
      </w:r>
      <w:r w:rsidR="00E75F73" w:rsidRPr="001727A8">
        <w:t>Rīgas Tehniskās universitātes</w:t>
      </w:r>
      <w:r w:rsidRPr="001727A8">
        <w:t xml:space="preserve"> Daugavpils un Liepājas filiālēs, kā arī </w:t>
      </w:r>
      <w:r w:rsidR="00E75F73" w:rsidRPr="001727A8">
        <w:t>Rīgas Stradiņa universitātes</w:t>
      </w:r>
      <w:r w:rsidRPr="001727A8">
        <w:t xml:space="preserve"> Liepājas filiālē. </w:t>
      </w:r>
    </w:p>
    <w:p w14:paraId="624BD138" w14:textId="77777777" w:rsidR="00D55731" w:rsidRPr="001727A8" w:rsidRDefault="005508B6" w:rsidP="00D81BEC">
      <w:pPr>
        <w:ind w:firstLine="720"/>
      </w:pPr>
      <w:r w:rsidRPr="001727A8">
        <w:t xml:space="preserve">Lai izvērtētu studiju programmu piedāvājumu Latvijas reģionos un to atbilstību darba tirgus pieprasījuma prognozēm, </w:t>
      </w:r>
      <w:r w:rsidR="005B701C" w:rsidRPr="001727A8">
        <w:t>1.</w:t>
      </w:r>
      <w:r w:rsidR="002739DC">
        <w:t>4</w:t>
      </w:r>
      <w:r w:rsidRPr="001727A8">
        <w:t>. tabulā ir apkopota informācija par reģionos īstenoto STEM studiju programmu skaitu sadalījumā pa izglītības tematiskajām grupām un jomām.</w:t>
      </w:r>
    </w:p>
    <w:p w14:paraId="11A63560" w14:textId="77777777" w:rsidR="00CD26EB" w:rsidRPr="001727A8" w:rsidRDefault="00CD26EB" w:rsidP="00D81BEC">
      <w:pPr>
        <w:ind w:firstLine="720"/>
      </w:pPr>
    </w:p>
    <w:p w14:paraId="305A6A29" w14:textId="77777777" w:rsidR="00D55731" w:rsidRDefault="009C70EB" w:rsidP="005B701C">
      <w:pPr>
        <w:pStyle w:val="ListParagraph"/>
        <w:ind w:left="1080"/>
        <w:jc w:val="right"/>
      </w:pPr>
      <w:r>
        <w:t>1.</w:t>
      </w:r>
      <w:r w:rsidR="00191DA2">
        <w:t>4</w:t>
      </w:r>
      <w:r>
        <w:t>.tabula</w:t>
      </w:r>
    </w:p>
    <w:p w14:paraId="17A768E9" w14:textId="77777777" w:rsidR="00BB6F5E" w:rsidRDefault="00BB6F5E" w:rsidP="009C70EB">
      <w:pPr>
        <w:pStyle w:val="ListParagraph"/>
        <w:ind w:left="1080"/>
        <w:jc w:val="center"/>
        <w:rPr>
          <w:b/>
        </w:rPr>
      </w:pPr>
      <w:r>
        <w:rPr>
          <w:b/>
        </w:rPr>
        <w:t xml:space="preserve">Augstskolu un to filiāļu </w:t>
      </w:r>
      <w:r w:rsidR="009C70EB" w:rsidRPr="009C70EB">
        <w:rPr>
          <w:b/>
        </w:rPr>
        <w:t xml:space="preserve">STEM jomas programmu piedāvājums </w:t>
      </w:r>
    </w:p>
    <w:p w14:paraId="0C706719" w14:textId="77777777" w:rsidR="009C70EB" w:rsidRPr="009C70EB" w:rsidRDefault="009C70EB" w:rsidP="009C70EB">
      <w:pPr>
        <w:pStyle w:val="ListParagraph"/>
        <w:ind w:left="1080"/>
        <w:jc w:val="center"/>
        <w:rPr>
          <w:b/>
        </w:rPr>
      </w:pPr>
      <w:r w:rsidRPr="009C70EB">
        <w:rPr>
          <w:b/>
        </w:rPr>
        <w:t>Latvijas reģionos</w:t>
      </w:r>
    </w:p>
    <w:p w14:paraId="4F2FE340" w14:textId="77777777" w:rsidR="00E75B41" w:rsidRDefault="00E75B41" w:rsidP="005B701C">
      <w:pPr>
        <w:pStyle w:val="ListParagraph"/>
        <w:ind w:left="1080"/>
        <w:jc w:val="right"/>
      </w:pPr>
    </w:p>
    <w:tbl>
      <w:tblPr>
        <w:tblW w:w="547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325"/>
        <w:gridCol w:w="1517"/>
        <w:gridCol w:w="1658"/>
        <w:gridCol w:w="1104"/>
        <w:gridCol w:w="965"/>
        <w:gridCol w:w="1104"/>
        <w:gridCol w:w="832"/>
        <w:gridCol w:w="828"/>
      </w:tblGrid>
      <w:tr w:rsidR="001727A8" w:rsidRPr="006C195E" w14:paraId="1C04A8AA" w14:textId="77777777" w:rsidTr="00FA46C0">
        <w:trPr>
          <w:trHeight w:val="300"/>
        </w:trPr>
        <w:tc>
          <w:tcPr>
            <w:tcW w:w="300" w:type="pct"/>
            <w:vMerge w:val="restart"/>
            <w:vAlign w:val="center"/>
          </w:tcPr>
          <w:p w14:paraId="7B2DFECA" w14:textId="77777777" w:rsidR="00E75B41" w:rsidRDefault="00E75B41" w:rsidP="00A07A25">
            <w:pPr>
              <w:jc w:val="center"/>
              <w:rPr>
                <w:color w:val="000000"/>
                <w:sz w:val="22"/>
                <w:szCs w:val="22"/>
                <w:lang w:eastAsia="lv-LV"/>
              </w:rPr>
            </w:pPr>
            <w:r>
              <w:rPr>
                <w:color w:val="000000"/>
                <w:sz w:val="22"/>
                <w:szCs w:val="22"/>
                <w:lang w:eastAsia="lv-LV"/>
              </w:rPr>
              <w:t>Nr.</w:t>
            </w:r>
          </w:p>
          <w:p w14:paraId="2E9484D8" w14:textId="77777777" w:rsidR="00E75B41" w:rsidRPr="00DF33A5" w:rsidRDefault="00E75B41" w:rsidP="00A07A25">
            <w:pPr>
              <w:jc w:val="center"/>
              <w:rPr>
                <w:color w:val="000000"/>
                <w:sz w:val="22"/>
                <w:szCs w:val="22"/>
                <w:lang w:eastAsia="lv-LV"/>
              </w:rPr>
            </w:pPr>
            <w:r>
              <w:rPr>
                <w:color w:val="000000"/>
                <w:sz w:val="22"/>
                <w:szCs w:val="22"/>
                <w:lang w:eastAsia="lv-LV"/>
              </w:rPr>
              <w:t>p.k.</w:t>
            </w:r>
          </w:p>
        </w:tc>
        <w:tc>
          <w:tcPr>
            <w:tcW w:w="667" w:type="pct"/>
            <w:vMerge w:val="restart"/>
            <w:shd w:val="clear" w:color="auto" w:fill="auto"/>
            <w:noWrap/>
            <w:vAlign w:val="center"/>
          </w:tcPr>
          <w:p w14:paraId="12B916E2" w14:textId="77777777" w:rsidR="00E75B41" w:rsidRPr="007C4BF8" w:rsidRDefault="00E75B41" w:rsidP="00A07A25">
            <w:pPr>
              <w:jc w:val="center"/>
              <w:rPr>
                <w:color w:val="000000"/>
                <w:sz w:val="20"/>
                <w:lang w:eastAsia="lv-LV"/>
              </w:rPr>
            </w:pPr>
            <w:r w:rsidRPr="007C4BF8">
              <w:rPr>
                <w:color w:val="000000"/>
                <w:sz w:val="20"/>
                <w:lang w:eastAsia="lv-LV"/>
              </w:rPr>
              <w:t>Augstskola, filiāle</w:t>
            </w:r>
          </w:p>
        </w:tc>
        <w:tc>
          <w:tcPr>
            <w:tcW w:w="2155" w:type="pct"/>
            <w:gridSpan w:val="3"/>
            <w:shd w:val="clear" w:color="auto" w:fill="auto"/>
            <w:noWrap/>
            <w:vAlign w:val="center"/>
          </w:tcPr>
          <w:p w14:paraId="61AF895B" w14:textId="77777777" w:rsidR="00E75B41" w:rsidRDefault="00E75B41" w:rsidP="00A07A25">
            <w:pPr>
              <w:jc w:val="center"/>
              <w:rPr>
                <w:color w:val="000000"/>
                <w:sz w:val="22"/>
                <w:szCs w:val="22"/>
                <w:lang w:eastAsia="lv-LV"/>
              </w:rPr>
            </w:pPr>
            <w:r>
              <w:rPr>
                <w:color w:val="000000"/>
                <w:sz w:val="22"/>
                <w:szCs w:val="22"/>
                <w:lang w:eastAsia="lv-LV"/>
              </w:rPr>
              <w:t>Izglītības tematiskā grupa</w:t>
            </w:r>
          </w:p>
        </w:tc>
        <w:tc>
          <w:tcPr>
            <w:tcW w:w="1461" w:type="pct"/>
            <w:gridSpan w:val="3"/>
            <w:shd w:val="clear" w:color="auto" w:fill="auto"/>
            <w:noWrap/>
            <w:vAlign w:val="center"/>
          </w:tcPr>
          <w:p w14:paraId="26355D2C" w14:textId="77777777" w:rsidR="00E75B41" w:rsidRPr="00DF33A5" w:rsidRDefault="00E75B41" w:rsidP="00A07A25">
            <w:pPr>
              <w:jc w:val="center"/>
              <w:rPr>
                <w:color w:val="000000"/>
                <w:sz w:val="22"/>
                <w:szCs w:val="22"/>
                <w:lang w:eastAsia="lv-LV"/>
              </w:rPr>
            </w:pPr>
            <w:r>
              <w:rPr>
                <w:color w:val="000000"/>
                <w:sz w:val="22"/>
                <w:szCs w:val="22"/>
                <w:lang w:eastAsia="lv-LV"/>
              </w:rPr>
              <w:t>Izglītības tematiskā joma</w:t>
            </w:r>
          </w:p>
        </w:tc>
        <w:tc>
          <w:tcPr>
            <w:tcW w:w="418" w:type="pct"/>
            <w:vMerge w:val="restart"/>
            <w:shd w:val="clear" w:color="auto" w:fill="auto"/>
            <w:noWrap/>
            <w:vAlign w:val="center"/>
          </w:tcPr>
          <w:p w14:paraId="68443726" w14:textId="77777777" w:rsidR="00E75B41" w:rsidRPr="006C195E" w:rsidRDefault="001727A8" w:rsidP="00A07A25">
            <w:pPr>
              <w:jc w:val="center"/>
              <w:rPr>
                <w:b/>
                <w:color w:val="000000"/>
                <w:sz w:val="22"/>
                <w:szCs w:val="22"/>
                <w:lang w:eastAsia="lv-LV"/>
              </w:rPr>
            </w:pPr>
            <w:r>
              <w:rPr>
                <w:b/>
                <w:color w:val="000000"/>
                <w:sz w:val="22"/>
                <w:szCs w:val="22"/>
                <w:lang w:eastAsia="lv-LV"/>
              </w:rPr>
              <w:t>K</w:t>
            </w:r>
            <w:r w:rsidR="00E75B41" w:rsidRPr="006C195E">
              <w:rPr>
                <w:b/>
                <w:color w:val="000000"/>
                <w:sz w:val="22"/>
                <w:szCs w:val="22"/>
                <w:lang w:eastAsia="lv-LV"/>
              </w:rPr>
              <w:t>opā</w:t>
            </w:r>
          </w:p>
        </w:tc>
      </w:tr>
      <w:tr w:rsidR="00FA46C0" w:rsidRPr="006C195E" w14:paraId="2D9191E4" w14:textId="77777777" w:rsidTr="00FA46C0">
        <w:trPr>
          <w:trHeight w:val="300"/>
        </w:trPr>
        <w:tc>
          <w:tcPr>
            <w:tcW w:w="300" w:type="pct"/>
            <w:vMerge/>
          </w:tcPr>
          <w:p w14:paraId="79C73EE5" w14:textId="77777777" w:rsidR="00E75B41" w:rsidRPr="00DF33A5" w:rsidRDefault="00E75B41" w:rsidP="00A07A25">
            <w:pPr>
              <w:jc w:val="center"/>
              <w:rPr>
                <w:color w:val="000000"/>
                <w:sz w:val="22"/>
                <w:szCs w:val="22"/>
                <w:lang w:eastAsia="lv-LV"/>
              </w:rPr>
            </w:pPr>
          </w:p>
        </w:tc>
        <w:tc>
          <w:tcPr>
            <w:tcW w:w="667" w:type="pct"/>
            <w:vMerge/>
            <w:shd w:val="clear" w:color="auto" w:fill="auto"/>
            <w:noWrap/>
            <w:vAlign w:val="center"/>
            <w:hideMark/>
          </w:tcPr>
          <w:p w14:paraId="6BC4DFC9" w14:textId="77777777" w:rsidR="00E75B41" w:rsidRPr="00DF33A5" w:rsidRDefault="00E75B41" w:rsidP="00A07A25">
            <w:pPr>
              <w:jc w:val="center"/>
              <w:rPr>
                <w:color w:val="000000"/>
                <w:sz w:val="22"/>
                <w:szCs w:val="22"/>
                <w:lang w:eastAsia="lv-LV"/>
              </w:rPr>
            </w:pPr>
          </w:p>
        </w:tc>
        <w:tc>
          <w:tcPr>
            <w:tcW w:w="764" w:type="pct"/>
            <w:shd w:val="clear" w:color="auto" w:fill="auto"/>
            <w:noWrap/>
            <w:vAlign w:val="center"/>
            <w:hideMark/>
          </w:tcPr>
          <w:p w14:paraId="7ACA00F3" w14:textId="77777777" w:rsidR="00E75B41" w:rsidRPr="00EA601B" w:rsidRDefault="00E75B41" w:rsidP="001727A8">
            <w:pPr>
              <w:jc w:val="center"/>
              <w:rPr>
                <w:sz w:val="20"/>
                <w:lang w:eastAsia="lv-LV"/>
              </w:rPr>
            </w:pPr>
            <w:r w:rsidRPr="00EA601B">
              <w:rPr>
                <w:sz w:val="20"/>
              </w:rPr>
              <w:t>Dabas zinātnes, matemātika un informācijas tehnoloģijas</w:t>
            </w:r>
          </w:p>
        </w:tc>
        <w:tc>
          <w:tcPr>
            <w:tcW w:w="835" w:type="pct"/>
            <w:shd w:val="clear" w:color="auto" w:fill="auto"/>
            <w:noWrap/>
            <w:vAlign w:val="center"/>
            <w:hideMark/>
          </w:tcPr>
          <w:p w14:paraId="32936FE0" w14:textId="77777777" w:rsidR="00E75B41" w:rsidRPr="00EA601B" w:rsidRDefault="00E75B41" w:rsidP="001727A8">
            <w:pPr>
              <w:jc w:val="center"/>
              <w:rPr>
                <w:sz w:val="20"/>
                <w:lang w:eastAsia="lv-LV"/>
              </w:rPr>
            </w:pPr>
            <w:r w:rsidRPr="00EA601B">
              <w:rPr>
                <w:sz w:val="20"/>
              </w:rPr>
              <w:t>Inženierzinātnes</w:t>
            </w:r>
            <w:r>
              <w:rPr>
                <w:sz w:val="20"/>
              </w:rPr>
              <w:t>, r</w:t>
            </w:r>
            <w:r w:rsidRPr="00EA601B">
              <w:rPr>
                <w:sz w:val="20"/>
              </w:rPr>
              <w:t>ažošana un būvniecība</w:t>
            </w:r>
          </w:p>
        </w:tc>
        <w:tc>
          <w:tcPr>
            <w:tcW w:w="556" w:type="pct"/>
            <w:vAlign w:val="center"/>
          </w:tcPr>
          <w:p w14:paraId="5D37B91E" w14:textId="77777777" w:rsidR="00E75B41" w:rsidRDefault="00E75B41" w:rsidP="001727A8">
            <w:pPr>
              <w:jc w:val="center"/>
              <w:rPr>
                <w:sz w:val="20"/>
                <w:lang w:eastAsia="lv-LV"/>
              </w:rPr>
            </w:pPr>
            <w:proofErr w:type="spellStart"/>
            <w:r>
              <w:rPr>
                <w:sz w:val="20"/>
                <w:lang w:eastAsia="lv-LV"/>
              </w:rPr>
              <w:t>Lauksaim</w:t>
            </w:r>
            <w:proofErr w:type="spellEnd"/>
            <w:r>
              <w:rPr>
                <w:sz w:val="20"/>
                <w:lang w:eastAsia="lv-LV"/>
              </w:rPr>
              <w:t>-</w:t>
            </w:r>
          </w:p>
          <w:p w14:paraId="3DC59E72" w14:textId="77777777" w:rsidR="00E75B41" w:rsidRPr="00EA601B" w:rsidRDefault="00E75B41" w:rsidP="001727A8">
            <w:pPr>
              <w:jc w:val="center"/>
              <w:rPr>
                <w:sz w:val="20"/>
                <w:lang w:eastAsia="lv-LV"/>
              </w:rPr>
            </w:pPr>
            <w:r>
              <w:rPr>
                <w:sz w:val="20"/>
                <w:lang w:eastAsia="lv-LV"/>
              </w:rPr>
              <w:t>niecība</w:t>
            </w:r>
          </w:p>
        </w:tc>
        <w:tc>
          <w:tcPr>
            <w:tcW w:w="486" w:type="pct"/>
            <w:shd w:val="clear" w:color="auto" w:fill="auto"/>
            <w:noWrap/>
            <w:vAlign w:val="center"/>
            <w:hideMark/>
          </w:tcPr>
          <w:p w14:paraId="615C607E" w14:textId="77777777" w:rsidR="00E75B41" w:rsidRPr="00EA601B" w:rsidRDefault="00E75B41" w:rsidP="001727A8">
            <w:pPr>
              <w:jc w:val="center"/>
              <w:rPr>
                <w:sz w:val="20"/>
                <w:lang w:eastAsia="lv-LV"/>
              </w:rPr>
            </w:pPr>
            <w:r w:rsidRPr="00EA601B">
              <w:rPr>
                <w:sz w:val="20"/>
                <w:lang w:eastAsia="lv-LV"/>
              </w:rPr>
              <w:t>Mākslas</w:t>
            </w:r>
          </w:p>
        </w:tc>
        <w:tc>
          <w:tcPr>
            <w:tcW w:w="556" w:type="pct"/>
            <w:shd w:val="clear" w:color="auto" w:fill="auto"/>
            <w:noWrap/>
            <w:vAlign w:val="center"/>
            <w:hideMark/>
          </w:tcPr>
          <w:p w14:paraId="2FEE9CE3" w14:textId="77777777" w:rsidR="00E75B41" w:rsidRPr="00EA601B" w:rsidRDefault="00E75B41" w:rsidP="001727A8">
            <w:pPr>
              <w:jc w:val="center"/>
              <w:rPr>
                <w:sz w:val="20"/>
                <w:lang w:eastAsia="lv-LV"/>
              </w:rPr>
            </w:pPr>
            <w:r w:rsidRPr="00EA601B">
              <w:rPr>
                <w:sz w:val="20"/>
                <w:lang w:eastAsia="lv-LV"/>
              </w:rPr>
              <w:t>Veselības aprūpe</w:t>
            </w:r>
          </w:p>
        </w:tc>
        <w:tc>
          <w:tcPr>
            <w:tcW w:w="419" w:type="pct"/>
            <w:shd w:val="clear" w:color="auto" w:fill="auto"/>
            <w:noWrap/>
            <w:vAlign w:val="center"/>
            <w:hideMark/>
          </w:tcPr>
          <w:p w14:paraId="70058581" w14:textId="77777777" w:rsidR="00E75B41" w:rsidRPr="00EA601B" w:rsidRDefault="00E75B41" w:rsidP="001727A8">
            <w:pPr>
              <w:jc w:val="center"/>
              <w:rPr>
                <w:sz w:val="20"/>
                <w:lang w:eastAsia="lv-LV"/>
              </w:rPr>
            </w:pPr>
            <w:r w:rsidRPr="00EA601B">
              <w:rPr>
                <w:sz w:val="20"/>
                <w:lang w:eastAsia="lv-LV"/>
              </w:rPr>
              <w:t xml:space="preserve">Vides </w:t>
            </w:r>
            <w:proofErr w:type="spellStart"/>
            <w:r w:rsidRPr="00EA601B">
              <w:rPr>
                <w:sz w:val="20"/>
                <w:lang w:eastAsia="lv-LV"/>
              </w:rPr>
              <w:t>aizsar</w:t>
            </w:r>
            <w:proofErr w:type="spellEnd"/>
            <w:r w:rsidRPr="00EA601B">
              <w:rPr>
                <w:sz w:val="20"/>
                <w:lang w:eastAsia="lv-LV"/>
              </w:rPr>
              <w:t>-</w:t>
            </w:r>
          </w:p>
          <w:p w14:paraId="1EDFAC49" w14:textId="77777777" w:rsidR="00E75B41" w:rsidRPr="00EA601B" w:rsidRDefault="00E75B41" w:rsidP="001727A8">
            <w:pPr>
              <w:jc w:val="center"/>
              <w:rPr>
                <w:sz w:val="20"/>
                <w:lang w:eastAsia="lv-LV"/>
              </w:rPr>
            </w:pPr>
            <w:proofErr w:type="spellStart"/>
            <w:r w:rsidRPr="00EA601B">
              <w:rPr>
                <w:sz w:val="20"/>
                <w:lang w:eastAsia="lv-LV"/>
              </w:rPr>
              <w:t>dzība</w:t>
            </w:r>
            <w:proofErr w:type="spellEnd"/>
          </w:p>
        </w:tc>
        <w:tc>
          <w:tcPr>
            <w:tcW w:w="418" w:type="pct"/>
            <w:vMerge/>
            <w:shd w:val="clear" w:color="auto" w:fill="auto"/>
            <w:noWrap/>
            <w:vAlign w:val="bottom"/>
            <w:hideMark/>
          </w:tcPr>
          <w:p w14:paraId="05E14144" w14:textId="77777777" w:rsidR="00E75B41" w:rsidRPr="006C195E" w:rsidRDefault="00E75B41" w:rsidP="00A07A25">
            <w:pPr>
              <w:jc w:val="center"/>
              <w:rPr>
                <w:b/>
                <w:color w:val="000000"/>
                <w:sz w:val="22"/>
                <w:szCs w:val="22"/>
                <w:lang w:eastAsia="lv-LV"/>
              </w:rPr>
            </w:pPr>
          </w:p>
        </w:tc>
      </w:tr>
      <w:tr w:rsidR="00E75B41" w:rsidRPr="006C195E" w14:paraId="601A2D9B" w14:textId="77777777" w:rsidTr="00FA46C0">
        <w:trPr>
          <w:trHeight w:val="300"/>
        </w:trPr>
        <w:tc>
          <w:tcPr>
            <w:tcW w:w="5000" w:type="pct"/>
            <w:gridSpan w:val="9"/>
          </w:tcPr>
          <w:p w14:paraId="4496968B" w14:textId="77777777" w:rsidR="00E75B41" w:rsidRPr="006C195E" w:rsidRDefault="00E75B41" w:rsidP="00A07A25">
            <w:pPr>
              <w:jc w:val="center"/>
              <w:rPr>
                <w:b/>
                <w:color w:val="000000"/>
                <w:sz w:val="22"/>
                <w:szCs w:val="22"/>
                <w:lang w:eastAsia="lv-LV"/>
              </w:rPr>
            </w:pPr>
            <w:r>
              <w:rPr>
                <w:b/>
                <w:color w:val="000000"/>
                <w:sz w:val="22"/>
                <w:lang w:eastAsia="lv-LV"/>
              </w:rPr>
              <w:t>Latgales reģions</w:t>
            </w:r>
          </w:p>
        </w:tc>
      </w:tr>
      <w:tr w:rsidR="00FA46C0" w:rsidRPr="006C195E" w14:paraId="06EE0538" w14:textId="77777777" w:rsidTr="00FA46C0">
        <w:trPr>
          <w:trHeight w:val="300"/>
        </w:trPr>
        <w:tc>
          <w:tcPr>
            <w:tcW w:w="300" w:type="pct"/>
            <w:vAlign w:val="center"/>
          </w:tcPr>
          <w:p w14:paraId="67548EB7" w14:textId="77777777" w:rsidR="00E75B41" w:rsidRPr="006C195E" w:rsidRDefault="00E75B41" w:rsidP="001727A8">
            <w:pPr>
              <w:jc w:val="left"/>
              <w:rPr>
                <w:color w:val="000000"/>
                <w:sz w:val="22"/>
                <w:szCs w:val="22"/>
                <w:lang w:eastAsia="lv-LV"/>
              </w:rPr>
            </w:pPr>
            <w:r>
              <w:rPr>
                <w:color w:val="000000"/>
                <w:sz w:val="22"/>
                <w:szCs w:val="22"/>
                <w:lang w:eastAsia="lv-LV"/>
              </w:rPr>
              <w:t>1.</w:t>
            </w:r>
          </w:p>
        </w:tc>
        <w:tc>
          <w:tcPr>
            <w:tcW w:w="667" w:type="pct"/>
            <w:shd w:val="clear" w:color="auto" w:fill="auto"/>
            <w:noWrap/>
            <w:vAlign w:val="center"/>
            <w:hideMark/>
          </w:tcPr>
          <w:p w14:paraId="31F3E28A" w14:textId="77777777" w:rsidR="00E75B41" w:rsidRPr="00DF33A5" w:rsidRDefault="00E75B41" w:rsidP="001727A8">
            <w:pPr>
              <w:jc w:val="left"/>
              <w:rPr>
                <w:color w:val="000000"/>
                <w:sz w:val="22"/>
                <w:szCs w:val="22"/>
                <w:lang w:eastAsia="lv-LV"/>
              </w:rPr>
            </w:pPr>
            <w:r w:rsidRPr="00DF33A5">
              <w:rPr>
                <w:color w:val="000000"/>
                <w:sz w:val="22"/>
                <w:szCs w:val="22"/>
                <w:lang w:eastAsia="lv-LV"/>
              </w:rPr>
              <w:t>DU</w:t>
            </w:r>
          </w:p>
        </w:tc>
        <w:tc>
          <w:tcPr>
            <w:tcW w:w="764" w:type="pct"/>
            <w:shd w:val="clear" w:color="auto" w:fill="auto"/>
            <w:noWrap/>
            <w:vAlign w:val="center"/>
            <w:hideMark/>
          </w:tcPr>
          <w:p w14:paraId="74469CB9" w14:textId="77777777" w:rsidR="00E75B41" w:rsidRPr="00DF33A5" w:rsidRDefault="00E75B41" w:rsidP="001727A8">
            <w:pPr>
              <w:jc w:val="center"/>
              <w:rPr>
                <w:color w:val="000000"/>
                <w:sz w:val="22"/>
                <w:szCs w:val="22"/>
                <w:lang w:eastAsia="lv-LV"/>
              </w:rPr>
            </w:pPr>
            <w:r w:rsidRPr="00DF33A5">
              <w:rPr>
                <w:color w:val="000000"/>
                <w:sz w:val="22"/>
                <w:szCs w:val="22"/>
                <w:lang w:eastAsia="lv-LV"/>
              </w:rPr>
              <w:t>16</w:t>
            </w:r>
          </w:p>
        </w:tc>
        <w:tc>
          <w:tcPr>
            <w:tcW w:w="835" w:type="pct"/>
            <w:shd w:val="clear" w:color="auto" w:fill="auto"/>
            <w:noWrap/>
            <w:vAlign w:val="center"/>
            <w:hideMark/>
          </w:tcPr>
          <w:p w14:paraId="53F7682E" w14:textId="77777777" w:rsidR="00E75B41" w:rsidRPr="00DF33A5" w:rsidRDefault="00E75B41" w:rsidP="001727A8">
            <w:pPr>
              <w:jc w:val="center"/>
              <w:rPr>
                <w:color w:val="000000"/>
                <w:sz w:val="22"/>
                <w:szCs w:val="22"/>
                <w:lang w:eastAsia="lv-LV"/>
              </w:rPr>
            </w:pPr>
            <w:r w:rsidRPr="00DF33A5">
              <w:rPr>
                <w:color w:val="000000"/>
                <w:sz w:val="22"/>
                <w:szCs w:val="22"/>
                <w:lang w:eastAsia="lv-LV"/>
              </w:rPr>
              <w:t>0</w:t>
            </w:r>
          </w:p>
        </w:tc>
        <w:tc>
          <w:tcPr>
            <w:tcW w:w="556" w:type="pct"/>
            <w:vAlign w:val="center"/>
          </w:tcPr>
          <w:p w14:paraId="55649A08" w14:textId="77777777" w:rsidR="00E75B41" w:rsidRPr="00DF33A5" w:rsidRDefault="00E75B41" w:rsidP="001727A8">
            <w:pPr>
              <w:jc w:val="center"/>
              <w:rPr>
                <w:color w:val="000000"/>
                <w:sz w:val="22"/>
                <w:szCs w:val="22"/>
                <w:lang w:eastAsia="lv-LV"/>
              </w:rPr>
            </w:pPr>
            <w:r>
              <w:rPr>
                <w:color w:val="000000"/>
                <w:sz w:val="22"/>
                <w:szCs w:val="22"/>
                <w:lang w:eastAsia="lv-LV"/>
              </w:rPr>
              <w:t>0</w:t>
            </w:r>
          </w:p>
        </w:tc>
        <w:tc>
          <w:tcPr>
            <w:tcW w:w="486" w:type="pct"/>
            <w:shd w:val="clear" w:color="auto" w:fill="auto"/>
            <w:noWrap/>
            <w:vAlign w:val="center"/>
            <w:hideMark/>
          </w:tcPr>
          <w:p w14:paraId="0F75FF46" w14:textId="77777777" w:rsidR="00E75B41" w:rsidRPr="00DF33A5" w:rsidRDefault="00E75B41" w:rsidP="001727A8">
            <w:pPr>
              <w:jc w:val="center"/>
              <w:rPr>
                <w:color w:val="000000"/>
                <w:sz w:val="22"/>
                <w:szCs w:val="22"/>
                <w:lang w:eastAsia="lv-LV"/>
              </w:rPr>
            </w:pPr>
            <w:r w:rsidRPr="00DF33A5">
              <w:rPr>
                <w:color w:val="000000"/>
                <w:sz w:val="22"/>
                <w:szCs w:val="22"/>
                <w:lang w:eastAsia="lv-LV"/>
              </w:rPr>
              <w:t>7</w:t>
            </w:r>
          </w:p>
        </w:tc>
        <w:tc>
          <w:tcPr>
            <w:tcW w:w="556" w:type="pct"/>
            <w:shd w:val="clear" w:color="auto" w:fill="auto"/>
            <w:noWrap/>
            <w:vAlign w:val="center"/>
            <w:hideMark/>
          </w:tcPr>
          <w:p w14:paraId="3CCED627" w14:textId="77777777" w:rsidR="00E75B41" w:rsidRPr="00DF33A5" w:rsidRDefault="00E75B41" w:rsidP="001727A8">
            <w:pPr>
              <w:jc w:val="center"/>
              <w:rPr>
                <w:color w:val="000000"/>
                <w:sz w:val="22"/>
                <w:szCs w:val="22"/>
                <w:lang w:eastAsia="lv-LV"/>
              </w:rPr>
            </w:pPr>
            <w:r w:rsidRPr="00DF33A5">
              <w:rPr>
                <w:color w:val="000000"/>
                <w:sz w:val="22"/>
                <w:szCs w:val="22"/>
                <w:lang w:eastAsia="lv-LV"/>
              </w:rPr>
              <w:t>1</w:t>
            </w:r>
          </w:p>
        </w:tc>
        <w:tc>
          <w:tcPr>
            <w:tcW w:w="419" w:type="pct"/>
            <w:shd w:val="clear" w:color="auto" w:fill="auto"/>
            <w:noWrap/>
            <w:vAlign w:val="center"/>
            <w:hideMark/>
          </w:tcPr>
          <w:p w14:paraId="65FA7912" w14:textId="77777777" w:rsidR="00E75B41" w:rsidRPr="00DF33A5" w:rsidRDefault="00E75B41" w:rsidP="001727A8">
            <w:pPr>
              <w:jc w:val="center"/>
              <w:rPr>
                <w:color w:val="000000"/>
                <w:sz w:val="22"/>
                <w:szCs w:val="22"/>
                <w:lang w:eastAsia="lv-LV"/>
              </w:rPr>
            </w:pPr>
            <w:r w:rsidRPr="00DF33A5">
              <w:rPr>
                <w:color w:val="000000"/>
                <w:sz w:val="22"/>
                <w:szCs w:val="22"/>
                <w:lang w:eastAsia="lv-LV"/>
              </w:rPr>
              <w:t>2</w:t>
            </w:r>
          </w:p>
        </w:tc>
        <w:tc>
          <w:tcPr>
            <w:tcW w:w="418" w:type="pct"/>
            <w:shd w:val="clear" w:color="auto" w:fill="auto"/>
            <w:noWrap/>
            <w:vAlign w:val="center"/>
            <w:hideMark/>
          </w:tcPr>
          <w:p w14:paraId="55039EC0" w14:textId="77777777" w:rsidR="00E75B41" w:rsidRPr="006C195E" w:rsidRDefault="00E75B41" w:rsidP="001727A8">
            <w:pPr>
              <w:jc w:val="center"/>
              <w:rPr>
                <w:b/>
                <w:color w:val="000000"/>
                <w:sz w:val="22"/>
                <w:szCs w:val="22"/>
                <w:lang w:eastAsia="lv-LV"/>
              </w:rPr>
            </w:pPr>
            <w:r w:rsidRPr="006C195E">
              <w:rPr>
                <w:b/>
                <w:color w:val="000000"/>
                <w:sz w:val="22"/>
                <w:szCs w:val="22"/>
                <w:lang w:eastAsia="lv-LV"/>
              </w:rPr>
              <w:t>26</w:t>
            </w:r>
          </w:p>
        </w:tc>
      </w:tr>
      <w:tr w:rsidR="00FA46C0" w:rsidRPr="006C195E" w14:paraId="1D4DEDE5" w14:textId="77777777" w:rsidTr="00FA46C0">
        <w:trPr>
          <w:trHeight w:val="300"/>
        </w:trPr>
        <w:tc>
          <w:tcPr>
            <w:tcW w:w="300" w:type="pct"/>
            <w:vAlign w:val="center"/>
          </w:tcPr>
          <w:p w14:paraId="744AE42C" w14:textId="77777777" w:rsidR="00E75B41" w:rsidRPr="006C195E" w:rsidRDefault="00E75B41" w:rsidP="001727A8">
            <w:pPr>
              <w:jc w:val="left"/>
              <w:rPr>
                <w:color w:val="000000"/>
                <w:sz w:val="22"/>
                <w:lang w:eastAsia="lv-LV"/>
              </w:rPr>
            </w:pPr>
            <w:r>
              <w:rPr>
                <w:color w:val="000000"/>
                <w:sz w:val="22"/>
                <w:lang w:eastAsia="lv-LV"/>
              </w:rPr>
              <w:t>2.</w:t>
            </w:r>
          </w:p>
        </w:tc>
        <w:tc>
          <w:tcPr>
            <w:tcW w:w="667" w:type="pct"/>
            <w:shd w:val="clear" w:color="auto" w:fill="auto"/>
            <w:noWrap/>
            <w:vAlign w:val="center"/>
          </w:tcPr>
          <w:p w14:paraId="782059FA" w14:textId="77777777" w:rsidR="00E75B41" w:rsidRPr="00DF33A5" w:rsidRDefault="00E75B41" w:rsidP="001727A8">
            <w:pPr>
              <w:jc w:val="left"/>
              <w:rPr>
                <w:color w:val="000000"/>
                <w:sz w:val="22"/>
                <w:szCs w:val="22"/>
                <w:lang w:eastAsia="lv-LV"/>
              </w:rPr>
            </w:pPr>
            <w:r w:rsidRPr="00DF33A5">
              <w:rPr>
                <w:color w:val="000000"/>
                <w:sz w:val="22"/>
                <w:szCs w:val="22"/>
                <w:lang w:eastAsia="lv-LV"/>
              </w:rPr>
              <w:t>RTA</w:t>
            </w:r>
          </w:p>
        </w:tc>
        <w:tc>
          <w:tcPr>
            <w:tcW w:w="764" w:type="pct"/>
            <w:shd w:val="clear" w:color="auto" w:fill="auto"/>
            <w:noWrap/>
            <w:vAlign w:val="center"/>
          </w:tcPr>
          <w:p w14:paraId="0C28BE8A" w14:textId="77777777" w:rsidR="00E75B41" w:rsidRPr="00DF33A5" w:rsidRDefault="00E75B41" w:rsidP="001727A8">
            <w:pPr>
              <w:jc w:val="center"/>
              <w:rPr>
                <w:color w:val="000000"/>
                <w:sz w:val="22"/>
                <w:szCs w:val="22"/>
                <w:lang w:eastAsia="lv-LV"/>
              </w:rPr>
            </w:pPr>
            <w:r w:rsidRPr="00DF33A5">
              <w:rPr>
                <w:color w:val="000000"/>
                <w:sz w:val="22"/>
                <w:szCs w:val="22"/>
                <w:lang w:eastAsia="lv-LV"/>
              </w:rPr>
              <w:t>5</w:t>
            </w:r>
          </w:p>
        </w:tc>
        <w:tc>
          <w:tcPr>
            <w:tcW w:w="835" w:type="pct"/>
            <w:shd w:val="clear" w:color="auto" w:fill="auto"/>
            <w:noWrap/>
            <w:vAlign w:val="center"/>
          </w:tcPr>
          <w:p w14:paraId="12226B35" w14:textId="77777777" w:rsidR="00E75B41" w:rsidRPr="00DF33A5" w:rsidRDefault="00E75B41" w:rsidP="001727A8">
            <w:pPr>
              <w:jc w:val="center"/>
              <w:rPr>
                <w:color w:val="000000"/>
                <w:sz w:val="22"/>
                <w:szCs w:val="22"/>
                <w:lang w:eastAsia="lv-LV"/>
              </w:rPr>
            </w:pPr>
            <w:r w:rsidRPr="00DF33A5">
              <w:rPr>
                <w:color w:val="000000"/>
                <w:sz w:val="22"/>
                <w:szCs w:val="22"/>
                <w:lang w:eastAsia="lv-LV"/>
              </w:rPr>
              <w:t>7</w:t>
            </w:r>
          </w:p>
        </w:tc>
        <w:tc>
          <w:tcPr>
            <w:tcW w:w="556" w:type="pct"/>
            <w:vAlign w:val="center"/>
          </w:tcPr>
          <w:p w14:paraId="4D779723" w14:textId="77777777" w:rsidR="00E75B41" w:rsidRPr="00DF33A5" w:rsidRDefault="00E75B41" w:rsidP="001727A8">
            <w:pPr>
              <w:jc w:val="center"/>
              <w:rPr>
                <w:color w:val="000000"/>
                <w:sz w:val="22"/>
                <w:szCs w:val="22"/>
                <w:lang w:eastAsia="lv-LV"/>
              </w:rPr>
            </w:pPr>
            <w:r>
              <w:rPr>
                <w:color w:val="000000"/>
                <w:sz w:val="22"/>
                <w:szCs w:val="22"/>
                <w:lang w:eastAsia="lv-LV"/>
              </w:rPr>
              <w:t>0</w:t>
            </w:r>
          </w:p>
        </w:tc>
        <w:tc>
          <w:tcPr>
            <w:tcW w:w="486" w:type="pct"/>
            <w:shd w:val="clear" w:color="auto" w:fill="auto"/>
            <w:noWrap/>
            <w:vAlign w:val="center"/>
          </w:tcPr>
          <w:p w14:paraId="7FEDED1B" w14:textId="77777777" w:rsidR="00E75B41" w:rsidRPr="00DF33A5" w:rsidRDefault="00E75B41" w:rsidP="001727A8">
            <w:pPr>
              <w:jc w:val="center"/>
              <w:rPr>
                <w:color w:val="000000"/>
                <w:sz w:val="22"/>
                <w:szCs w:val="22"/>
                <w:lang w:eastAsia="lv-LV"/>
              </w:rPr>
            </w:pPr>
            <w:r w:rsidRPr="00DF33A5">
              <w:rPr>
                <w:color w:val="000000"/>
                <w:sz w:val="22"/>
                <w:szCs w:val="22"/>
                <w:lang w:eastAsia="lv-LV"/>
              </w:rPr>
              <w:t>3</w:t>
            </w:r>
          </w:p>
        </w:tc>
        <w:tc>
          <w:tcPr>
            <w:tcW w:w="556" w:type="pct"/>
            <w:shd w:val="clear" w:color="auto" w:fill="auto"/>
            <w:noWrap/>
            <w:vAlign w:val="center"/>
          </w:tcPr>
          <w:p w14:paraId="65AE2B61" w14:textId="77777777" w:rsidR="00E75B41" w:rsidRPr="00DF33A5" w:rsidRDefault="00E75B41" w:rsidP="001727A8">
            <w:pPr>
              <w:jc w:val="center"/>
              <w:rPr>
                <w:color w:val="000000"/>
                <w:sz w:val="22"/>
                <w:szCs w:val="22"/>
                <w:lang w:eastAsia="lv-LV"/>
              </w:rPr>
            </w:pPr>
            <w:r>
              <w:rPr>
                <w:color w:val="000000"/>
                <w:sz w:val="22"/>
                <w:szCs w:val="22"/>
                <w:lang w:eastAsia="lv-LV"/>
              </w:rPr>
              <w:t>0</w:t>
            </w:r>
          </w:p>
        </w:tc>
        <w:tc>
          <w:tcPr>
            <w:tcW w:w="419" w:type="pct"/>
            <w:shd w:val="clear" w:color="auto" w:fill="auto"/>
            <w:noWrap/>
            <w:vAlign w:val="center"/>
          </w:tcPr>
          <w:p w14:paraId="65C30AC4" w14:textId="77777777" w:rsidR="00E75B41" w:rsidRPr="00DF33A5" w:rsidRDefault="00E75B41" w:rsidP="001727A8">
            <w:pPr>
              <w:jc w:val="center"/>
              <w:rPr>
                <w:color w:val="000000"/>
                <w:sz w:val="22"/>
                <w:szCs w:val="22"/>
                <w:lang w:eastAsia="lv-LV"/>
              </w:rPr>
            </w:pPr>
            <w:r>
              <w:rPr>
                <w:color w:val="000000"/>
                <w:sz w:val="22"/>
                <w:szCs w:val="22"/>
                <w:lang w:eastAsia="lv-LV"/>
              </w:rPr>
              <w:t>0</w:t>
            </w:r>
          </w:p>
        </w:tc>
        <w:tc>
          <w:tcPr>
            <w:tcW w:w="418" w:type="pct"/>
            <w:shd w:val="clear" w:color="auto" w:fill="auto"/>
            <w:noWrap/>
            <w:vAlign w:val="center"/>
          </w:tcPr>
          <w:p w14:paraId="0680FBF1" w14:textId="77777777" w:rsidR="00E75B41" w:rsidRPr="006C195E" w:rsidRDefault="00E75B41" w:rsidP="001727A8">
            <w:pPr>
              <w:jc w:val="center"/>
              <w:rPr>
                <w:b/>
                <w:color w:val="000000"/>
                <w:sz w:val="22"/>
                <w:szCs w:val="22"/>
                <w:lang w:eastAsia="lv-LV"/>
              </w:rPr>
            </w:pPr>
            <w:r w:rsidRPr="006C195E">
              <w:rPr>
                <w:b/>
                <w:color w:val="000000"/>
                <w:sz w:val="22"/>
                <w:szCs w:val="22"/>
                <w:lang w:eastAsia="lv-LV"/>
              </w:rPr>
              <w:t>15</w:t>
            </w:r>
          </w:p>
        </w:tc>
      </w:tr>
      <w:tr w:rsidR="00FA46C0" w:rsidRPr="006C195E" w14:paraId="6245DAC2" w14:textId="77777777" w:rsidTr="00FA46C0">
        <w:trPr>
          <w:trHeight w:val="300"/>
        </w:trPr>
        <w:tc>
          <w:tcPr>
            <w:tcW w:w="300" w:type="pct"/>
            <w:vAlign w:val="center"/>
          </w:tcPr>
          <w:p w14:paraId="51AC3D83" w14:textId="77777777" w:rsidR="00E75B41" w:rsidRPr="006C195E" w:rsidRDefault="00E75B41" w:rsidP="001727A8">
            <w:pPr>
              <w:jc w:val="left"/>
              <w:rPr>
                <w:color w:val="000000"/>
                <w:sz w:val="22"/>
                <w:lang w:eastAsia="lv-LV"/>
              </w:rPr>
            </w:pPr>
            <w:r>
              <w:rPr>
                <w:color w:val="000000"/>
                <w:sz w:val="22"/>
                <w:lang w:eastAsia="lv-LV"/>
              </w:rPr>
              <w:t>3.</w:t>
            </w:r>
          </w:p>
        </w:tc>
        <w:tc>
          <w:tcPr>
            <w:tcW w:w="667" w:type="pct"/>
            <w:shd w:val="clear" w:color="auto" w:fill="auto"/>
            <w:noWrap/>
            <w:vAlign w:val="center"/>
          </w:tcPr>
          <w:p w14:paraId="57C0A3D4" w14:textId="77777777" w:rsidR="00E75B41" w:rsidRPr="00DF33A5" w:rsidRDefault="00E75B41" w:rsidP="001727A8">
            <w:pPr>
              <w:jc w:val="left"/>
              <w:rPr>
                <w:color w:val="000000"/>
                <w:sz w:val="22"/>
                <w:lang w:eastAsia="lv-LV"/>
              </w:rPr>
            </w:pPr>
            <w:r>
              <w:rPr>
                <w:color w:val="000000"/>
                <w:sz w:val="22"/>
                <w:lang w:eastAsia="lv-LV"/>
              </w:rPr>
              <w:t>RTU Daugavpils filiāle</w:t>
            </w:r>
          </w:p>
        </w:tc>
        <w:tc>
          <w:tcPr>
            <w:tcW w:w="764" w:type="pct"/>
            <w:shd w:val="clear" w:color="auto" w:fill="auto"/>
            <w:noWrap/>
            <w:vAlign w:val="center"/>
          </w:tcPr>
          <w:p w14:paraId="1459E2AC" w14:textId="77777777" w:rsidR="00E75B41" w:rsidRPr="00DF33A5" w:rsidRDefault="00E75B41" w:rsidP="001727A8">
            <w:pPr>
              <w:jc w:val="center"/>
              <w:rPr>
                <w:color w:val="000000"/>
                <w:sz w:val="22"/>
                <w:lang w:eastAsia="lv-LV"/>
              </w:rPr>
            </w:pPr>
            <w:r>
              <w:rPr>
                <w:color w:val="000000"/>
                <w:sz w:val="22"/>
                <w:lang w:eastAsia="lv-LV"/>
              </w:rPr>
              <w:t>2</w:t>
            </w:r>
          </w:p>
        </w:tc>
        <w:tc>
          <w:tcPr>
            <w:tcW w:w="835" w:type="pct"/>
            <w:shd w:val="clear" w:color="auto" w:fill="auto"/>
            <w:noWrap/>
            <w:vAlign w:val="center"/>
          </w:tcPr>
          <w:p w14:paraId="57598E1D" w14:textId="77777777" w:rsidR="00E75B41" w:rsidRPr="00DF33A5" w:rsidRDefault="00E75B41" w:rsidP="001727A8">
            <w:pPr>
              <w:jc w:val="center"/>
              <w:rPr>
                <w:color w:val="000000"/>
                <w:sz w:val="22"/>
                <w:lang w:eastAsia="lv-LV"/>
              </w:rPr>
            </w:pPr>
            <w:r>
              <w:rPr>
                <w:color w:val="000000"/>
                <w:sz w:val="22"/>
                <w:lang w:eastAsia="lv-LV"/>
              </w:rPr>
              <w:t>11</w:t>
            </w:r>
          </w:p>
        </w:tc>
        <w:tc>
          <w:tcPr>
            <w:tcW w:w="556" w:type="pct"/>
            <w:vAlign w:val="center"/>
          </w:tcPr>
          <w:p w14:paraId="21ADE021" w14:textId="77777777" w:rsidR="00E75B41" w:rsidRPr="00DF33A5" w:rsidRDefault="00E75B41" w:rsidP="001727A8">
            <w:pPr>
              <w:jc w:val="center"/>
              <w:rPr>
                <w:color w:val="000000"/>
                <w:sz w:val="22"/>
                <w:lang w:eastAsia="lv-LV"/>
              </w:rPr>
            </w:pPr>
            <w:r>
              <w:rPr>
                <w:color w:val="000000"/>
                <w:sz w:val="22"/>
                <w:lang w:eastAsia="lv-LV"/>
              </w:rPr>
              <w:t>0</w:t>
            </w:r>
          </w:p>
        </w:tc>
        <w:tc>
          <w:tcPr>
            <w:tcW w:w="486" w:type="pct"/>
            <w:shd w:val="clear" w:color="auto" w:fill="auto"/>
            <w:noWrap/>
            <w:vAlign w:val="center"/>
          </w:tcPr>
          <w:p w14:paraId="267C138D" w14:textId="77777777" w:rsidR="00E75B41" w:rsidRPr="00DF33A5" w:rsidRDefault="00E75B41" w:rsidP="001727A8">
            <w:pPr>
              <w:jc w:val="center"/>
              <w:rPr>
                <w:color w:val="000000"/>
                <w:sz w:val="22"/>
                <w:lang w:eastAsia="lv-LV"/>
              </w:rPr>
            </w:pPr>
            <w:r>
              <w:rPr>
                <w:color w:val="000000"/>
                <w:sz w:val="22"/>
                <w:lang w:eastAsia="lv-LV"/>
              </w:rPr>
              <w:t>0</w:t>
            </w:r>
          </w:p>
        </w:tc>
        <w:tc>
          <w:tcPr>
            <w:tcW w:w="556" w:type="pct"/>
            <w:shd w:val="clear" w:color="auto" w:fill="auto"/>
            <w:noWrap/>
            <w:vAlign w:val="center"/>
          </w:tcPr>
          <w:p w14:paraId="0106DF98" w14:textId="77777777" w:rsidR="00E75B41" w:rsidRPr="00DF33A5" w:rsidRDefault="00E75B41" w:rsidP="001727A8">
            <w:pPr>
              <w:jc w:val="center"/>
              <w:rPr>
                <w:color w:val="000000"/>
                <w:sz w:val="22"/>
                <w:lang w:eastAsia="lv-LV"/>
              </w:rPr>
            </w:pPr>
            <w:r>
              <w:rPr>
                <w:color w:val="000000"/>
                <w:sz w:val="22"/>
                <w:lang w:eastAsia="lv-LV"/>
              </w:rPr>
              <w:t>0</w:t>
            </w:r>
          </w:p>
        </w:tc>
        <w:tc>
          <w:tcPr>
            <w:tcW w:w="419" w:type="pct"/>
            <w:shd w:val="clear" w:color="auto" w:fill="auto"/>
            <w:noWrap/>
            <w:vAlign w:val="center"/>
          </w:tcPr>
          <w:p w14:paraId="7FBC75C0" w14:textId="77777777" w:rsidR="00E75B41" w:rsidRPr="00DF33A5" w:rsidRDefault="00E75B41" w:rsidP="001727A8">
            <w:pPr>
              <w:jc w:val="center"/>
              <w:rPr>
                <w:color w:val="000000"/>
                <w:sz w:val="22"/>
                <w:lang w:eastAsia="lv-LV"/>
              </w:rPr>
            </w:pPr>
            <w:r>
              <w:rPr>
                <w:color w:val="000000"/>
                <w:sz w:val="22"/>
                <w:lang w:eastAsia="lv-LV"/>
              </w:rPr>
              <w:t>0</w:t>
            </w:r>
          </w:p>
        </w:tc>
        <w:tc>
          <w:tcPr>
            <w:tcW w:w="418" w:type="pct"/>
            <w:shd w:val="clear" w:color="auto" w:fill="auto"/>
            <w:noWrap/>
            <w:vAlign w:val="center"/>
          </w:tcPr>
          <w:p w14:paraId="7BFE350B" w14:textId="77777777" w:rsidR="00E75B41" w:rsidRPr="006C195E" w:rsidRDefault="00E75B41" w:rsidP="001727A8">
            <w:pPr>
              <w:jc w:val="center"/>
              <w:rPr>
                <w:b/>
                <w:color w:val="000000"/>
                <w:sz w:val="22"/>
                <w:lang w:eastAsia="lv-LV"/>
              </w:rPr>
            </w:pPr>
            <w:r>
              <w:rPr>
                <w:b/>
                <w:color w:val="000000"/>
                <w:sz w:val="22"/>
                <w:lang w:eastAsia="lv-LV"/>
              </w:rPr>
              <w:t>13</w:t>
            </w:r>
          </w:p>
        </w:tc>
      </w:tr>
      <w:tr w:rsidR="00FA46C0" w:rsidRPr="006C195E" w14:paraId="003D7495" w14:textId="77777777" w:rsidTr="00FA46C0">
        <w:trPr>
          <w:trHeight w:val="300"/>
        </w:trPr>
        <w:tc>
          <w:tcPr>
            <w:tcW w:w="300" w:type="pct"/>
            <w:vAlign w:val="center"/>
          </w:tcPr>
          <w:p w14:paraId="2CE636BE" w14:textId="77777777" w:rsidR="00E75B41" w:rsidRPr="006C195E" w:rsidRDefault="00E75B41" w:rsidP="001727A8">
            <w:pPr>
              <w:jc w:val="left"/>
              <w:rPr>
                <w:color w:val="000000"/>
                <w:sz w:val="22"/>
                <w:lang w:eastAsia="lv-LV"/>
              </w:rPr>
            </w:pPr>
            <w:r>
              <w:rPr>
                <w:color w:val="000000"/>
                <w:sz w:val="22"/>
                <w:lang w:eastAsia="lv-LV"/>
              </w:rPr>
              <w:t>4.</w:t>
            </w:r>
          </w:p>
        </w:tc>
        <w:tc>
          <w:tcPr>
            <w:tcW w:w="667" w:type="pct"/>
            <w:shd w:val="clear" w:color="auto" w:fill="auto"/>
            <w:noWrap/>
            <w:vAlign w:val="center"/>
          </w:tcPr>
          <w:p w14:paraId="16CEF0F1" w14:textId="77777777" w:rsidR="00E75B41" w:rsidRDefault="00E75B41" w:rsidP="001727A8">
            <w:pPr>
              <w:jc w:val="left"/>
              <w:rPr>
                <w:color w:val="000000"/>
                <w:sz w:val="22"/>
                <w:lang w:eastAsia="lv-LV"/>
              </w:rPr>
            </w:pPr>
            <w:proofErr w:type="spellStart"/>
            <w:r>
              <w:rPr>
                <w:color w:val="000000"/>
                <w:sz w:val="22"/>
                <w:lang w:eastAsia="lv-LV"/>
              </w:rPr>
              <w:t>LMāA</w:t>
            </w:r>
            <w:proofErr w:type="spellEnd"/>
            <w:r>
              <w:rPr>
                <w:color w:val="000000"/>
                <w:sz w:val="22"/>
                <w:lang w:eastAsia="lv-LV"/>
              </w:rPr>
              <w:t xml:space="preserve"> Rēzeknes filiāle</w:t>
            </w:r>
          </w:p>
        </w:tc>
        <w:tc>
          <w:tcPr>
            <w:tcW w:w="764" w:type="pct"/>
            <w:shd w:val="clear" w:color="auto" w:fill="auto"/>
            <w:noWrap/>
            <w:vAlign w:val="center"/>
          </w:tcPr>
          <w:p w14:paraId="1BFDFFD5" w14:textId="77777777" w:rsidR="00E75B41" w:rsidRDefault="00E75B41" w:rsidP="001727A8">
            <w:pPr>
              <w:jc w:val="center"/>
              <w:rPr>
                <w:color w:val="000000"/>
                <w:sz w:val="22"/>
                <w:lang w:eastAsia="lv-LV"/>
              </w:rPr>
            </w:pPr>
            <w:r>
              <w:rPr>
                <w:color w:val="000000"/>
                <w:sz w:val="22"/>
                <w:lang w:eastAsia="lv-LV"/>
              </w:rPr>
              <w:t>0</w:t>
            </w:r>
          </w:p>
        </w:tc>
        <w:tc>
          <w:tcPr>
            <w:tcW w:w="835" w:type="pct"/>
            <w:shd w:val="clear" w:color="auto" w:fill="auto"/>
            <w:noWrap/>
            <w:vAlign w:val="center"/>
          </w:tcPr>
          <w:p w14:paraId="7A4C3D48" w14:textId="77777777" w:rsidR="00E75B41" w:rsidRDefault="00E75B41" w:rsidP="001727A8">
            <w:pPr>
              <w:jc w:val="center"/>
              <w:rPr>
                <w:color w:val="000000"/>
                <w:sz w:val="22"/>
                <w:lang w:eastAsia="lv-LV"/>
              </w:rPr>
            </w:pPr>
            <w:r>
              <w:rPr>
                <w:color w:val="000000"/>
                <w:sz w:val="22"/>
                <w:lang w:eastAsia="lv-LV"/>
              </w:rPr>
              <w:t>0</w:t>
            </w:r>
          </w:p>
        </w:tc>
        <w:tc>
          <w:tcPr>
            <w:tcW w:w="556" w:type="pct"/>
            <w:vAlign w:val="center"/>
          </w:tcPr>
          <w:p w14:paraId="59D7E81E" w14:textId="77777777" w:rsidR="00E75B41" w:rsidRDefault="00E75B41" w:rsidP="001727A8">
            <w:pPr>
              <w:jc w:val="center"/>
              <w:rPr>
                <w:color w:val="000000"/>
                <w:sz w:val="22"/>
                <w:lang w:eastAsia="lv-LV"/>
              </w:rPr>
            </w:pPr>
            <w:r>
              <w:rPr>
                <w:color w:val="000000"/>
                <w:sz w:val="22"/>
                <w:lang w:eastAsia="lv-LV"/>
              </w:rPr>
              <w:t>0</w:t>
            </w:r>
          </w:p>
        </w:tc>
        <w:tc>
          <w:tcPr>
            <w:tcW w:w="486" w:type="pct"/>
            <w:shd w:val="clear" w:color="auto" w:fill="auto"/>
            <w:noWrap/>
            <w:vAlign w:val="center"/>
          </w:tcPr>
          <w:p w14:paraId="4AF0B591" w14:textId="77777777" w:rsidR="00E75B41" w:rsidRPr="00DF33A5" w:rsidRDefault="00E75B41" w:rsidP="001727A8">
            <w:pPr>
              <w:jc w:val="center"/>
              <w:rPr>
                <w:color w:val="000000"/>
                <w:sz w:val="22"/>
                <w:lang w:eastAsia="lv-LV"/>
              </w:rPr>
            </w:pPr>
            <w:r>
              <w:rPr>
                <w:color w:val="000000"/>
                <w:sz w:val="22"/>
                <w:lang w:eastAsia="lv-LV"/>
              </w:rPr>
              <w:t>1</w:t>
            </w:r>
          </w:p>
        </w:tc>
        <w:tc>
          <w:tcPr>
            <w:tcW w:w="556" w:type="pct"/>
            <w:shd w:val="clear" w:color="auto" w:fill="auto"/>
            <w:noWrap/>
            <w:vAlign w:val="center"/>
          </w:tcPr>
          <w:p w14:paraId="0F726062" w14:textId="77777777" w:rsidR="00E75B41" w:rsidRPr="00DF33A5" w:rsidRDefault="00E75B41" w:rsidP="001727A8">
            <w:pPr>
              <w:jc w:val="center"/>
              <w:rPr>
                <w:color w:val="000000"/>
                <w:sz w:val="22"/>
                <w:lang w:eastAsia="lv-LV"/>
              </w:rPr>
            </w:pPr>
            <w:r>
              <w:rPr>
                <w:color w:val="000000"/>
                <w:sz w:val="22"/>
                <w:lang w:eastAsia="lv-LV"/>
              </w:rPr>
              <w:t>0</w:t>
            </w:r>
          </w:p>
        </w:tc>
        <w:tc>
          <w:tcPr>
            <w:tcW w:w="419" w:type="pct"/>
            <w:shd w:val="clear" w:color="auto" w:fill="auto"/>
            <w:noWrap/>
            <w:vAlign w:val="center"/>
          </w:tcPr>
          <w:p w14:paraId="31E847E0" w14:textId="77777777" w:rsidR="00E75B41" w:rsidRPr="00DF33A5" w:rsidRDefault="00E75B41" w:rsidP="001727A8">
            <w:pPr>
              <w:jc w:val="center"/>
              <w:rPr>
                <w:color w:val="000000"/>
                <w:sz w:val="22"/>
                <w:lang w:eastAsia="lv-LV"/>
              </w:rPr>
            </w:pPr>
            <w:r>
              <w:rPr>
                <w:color w:val="000000"/>
                <w:sz w:val="22"/>
                <w:lang w:eastAsia="lv-LV"/>
              </w:rPr>
              <w:t>0</w:t>
            </w:r>
          </w:p>
        </w:tc>
        <w:tc>
          <w:tcPr>
            <w:tcW w:w="418" w:type="pct"/>
            <w:shd w:val="clear" w:color="auto" w:fill="auto"/>
            <w:noWrap/>
            <w:vAlign w:val="center"/>
          </w:tcPr>
          <w:p w14:paraId="371A1FA9" w14:textId="77777777" w:rsidR="00E75B41" w:rsidRPr="006C195E" w:rsidRDefault="00E75B41" w:rsidP="001727A8">
            <w:pPr>
              <w:jc w:val="center"/>
              <w:rPr>
                <w:b/>
                <w:color w:val="000000"/>
                <w:sz w:val="22"/>
                <w:lang w:eastAsia="lv-LV"/>
              </w:rPr>
            </w:pPr>
            <w:r>
              <w:rPr>
                <w:b/>
                <w:color w:val="000000"/>
                <w:sz w:val="22"/>
                <w:lang w:eastAsia="lv-LV"/>
              </w:rPr>
              <w:t>1</w:t>
            </w:r>
          </w:p>
        </w:tc>
      </w:tr>
      <w:tr w:rsidR="00FA46C0" w:rsidRPr="006C195E" w14:paraId="7C632309" w14:textId="77777777" w:rsidTr="00FA46C0">
        <w:trPr>
          <w:trHeight w:val="300"/>
        </w:trPr>
        <w:tc>
          <w:tcPr>
            <w:tcW w:w="300" w:type="pct"/>
            <w:vAlign w:val="center"/>
          </w:tcPr>
          <w:p w14:paraId="50AE37F8" w14:textId="77777777" w:rsidR="00E75B41" w:rsidRPr="006C195E" w:rsidRDefault="00E75B41" w:rsidP="001727A8">
            <w:pPr>
              <w:jc w:val="left"/>
              <w:rPr>
                <w:color w:val="000000"/>
                <w:sz w:val="22"/>
                <w:lang w:eastAsia="lv-LV"/>
              </w:rPr>
            </w:pPr>
            <w:r>
              <w:rPr>
                <w:color w:val="000000"/>
                <w:sz w:val="22"/>
                <w:lang w:eastAsia="lv-LV"/>
              </w:rPr>
              <w:t>5.</w:t>
            </w:r>
          </w:p>
        </w:tc>
        <w:tc>
          <w:tcPr>
            <w:tcW w:w="667" w:type="pct"/>
            <w:shd w:val="clear" w:color="auto" w:fill="auto"/>
            <w:noWrap/>
            <w:vAlign w:val="center"/>
          </w:tcPr>
          <w:p w14:paraId="46A5F5A5" w14:textId="77777777" w:rsidR="00E75B41" w:rsidRDefault="00E75B41" w:rsidP="001727A8">
            <w:pPr>
              <w:jc w:val="left"/>
              <w:rPr>
                <w:color w:val="000000"/>
                <w:sz w:val="22"/>
                <w:lang w:eastAsia="lv-LV"/>
              </w:rPr>
            </w:pPr>
            <w:r>
              <w:rPr>
                <w:color w:val="000000"/>
                <w:sz w:val="22"/>
                <w:lang w:eastAsia="lv-LV"/>
              </w:rPr>
              <w:t>BSA Daugavpils filiāle</w:t>
            </w:r>
          </w:p>
        </w:tc>
        <w:tc>
          <w:tcPr>
            <w:tcW w:w="764" w:type="pct"/>
            <w:shd w:val="clear" w:color="auto" w:fill="auto"/>
            <w:noWrap/>
            <w:vAlign w:val="center"/>
          </w:tcPr>
          <w:p w14:paraId="67CD86EB" w14:textId="77777777" w:rsidR="00E75B41" w:rsidRDefault="00E75B41" w:rsidP="001727A8">
            <w:pPr>
              <w:jc w:val="center"/>
              <w:rPr>
                <w:color w:val="000000"/>
                <w:sz w:val="22"/>
                <w:lang w:eastAsia="lv-LV"/>
              </w:rPr>
            </w:pPr>
            <w:r>
              <w:rPr>
                <w:color w:val="000000"/>
                <w:sz w:val="22"/>
                <w:lang w:eastAsia="lv-LV"/>
              </w:rPr>
              <w:t>0</w:t>
            </w:r>
          </w:p>
        </w:tc>
        <w:tc>
          <w:tcPr>
            <w:tcW w:w="835" w:type="pct"/>
            <w:shd w:val="clear" w:color="auto" w:fill="auto"/>
            <w:noWrap/>
            <w:vAlign w:val="center"/>
          </w:tcPr>
          <w:p w14:paraId="52BDC641" w14:textId="77777777" w:rsidR="00E75B41" w:rsidRDefault="00E75B41" w:rsidP="001727A8">
            <w:pPr>
              <w:jc w:val="center"/>
              <w:rPr>
                <w:color w:val="000000"/>
                <w:sz w:val="22"/>
                <w:lang w:eastAsia="lv-LV"/>
              </w:rPr>
            </w:pPr>
            <w:r>
              <w:rPr>
                <w:color w:val="000000"/>
                <w:sz w:val="22"/>
                <w:lang w:eastAsia="lv-LV"/>
              </w:rPr>
              <w:t>0</w:t>
            </w:r>
          </w:p>
        </w:tc>
        <w:tc>
          <w:tcPr>
            <w:tcW w:w="556" w:type="pct"/>
            <w:vAlign w:val="center"/>
          </w:tcPr>
          <w:p w14:paraId="556B8022" w14:textId="77777777" w:rsidR="00E75B41" w:rsidRDefault="00E75B41" w:rsidP="001727A8">
            <w:pPr>
              <w:jc w:val="center"/>
              <w:rPr>
                <w:color w:val="000000"/>
                <w:sz w:val="22"/>
                <w:lang w:eastAsia="lv-LV"/>
              </w:rPr>
            </w:pPr>
            <w:r>
              <w:rPr>
                <w:color w:val="000000"/>
                <w:sz w:val="22"/>
                <w:lang w:eastAsia="lv-LV"/>
              </w:rPr>
              <w:t>0</w:t>
            </w:r>
          </w:p>
        </w:tc>
        <w:tc>
          <w:tcPr>
            <w:tcW w:w="486" w:type="pct"/>
            <w:shd w:val="clear" w:color="auto" w:fill="auto"/>
            <w:noWrap/>
            <w:vAlign w:val="center"/>
          </w:tcPr>
          <w:p w14:paraId="181F6DFF" w14:textId="77777777" w:rsidR="00E75B41" w:rsidRPr="00DF33A5" w:rsidRDefault="00E75B41" w:rsidP="001727A8">
            <w:pPr>
              <w:jc w:val="center"/>
              <w:rPr>
                <w:color w:val="000000"/>
                <w:sz w:val="22"/>
                <w:lang w:eastAsia="lv-LV"/>
              </w:rPr>
            </w:pPr>
            <w:r>
              <w:rPr>
                <w:color w:val="000000"/>
                <w:sz w:val="22"/>
                <w:lang w:eastAsia="lv-LV"/>
              </w:rPr>
              <w:t>2</w:t>
            </w:r>
          </w:p>
        </w:tc>
        <w:tc>
          <w:tcPr>
            <w:tcW w:w="556" w:type="pct"/>
            <w:shd w:val="clear" w:color="auto" w:fill="auto"/>
            <w:noWrap/>
            <w:vAlign w:val="center"/>
          </w:tcPr>
          <w:p w14:paraId="08CB9AB8" w14:textId="77777777" w:rsidR="00E75B41" w:rsidRPr="00DF33A5" w:rsidRDefault="00E75B41" w:rsidP="001727A8">
            <w:pPr>
              <w:jc w:val="center"/>
              <w:rPr>
                <w:color w:val="000000"/>
                <w:sz w:val="22"/>
                <w:lang w:eastAsia="lv-LV"/>
              </w:rPr>
            </w:pPr>
            <w:r>
              <w:rPr>
                <w:color w:val="000000"/>
                <w:sz w:val="22"/>
                <w:lang w:eastAsia="lv-LV"/>
              </w:rPr>
              <w:t>0</w:t>
            </w:r>
          </w:p>
        </w:tc>
        <w:tc>
          <w:tcPr>
            <w:tcW w:w="419" w:type="pct"/>
            <w:shd w:val="clear" w:color="auto" w:fill="auto"/>
            <w:noWrap/>
            <w:vAlign w:val="center"/>
          </w:tcPr>
          <w:p w14:paraId="05FB3879" w14:textId="77777777" w:rsidR="00E75B41" w:rsidRPr="00DF33A5" w:rsidRDefault="00E75B41" w:rsidP="001727A8">
            <w:pPr>
              <w:jc w:val="center"/>
              <w:rPr>
                <w:color w:val="000000"/>
                <w:sz w:val="22"/>
                <w:lang w:eastAsia="lv-LV"/>
              </w:rPr>
            </w:pPr>
            <w:r>
              <w:rPr>
                <w:color w:val="000000"/>
                <w:sz w:val="22"/>
                <w:lang w:eastAsia="lv-LV"/>
              </w:rPr>
              <w:t>0</w:t>
            </w:r>
          </w:p>
        </w:tc>
        <w:tc>
          <w:tcPr>
            <w:tcW w:w="418" w:type="pct"/>
            <w:shd w:val="clear" w:color="auto" w:fill="auto"/>
            <w:noWrap/>
            <w:vAlign w:val="center"/>
          </w:tcPr>
          <w:p w14:paraId="11B23335" w14:textId="77777777" w:rsidR="00E75B41" w:rsidRPr="006C195E" w:rsidRDefault="00E75B41" w:rsidP="001727A8">
            <w:pPr>
              <w:jc w:val="center"/>
              <w:rPr>
                <w:b/>
                <w:color w:val="000000"/>
                <w:sz w:val="22"/>
                <w:lang w:eastAsia="lv-LV"/>
              </w:rPr>
            </w:pPr>
            <w:r>
              <w:rPr>
                <w:b/>
                <w:color w:val="000000"/>
                <w:sz w:val="22"/>
                <w:lang w:eastAsia="lv-LV"/>
              </w:rPr>
              <w:t>2</w:t>
            </w:r>
          </w:p>
        </w:tc>
      </w:tr>
      <w:tr w:rsidR="00FA46C0" w:rsidRPr="006C195E" w14:paraId="058C6680" w14:textId="77777777" w:rsidTr="00FA46C0">
        <w:trPr>
          <w:trHeight w:val="300"/>
        </w:trPr>
        <w:tc>
          <w:tcPr>
            <w:tcW w:w="300" w:type="pct"/>
            <w:vAlign w:val="center"/>
          </w:tcPr>
          <w:p w14:paraId="0244059D" w14:textId="77777777" w:rsidR="00E75B41" w:rsidRPr="006C195E" w:rsidRDefault="00E75B41" w:rsidP="001727A8">
            <w:pPr>
              <w:jc w:val="left"/>
              <w:rPr>
                <w:color w:val="000000"/>
                <w:sz w:val="22"/>
                <w:lang w:eastAsia="lv-LV"/>
              </w:rPr>
            </w:pPr>
            <w:r>
              <w:rPr>
                <w:color w:val="000000"/>
                <w:sz w:val="22"/>
                <w:lang w:eastAsia="lv-LV"/>
              </w:rPr>
              <w:t>6.</w:t>
            </w:r>
          </w:p>
        </w:tc>
        <w:tc>
          <w:tcPr>
            <w:tcW w:w="667" w:type="pct"/>
            <w:shd w:val="clear" w:color="auto" w:fill="auto"/>
            <w:noWrap/>
            <w:vAlign w:val="center"/>
          </w:tcPr>
          <w:p w14:paraId="0697F689" w14:textId="77777777" w:rsidR="00E75B41" w:rsidRDefault="00E75B41" w:rsidP="001727A8">
            <w:pPr>
              <w:jc w:val="left"/>
              <w:rPr>
                <w:color w:val="000000"/>
                <w:sz w:val="22"/>
                <w:lang w:eastAsia="lv-LV"/>
              </w:rPr>
            </w:pPr>
            <w:r>
              <w:rPr>
                <w:color w:val="000000"/>
                <w:sz w:val="22"/>
                <w:lang w:eastAsia="lv-LV"/>
              </w:rPr>
              <w:t>TSI Daugavpils filiāle</w:t>
            </w:r>
          </w:p>
        </w:tc>
        <w:tc>
          <w:tcPr>
            <w:tcW w:w="764" w:type="pct"/>
            <w:shd w:val="clear" w:color="auto" w:fill="auto"/>
            <w:noWrap/>
            <w:vAlign w:val="center"/>
          </w:tcPr>
          <w:p w14:paraId="0ED9967B" w14:textId="77777777" w:rsidR="00E75B41" w:rsidRDefault="00E75B41" w:rsidP="001727A8">
            <w:pPr>
              <w:jc w:val="center"/>
              <w:rPr>
                <w:color w:val="000000"/>
                <w:sz w:val="22"/>
                <w:lang w:eastAsia="lv-LV"/>
              </w:rPr>
            </w:pPr>
            <w:r>
              <w:rPr>
                <w:color w:val="000000"/>
                <w:sz w:val="22"/>
                <w:lang w:eastAsia="lv-LV"/>
              </w:rPr>
              <w:t>1</w:t>
            </w:r>
          </w:p>
        </w:tc>
        <w:tc>
          <w:tcPr>
            <w:tcW w:w="835" w:type="pct"/>
            <w:shd w:val="clear" w:color="auto" w:fill="auto"/>
            <w:noWrap/>
            <w:vAlign w:val="center"/>
          </w:tcPr>
          <w:p w14:paraId="4C6E9356" w14:textId="77777777" w:rsidR="00E75B41" w:rsidRDefault="00E75B41" w:rsidP="001727A8">
            <w:pPr>
              <w:jc w:val="center"/>
              <w:rPr>
                <w:color w:val="000000"/>
                <w:sz w:val="22"/>
                <w:lang w:eastAsia="lv-LV"/>
              </w:rPr>
            </w:pPr>
            <w:r>
              <w:rPr>
                <w:color w:val="000000"/>
                <w:sz w:val="22"/>
                <w:lang w:eastAsia="lv-LV"/>
              </w:rPr>
              <w:t>1</w:t>
            </w:r>
          </w:p>
        </w:tc>
        <w:tc>
          <w:tcPr>
            <w:tcW w:w="556" w:type="pct"/>
            <w:vAlign w:val="center"/>
          </w:tcPr>
          <w:p w14:paraId="491730B5" w14:textId="77777777" w:rsidR="00E75B41" w:rsidRDefault="00E75B41" w:rsidP="001727A8">
            <w:pPr>
              <w:jc w:val="center"/>
              <w:rPr>
                <w:color w:val="000000"/>
                <w:sz w:val="22"/>
                <w:lang w:eastAsia="lv-LV"/>
              </w:rPr>
            </w:pPr>
            <w:r>
              <w:rPr>
                <w:color w:val="000000"/>
                <w:sz w:val="22"/>
                <w:lang w:eastAsia="lv-LV"/>
              </w:rPr>
              <w:t>0</w:t>
            </w:r>
          </w:p>
        </w:tc>
        <w:tc>
          <w:tcPr>
            <w:tcW w:w="486" w:type="pct"/>
            <w:shd w:val="clear" w:color="auto" w:fill="auto"/>
            <w:noWrap/>
            <w:vAlign w:val="center"/>
          </w:tcPr>
          <w:p w14:paraId="19B46579" w14:textId="77777777" w:rsidR="00E75B41" w:rsidRDefault="00E75B41" w:rsidP="001727A8">
            <w:pPr>
              <w:jc w:val="center"/>
              <w:rPr>
                <w:color w:val="000000"/>
                <w:sz w:val="22"/>
                <w:lang w:eastAsia="lv-LV"/>
              </w:rPr>
            </w:pPr>
            <w:r>
              <w:rPr>
                <w:color w:val="000000"/>
                <w:sz w:val="22"/>
                <w:lang w:eastAsia="lv-LV"/>
              </w:rPr>
              <w:t>0</w:t>
            </w:r>
          </w:p>
        </w:tc>
        <w:tc>
          <w:tcPr>
            <w:tcW w:w="556" w:type="pct"/>
            <w:shd w:val="clear" w:color="auto" w:fill="auto"/>
            <w:noWrap/>
            <w:vAlign w:val="center"/>
          </w:tcPr>
          <w:p w14:paraId="38A5A501" w14:textId="77777777" w:rsidR="00E75B41" w:rsidRPr="00DF33A5" w:rsidRDefault="00E75B41" w:rsidP="001727A8">
            <w:pPr>
              <w:jc w:val="center"/>
              <w:rPr>
                <w:color w:val="000000"/>
                <w:sz w:val="22"/>
                <w:lang w:eastAsia="lv-LV"/>
              </w:rPr>
            </w:pPr>
            <w:r>
              <w:rPr>
                <w:color w:val="000000"/>
                <w:sz w:val="22"/>
                <w:lang w:eastAsia="lv-LV"/>
              </w:rPr>
              <w:t>0</w:t>
            </w:r>
          </w:p>
        </w:tc>
        <w:tc>
          <w:tcPr>
            <w:tcW w:w="419" w:type="pct"/>
            <w:shd w:val="clear" w:color="auto" w:fill="auto"/>
            <w:noWrap/>
            <w:vAlign w:val="center"/>
          </w:tcPr>
          <w:p w14:paraId="45B7ED3B" w14:textId="77777777" w:rsidR="00E75B41" w:rsidRPr="00DF33A5" w:rsidRDefault="00E75B41" w:rsidP="001727A8">
            <w:pPr>
              <w:jc w:val="center"/>
              <w:rPr>
                <w:color w:val="000000"/>
                <w:sz w:val="22"/>
                <w:lang w:eastAsia="lv-LV"/>
              </w:rPr>
            </w:pPr>
            <w:r>
              <w:rPr>
                <w:color w:val="000000"/>
                <w:sz w:val="22"/>
                <w:lang w:eastAsia="lv-LV"/>
              </w:rPr>
              <w:t>0</w:t>
            </w:r>
          </w:p>
        </w:tc>
        <w:tc>
          <w:tcPr>
            <w:tcW w:w="418" w:type="pct"/>
            <w:shd w:val="clear" w:color="auto" w:fill="auto"/>
            <w:noWrap/>
            <w:vAlign w:val="center"/>
          </w:tcPr>
          <w:p w14:paraId="3C14D06B" w14:textId="77777777" w:rsidR="00E75B41" w:rsidRPr="006C195E" w:rsidRDefault="00E75B41" w:rsidP="001727A8">
            <w:pPr>
              <w:jc w:val="center"/>
              <w:rPr>
                <w:b/>
                <w:color w:val="000000"/>
                <w:sz w:val="22"/>
                <w:lang w:eastAsia="lv-LV"/>
              </w:rPr>
            </w:pPr>
            <w:r>
              <w:rPr>
                <w:b/>
                <w:color w:val="000000"/>
                <w:sz w:val="22"/>
                <w:lang w:eastAsia="lv-LV"/>
              </w:rPr>
              <w:t>2</w:t>
            </w:r>
          </w:p>
        </w:tc>
      </w:tr>
      <w:tr w:rsidR="00FA46C0" w14:paraId="6556B65C" w14:textId="77777777" w:rsidTr="00FA46C0">
        <w:trPr>
          <w:trHeight w:val="300"/>
        </w:trPr>
        <w:tc>
          <w:tcPr>
            <w:tcW w:w="967" w:type="pct"/>
            <w:gridSpan w:val="2"/>
            <w:shd w:val="clear" w:color="auto" w:fill="D9D9D9" w:themeFill="background1" w:themeFillShade="D9"/>
          </w:tcPr>
          <w:p w14:paraId="7644F6DE" w14:textId="77777777" w:rsidR="00E75B41" w:rsidRPr="007C4BF8" w:rsidRDefault="00E75B41" w:rsidP="00A07A25">
            <w:pPr>
              <w:rPr>
                <w:b/>
                <w:color w:val="000000"/>
                <w:sz w:val="22"/>
                <w:lang w:eastAsia="lv-LV"/>
              </w:rPr>
            </w:pPr>
            <w:r w:rsidRPr="007C4BF8">
              <w:rPr>
                <w:b/>
                <w:color w:val="000000"/>
                <w:sz w:val="22"/>
                <w:lang w:eastAsia="lv-LV"/>
              </w:rPr>
              <w:t>Latgales reģionā kopā</w:t>
            </w:r>
          </w:p>
        </w:tc>
        <w:tc>
          <w:tcPr>
            <w:tcW w:w="764" w:type="pct"/>
            <w:shd w:val="clear" w:color="auto" w:fill="D9D9D9" w:themeFill="background1" w:themeFillShade="D9"/>
            <w:noWrap/>
            <w:vAlign w:val="center"/>
          </w:tcPr>
          <w:p w14:paraId="4EBF8F98" w14:textId="77777777" w:rsidR="00E75B41" w:rsidRPr="00E75B41" w:rsidRDefault="00E75B41" w:rsidP="001727A8">
            <w:pPr>
              <w:jc w:val="center"/>
              <w:rPr>
                <w:b/>
                <w:color w:val="000000"/>
                <w:sz w:val="22"/>
                <w:lang w:eastAsia="lv-LV"/>
              </w:rPr>
            </w:pPr>
            <w:r w:rsidRPr="00E75B41">
              <w:rPr>
                <w:b/>
                <w:color w:val="000000"/>
                <w:sz w:val="22"/>
                <w:lang w:eastAsia="lv-LV"/>
              </w:rPr>
              <w:t>24</w:t>
            </w:r>
          </w:p>
        </w:tc>
        <w:tc>
          <w:tcPr>
            <w:tcW w:w="835" w:type="pct"/>
            <w:shd w:val="clear" w:color="auto" w:fill="D9D9D9" w:themeFill="background1" w:themeFillShade="D9"/>
            <w:noWrap/>
            <w:vAlign w:val="center"/>
          </w:tcPr>
          <w:p w14:paraId="25F49841" w14:textId="77777777" w:rsidR="00E75B41" w:rsidRPr="00E75B41" w:rsidRDefault="00E75B41" w:rsidP="001727A8">
            <w:pPr>
              <w:jc w:val="center"/>
              <w:rPr>
                <w:b/>
                <w:color w:val="000000"/>
                <w:sz w:val="22"/>
                <w:lang w:eastAsia="lv-LV"/>
              </w:rPr>
            </w:pPr>
            <w:r w:rsidRPr="00E75B41">
              <w:rPr>
                <w:b/>
                <w:color w:val="000000"/>
                <w:sz w:val="22"/>
                <w:lang w:eastAsia="lv-LV"/>
              </w:rPr>
              <w:t>19</w:t>
            </w:r>
          </w:p>
        </w:tc>
        <w:tc>
          <w:tcPr>
            <w:tcW w:w="556" w:type="pct"/>
            <w:shd w:val="clear" w:color="auto" w:fill="D9D9D9" w:themeFill="background1" w:themeFillShade="D9"/>
            <w:vAlign w:val="center"/>
          </w:tcPr>
          <w:p w14:paraId="3381CDE1" w14:textId="77777777" w:rsidR="00E75B41" w:rsidRPr="00E75B41" w:rsidRDefault="00E75B41" w:rsidP="001727A8">
            <w:pPr>
              <w:jc w:val="center"/>
              <w:rPr>
                <w:b/>
                <w:color w:val="000000"/>
                <w:sz w:val="22"/>
                <w:lang w:eastAsia="lv-LV"/>
              </w:rPr>
            </w:pPr>
            <w:r w:rsidRPr="00E75B41">
              <w:rPr>
                <w:b/>
                <w:color w:val="000000"/>
                <w:sz w:val="22"/>
                <w:lang w:eastAsia="lv-LV"/>
              </w:rPr>
              <w:t>0</w:t>
            </w:r>
          </w:p>
        </w:tc>
        <w:tc>
          <w:tcPr>
            <w:tcW w:w="486" w:type="pct"/>
            <w:shd w:val="clear" w:color="auto" w:fill="D9D9D9" w:themeFill="background1" w:themeFillShade="D9"/>
            <w:noWrap/>
            <w:vAlign w:val="center"/>
          </w:tcPr>
          <w:p w14:paraId="15C40988" w14:textId="77777777" w:rsidR="00E75B41" w:rsidRPr="00E75B41" w:rsidRDefault="00E75B41" w:rsidP="001727A8">
            <w:pPr>
              <w:jc w:val="center"/>
              <w:rPr>
                <w:b/>
                <w:color w:val="000000"/>
                <w:sz w:val="22"/>
                <w:lang w:eastAsia="lv-LV"/>
              </w:rPr>
            </w:pPr>
            <w:r w:rsidRPr="00E75B41">
              <w:rPr>
                <w:b/>
                <w:color w:val="000000"/>
                <w:sz w:val="22"/>
                <w:lang w:eastAsia="lv-LV"/>
              </w:rPr>
              <w:t>13</w:t>
            </w:r>
          </w:p>
        </w:tc>
        <w:tc>
          <w:tcPr>
            <w:tcW w:w="556" w:type="pct"/>
            <w:shd w:val="clear" w:color="auto" w:fill="D9D9D9" w:themeFill="background1" w:themeFillShade="D9"/>
            <w:noWrap/>
            <w:vAlign w:val="center"/>
          </w:tcPr>
          <w:p w14:paraId="1CAE6340" w14:textId="77777777" w:rsidR="00E75B41" w:rsidRPr="00E75B41" w:rsidRDefault="00E75B41" w:rsidP="001727A8">
            <w:pPr>
              <w:jc w:val="center"/>
              <w:rPr>
                <w:b/>
                <w:color w:val="000000"/>
                <w:sz w:val="22"/>
                <w:lang w:eastAsia="lv-LV"/>
              </w:rPr>
            </w:pPr>
            <w:r w:rsidRPr="00E75B41">
              <w:rPr>
                <w:b/>
                <w:color w:val="000000"/>
                <w:sz w:val="22"/>
                <w:lang w:eastAsia="lv-LV"/>
              </w:rPr>
              <w:t>1</w:t>
            </w:r>
          </w:p>
        </w:tc>
        <w:tc>
          <w:tcPr>
            <w:tcW w:w="419" w:type="pct"/>
            <w:shd w:val="clear" w:color="auto" w:fill="D9D9D9" w:themeFill="background1" w:themeFillShade="D9"/>
            <w:noWrap/>
            <w:vAlign w:val="center"/>
          </w:tcPr>
          <w:p w14:paraId="6922549B" w14:textId="77777777" w:rsidR="00E75B41" w:rsidRPr="00E75B41" w:rsidRDefault="00E75B41" w:rsidP="001727A8">
            <w:pPr>
              <w:jc w:val="center"/>
              <w:rPr>
                <w:b/>
                <w:color w:val="000000"/>
                <w:sz w:val="22"/>
                <w:lang w:eastAsia="lv-LV"/>
              </w:rPr>
            </w:pPr>
            <w:r w:rsidRPr="00E75B41">
              <w:rPr>
                <w:b/>
                <w:color w:val="000000"/>
                <w:sz w:val="22"/>
                <w:lang w:eastAsia="lv-LV"/>
              </w:rPr>
              <w:t>2</w:t>
            </w:r>
          </w:p>
        </w:tc>
        <w:tc>
          <w:tcPr>
            <w:tcW w:w="418" w:type="pct"/>
            <w:shd w:val="clear" w:color="auto" w:fill="D9D9D9" w:themeFill="background1" w:themeFillShade="D9"/>
            <w:noWrap/>
            <w:vAlign w:val="center"/>
          </w:tcPr>
          <w:p w14:paraId="6514ADA6" w14:textId="77777777" w:rsidR="00E75B41" w:rsidRDefault="00E75B41" w:rsidP="001727A8">
            <w:pPr>
              <w:jc w:val="center"/>
              <w:rPr>
                <w:b/>
                <w:color w:val="000000"/>
                <w:sz w:val="22"/>
                <w:lang w:eastAsia="lv-LV"/>
              </w:rPr>
            </w:pPr>
            <w:r>
              <w:rPr>
                <w:b/>
                <w:color w:val="000000"/>
                <w:sz w:val="22"/>
                <w:lang w:eastAsia="lv-LV"/>
              </w:rPr>
              <w:t>59</w:t>
            </w:r>
          </w:p>
        </w:tc>
      </w:tr>
      <w:tr w:rsidR="00E75B41" w:rsidRPr="006C195E" w14:paraId="4851CE89" w14:textId="77777777" w:rsidTr="00FA46C0">
        <w:trPr>
          <w:trHeight w:val="300"/>
        </w:trPr>
        <w:tc>
          <w:tcPr>
            <w:tcW w:w="5000" w:type="pct"/>
            <w:gridSpan w:val="9"/>
          </w:tcPr>
          <w:p w14:paraId="4A9EC754" w14:textId="77777777" w:rsidR="00E75B41" w:rsidRPr="006C195E" w:rsidRDefault="00E75B41" w:rsidP="00A07A25">
            <w:pPr>
              <w:jc w:val="center"/>
              <w:rPr>
                <w:b/>
                <w:color w:val="000000"/>
                <w:sz w:val="22"/>
                <w:szCs w:val="22"/>
                <w:lang w:eastAsia="lv-LV"/>
              </w:rPr>
            </w:pPr>
            <w:r>
              <w:rPr>
                <w:b/>
                <w:color w:val="000000"/>
                <w:sz w:val="22"/>
                <w:lang w:eastAsia="lv-LV"/>
              </w:rPr>
              <w:t>Vidzemes reģions</w:t>
            </w:r>
          </w:p>
        </w:tc>
      </w:tr>
      <w:tr w:rsidR="00FA46C0" w:rsidRPr="006C195E" w14:paraId="196185BC" w14:textId="77777777" w:rsidTr="00FA46C0">
        <w:trPr>
          <w:trHeight w:val="300"/>
        </w:trPr>
        <w:tc>
          <w:tcPr>
            <w:tcW w:w="300" w:type="pct"/>
          </w:tcPr>
          <w:p w14:paraId="056D42A0" w14:textId="77777777" w:rsidR="00E75B41" w:rsidRPr="006C195E" w:rsidRDefault="00E75B41" w:rsidP="00E75B41">
            <w:pPr>
              <w:rPr>
                <w:color w:val="000000"/>
                <w:sz w:val="22"/>
                <w:lang w:eastAsia="lv-LV"/>
              </w:rPr>
            </w:pPr>
            <w:r>
              <w:rPr>
                <w:color w:val="000000"/>
                <w:sz w:val="22"/>
                <w:lang w:eastAsia="lv-LV"/>
              </w:rPr>
              <w:t>1.</w:t>
            </w:r>
          </w:p>
        </w:tc>
        <w:tc>
          <w:tcPr>
            <w:tcW w:w="667" w:type="pct"/>
            <w:shd w:val="clear" w:color="auto" w:fill="auto"/>
            <w:noWrap/>
            <w:vAlign w:val="bottom"/>
          </w:tcPr>
          <w:p w14:paraId="4BA1BA55" w14:textId="77777777" w:rsidR="00E75B41" w:rsidRPr="00DF33A5" w:rsidRDefault="00E75B41" w:rsidP="00A07A25">
            <w:pPr>
              <w:jc w:val="left"/>
              <w:rPr>
                <w:color w:val="000000"/>
                <w:sz w:val="22"/>
                <w:szCs w:val="22"/>
                <w:lang w:eastAsia="lv-LV"/>
              </w:rPr>
            </w:pPr>
            <w:proofErr w:type="spellStart"/>
            <w:r w:rsidRPr="00DF33A5">
              <w:rPr>
                <w:color w:val="000000"/>
                <w:sz w:val="22"/>
                <w:szCs w:val="22"/>
                <w:lang w:eastAsia="lv-LV"/>
              </w:rPr>
              <w:t>ViA</w:t>
            </w:r>
            <w:proofErr w:type="spellEnd"/>
          </w:p>
        </w:tc>
        <w:tc>
          <w:tcPr>
            <w:tcW w:w="764" w:type="pct"/>
            <w:shd w:val="clear" w:color="auto" w:fill="auto"/>
            <w:noWrap/>
            <w:vAlign w:val="center"/>
          </w:tcPr>
          <w:p w14:paraId="1676304A" w14:textId="77777777" w:rsidR="00E75B41" w:rsidRPr="00DF33A5" w:rsidRDefault="00E75B41" w:rsidP="00E75B41">
            <w:pPr>
              <w:jc w:val="center"/>
              <w:rPr>
                <w:color w:val="000000"/>
                <w:sz w:val="22"/>
                <w:szCs w:val="22"/>
                <w:lang w:eastAsia="lv-LV"/>
              </w:rPr>
            </w:pPr>
            <w:r w:rsidRPr="00DF33A5">
              <w:rPr>
                <w:color w:val="000000"/>
                <w:sz w:val="22"/>
                <w:szCs w:val="22"/>
                <w:lang w:eastAsia="lv-LV"/>
              </w:rPr>
              <w:t>4</w:t>
            </w:r>
          </w:p>
        </w:tc>
        <w:tc>
          <w:tcPr>
            <w:tcW w:w="835" w:type="pct"/>
            <w:shd w:val="clear" w:color="auto" w:fill="auto"/>
            <w:noWrap/>
            <w:vAlign w:val="center"/>
          </w:tcPr>
          <w:p w14:paraId="4F273F74" w14:textId="77777777" w:rsidR="00E75B41" w:rsidRPr="00DF33A5" w:rsidRDefault="00E75B41" w:rsidP="00E75B41">
            <w:pPr>
              <w:jc w:val="center"/>
              <w:rPr>
                <w:color w:val="000000"/>
                <w:sz w:val="22"/>
                <w:szCs w:val="22"/>
                <w:lang w:eastAsia="lv-LV"/>
              </w:rPr>
            </w:pPr>
            <w:r w:rsidRPr="00DF33A5">
              <w:rPr>
                <w:color w:val="000000"/>
                <w:sz w:val="22"/>
                <w:szCs w:val="22"/>
                <w:lang w:eastAsia="lv-LV"/>
              </w:rPr>
              <w:t>2</w:t>
            </w:r>
          </w:p>
        </w:tc>
        <w:tc>
          <w:tcPr>
            <w:tcW w:w="556" w:type="pct"/>
            <w:vAlign w:val="center"/>
          </w:tcPr>
          <w:p w14:paraId="2FBA244D" w14:textId="77777777" w:rsidR="00E75B41" w:rsidRPr="00DF33A5" w:rsidRDefault="00E75B41" w:rsidP="00E75B41">
            <w:pPr>
              <w:jc w:val="center"/>
              <w:rPr>
                <w:color w:val="000000"/>
                <w:sz w:val="22"/>
                <w:szCs w:val="22"/>
                <w:lang w:eastAsia="lv-LV"/>
              </w:rPr>
            </w:pPr>
            <w:r>
              <w:rPr>
                <w:color w:val="000000"/>
                <w:sz w:val="22"/>
                <w:szCs w:val="22"/>
                <w:lang w:eastAsia="lv-LV"/>
              </w:rPr>
              <w:t>0</w:t>
            </w:r>
          </w:p>
        </w:tc>
        <w:tc>
          <w:tcPr>
            <w:tcW w:w="486" w:type="pct"/>
            <w:shd w:val="clear" w:color="auto" w:fill="auto"/>
            <w:noWrap/>
            <w:vAlign w:val="center"/>
          </w:tcPr>
          <w:p w14:paraId="130F6BAD" w14:textId="77777777" w:rsidR="00E75B41" w:rsidRPr="00DF33A5" w:rsidRDefault="00E75B41" w:rsidP="00E75B41">
            <w:pPr>
              <w:jc w:val="center"/>
              <w:rPr>
                <w:color w:val="000000"/>
                <w:sz w:val="22"/>
                <w:szCs w:val="22"/>
                <w:lang w:eastAsia="lv-LV"/>
              </w:rPr>
            </w:pPr>
            <w:r>
              <w:rPr>
                <w:color w:val="000000"/>
                <w:sz w:val="22"/>
                <w:szCs w:val="22"/>
                <w:lang w:eastAsia="lv-LV"/>
              </w:rPr>
              <w:t>0</w:t>
            </w:r>
          </w:p>
        </w:tc>
        <w:tc>
          <w:tcPr>
            <w:tcW w:w="556" w:type="pct"/>
            <w:shd w:val="clear" w:color="auto" w:fill="auto"/>
            <w:noWrap/>
            <w:vAlign w:val="center"/>
          </w:tcPr>
          <w:p w14:paraId="51A28D2F" w14:textId="77777777" w:rsidR="00E75B41" w:rsidRPr="00DF33A5" w:rsidRDefault="00E75B41" w:rsidP="00E75B41">
            <w:pPr>
              <w:jc w:val="center"/>
              <w:rPr>
                <w:color w:val="000000"/>
                <w:sz w:val="22"/>
                <w:szCs w:val="22"/>
                <w:lang w:eastAsia="lv-LV"/>
              </w:rPr>
            </w:pPr>
            <w:r>
              <w:rPr>
                <w:color w:val="000000"/>
                <w:sz w:val="22"/>
                <w:szCs w:val="22"/>
                <w:lang w:eastAsia="lv-LV"/>
              </w:rPr>
              <w:t>0</w:t>
            </w:r>
          </w:p>
        </w:tc>
        <w:tc>
          <w:tcPr>
            <w:tcW w:w="419" w:type="pct"/>
            <w:shd w:val="clear" w:color="auto" w:fill="auto"/>
            <w:noWrap/>
            <w:vAlign w:val="center"/>
          </w:tcPr>
          <w:p w14:paraId="640F2CE6" w14:textId="77777777" w:rsidR="00E75B41" w:rsidRPr="00DF33A5" w:rsidRDefault="00E75B41" w:rsidP="00E75B41">
            <w:pPr>
              <w:jc w:val="center"/>
              <w:rPr>
                <w:color w:val="000000"/>
                <w:sz w:val="22"/>
                <w:szCs w:val="22"/>
                <w:lang w:eastAsia="lv-LV"/>
              </w:rPr>
            </w:pPr>
            <w:r>
              <w:rPr>
                <w:color w:val="000000"/>
                <w:sz w:val="22"/>
                <w:szCs w:val="22"/>
                <w:lang w:eastAsia="lv-LV"/>
              </w:rPr>
              <w:t>0</w:t>
            </w:r>
          </w:p>
        </w:tc>
        <w:tc>
          <w:tcPr>
            <w:tcW w:w="418" w:type="pct"/>
            <w:shd w:val="clear" w:color="auto" w:fill="auto"/>
            <w:noWrap/>
            <w:vAlign w:val="center"/>
          </w:tcPr>
          <w:p w14:paraId="353A51D1" w14:textId="77777777" w:rsidR="00E75B41" w:rsidRPr="006C195E" w:rsidRDefault="00E75B41" w:rsidP="00E75B41">
            <w:pPr>
              <w:jc w:val="center"/>
              <w:rPr>
                <w:b/>
                <w:color w:val="000000"/>
                <w:sz w:val="22"/>
                <w:szCs w:val="22"/>
                <w:lang w:eastAsia="lv-LV"/>
              </w:rPr>
            </w:pPr>
            <w:r w:rsidRPr="006C195E">
              <w:rPr>
                <w:b/>
                <w:color w:val="000000"/>
                <w:sz w:val="22"/>
                <w:szCs w:val="22"/>
                <w:lang w:eastAsia="lv-LV"/>
              </w:rPr>
              <w:t>6</w:t>
            </w:r>
          </w:p>
        </w:tc>
      </w:tr>
      <w:tr w:rsidR="00FA46C0" w:rsidRPr="006C195E" w14:paraId="551AAFAB" w14:textId="77777777" w:rsidTr="00FA46C0">
        <w:trPr>
          <w:trHeight w:val="300"/>
        </w:trPr>
        <w:tc>
          <w:tcPr>
            <w:tcW w:w="300" w:type="pct"/>
          </w:tcPr>
          <w:p w14:paraId="4D5449B9" w14:textId="77777777" w:rsidR="00E75B41" w:rsidRPr="006C195E" w:rsidRDefault="00E75B41" w:rsidP="00E75B41">
            <w:pPr>
              <w:rPr>
                <w:color w:val="000000"/>
                <w:sz w:val="22"/>
                <w:lang w:eastAsia="lv-LV"/>
              </w:rPr>
            </w:pPr>
            <w:r>
              <w:rPr>
                <w:color w:val="000000"/>
                <w:sz w:val="22"/>
                <w:lang w:eastAsia="lv-LV"/>
              </w:rPr>
              <w:t>2.</w:t>
            </w:r>
          </w:p>
        </w:tc>
        <w:tc>
          <w:tcPr>
            <w:tcW w:w="667" w:type="pct"/>
            <w:shd w:val="clear" w:color="auto" w:fill="auto"/>
            <w:noWrap/>
            <w:vAlign w:val="bottom"/>
          </w:tcPr>
          <w:p w14:paraId="359D2289" w14:textId="77777777" w:rsidR="00E75B41" w:rsidRPr="00DF33A5" w:rsidRDefault="00E75B41" w:rsidP="00A07A25">
            <w:pPr>
              <w:rPr>
                <w:color w:val="000000"/>
                <w:sz w:val="22"/>
                <w:lang w:eastAsia="lv-LV"/>
              </w:rPr>
            </w:pPr>
            <w:r>
              <w:rPr>
                <w:color w:val="000000"/>
                <w:sz w:val="22"/>
                <w:lang w:eastAsia="lv-LV"/>
              </w:rPr>
              <w:t xml:space="preserve">RTU </w:t>
            </w:r>
            <w:proofErr w:type="spellStart"/>
            <w:r>
              <w:rPr>
                <w:color w:val="000000"/>
                <w:sz w:val="22"/>
                <w:lang w:eastAsia="lv-LV"/>
              </w:rPr>
              <w:t>Cēsu</w:t>
            </w:r>
            <w:proofErr w:type="spellEnd"/>
            <w:r>
              <w:rPr>
                <w:color w:val="000000"/>
                <w:sz w:val="22"/>
                <w:lang w:eastAsia="lv-LV"/>
              </w:rPr>
              <w:t xml:space="preserve"> filiāle</w:t>
            </w:r>
          </w:p>
        </w:tc>
        <w:tc>
          <w:tcPr>
            <w:tcW w:w="764" w:type="pct"/>
            <w:shd w:val="clear" w:color="auto" w:fill="auto"/>
            <w:noWrap/>
            <w:vAlign w:val="center"/>
          </w:tcPr>
          <w:p w14:paraId="6842C3EC" w14:textId="77777777" w:rsidR="00E75B41" w:rsidRPr="00DF33A5" w:rsidRDefault="00E75B41" w:rsidP="00E75B41">
            <w:pPr>
              <w:jc w:val="center"/>
              <w:rPr>
                <w:color w:val="000000"/>
                <w:sz w:val="22"/>
                <w:lang w:eastAsia="lv-LV"/>
              </w:rPr>
            </w:pPr>
            <w:r>
              <w:rPr>
                <w:color w:val="000000"/>
                <w:sz w:val="22"/>
                <w:lang w:eastAsia="lv-LV"/>
              </w:rPr>
              <w:t>0</w:t>
            </w:r>
          </w:p>
        </w:tc>
        <w:tc>
          <w:tcPr>
            <w:tcW w:w="835" w:type="pct"/>
            <w:shd w:val="clear" w:color="auto" w:fill="auto"/>
            <w:noWrap/>
            <w:vAlign w:val="center"/>
          </w:tcPr>
          <w:p w14:paraId="646332FD" w14:textId="77777777" w:rsidR="00E75B41" w:rsidRPr="00DF33A5" w:rsidRDefault="00E75B41" w:rsidP="00E75B41">
            <w:pPr>
              <w:jc w:val="center"/>
              <w:rPr>
                <w:color w:val="000000"/>
                <w:sz w:val="22"/>
                <w:lang w:eastAsia="lv-LV"/>
              </w:rPr>
            </w:pPr>
            <w:r>
              <w:rPr>
                <w:color w:val="000000"/>
                <w:sz w:val="22"/>
                <w:lang w:eastAsia="lv-LV"/>
              </w:rPr>
              <w:t>2</w:t>
            </w:r>
          </w:p>
        </w:tc>
        <w:tc>
          <w:tcPr>
            <w:tcW w:w="556" w:type="pct"/>
            <w:vAlign w:val="center"/>
          </w:tcPr>
          <w:p w14:paraId="4CA7F039" w14:textId="77777777" w:rsidR="00E75B41" w:rsidRPr="00DF33A5" w:rsidRDefault="00E75B41" w:rsidP="00E75B41">
            <w:pPr>
              <w:jc w:val="center"/>
              <w:rPr>
                <w:color w:val="000000"/>
                <w:sz w:val="22"/>
                <w:lang w:eastAsia="lv-LV"/>
              </w:rPr>
            </w:pPr>
            <w:r>
              <w:rPr>
                <w:color w:val="000000"/>
                <w:sz w:val="22"/>
                <w:lang w:eastAsia="lv-LV"/>
              </w:rPr>
              <w:t>0</w:t>
            </w:r>
          </w:p>
        </w:tc>
        <w:tc>
          <w:tcPr>
            <w:tcW w:w="486" w:type="pct"/>
            <w:shd w:val="clear" w:color="auto" w:fill="auto"/>
            <w:noWrap/>
            <w:vAlign w:val="center"/>
          </w:tcPr>
          <w:p w14:paraId="61B78C27" w14:textId="77777777" w:rsidR="00E75B41" w:rsidRPr="00DF33A5" w:rsidRDefault="00E75B41" w:rsidP="00E75B41">
            <w:pPr>
              <w:jc w:val="center"/>
              <w:rPr>
                <w:color w:val="000000"/>
                <w:sz w:val="22"/>
                <w:lang w:eastAsia="lv-LV"/>
              </w:rPr>
            </w:pPr>
            <w:r>
              <w:rPr>
                <w:color w:val="000000"/>
                <w:sz w:val="22"/>
                <w:lang w:eastAsia="lv-LV"/>
              </w:rPr>
              <w:t>0</w:t>
            </w:r>
          </w:p>
        </w:tc>
        <w:tc>
          <w:tcPr>
            <w:tcW w:w="556" w:type="pct"/>
            <w:shd w:val="clear" w:color="auto" w:fill="auto"/>
            <w:noWrap/>
            <w:vAlign w:val="center"/>
          </w:tcPr>
          <w:p w14:paraId="59889F04" w14:textId="77777777" w:rsidR="00E75B41" w:rsidRPr="00DF33A5" w:rsidRDefault="00E75B41" w:rsidP="00E75B41">
            <w:pPr>
              <w:jc w:val="center"/>
              <w:rPr>
                <w:color w:val="000000"/>
                <w:sz w:val="22"/>
                <w:lang w:eastAsia="lv-LV"/>
              </w:rPr>
            </w:pPr>
            <w:r>
              <w:rPr>
                <w:color w:val="000000"/>
                <w:sz w:val="22"/>
                <w:lang w:eastAsia="lv-LV"/>
              </w:rPr>
              <w:t>0</w:t>
            </w:r>
          </w:p>
        </w:tc>
        <w:tc>
          <w:tcPr>
            <w:tcW w:w="419" w:type="pct"/>
            <w:shd w:val="clear" w:color="auto" w:fill="auto"/>
            <w:noWrap/>
            <w:vAlign w:val="center"/>
          </w:tcPr>
          <w:p w14:paraId="6949370A" w14:textId="77777777" w:rsidR="00E75B41" w:rsidRPr="00DF33A5" w:rsidRDefault="00E75B41" w:rsidP="00E75B41">
            <w:pPr>
              <w:jc w:val="center"/>
              <w:rPr>
                <w:color w:val="000000"/>
                <w:sz w:val="22"/>
                <w:lang w:eastAsia="lv-LV"/>
              </w:rPr>
            </w:pPr>
            <w:r>
              <w:rPr>
                <w:color w:val="000000"/>
                <w:sz w:val="22"/>
                <w:lang w:eastAsia="lv-LV"/>
              </w:rPr>
              <w:t>0</w:t>
            </w:r>
          </w:p>
        </w:tc>
        <w:tc>
          <w:tcPr>
            <w:tcW w:w="418" w:type="pct"/>
            <w:shd w:val="clear" w:color="auto" w:fill="auto"/>
            <w:noWrap/>
            <w:vAlign w:val="center"/>
          </w:tcPr>
          <w:p w14:paraId="38D16BA0" w14:textId="77777777" w:rsidR="00E75B41" w:rsidRPr="006C195E" w:rsidRDefault="00E75B41" w:rsidP="00E75B41">
            <w:pPr>
              <w:jc w:val="center"/>
              <w:rPr>
                <w:b/>
                <w:color w:val="000000"/>
                <w:sz w:val="22"/>
                <w:lang w:eastAsia="lv-LV"/>
              </w:rPr>
            </w:pPr>
            <w:r>
              <w:rPr>
                <w:b/>
                <w:color w:val="000000"/>
                <w:sz w:val="22"/>
                <w:lang w:eastAsia="lv-LV"/>
              </w:rPr>
              <w:t>2</w:t>
            </w:r>
          </w:p>
        </w:tc>
      </w:tr>
      <w:tr w:rsidR="00FA46C0" w:rsidRPr="006C195E" w14:paraId="5094FA84" w14:textId="77777777" w:rsidTr="00FA46C0">
        <w:trPr>
          <w:trHeight w:val="300"/>
        </w:trPr>
        <w:tc>
          <w:tcPr>
            <w:tcW w:w="967" w:type="pct"/>
            <w:gridSpan w:val="2"/>
            <w:shd w:val="clear" w:color="auto" w:fill="D9D9D9" w:themeFill="background1" w:themeFillShade="D9"/>
          </w:tcPr>
          <w:p w14:paraId="7BD20517" w14:textId="77777777" w:rsidR="00E75B41" w:rsidRPr="001306F5" w:rsidRDefault="00E75B41" w:rsidP="00A07A25">
            <w:pPr>
              <w:rPr>
                <w:b/>
                <w:color w:val="000000"/>
                <w:sz w:val="22"/>
                <w:lang w:eastAsia="lv-LV"/>
              </w:rPr>
            </w:pPr>
            <w:r w:rsidRPr="001306F5">
              <w:rPr>
                <w:b/>
                <w:color w:val="000000"/>
                <w:sz w:val="22"/>
                <w:lang w:eastAsia="lv-LV"/>
              </w:rPr>
              <w:t>Vidzemes reģionā kopā</w:t>
            </w:r>
          </w:p>
        </w:tc>
        <w:tc>
          <w:tcPr>
            <w:tcW w:w="764" w:type="pct"/>
            <w:shd w:val="clear" w:color="auto" w:fill="D9D9D9" w:themeFill="background1" w:themeFillShade="D9"/>
            <w:noWrap/>
            <w:vAlign w:val="center"/>
          </w:tcPr>
          <w:p w14:paraId="431A389E" w14:textId="77777777" w:rsidR="00E75B41" w:rsidRPr="00E75B41" w:rsidRDefault="00E75B41" w:rsidP="00E75B41">
            <w:pPr>
              <w:jc w:val="center"/>
              <w:rPr>
                <w:b/>
                <w:color w:val="000000"/>
                <w:sz w:val="22"/>
                <w:lang w:eastAsia="lv-LV"/>
              </w:rPr>
            </w:pPr>
            <w:r w:rsidRPr="00E75B41">
              <w:rPr>
                <w:b/>
                <w:color w:val="000000"/>
                <w:sz w:val="22"/>
                <w:lang w:eastAsia="lv-LV"/>
              </w:rPr>
              <w:t>4</w:t>
            </w:r>
          </w:p>
        </w:tc>
        <w:tc>
          <w:tcPr>
            <w:tcW w:w="835" w:type="pct"/>
            <w:shd w:val="clear" w:color="auto" w:fill="D9D9D9" w:themeFill="background1" w:themeFillShade="D9"/>
            <w:noWrap/>
            <w:vAlign w:val="center"/>
          </w:tcPr>
          <w:p w14:paraId="5FFAE993" w14:textId="77777777" w:rsidR="00E75B41" w:rsidRPr="00E75B41" w:rsidRDefault="00E75B41" w:rsidP="00E75B41">
            <w:pPr>
              <w:jc w:val="center"/>
              <w:rPr>
                <w:b/>
                <w:color w:val="000000"/>
                <w:sz w:val="22"/>
                <w:lang w:eastAsia="lv-LV"/>
              </w:rPr>
            </w:pPr>
            <w:r w:rsidRPr="00E75B41">
              <w:rPr>
                <w:b/>
                <w:color w:val="000000"/>
                <w:sz w:val="22"/>
                <w:lang w:eastAsia="lv-LV"/>
              </w:rPr>
              <w:t>4</w:t>
            </w:r>
          </w:p>
        </w:tc>
        <w:tc>
          <w:tcPr>
            <w:tcW w:w="556" w:type="pct"/>
            <w:shd w:val="clear" w:color="auto" w:fill="D9D9D9" w:themeFill="background1" w:themeFillShade="D9"/>
            <w:vAlign w:val="center"/>
          </w:tcPr>
          <w:p w14:paraId="37DFA6FC" w14:textId="77777777" w:rsidR="00E75B41" w:rsidRPr="00E75B41" w:rsidRDefault="00E75B41" w:rsidP="00E75B41">
            <w:pPr>
              <w:jc w:val="center"/>
              <w:rPr>
                <w:b/>
                <w:color w:val="000000"/>
                <w:sz w:val="22"/>
                <w:lang w:eastAsia="lv-LV"/>
              </w:rPr>
            </w:pPr>
            <w:r w:rsidRPr="00E75B41">
              <w:rPr>
                <w:b/>
                <w:color w:val="000000"/>
                <w:sz w:val="22"/>
                <w:lang w:eastAsia="lv-LV"/>
              </w:rPr>
              <w:t>0</w:t>
            </w:r>
          </w:p>
        </w:tc>
        <w:tc>
          <w:tcPr>
            <w:tcW w:w="486" w:type="pct"/>
            <w:shd w:val="clear" w:color="auto" w:fill="D9D9D9" w:themeFill="background1" w:themeFillShade="D9"/>
            <w:noWrap/>
            <w:vAlign w:val="center"/>
          </w:tcPr>
          <w:p w14:paraId="1A15F1AF" w14:textId="77777777" w:rsidR="00E75B41" w:rsidRPr="00E75B41" w:rsidRDefault="00E75B41" w:rsidP="00E75B41">
            <w:pPr>
              <w:jc w:val="center"/>
              <w:rPr>
                <w:b/>
                <w:color w:val="000000"/>
                <w:sz w:val="22"/>
                <w:lang w:eastAsia="lv-LV"/>
              </w:rPr>
            </w:pPr>
            <w:r w:rsidRPr="00E75B41">
              <w:rPr>
                <w:b/>
                <w:color w:val="000000"/>
                <w:sz w:val="22"/>
                <w:lang w:eastAsia="lv-LV"/>
              </w:rPr>
              <w:t>0</w:t>
            </w:r>
          </w:p>
        </w:tc>
        <w:tc>
          <w:tcPr>
            <w:tcW w:w="556" w:type="pct"/>
            <w:shd w:val="clear" w:color="auto" w:fill="D9D9D9" w:themeFill="background1" w:themeFillShade="D9"/>
            <w:noWrap/>
            <w:vAlign w:val="center"/>
          </w:tcPr>
          <w:p w14:paraId="56E57BC6" w14:textId="77777777" w:rsidR="00E75B41" w:rsidRPr="00E75B41" w:rsidRDefault="00E75B41" w:rsidP="00E75B41">
            <w:pPr>
              <w:jc w:val="center"/>
              <w:rPr>
                <w:b/>
                <w:color w:val="000000"/>
                <w:sz w:val="22"/>
                <w:lang w:eastAsia="lv-LV"/>
              </w:rPr>
            </w:pPr>
            <w:r w:rsidRPr="00E75B41">
              <w:rPr>
                <w:b/>
                <w:color w:val="000000"/>
                <w:sz w:val="22"/>
                <w:lang w:eastAsia="lv-LV"/>
              </w:rPr>
              <w:t>0</w:t>
            </w:r>
          </w:p>
        </w:tc>
        <w:tc>
          <w:tcPr>
            <w:tcW w:w="419" w:type="pct"/>
            <w:shd w:val="clear" w:color="auto" w:fill="D9D9D9" w:themeFill="background1" w:themeFillShade="D9"/>
            <w:noWrap/>
            <w:vAlign w:val="center"/>
          </w:tcPr>
          <w:p w14:paraId="3CCA336C" w14:textId="77777777" w:rsidR="00E75B41" w:rsidRPr="00E75B41" w:rsidRDefault="00E75B41" w:rsidP="00E75B41">
            <w:pPr>
              <w:jc w:val="center"/>
              <w:rPr>
                <w:b/>
                <w:color w:val="000000"/>
                <w:sz w:val="22"/>
                <w:lang w:eastAsia="lv-LV"/>
              </w:rPr>
            </w:pPr>
            <w:r w:rsidRPr="00E75B41">
              <w:rPr>
                <w:b/>
                <w:color w:val="000000"/>
                <w:sz w:val="22"/>
                <w:lang w:eastAsia="lv-LV"/>
              </w:rPr>
              <w:t>0</w:t>
            </w:r>
          </w:p>
        </w:tc>
        <w:tc>
          <w:tcPr>
            <w:tcW w:w="418" w:type="pct"/>
            <w:shd w:val="clear" w:color="auto" w:fill="D9D9D9" w:themeFill="background1" w:themeFillShade="D9"/>
            <w:noWrap/>
            <w:vAlign w:val="center"/>
          </w:tcPr>
          <w:p w14:paraId="34237D91" w14:textId="77777777" w:rsidR="00E75B41" w:rsidRPr="006C195E" w:rsidRDefault="00E75B41" w:rsidP="00E75B41">
            <w:pPr>
              <w:jc w:val="center"/>
              <w:rPr>
                <w:b/>
                <w:color w:val="000000"/>
                <w:sz w:val="22"/>
                <w:lang w:eastAsia="lv-LV"/>
              </w:rPr>
            </w:pPr>
            <w:r>
              <w:rPr>
                <w:b/>
                <w:color w:val="000000"/>
                <w:sz w:val="22"/>
                <w:lang w:eastAsia="lv-LV"/>
              </w:rPr>
              <w:t>8</w:t>
            </w:r>
          </w:p>
        </w:tc>
      </w:tr>
      <w:tr w:rsidR="00E75B41" w:rsidRPr="006C195E" w14:paraId="187581E4" w14:textId="77777777" w:rsidTr="00FA46C0">
        <w:trPr>
          <w:trHeight w:val="300"/>
        </w:trPr>
        <w:tc>
          <w:tcPr>
            <w:tcW w:w="5000" w:type="pct"/>
            <w:gridSpan w:val="9"/>
          </w:tcPr>
          <w:p w14:paraId="7E5B87CB" w14:textId="77777777" w:rsidR="00E75B41" w:rsidRPr="006C195E" w:rsidRDefault="00E75B41" w:rsidP="00A07A25">
            <w:pPr>
              <w:jc w:val="center"/>
              <w:rPr>
                <w:b/>
                <w:color w:val="000000"/>
                <w:sz w:val="22"/>
                <w:szCs w:val="22"/>
                <w:lang w:eastAsia="lv-LV"/>
              </w:rPr>
            </w:pPr>
            <w:r>
              <w:rPr>
                <w:b/>
                <w:color w:val="000000"/>
                <w:sz w:val="22"/>
                <w:lang w:eastAsia="lv-LV"/>
              </w:rPr>
              <w:t>Zemgales reģions</w:t>
            </w:r>
          </w:p>
        </w:tc>
      </w:tr>
      <w:tr w:rsidR="00FA46C0" w:rsidRPr="006C195E" w14:paraId="39264CE1" w14:textId="77777777" w:rsidTr="00FA46C0">
        <w:trPr>
          <w:trHeight w:val="300"/>
        </w:trPr>
        <w:tc>
          <w:tcPr>
            <w:tcW w:w="300" w:type="pct"/>
            <w:vAlign w:val="center"/>
          </w:tcPr>
          <w:p w14:paraId="6F04C724" w14:textId="77777777" w:rsidR="00E75B41" w:rsidRPr="006C195E" w:rsidRDefault="00E75B41" w:rsidP="001727A8">
            <w:pPr>
              <w:jc w:val="left"/>
              <w:rPr>
                <w:color w:val="000000"/>
                <w:sz w:val="22"/>
                <w:lang w:eastAsia="lv-LV"/>
              </w:rPr>
            </w:pPr>
            <w:r>
              <w:rPr>
                <w:color w:val="000000"/>
                <w:sz w:val="22"/>
                <w:lang w:eastAsia="lv-LV"/>
              </w:rPr>
              <w:t>1.</w:t>
            </w:r>
          </w:p>
        </w:tc>
        <w:tc>
          <w:tcPr>
            <w:tcW w:w="667" w:type="pct"/>
            <w:shd w:val="clear" w:color="auto" w:fill="auto"/>
            <w:noWrap/>
            <w:vAlign w:val="center"/>
          </w:tcPr>
          <w:p w14:paraId="25589C94" w14:textId="77777777" w:rsidR="00E75B41" w:rsidRPr="00DF33A5" w:rsidRDefault="00E75B41" w:rsidP="001727A8">
            <w:pPr>
              <w:jc w:val="left"/>
              <w:rPr>
                <w:color w:val="000000"/>
                <w:sz w:val="22"/>
                <w:szCs w:val="22"/>
                <w:lang w:eastAsia="lv-LV"/>
              </w:rPr>
            </w:pPr>
            <w:r w:rsidRPr="00DF33A5">
              <w:rPr>
                <w:color w:val="000000"/>
                <w:sz w:val="22"/>
                <w:szCs w:val="22"/>
                <w:lang w:eastAsia="lv-LV"/>
              </w:rPr>
              <w:t>LLU</w:t>
            </w:r>
          </w:p>
        </w:tc>
        <w:tc>
          <w:tcPr>
            <w:tcW w:w="764" w:type="pct"/>
            <w:shd w:val="clear" w:color="auto" w:fill="auto"/>
            <w:noWrap/>
            <w:vAlign w:val="center"/>
          </w:tcPr>
          <w:p w14:paraId="537B8DD7" w14:textId="77777777" w:rsidR="00E75B41" w:rsidRPr="00DF33A5" w:rsidRDefault="001727A8" w:rsidP="001727A8">
            <w:pPr>
              <w:jc w:val="center"/>
              <w:rPr>
                <w:color w:val="000000"/>
                <w:sz w:val="22"/>
                <w:szCs w:val="22"/>
                <w:lang w:eastAsia="lv-LV"/>
              </w:rPr>
            </w:pPr>
            <w:r>
              <w:rPr>
                <w:color w:val="000000"/>
                <w:sz w:val="22"/>
                <w:szCs w:val="22"/>
                <w:lang w:eastAsia="lv-LV"/>
              </w:rPr>
              <w:t>0</w:t>
            </w:r>
          </w:p>
        </w:tc>
        <w:tc>
          <w:tcPr>
            <w:tcW w:w="835" w:type="pct"/>
            <w:shd w:val="clear" w:color="auto" w:fill="auto"/>
            <w:noWrap/>
            <w:vAlign w:val="center"/>
          </w:tcPr>
          <w:p w14:paraId="45FD5429" w14:textId="77777777" w:rsidR="00E75B41" w:rsidRPr="00DF33A5" w:rsidRDefault="00E75B41" w:rsidP="001727A8">
            <w:pPr>
              <w:jc w:val="center"/>
              <w:rPr>
                <w:sz w:val="22"/>
                <w:szCs w:val="22"/>
                <w:lang w:eastAsia="lv-LV"/>
              </w:rPr>
            </w:pPr>
            <w:r w:rsidRPr="00DF33A5">
              <w:rPr>
                <w:sz w:val="22"/>
                <w:szCs w:val="22"/>
                <w:lang w:eastAsia="lv-LV"/>
              </w:rPr>
              <w:t>31</w:t>
            </w:r>
          </w:p>
        </w:tc>
        <w:tc>
          <w:tcPr>
            <w:tcW w:w="556" w:type="pct"/>
            <w:vAlign w:val="center"/>
          </w:tcPr>
          <w:p w14:paraId="229287AE" w14:textId="77777777" w:rsidR="00E75B41" w:rsidRPr="00DF33A5" w:rsidRDefault="00E75B41" w:rsidP="001727A8">
            <w:pPr>
              <w:jc w:val="center"/>
              <w:rPr>
                <w:color w:val="000000"/>
                <w:sz w:val="22"/>
                <w:szCs w:val="22"/>
                <w:lang w:eastAsia="lv-LV"/>
              </w:rPr>
            </w:pPr>
            <w:r w:rsidRPr="00E75B41">
              <w:rPr>
                <w:color w:val="000000"/>
                <w:sz w:val="22"/>
                <w:szCs w:val="22"/>
                <w:lang w:eastAsia="lv-LV"/>
              </w:rPr>
              <w:t>13</w:t>
            </w:r>
          </w:p>
        </w:tc>
        <w:tc>
          <w:tcPr>
            <w:tcW w:w="486" w:type="pct"/>
            <w:shd w:val="clear" w:color="auto" w:fill="auto"/>
            <w:noWrap/>
            <w:vAlign w:val="center"/>
          </w:tcPr>
          <w:p w14:paraId="6A6BEF6E" w14:textId="77777777" w:rsidR="00E75B41" w:rsidRPr="00DF33A5" w:rsidRDefault="001727A8" w:rsidP="001727A8">
            <w:pPr>
              <w:jc w:val="center"/>
              <w:rPr>
                <w:color w:val="000000"/>
                <w:sz w:val="22"/>
                <w:szCs w:val="22"/>
                <w:lang w:eastAsia="lv-LV"/>
              </w:rPr>
            </w:pPr>
            <w:r>
              <w:rPr>
                <w:color w:val="000000"/>
                <w:sz w:val="22"/>
                <w:szCs w:val="22"/>
                <w:lang w:eastAsia="lv-LV"/>
              </w:rPr>
              <w:t>0</w:t>
            </w:r>
          </w:p>
        </w:tc>
        <w:tc>
          <w:tcPr>
            <w:tcW w:w="556" w:type="pct"/>
            <w:shd w:val="clear" w:color="auto" w:fill="auto"/>
            <w:noWrap/>
            <w:vAlign w:val="center"/>
          </w:tcPr>
          <w:p w14:paraId="49CD4B44" w14:textId="77777777" w:rsidR="00E75B41" w:rsidRPr="00DF33A5" w:rsidRDefault="00E75B41" w:rsidP="001727A8">
            <w:pPr>
              <w:jc w:val="center"/>
              <w:rPr>
                <w:color w:val="000000"/>
                <w:sz w:val="22"/>
                <w:szCs w:val="22"/>
                <w:lang w:eastAsia="lv-LV"/>
              </w:rPr>
            </w:pPr>
            <w:r w:rsidRPr="00DF33A5">
              <w:rPr>
                <w:color w:val="000000"/>
                <w:sz w:val="22"/>
                <w:szCs w:val="22"/>
                <w:lang w:eastAsia="lv-LV"/>
              </w:rPr>
              <w:t>1</w:t>
            </w:r>
          </w:p>
        </w:tc>
        <w:tc>
          <w:tcPr>
            <w:tcW w:w="419" w:type="pct"/>
            <w:shd w:val="clear" w:color="auto" w:fill="auto"/>
            <w:noWrap/>
            <w:vAlign w:val="center"/>
          </w:tcPr>
          <w:p w14:paraId="63CD56A7" w14:textId="77777777" w:rsidR="00E75B41" w:rsidRPr="00DF33A5" w:rsidRDefault="00E75B41" w:rsidP="001727A8">
            <w:pPr>
              <w:jc w:val="center"/>
              <w:rPr>
                <w:color w:val="000000"/>
                <w:sz w:val="22"/>
                <w:szCs w:val="22"/>
                <w:lang w:eastAsia="lv-LV"/>
              </w:rPr>
            </w:pPr>
            <w:r w:rsidRPr="00DF33A5">
              <w:rPr>
                <w:color w:val="000000"/>
                <w:sz w:val="22"/>
                <w:szCs w:val="22"/>
                <w:lang w:eastAsia="lv-LV"/>
              </w:rPr>
              <w:t>3</w:t>
            </w:r>
          </w:p>
        </w:tc>
        <w:tc>
          <w:tcPr>
            <w:tcW w:w="418" w:type="pct"/>
            <w:shd w:val="clear" w:color="auto" w:fill="auto"/>
            <w:noWrap/>
            <w:vAlign w:val="center"/>
          </w:tcPr>
          <w:p w14:paraId="57823489" w14:textId="77777777" w:rsidR="00E75B41" w:rsidRPr="006C195E" w:rsidRDefault="00E75B41" w:rsidP="001727A8">
            <w:pPr>
              <w:jc w:val="center"/>
              <w:rPr>
                <w:b/>
                <w:color w:val="000000"/>
                <w:sz w:val="22"/>
                <w:szCs w:val="22"/>
                <w:lang w:eastAsia="lv-LV"/>
              </w:rPr>
            </w:pPr>
            <w:r>
              <w:rPr>
                <w:b/>
                <w:color w:val="000000"/>
                <w:sz w:val="22"/>
                <w:szCs w:val="22"/>
                <w:lang w:eastAsia="lv-LV"/>
              </w:rPr>
              <w:t>48</w:t>
            </w:r>
          </w:p>
        </w:tc>
      </w:tr>
      <w:tr w:rsidR="00FA46C0" w:rsidRPr="006C195E" w14:paraId="54224BD5" w14:textId="77777777" w:rsidTr="00FA46C0">
        <w:trPr>
          <w:trHeight w:val="300"/>
        </w:trPr>
        <w:tc>
          <w:tcPr>
            <w:tcW w:w="967" w:type="pct"/>
            <w:gridSpan w:val="2"/>
            <w:shd w:val="clear" w:color="auto" w:fill="D9D9D9" w:themeFill="background1" w:themeFillShade="D9"/>
          </w:tcPr>
          <w:p w14:paraId="0D6016CD" w14:textId="77777777" w:rsidR="001727A8" w:rsidRPr="001306F5" w:rsidRDefault="001727A8" w:rsidP="001727A8">
            <w:pPr>
              <w:rPr>
                <w:b/>
                <w:color w:val="000000"/>
                <w:sz w:val="22"/>
                <w:lang w:eastAsia="lv-LV"/>
              </w:rPr>
            </w:pPr>
            <w:r>
              <w:rPr>
                <w:b/>
                <w:color w:val="000000"/>
                <w:sz w:val="22"/>
                <w:lang w:eastAsia="lv-LV"/>
              </w:rPr>
              <w:t xml:space="preserve">Zemgales </w:t>
            </w:r>
            <w:r w:rsidRPr="001306F5">
              <w:rPr>
                <w:b/>
                <w:color w:val="000000"/>
                <w:sz w:val="22"/>
                <w:lang w:eastAsia="lv-LV"/>
              </w:rPr>
              <w:t>reģionā kopā</w:t>
            </w:r>
          </w:p>
        </w:tc>
        <w:tc>
          <w:tcPr>
            <w:tcW w:w="764" w:type="pct"/>
            <w:shd w:val="clear" w:color="auto" w:fill="D9D9D9" w:themeFill="background1" w:themeFillShade="D9"/>
            <w:noWrap/>
            <w:vAlign w:val="center"/>
          </w:tcPr>
          <w:p w14:paraId="3A577FC1" w14:textId="77777777" w:rsidR="001727A8" w:rsidRDefault="001727A8" w:rsidP="001727A8">
            <w:pPr>
              <w:jc w:val="center"/>
              <w:rPr>
                <w:color w:val="000000"/>
                <w:sz w:val="22"/>
                <w:szCs w:val="22"/>
                <w:lang w:eastAsia="lv-LV"/>
              </w:rPr>
            </w:pPr>
            <w:r>
              <w:rPr>
                <w:color w:val="000000"/>
                <w:sz w:val="22"/>
                <w:szCs w:val="22"/>
                <w:lang w:eastAsia="lv-LV"/>
              </w:rPr>
              <w:t>0</w:t>
            </w:r>
          </w:p>
        </w:tc>
        <w:tc>
          <w:tcPr>
            <w:tcW w:w="835" w:type="pct"/>
            <w:shd w:val="clear" w:color="auto" w:fill="D9D9D9" w:themeFill="background1" w:themeFillShade="D9"/>
            <w:noWrap/>
            <w:vAlign w:val="center"/>
          </w:tcPr>
          <w:p w14:paraId="49CCDB51" w14:textId="77777777" w:rsidR="001727A8" w:rsidRPr="00DF33A5" w:rsidRDefault="001727A8" w:rsidP="001727A8">
            <w:pPr>
              <w:jc w:val="center"/>
              <w:rPr>
                <w:sz w:val="22"/>
                <w:szCs w:val="22"/>
                <w:lang w:eastAsia="lv-LV"/>
              </w:rPr>
            </w:pPr>
            <w:r w:rsidRPr="00DF33A5">
              <w:rPr>
                <w:sz w:val="22"/>
                <w:szCs w:val="22"/>
                <w:lang w:eastAsia="lv-LV"/>
              </w:rPr>
              <w:t>31</w:t>
            </w:r>
          </w:p>
        </w:tc>
        <w:tc>
          <w:tcPr>
            <w:tcW w:w="556" w:type="pct"/>
            <w:shd w:val="clear" w:color="auto" w:fill="D9D9D9" w:themeFill="background1" w:themeFillShade="D9"/>
            <w:vAlign w:val="center"/>
          </w:tcPr>
          <w:p w14:paraId="530681D9" w14:textId="77777777" w:rsidR="001727A8" w:rsidRPr="00DF33A5" w:rsidRDefault="001727A8" w:rsidP="001727A8">
            <w:pPr>
              <w:jc w:val="center"/>
              <w:rPr>
                <w:color w:val="000000"/>
                <w:sz w:val="22"/>
                <w:szCs w:val="22"/>
                <w:lang w:eastAsia="lv-LV"/>
              </w:rPr>
            </w:pPr>
            <w:r w:rsidRPr="00E75B41">
              <w:rPr>
                <w:color w:val="000000"/>
                <w:sz w:val="22"/>
                <w:szCs w:val="22"/>
                <w:lang w:eastAsia="lv-LV"/>
              </w:rPr>
              <w:t>13</w:t>
            </w:r>
          </w:p>
        </w:tc>
        <w:tc>
          <w:tcPr>
            <w:tcW w:w="486" w:type="pct"/>
            <w:shd w:val="clear" w:color="auto" w:fill="D9D9D9" w:themeFill="background1" w:themeFillShade="D9"/>
            <w:noWrap/>
            <w:vAlign w:val="center"/>
          </w:tcPr>
          <w:p w14:paraId="3BB0505A" w14:textId="77777777" w:rsidR="001727A8" w:rsidRPr="00DF33A5" w:rsidRDefault="001727A8" w:rsidP="001727A8">
            <w:pPr>
              <w:jc w:val="center"/>
              <w:rPr>
                <w:color w:val="000000"/>
                <w:sz w:val="22"/>
                <w:szCs w:val="22"/>
                <w:lang w:eastAsia="lv-LV"/>
              </w:rPr>
            </w:pPr>
            <w:r>
              <w:rPr>
                <w:color w:val="000000"/>
                <w:sz w:val="22"/>
                <w:szCs w:val="22"/>
                <w:lang w:eastAsia="lv-LV"/>
              </w:rPr>
              <w:t>0</w:t>
            </w:r>
          </w:p>
        </w:tc>
        <w:tc>
          <w:tcPr>
            <w:tcW w:w="556" w:type="pct"/>
            <w:shd w:val="clear" w:color="auto" w:fill="D9D9D9" w:themeFill="background1" w:themeFillShade="D9"/>
            <w:noWrap/>
            <w:vAlign w:val="center"/>
          </w:tcPr>
          <w:p w14:paraId="76076376" w14:textId="77777777" w:rsidR="001727A8" w:rsidRPr="00DF33A5" w:rsidRDefault="001727A8" w:rsidP="001727A8">
            <w:pPr>
              <w:jc w:val="center"/>
              <w:rPr>
                <w:color w:val="000000"/>
                <w:sz w:val="22"/>
                <w:szCs w:val="22"/>
                <w:lang w:eastAsia="lv-LV"/>
              </w:rPr>
            </w:pPr>
            <w:r w:rsidRPr="00DF33A5">
              <w:rPr>
                <w:color w:val="000000"/>
                <w:sz w:val="22"/>
                <w:szCs w:val="22"/>
                <w:lang w:eastAsia="lv-LV"/>
              </w:rPr>
              <w:t>1</w:t>
            </w:r>
          </w:p>
        </w:tc>
        <w:tc>
          <w:tcPr>
            <w:tcW w:w="419" w:type="pct"/>
            <w:shd w:val="clear" w:color="auto" w:fill="D9D9D9" w:themeFill="background1" w:themeFillShade="D9"/>
            <w:noWrap/>
            <w:vAlign w:val="center"/>
          </w:tcPr>
          <w:p w14:paraId="147F8CBF" w14:textId="77777777" w:rsidR="001727A8" w:rsidRPr="00DF33A5" w:rsidRDefault="001727A8" w:rsidP="001727A8">
            <w:pPr>
              <w:jc w:val="center"/>
              <w:rPr>
                <w:color w:val="000000"/>
                <w:sz w:val="22"/>
                <w:szCs w:val="22"/>
                <w:lang w:eastAsia="lv-LV"/>
              </w:rPr>
            </w:pPr>
            <w:r w:rsidRPr="00DF33A5">
              <w:rPr>
                <w:color w:val="000000"/>
                <w:sz w:val="22"/>
                <w:szCs w:val="22"/>
                <w:lang w:eastAsia="lv-LV"/>
              </w:rPr>
              <w:t>3</w:t>
            </w:r>
          </w:p>
        </w:tc>
        <w:tc>
          <w:tcPr>
            <w:tcW w:w="418" w:type="pct"/>
            <w:shd w:val="clear" w:color="auto" w:fill="D9D9D9" w:themeFill="background1" w:themeFillShade="D9"/>
            <w:noWrap/>
            <w:vAlign w:val="center"/>
          </w:tcPr>
          <w:p w14:paraId="7C473DFF" w14:textId="77777777" w:rsidR="001727A8" w:rsidRPr="006C195E" w:rsidRDefault="001727A8" w:rsidP="001727A8">
            <w:pPr>
              <w:jc w:val="center"/>
              <w:rPr>
                <w:b/>
                <w:color w:val="000000"/>
                <w:sz w:val="22"/>
                <w:szCs w:val="22"/>
                <w:lang w:eastAsia="lv-LV"/>
              </w:rPr>
            </w:pPr>
            <w:r>
              <w:rPr>
                <w:b/>
                <w:color w:val="000000"/>
                <w:sz w:val="22"/>
                <w:szCs w:val="22"/>
                <w:lang w:eastAsia="lv-LV"/>
              </w:rPr>
              <w:t>48</w:t>
            </w:r>
          </w:p>
        </w:tc>
      </w:tr>
      <w:tr w:rsidR="001727A8" w:rsidRPr="006C195E" w14:paraId="768C16DF" w14:textId="77777777" w:rsidTr="00FA46C0">
        <w:trPr>
          <w:trHeight w:val="300"/>
        </w:trPr>
        <w:tc>
          <w:tcPr>
            <w:tcW w:w="5000" w:type="pct"/>
            <w:gridSpan w:val="9"/>
          </w:tcPr>
          <w:p w14:paraId="42C40F4F" w14:textId="77777777" w:rsidR="001727A8" w:rsidRPr="006C195E" w:rsidRDefault="001727A8" w:rsidP="00A07A25">
            <w:pPr>
              <w:jc w:val="center"/>
              <w:rPr>
                <w:b/>
                <w:color w:val="000000"/>
                <w:sz w:val="22"/>
                <w:szCs w:val="22"/>
                <w:lang w:eastAsia="lv-LV"/>
              </w:rPr>
            </w:pPr>
            <w:r>
              <w:rPr>
                <w:b/>
                <w:color w:val="000000"/>
                <w:sz w:val="22"/>
                <w:lang w:eastAsia="lv-LV"/>
              </w:rPr>
              <w:t>Kurzemes reģions</w:t>
            </w:r>
          </w:p>
        </w:tc>
      </w:tr>
      <w:tr w:rsidR="00FA46C0" w:rsidRPr="006C195E" w14:paraId="4AF4645C" w14:textId="77777777" w:rsidTr="00FA46C0">
        <w:trPr>
          <w:trHeight w:val="300"/>
        </w:trPr>
        <w:tc>
          <w:tcPr>
            <w:tcW w:w="300" w:type="pct"/>
          </w:tcPr>
          <w:p w14:paraId="77566CA8" w14:textId="77777777" w:rsidR="001727A8" w:rsidRPr="006C195E" w:rsidRDefault="001727A8" w:rsidP="00E75B41">
            <w:pPr>
              <w:jc w:val="left"/>
              <w:rPr>
                <w:color w:val="000000"/>
                <w:sz w:val="22"/>
                <w:szCs w:val="22"/>
                <w:lang w:eastAsia="lv-LV"/>
              </w:rPr>
            </w:pPr>
            <w:r>
              <w:rPr>
                <w:color w:val="000000"/>
                <w:sz w:val="22"/>
                <w:szCs w:val="22"/>
                <w:lang w:eastAsia="lv-LV"/>
              </w:rPr>
              <w:t>1.</w:t>
            </w:r>
          </w:p>
        </w:tc>
        <w:tc>
          <w:tcPr>
            <w:tcW w:w="667" w:type="pct"/>
            <w:shd w:val="clear" w:color="auto" w:fill="auto"/>
            <w:noWrap/>
            <w:vAlign w:val="bottom"/>
          </w:tcPr>
          <w:p w14:paraId="49936EC7" w14:textId="77777777" w:rsidR="001727A8" w:rsidRPr="00DF33A5" w:rsidRDefault="001727A8" w:rsidP="00A07A25">
            <w:pPr>
              <w:jc w:val="left"/>
              <w:rPr>
                <w:color w:val="000000"/>
                <w:sz w:val="22"/>
                <w:szCs w:val="22"/>
                <w:lang w:eastAsia="lv-LV"/>
              </w:rPr>
            </w:pPr>
            <w:proofErr w:type="spellStart"/>
            <w:r w:rsidRPr="00DF33A5">
              <w:rPr>
                <w:color w:val="000000"/>
                <w:sz w:val="22"/>
                <w:szCs w:val="22"/>
                <w:lang w:eastAsia="lv-LV"/>
              </w:rPr>
              <w:t>VeA</w:t>
            </w:r>
            <w:proofErr w:type="spellEnd"/>
          </w:p>
        </w:tc>
        <w:tc>
          <w:tcPr>
            <w:tcW w:w="764" w:type="pct"/>
            <w:shd w:val="clear" w:color="auto" w:fill="auto"/>
            <w:noWrap/>
            <w:vAlign w:val="center"/>
          </w:tcPr>
          <w:p w14:paraId="380DAAF9" w14:textId="77777777" w:rsidR="001727A8" w:rsidRPr="00DF33A5" w:rsidRDefault="001727A8" w:rsidP="00E75B41">
            <w:pPr>
              <w:jc w:val="center"/>
              <w:rPr>
                <w:color w:val="000000"/>
                <w:sz w:val="22"/>
                <w:szCs w:val="22"/>
                <w:lang w:eastAsia="lv-LV"/>
              </w:rPr>
            </w:pPr>
            <w:r w:rsidRPr="00DF33A5">
              <w:rPr>
                <w:color w:val="000000"/>
                <w:sz w:val="22"/>
                <w:szCs w:val="22"/>
                <w:lang w:eastAsia="lv-LV"/>
              </w:rPr>
              <w:t>2</w:t>
            </w:r>
          </w:p>
        </w:tc>
        <w:tc>
          <w:tcPr>
            <w:tcW w:w="835" w:type="pct"/>
            <w:shd w:val="clear" w:color="auto" w:fill="auto"/>
            <w:noWrap/>
            <w:vAlign w:val="center"/>
          </w:tcPr>
          <w:p w14:paraId="7F64F4C2" w14:textId="77777777" w:rsidR="001727A8" w:rsidRPr="00DF33A5" w:rsidRDefault="001727A8" w:rsidP="00E75B41">
            <w:pPr>
              <w:jc w:val="center"/>
              <w:rPr>
                <w:color w:val="000000"/>
                <w:sz w:val="22"/>
                <w:szCs w:val="22"/>
                <w:lang w:eastAsia="lv-LV"/>
              </w:rPr>
            </w:pPr>
            <w:r w:rsidRPr="00DF33A5">
              <w:rPr>
                <w:color w:val="000000"/>
                <w:sz w:val="22"/>
                <w:szCs w:val="22"/>
                <w:lang w:eastAsia="lv-LV"/>
              </w:rPr>
              <w:t>2</w:t>
            </w:r>
          </w:p>
        </w:tc>
        <w:tc>
          <w:tcPr>
            <w:tcW w:w="556" w:type="pct"/>
            <w:vAlign w:val="center"/>
          </w:tcPr>
          <w:p w14:paraId="5F0EC2AA" w14:textId="77777777" w:rsidR="001727A8" w:rsidRPr="00DF33A5" w:rsidRDefault="001727A8" w:rsidP="00E75B41">
            <w:pPr>
              <w:jc w:val="center"/>
              <w:rPr>
                <w:color w:val="000000"/>
                <w:sz w:val="22"/>
                <w:szCs w:val="22"/>
                <w:lang w:eastAsia="lv-LV"/>
              </w:rPr>
            </w:pPr>
            <w:r>
              <w:rPr>
                <w:color w:val="000000"/>
                <w:sz w:val="22"/>
                <w:szCs w:val="22"/>
                <w:lang w:eastAsia="lv-LV"/>
              </w:rPr>
              <w:t>0</w:t>
            </w:r>
          </w:p>
        </w:tc>
        <w:tc>
          <w:tcPr>
            <w:tcW w:w="486" w:type="pct"/>
            <w:shd w:val="clear" w:color="auto" w:fill="auto"/>
            <w:noWrap/>
            <w:vAlign w:val="center"/>
          </w:tcPr>
          <w:p w14:paraId="544EEE44" w14:textId="77777777" w:rsidR="001727A8" w:rsidRPr="00DF33A5" w:rsidRDefault="001727A8" w:rsidP="00E75B41">
            <w:pPr>
              <w:jc w:val="center"/>
              <w:rPr>
                <w:color w:val="000000"/>
                <w:sz w:val="22"/>
                <w:szCs w:val="22"/>
                <w:lang w:eastAsia="lv-LV"/>
              </w:rPr>
            </w:pPr>
            <w:r>
              <w:rPr>
                <w:color w:val="000000"/>
                <w:sz w:val="22"/>
                <w:szCs w:val="22"/>
                <w:lang w:eastAsia="lv-LV"/>
              </w:rPr>
              <w:t>0</w:t>
            </w:r>
          </w:p>
        </w:tc>
        <w:tc>
          <w:tcPr>
            <w:tcW w:w="556" w:type="pct"/>
            <w:shd w:val="clear" w:color="auto" w:fill="auto"/>
            <w:noWrap/>
            <w:vAlign w:val="center"/>
          </w:tcPr>
          <w:p w14:paraId="73177FDD" w14:textId="77777777" w:rsidR="001727A8" w:rsidRPr="00DF33A5" w:rsidRDefault="001727A8" w:rsidP="00E75B41">
            <w:pPr>
              <w:jc w:val="center"/>
              <w:rPr>
                <w:color w:val="000000"/>
                <w:sz w:val="22"/>
                <w:szCs w:val="22"/>
                <w:lang w:eastAsia="lv-LV"/>
              </w:rPr>
            </w:pPr>
            <w:r>
              <w:rPr>
                <w:color w:val="000000"/>
                <w:sz w:val="22"/>
                <w:szCs w:val="22"/>
                <w:lang w:eastAsia="lv-LV"/>
              </w:rPr>
              <w:t>0</w:t>
            </w:r>
          </w:p>
        </w:tc>
        <w:tc>
          <w:tcPr>
            <w:tcW w:w="419" w:type="pct"/>
            <w:shd w:val="clear" w:color="auto" w:fill="auto"/>
            <w:noWrap/>
            <w:vAlign w:val="center"/>
          </w:tcPr>
          <w:p w14:paraId="67914754" w14:textId="77777777" w:rsidR="001727A8" w:rsidRPr="00DF33A5" w:rsidRDefault="001727A8" w:rsidP="00E75B41">
            <w:pPr>
              <w:jc w:val="center"/>
              <w:rPr>
                <w:color w:val="000000"/>
                <w:sz w:val="22"/>
                <w:szCs w:val="22"/>
                <w:lang w:eastAsia="lv-LV"/>
              </w:rPr>
            </w:pPr>
            <w:r>
              <w:rPr>
                <w:color w:val="000000"/>
                <w:sz w:val="22"/>
                <w:szCs w:val="22"/>
                <w:lang w:eastAsia="lv-LV"/>
              </w:rPr>
              <w:t>0</w:t>
            </w:r>
          </w:p>
        </w:tc>
        <w:tc>
          <w:tcPr>
            <w:tcW w:w="418" w:type="pct"/>
            <w:shd w:val="clear" w:color="auto" w:fill="auto"/>
            <w:noWrap/>
            <w:vAlign w:val="center"/>
          </w:tcPr>
          <w:p w14:paraId="4B6A6012" w14:textId="77777777" w:rsidR="001727A8" w:rsidRPr="006C195E" w:rsidRDefault="001727A8" w:rsidP="00E75B41">
            <w:pPr>
              <w:jc w:val="center"/>
              <w:rPr>
                <w:b/>
                <w:color w:val="000000"/>
                <w:sz w:val="22"/>
                <w:szCs w:val="22"/>
                <w:lang w:eastAsia="lv-LV"/>
              </w:rPr>
            </w:pPr>
            <w:r w:rsidRPr="006C195E">
              <w:rPr>
                <w:b/>
                <w:color w:val="000000"/>
                <w:sz w:val="22"/>
                <w:szCs w:val="22"/>
                <w:lang w:eastAsia="lv-LV"/>
              </w:rPr>
              <w:t>4</w:t>
            </w:r>
          </w:p>
        </w:tc>
      </w:tr>
      <w:tr w:rsidR="00FA46C0" w:rsidRPr="006C195E" w14:paraId="6BE59DF6" w14:textId="77777777" w:rsidTr="00FA46C0">
        <w:trPr>
          <w:trHeight w:val="300"/>
        </w:trPr>
        <w:tc>
          <w:tcPr>
            <w:tcW w:w="300" w:type="pct"/>
          </w:tcPr>
          <w:p w14:paraId="1CBB04C0" w14:textId="77777777" w:rsidR="001727A8" w:rsidRPr="006C195E" w:rsidRDefault="001727A8" w:rsidP="00E75B41">
            <w:pPr>
              <w:rPr>
                <w:color w:val="000000"/>
                <w:sz w:val="22"/>
                <w:lang w:eastAsia="lv-LV"/>
              </w:rPr>
            </w:pPr>
            <w:r>
              <w:rPr>
                <w:color w:val="000000"/>
                <w:sz w:val="22"/>
                <w:lang w:eastAsia="lv-LV"/>
              </w:rPr>
              <w:t>2.</w:t>
            </w:r>
          </w:p>
        </w:tc>
        <w:tc>
          <w:tcPr>
            <w:tcW w:w="667" w:type="pct"/>
            <w:shd w:val="clear" w:color="auto" w:fill="auto"/>
            <w:noWrap/>
            <w:vAlign w:val="bottom"/>
          </w:tcPr>
          <w:p w14:paraId="4DB1FFBC" w14:textId="77777777" w:rsidR="001727A8" w:rsidRPr="00DF33A5" w:rsidRDefault="001727A8" w:rsidP="00A07A25">
            <w:pPr>
              <w:jc w:val="left"/>
              <w:rPr>
                <w:color w:val="000000"/>
                <w:sz w:val="22"/>
                <w:szCs w:val="22"/>
                <w:lang w:eastAsia="lv-LV"/>
              </w:rPr>
            </w:pPr>
            <w:proofErr w:type="spellStart"/>
            <w:r w:rsidRPr="00DF33A5">
              <w:rPr>
                <w:color w:val="000000"/>
                <w:sz w:val="22"/>
                <w:szCs w:val="22"/>
                <w:lang w:eastAsia="lv-LV"/>
              </w:rPr>
              <w:t>LiepU</w:t>
            </w:r>
            <w:proofErr w:type="spellEnd"/>
          </w:p>
        </w:tc>
        <w:tc>
          <w:tcPr>
            <w:tcW w:w="764" w:type="pct"/>
            <w:shd w:val="clear" w:color="auto" w:fill="auto"/>
            <w:noWrap/>
            <w:vAlign w:val="center"/>
          </w:tcPr>
          <w:p w14:paraId="40AC9BCD" w14:textId="77777777" w:rsidR="001727A8" w:rsidRPr="00DF33A5" w:rsidRDefault="001727A8" w:rsidP="00E75B41">
            <w:pPr>
              <w:jc w:val="center"/>
              <w:rPr>
                <w:color w:val="000000"/>
                <w:sz w:val="22"/>
                <w:szCs w:val="22"/>
                <w:lang w:eastAsia="lv-LV"/>
              </w:rPr>
            </w:pPr>
            <w:r w:rsidRPr="00DF33A5">
              <w:rPr>
                <w:color w:val="000000"/>
                <w:sz w:val="22"/>
                <w:szCs w:val="22"/>
                <w:lang w:eastAsia="lv-LV"/>
              </w:rPr>
              <w:t>7</w:t>
            </w:r>
          </w:p>
        </w:tc>
        <w:tc>
          <w:tcPr>
            <w:tcW w:w="835" w:type="pct"/>
            <w:shd w:val="clear" w:color="auto" w:fill="auto"/>
            <w:noWrap/>
            <w:vAlign w:val="center"/>
          </w:tcPr>
          <w:p w14:paraId="38E1CC68" w14:textId="77777777" w:rsidR="001727A8" w:rsidRPr="00DF33A5" w:rsidRDefault="001727A8" w:rsidP="00E75B41">
            <w:pPr>
              <w:jc w:val="center"/>
              <w:rPr>
                <w:color w:val="000000"/>
                <w:sz w:val="22"/>
                <w:szCs w:val="22"/>
                <w:lang w:eastAsia="lv-LV"/>
              </w:rPr>
            </w:pPr>
            <w:r w:rsidRPr="00DF33A5">
              <w:rPr>
                <w:color w:val="000000"/>
                <w:sz w:val="22"/>
                <w:szCs w:val="22"/>
                <w:lang w:eastAsia="lv-LV"/>
              </w:rPr>
              <w:t>1</w:t>
            </w:r>
          </w:p>
        </w:tc>
        <w:tc>
          <w:tcPr>
            <w:tcW w:w="556" w:type="pct"/>
            <w:vAlign w:val="center"/>
          </w:tcPr>
          <w:p w14:paraId="496B8FD1" w14:textId="77777777" w:rsidR="001727A8" w:rsidRPr="00DF33A5" w:rsidRDefault="001727A8" w:rsidP="00E75B41">
            <w:pPr>
              <w:jc w:val="center"/>
              <w:rPr>
                <w:color w:val="000000"/>
                <w:sz w:val="22"/>
                <w:szCs w:val="22"/>
                <w:lang w:eastAsia="lv-LV"/>
              </w:rPr>
            </w:pPr>
          </w:p>
        </w:tc>
        <w:tc>
          <w:tcPr>
            <w:tcW w:w="486" w:type="pct"/>
            <w:shd w:val="clear" w:color="auto" w:fill="auto"/>
            <w:noWrap/>
            <w:vAlign w:val="center"/>
          </w:tcPr>
          <w:p w14:paraId="3E791D31" w14:textId="77777777" w:rsidR="001727A8" w:rsidRPr="00DF33A5" w:rsidRDefault="001727A8" w:rsidP="00E75B41">
            <w:pPr>
              <w:jc w:val="center"/>
              <w:rPr>
                <w:color w:val="000000"/>
                <w:sz w:val="22"/>
                <w:szCs w:val="22"/>
                <w:lang w:eastAsia="lv-LV"/>
              </w:rPr>
            </w:pPr>
            <w:r w:rsidRPr="00DF33A5">
              <w:rPr>
                <w:color w:val="000000"/>
                <w:sz w:val="22"/>
                <w:szCs w:val="22"/>
                <w:lang w:eastAsia="lv-LV"/>
              </w:rPr>
              <w:t>6</w:t>
            </w:r>
          </w:p>
        </w:tc>
        <w:tc>
          <w:tcPr>
            <w:tcW w:w="556" w:type="pct"/>
            <w:shd w:val="clear" w:color="auto" w:fill="auto"/>
            <w:noWrap/>
            <w:vAlign w:val="center"/>
          </w:tcPr>
          <w:p w14:paraId="4761B997" w14:textId="77777777" w:rsidR="001727A8" w:rsidRPr="00DF33A5" w:rsidRDefault="001727A8" w:rsidP="00E75B41">
            <w:pPr>
              <w:jc w:val="center"/>
              <w:rPr>
                <w:color w:val="000000"/>
                <w:sz w:val="22"/>
                <w:szCs w:val="22"/>
                <w:lang w:eastAsia="lv-LV"/>
              </w:rPr>
            </w:pPr>
            <w:r w:rsidRPr="00DF33A5">
              <w:rPr>
                <w:color w:val="000000"/>
                <w:sz w:val="22"/>
                <w:szCs w:val="22"/>
                <w:lang w:eastAsia="lv-LV"/>
              </w:rPr>
              <w:t>1</w:t>
            </w:r>
          </w:p>
        </w:tc>
        <w:tc>
          <w:tcPr>
            <w:tcW w:w="419" w:type="pct"/>
            <w:shd w:val="clear" w:color="auto" w:fill="auto"/>
            <w:noWrap/>
            <w:vAlign w:val="center"/>
          </w:tcPr>
          <w:p w14:paraId="0B19B910" w14:textId="77777777" w:rsidR="001727A8" w:rsidRPr="00DF33A5" w:rsidRDefault="001727A8" w:rsidP="00E75B41">
            <w:pPr>
              <w:jc w:val="center"/>
              <w:rPr>
                <w:color w:val="000000"/>
                <w:sz w:val="22"/>
                <w:szCs w:val="22"/>
                <w:lang w:eastAsia="lv-LV"/>
              </w:rPr>
            </w:pPr>
            <w:r w:rsidRPr="00DF33A5">
              <w:rPr>
                <w:color w:val="000000"/>
                <w:sz w:val="22"/>
                <w:szCs w:val="22"/>
                <w:lang w:eastAsia="lv-LV"/>
              </w:rPr>
              <w:t>2</w:t>
            </w:r>
          </w:p>
        </w:tc>
        <w:tc>
          <w:tcPr>
            <w:tcW w:w="418" w:type="pct"/>
            <w:shd w:val="clear" w:color="auto" w:fill="auto"/>
            <w:noWrap/>
            <w:vAlign w:val="center"/>
          </w:tcPr>
          <w:p w14:paraId="74DD612B" w14:textId="77777777" w:rsidR="001727A8" w:rsidRPr="006C195E" w:rsidRDefault="001727A8" w:rsidP="00E75B41">
            <w:pPr>
              <w:jc w:val="center"/>
              <w:rPr>
                <w:b/>
                <w:color w:val="000000"/>
                <w:sz w:val="22"/>
                <w:szCs w:val="22"/>
                <w:lang w:eastAsia="lv-LV"/>
              </w:rPr>
            </w:pPr>
            <w:r w:rsidRPr="006C195E">
              <w:rPr>
                <w:b/>
                <w:color w:val="000000"/>
                <w:sz w:val="22"/>
                <w:szCs w:val="22"/>
                <w:lang w:eastAsia="lv-LV"/>
              </w:rPr>
              <w:t>17</w:t>
            </w:r>
          </w:p>
        </w:tc>
      </w:tr>
      <w:tr w:rsidR="00FA46C0" w:rsidRPr="006C195E" w14:paraId="31058CBF" w14:textId="77777777" w:rsidTr="00FA46C0">
        <w:trPr>
          <w:trHeight w:val="300"/>
        </w:trPr>
        <w:tc>
          <w:tcPr>
            <w:tcW w:w="300" w:type="pct"/>
          </w:tcPr>
          <w:p w14:paraId="62E9E392" w14:textId="77777777" w:rsidR="001727A8" w:rsidRPr="006C195E" w:rsidRDefault="001727A8" w:rsidP="00E75B41">
            <w:pPr>
              <w:rPr>
                <w:color w:val="000000"/>
                <w:sz w:val="22"/>
                <w:lang w:eastAsia="lv-LV"/>
              </w:rPr>
            </w:pPr>
            <w:r>
              <w:rPr>
                <w:color w:val="000000"/>
                <w:sz w:val="22"/>
                <w:lang w:eastAsia="lv-LV"/>
              </w:rPr>
              <w:lastRenderedPageBreak/>
              <w:t>3.</w:t>
            </w:r>
          </w:p>
        </w:tc>
        <w:tc>
          <w:tcPr>
            <w:tcW w:w="667" w:type="pct"/>
            <w:shd w:val="clear" w:color="auto" w:fill="auto"/>
            <w:noWrap/>
            <w:vAlign w:val="bottom"/>
          </w:tcPr>
          <w:p w14:paraId="41CC45F6" w14:textId="77777777" w:rsidR="001727A8" w:rsidRPr="00DF33A5" w:rsidRDefault="001727A8" w:rsidP="00A07A25">
            <w:pPr>
              <w:rPr>
                <w:color w:val="000000"/>
                <w:sz w:val="22"/>
                <w:lang w:eastAsia="lv-LV"/>
              </w:rPr>
            </w:pPr>
            <w:r>
              <w:rPr>
                <w:color w:val="000000"/>
                <w:sz w:val="22"/>
                <w:lang w:eastAsia="lv-LV"/>
              </w:rPr>
              <w:t>RTU Ventspils filiāle</w:t>
            </w:r>
          </w:p>
        </w:tc>
        <w:tc>
          <w:tcPr>
            <w:tcW w:w="764" w:type="pct"/>
            <w:shd w:val="clear" w:color="auto" w:fill="auto"/>
            <w:noWrap/>
            <w:vAlign w:val="center"/>
          </w:tcPr>
          <w:p w14:paraId="54A4B3C0" w14:textId="77777777" w:rsidR="001727A8" w:rsidRPr="00DF33A5" w:rsidRDefault="001727A8" w:rsidP="00E75B41">
            <w:pPr>
              <w:jc w:val="center"/>
              <w:rPr>
                <w:color w:val="000000"/>
                <w:sz w:val="22"/>
                <w:lang w:eastAsia="lv-LV"/>
              </w:rPr>
            </w:pPr>
            <w:r>
              <w:rPr>
                <w:color w:val="000000"/>
                <w:sz w:val="22"/>
                <w:lang w:eastAsia="lv-LV"/>
              </w:rPr>
              <w:t>2</w:t>
            </w:r>
          </w:p>
        </w:tc>
        <w:tc>
          <w:tcPr>
            <w:tcW w:w="835" w:type="pct"/>
            <w:shd w:val="clear" w:color="auto" w:fill="auto"/>
            <w:noWrap/>
            <w:vAlign w:val="center"/>
          </w:tcPr>
          <w:p w14:paraId="4D90AE3B" w14:textId="77777777" w:rsidR="001727A8" w:rsidRPr="00DF33A5" w:rsidRDefault="001727A8" w:rsidP="00E75B41">
            <w:pPr>
              <w:jc w:val="center"/>
              <w:rPr>
                <w:color w:val="000000"/>
                <w:sz w:val="22"/>
                <w:lang w:eastAsia="lv-LV"/>
              </w:rPr>
            </w:pPr>
            <w:r>
              <w:rPr>
                <w:color w:val="000000"/>
                <w:sz w:val="22"/>
                <w:lang w:eastAsia="lv-LV"/>
              </w:rPr>
              <w:t>6</w:t>
            </w:r>
          </w:p>
        </w:tc>
        <w:tc>
          <w:tcPr>
            <w:tcW w:w="556" w:type="pct"/>
            <w:vAlign w:val="center"/>
          </w:tcPr>
          <w:p w14:paraId="4278F356" w14:textId="77777777" w:rsidR="001727A8" w:rsidRPr="00DF33A5" w:rsidRDefault="001727A8" w:rsidP="00E75B41">
            <w:pPr>
              <w:jc w:val="center"/>
              <w:rPr>
                <w:color w:val="000000"/>
                <w:sz w:val="22"/>
                <w:lang w:eastAsia="lv-LV"/>
              </w:rPr>
            </w:pPr>
            <w:r>
              <w:rPr>
                <w:color w:val="000000"/>
                <w:sz w:val="22"/>
                <w:lang w:eastAsia="lv-LV"/>
              </w:rPr>
              <w:t>0</w:t>
            </w:r>
          </w:p>
        </w:tc>
        <w:tc>
          <w:tcPr>
            <w:tcW w:w="486" w:type="pct"/>
            <w:shd w:val="clear" w:color="auto" w:fill="auto"/>
            <w:noWrap/>
            <w:vAlign w:val="center"/>
          </w:tcPr>
          <w:p w14:paraId="351C0548" w14:textId="77777777" w:rsidR="001727A8" w:rsidRPr="00DF33A5" w:rsidRDefault="001727A8" w:rsidP="00E75B41">
            <w:pPr>
              <w:jc w:val="center"/>
              <w:rPr>
                <w:color w:val="000000"/>
                <w:sz w:val="22"/>
                <w:lang w:eastAsia="lv-LV"/>
              </w:rPr>
            </w:pPr>
            <w:r>
              <w:rPr>
                <w:color w:val="000000"/>
                <w:sz w:val="22"/>
                <w:lang w:eastAsia="lv-LV"/>
              </w:rPr>
              <w:t>0</w:t>
            </w:r>
          </w:p>
        </w:tc>
        <w:tc>
          <w:tcPr>
            <w:tcW w:w="556" w:type="pct"/>
            <w:shd w:val="clear" w:color="auto" w:fill="auto"/>
            <w:noWrap/>
            <w:vAlign w:val="center"/>
          </w:tcPr>
          <w:p w14:paraId="0F03693C" w14:textId="77777777" w:rsidR="001727A8" w:rsidRPr="00DF33A5" w:rsidRDefault="001727A8" w:rsidP="00E75B41">
            <w:pPr>
              <w:jc w:val="center"/>
              <w:rPr>
                <w:color w:val="000000"/>
                <w:sz w:val="22"/>
                <w:lang w:eastAsia="lv-LV"/>
              </w:rPr>
            </w:pPr>
            <w:r>
              <w:rPr>
                <w:color w:val="000000"/>
                <w:sz w:val="22"/>
                <w:lang w:eastAsia="lv-LV"/>
              </w:rPr>
              <w:t>0</w:t>
            </w:r>
          </w:p>
        </w:tc>
        <w:tc>
          <w:tcPr>
            <w:tcW w:w="419" w:type="pct"/>
            <w:shd w:val="clear" w:color="auto" w:fill="auto"/>
            <w:noWrap/>
            <w:vAlign w:val="center"/>
          </w:tcPr>
          <w:p w14:paraId="10E8E09E" w14:textId="77777777" w:rsidR="001727A8" w:rsidRPr="00DF33A5" w:rsidRDefault="001727A8" w:rsidP="00E75B41">
            <w:pPr>
              <w:jc w:val="center"/>
              <w:rPr>
                <w:color w:val="000000"/>
                <w:sz w:val="22"/>
                <w:lang w:eastAsia="lv-LV"/>
              </w:rPr>
            </w:pPr>
            <w:r>
              <w:rPr>
                <w:color w:val="000000"/>
                <w:sz w:val="22"/>
                <w:lang w:eastAsia="lv-LV"/>
              </w:rPr>
              <w:t>1</w:t>
            </w:r>
          </w:p>
        </w:tc>
        <w:tc>
          <w:tcPr>
            <w:tcW w:w="418" w:type="pct"/>
            <w:shd w:val="clear" w:color="auto" w:fill="auto"/>
            <w:noWrap/>
            <w:vAlign w:val="center"/>
          </w:tcPr>
          <w:p w14:paraId="50FDBB41" w14:textId="77777777" w:rsidR="001727A8" w:rsidRPr="006C195E" w:rsidRDefault="001727A8" w:rsidP="00E75B41">
            <w:pPr>
              <w:jc w:val="center"/>
              <w:rPr>
                <w:b/>
                <w:color w:val="000000"/>
                <w:sz w:val="22"/>
                <w:lang w:eastAsia="lv-LV"/>
              </w:rPr>
            </w:pPr>
            <w:r>
              <w:rPr>
                <w:b/>
                <w:color w:val="000000"/>
                <w:sz w:val="22"/>
                <w:lang w:eastAsia="lv-LV"/>
              </w:rPr>
              <w:t>9</w:t>
            </w:r>
          </w:p>
        </w:tc>
      </w:tr>
      <w:tr w:rsidR="00FA46C0" w:rsidRPr="006C195E" w14:paraId="234ABB14" w14:textId="77777777" w:rsidTr="00FA46C0">
        <w:trPr>
          <w:trHeight w:val="300"/>
        </w:trPr>
        <w:tc>
          <w:tcPr>
            <w:tcW w:w="300" w:type="pct"/>
          </w:tcPr>
          <w:p w14:paraId="3CF556F3" w14:textId="77777777" w:rsidR="001727A8" w:rsidRPr="006C195E" w:rsidRDefault="001727A8" w:rsidP="00E75B41">
            <w:pPr>
              <w:rPr>
                <w:color w:val="000000"/>
                <w:sz w:val="22"/>
                <w:lang w:eastAsia="lv-LV"/>
              </w:rPr>
            </w:pPr>
            <w:r>
              <w:rPr>
                <w:color w:val="000000"/>
                <w:sz w:val="22"/>
                <w:lang w:eastAsia="lv-LV"/>
              </w:rPr>
              <w:t>4.</w:t>
            </w:r>
          </w:p>
        </w:tc>
        <w:tc>
          <w:tcPr>
            <w:tcW w:w="667" w:type="pct"/>
            <w:shd w:val="clear" w:color="auto" w:fill="auto"/>
            <w:noWrap/>
            <w:vAlign w:val="bottom"/>
          </w:tcPr>
          <w:p w14:paraId="2B1580C5" w14:textId="77777777" w:rsidR="001727A8" w:rsidRPr="00DF33A5" w:rsidRDefault="001727A8" w:rsidP="00A07A25">
            <w:pPr>
              <w:rPr>
                <w:color w:val="000000"/>
                <w:sz w:val="22"/>
                <w:lang w:eastAsia="lv-LV"/>
              </w:rPr>
            </w:pPr>
            <w:r>
              <w:rPr>
                <w:color w:val="000000"/>
                <w:sz w:val="22"/>
                <w:lang w:eastAsia="lv-LV"/>
              </w:rPr>
              <w:t>RTU Liepājas filiāle</w:t>
            </w:r>
          </w:p>
        </w:tc>
        <w:tc>
          <w:tcPr>
            <w:tcW w:w="764" w:type="pct"/>
            <w:shd w:val="clear" w:color="auto" w:fill="auto"/>
            <w:noWrap/>
            <w:vAlign w:val="center"/>
          </w:tcPr>
          <w:p w14:paraId="72F9CCE5" w14:textId="77777777" w:rsidR="001727A8" w:rsidRPr="00DF33A5" w:rsidRDefault="001727A8" w:rsidP="00E75B41">
            <w:pPr>
              <w:jc w:val="center"/>
              <w:rPr>
                <w:color w:val="000000"/>
                <w:sz w:val="22"/>
                <w:lang w:eastAsia="lv-LV"/>
              </w:rPr>
            </w:pPr>
            <w:r>
              <w:rPr>
                <w:color w:val="000000"/>
                <w:sz w:val="22"/>
                <w:lang w:eastAsia="lv-LV"/>
              </w:rPr>
              <w:t>1</w:t>
            </w:r>
          </w:p>
        </w:tc>
        <w:tc>
          <w:tcPr>
            <w:tcW w:w="835" w:type="pct"/>
            <w:shd w:val="clear" w:color="auto" w:fill="auto"/>
            <w:noWrap/>
            <w:vAlign w:val="center"/>
          </w:tcPr>
          <w:p w14:paraId="74366A65" w14:textId="77777777" w:rsidR="001727A8" w:rsidRPr="00DF33A5" w:rsidRDefault="001727A8" w:rsidP="00E75B41">
            <w:pPr>
              <w:jc w:val="center"/>
              <w:rPr>
                <w:color w:val="000000"/>
                <w:sz w:val="22"/>
                <w:lang w:eastAsia="lv-LV"/>
              </w:rPr>
            </w:pPr>
            <w:r>
              <w:rPr>
                <w:color w:val="000000"/>
                <w:sz w:val="22"/>
                <w:lang w:eastAsia="lv-LV"/>
              </w:rPr>
              <w:t>11</w:t>
            </w:r>
          </w:p>
        </w:tc>
        <w:tc>
          <w:tcPr>
            <w:tcW w:w="556" w:type="pct"/>
            <w:vAlign w:val="center"/>
          </w:tcPr>
          <w:p w14:paraId="669C929C" w14:textId="77777777" w:rsidR="001727A8" w:rsidRPr="00DF33A5" w:rsidRDefault="001727A8" w:rsidP="00E75B41">
            <w:pPr>
              <w:jc w:val="center"/>
              <w:rPr>
                <w:color w:val="000000"/>
                <w:sz w:val="22"/>
                <w:lang w:eastAsia="lv-LV"/>
              </w:rPr>
            </w:pPr>
            <w:r>
              <w:rPr>
                <w:color w:val="000000"/>
                <w:sz w:val="22"/>
                <w:lang w:eastAsia="lv-LV"/>
              </w:rPr>
              <w:t>0</w:t>
            </w:r>
          </w:p>
        </w:tc>
        <w:tc>
          <w:tcPr>
            <w:tcW w:w="486" w:type="pct"/>
            <w:shd w:val="clear" w:color="auto" w:fill="auto"/>
            <w:noWrap/>
            <w:vAlign w:val="center"/>
          </w:tcPr>
          <w:p w14:paraId="1FB1567F" w14:textId="77777777" w:rsidR="001727A8" w:rsidRPr="00DF33A5" w:rsidRDefault="001727A8" w:rsidP="00E75B41">
            <w:pPr>
              <w:jc w:val="center"/>
              <w:rPr>
                <w:color w:val="000000"/>
                <w:sz w:val="22"/>
                <w:lang w:eastAsia="lv-LV"/>
              </w:rPr>
            </w:pPr>
            <w:r>
              <w:rPr>
                <w:color w:val="000000"/>
                <w:sz w:val="22"/>
                <w:lang w:eastAsia="lv-LV"/>
              </w:rPr>
              <w:t>0</w:t>
            </w:r>
          </w:p>
        </w:tc>
        <w:tc>
          <w:tcPr>
            <w:tcW w:w="556" w:type="pct"/>
            <w:shd w:val="clear" w:color="auto" w:fill="auto"/>
            <w:noWrap/>
            <w:vAlign w:val="center"/>
          </w:tcPr>
          <w:p w14:paraId="71500839" w14:textId="77777777" w:rsidR="001727A8" w:rsidRPr="00DF33A5" w:rsidRDefault="001727A8" w:rsidP="00E75B41">
            <w:pPr>
              <w:jc w:val="center"/>
              <w:rPr>
                <w:color w:val="000000"/>
                <w:sz w:val="22"/>
                <w:lang w:eastAsia="lv-LV"/>
              </w:rPr>
            </w:pPr>
            <w:r>
              <w:rPr>
                <w:color w:val="000000"/>
                <w:sz w:val="22"/>
                <w:lang w:eastAsia="lv-LV"/>
              </w:rPr>
              <w:t>0</w:t>
            </w:r>
          </w:p>
        </w:tc>
        <w:tc>
          <w:tcPr>
            <w:tcW w:w="419" w:type="pct"/>
            <w:shd w:val="clear" w:color="auto" w:fill="auto"/>
            <w:noWrap/>
            <w:vAlign w:val="center"/>
          </w:tcPr>
          <w:p w14:paraId="2658547E" w14:textId="77777777" w:rsidR="001727A8" w:rsidRPr="00DF33A5" w:rsidRDefault="001727A8" w:rsidP="00E75B41">
            <w:pPr>
              <w:jc w:val="center"/>
              <w:rPr>
                <w:color w:val="000000"/>
                <w:sz w:val="22"/>
                <w:lang w:eastAsia="lv-LV"/>
              </w:rPr>
            </w:pPr>
            <w:r>
              <w:rPr>
                <w:color w:val="000000"/>
                <w:sz w:val="22"/>
                <w:lang w:eastAsia="lv-LV"/>
              </w:rPr>
              <w:t>0</w:t>
            </w:r>
          </w:p>
        </w:tc>
        <w:tc>
          <w:tcPr>
            <w:tcW w:w="418" w:type="pct"/>
            <w:shd w:val="clear" w:color="auto" w:fill="auto"/>
            <w:noWrap/>
            <w:vAlign w:val="center"/>
          </w:tcPr>
          <w:p w14:paraId="25AE1AE6" w14:textId="77777777" w:rsidR="001727A8" w:rsidRPr="006C195E" w:rsidRDefault="001727A8" w:rsidP="00E75B41">
            <w:pPr>
              <w:jc w:val="center"/>
              <w:rPr>
                <w:b/>
                <w:color w:val="000000"/>
                <w:sz w:val="22"/>
                <w:lang w:eastAsia="lv-LV"/>
              </w:rPr>
            </w:pPr>
            <w:r>
              <w:rPr>
                <w:b/>
                <w:color w:val="000000"/>
                <w:sz w:val="22"/>
                <w:lang w:eastAsia="lv-LV"/>
              </w:rPr>
              <w:t>12</w:t>
            </w:r>
          </w:p>
        </w:tc>
      </w:tr>
      <w:tr w:rsidR="00FA46C0" w:rsidRPr="006C195E" w14:paraId="28908B7B" w14:textId="77777777" w:rsidTr="00FA46C0">
        <w:trPr>
          <w:trHeight w:val="300"/>
        </w:trPr>
        <w:tc>
          <w:tcPr>
            <w:tcW w:w="300" w:type="pct"/>
          </w:tcPr>
          <w:p w14:paraId="04F7B9B9" w14:textId="77777777" w:rsidR="001727A8" w:rsidRPr="006C195E" w:rsidRDefault="001727A8" w:rsidP="00E75B41">
            <w:pPr>
              <w:rPr>
                <w:color w:val="000000"/>
                <w:sz w:val="22"/>
                <w:lang w:eastAsia="lv-LV"/>
              </w:rPr>
            </w:pPr>
            <w:r>
              <w:rPr>
                <w:color w:val="000000"/>
                <w:sz w:val="22"/>
                <w:lang w:eastAsia="lv-LV"/>
              </w:rPr>
              <w:t>5.</w:t>
            </w:r>
          </w:p>
        </w:tc>
        <w:tc>
          <w:tcPr>
            <w:tcW w:w="667" w:type="pct"/>
            <w:shd w:val="clear" w:color="auto" w:fill="auto"/>
            <w:noWrap/>
            <w:vAlign w:val="bottom"/>
          </w:tcPr>
          <w:p w14:paraId="2E9C9E50" w14:textId="77777777" w:rsidR="001727A8" w:rsidRDefault="001727A8" w:rsidP="00A07A25">
            <w:pPr>
              <w:rPr>
                <w:color w:val="000000"/>
                <w:sz w:val="22"/>
                <w:lang w:eastAsia="lv-LV"/>
              </w:rPr>
            </w:pPr>
            <w:r>
              <w:rPr>
                <w:color w:val="000000"/>
                <w:sz w:val="22"/>
                <w:lang w:eastAsia="lv-LV"/>
              </w:rPr>
              <w:t>RSU Liepājas filiāle</w:t>
            </w:r>
          </w:p>
        </w:tc>
        <w:tc>
          <w:tcPr>
            <w:tcW w:w="764" w:type="pct"/>
            <w:shd w:val="clear" w:color="auto" w:fill="auto"/>
            <w:noWrap/>
            <w:vAlign w:val="center"/>
          </w:tcPr>
          <w:p w14:paraId="49722E11" w14:textId="77777777" w:rsidR="001727A8" w:rsidRPr="00DF33A5" w:rsidRDefault="001727A8" w:rsidP="00E75B41">
            <w:pPr>
              <w:jc w:val="center"/>
              <w:rPr>
                <w:color w:val="000000"/>
                <w:sz w:val="22"/>
                <w:lang w:eastAsia="lv-LV"/>
              </w:rPr>
            </w:pPr>
            <w:r>
              <w:rPr>
                <w:color w:val="000000"/>
                <w:sz w:val="22"/>
                <w:lang w:eastAsia="lv-LV"/>
              </w:rPr>
              <w:t>0</w:t>
            </w:r>
          </w:p>
        </w:tc>
        <w:tc>
          <w:tcPr>
            <w:tcW w:w="835" w:type="pct"/>
            <w:shd w:val="clear" w:color="auto" w:fill="auto"/>
            <w:noWrap/>
            <w:vAlign w:val="center"/>
          </w:tcPr>
          <w:p w14:paraId="3C5E1532" w14:textId="77777777" w:rsidR="001727A8" w:rsidRPr="00DF33A5" w:rsidRDefault="001727A8" w:rsidP="00E75B41">
            <w:pPr>
              <w:jc w:val="center"/>
              <w:rPr>
                <w:color w:val="000000"/>
                <w:sz w:val="22"/>
                <w:lang w:eastAsia="lv-LV"/>
              </w:rPr>
            </w:pPr>
            <w:r>
              <w:rPr>
                <w:color w:val="000000"/>
                <w:sz w:val="22"/>
                <w:lang w:eastAsia="lv-LV"/>
              </w:rPr>
              <w:t>0</w:t>
            </w:r>
          </w:p>
        </w:tc>
        <w:tc>
          <w:tcPr>
            <w:tcW w:w="556" w:type="pct"/>
            <w:vAlign w:val="center"/>
          </w:tcPr>
          <w:p w14:paraId="006002E6" w14:textId="77777777" w:rsidR="001727A8" w:rsidRPr="00DF33A5" w:rsidRDefault="001727A8" w:rsidP="00E75B41">
            <w:pPr>
              <w:jc w:val="center"/>
              <w:rPr>
                <w:color w:val="000000"/>
                <w:sz w:val="22"/>
                <w:lang w:eastAsia="lv-LV"/>
              </w:rPr>
            </w:pPr>
            <w:r>
              <w:rPr>
                <w:color w:val="000000"/>
                <w:sz w:val="22"/>
                <w:lang w:eastAsia="lv-LV"/>
              </w:rPr>
              <w:t>0</w:t>
            </w:r>
          </w:p>
        </w:tc>
        <w:tc>
          <w:tcPr>
            <w:tcW w:w="486" w:type="pct"/>
            <w:shd w:val="clear" w:color="auto" w:fill="auto"/>
            <w:noWrap/>
            <w:vAlign w:val="center"/>
          </w:tcPr>
          <w:p w14:paraId="7E5BDBF6" w14:textId="77777777" w:rsidR="001727A8" w:rsidRPr="00DF33A5" w:rsidRDefault="001727A8" w:rsidP="00E75B41">
            <w:pPr>
              <w:jc w:val="center"/>
              <w:rPr>
                <w:color w:val="000000"/>
                <w:sz w:val="22"/>
                <w:lang w:eastAsia="lv-LV"/>
              </w:rPr>
            </w:pPr>
            <w:r>
              <w:rPr>
                <w:color w:val="000000"/>
                <w:sz w:val="22"/>
                <w:lang w:eastAsia="lv-LV"/>
              </w:rPr>
              <w:t>0</w:t>
            </w:r>
          </w:p>
        </w:tc>
        <w:tc>
          <w:tcPr>
            <w:tcW w:w="556" w:type="pct"/>
            <w:shd w:val="clear" w:color="auto" w:fill="auto"/>
            <w:noWrap/>
            <w:vAlign w:val="center"/>
          </w:tcPr>
          <w:p w14:paraId="2512653B" w14:textId="77777777" w:rsidR="001727A8" w:rsidRPr="00DF33A5" w:rsidRDefault="001727A8" w:rsidP="00E75B41">
            <w:pPr>
              <w:jc w:val="center"/>
              <w:rPr>
                <w:color w:val="000000"/>
                <w:sz w:val="22"/>
                <w:lang w:eastAsia="lv-LV"/>
              </w:rPr>
            </w:pPr>
            <w:r>
              <w:rPr>
                <w:color w:val="000000"/>
                <w:sz w:val="22"/>
                <w:lang w:eastAsia="lv-LV"/>
              </w:rPr>
              <w:t>5</w:t>
            </w:r>
          </w:p>
        </w:tc>
        <w:tc>
          <w:tcPr>
            <w:tcW w:w="419" w:type="pct"/>
            <w:shd w:val="clear" w:color="auto" w:fill="auto"/>
            <w:noWrap/>
            <w:vAlign w:val="center"/>
          </w:tcPr>
          <w:p w14:paraId="4DC249D8" w14:textId="77777777" w:rsidR="001727A8" w:rsidRPr="00DF33A5" w:rsidRDefault="001727A8" w:rsidP="00E75B41">
            <w:pPr>
              <w:jc w:val="center"/>
              <w:rPr>
                <w:color w:val="000000"/>
                <w:sz w:val="22"/>
                <w:lang w:eastAsia="lv-LV"/>
              </w:rPr>
            </w:pPr>
            <w:r>
              <w:rPr>
                <w:color w:val="000000"/>
                <w:sz w:val="22"/>
                <w:lang w:eastAsia="lv-LV"/>
              </w:rPr>
              <w:t>0</w:t>
            </w:r>
          </w:p>
        </w:tc>
        <w:tc>
          <w:tcPr>
            <w:tcW w:w="418" w:type="pct"/>
            <w:shd w:val="clear" w:color="auto" w:fill="auto"/>
            <w:noWrap/>
            <w:vAlign w:val="center"/>
          </w:tcPr>
          <w:p w14:paraId="3197D343" w14:textId="77777777" w:rsidR="001727A8" w:rsidRPr="006C195E" w:rsidRDefault="001727A8" w:rsidP="00E75B41">
            <w:pPr>
              <w:jc w:val="center"/>
              <w:rPr>
                <w:b/>
                <w:color w:val="000000"/>
                <w:sz w:val="22"/>
                <w:lang w:eastAsia="lv-LV"/>
              </w:rPr>
            </w:pPr>
            <w:r>
              <w:rPr>
                <w:b/>
                <w:color w:val="000000"/>
                <w:sz w:val="22"/>
                <w:lang w:eastAsia="lv-LV"/>
              </w:rPr>
              <w:t>5</w:t>
            </w:r>
          </w:p>
        </w:tc>
      </w:tr>
      <w:tr w:rsidR="00FA46C0" w:rsidRPr="006C195E" w14:paraId="5D6F570F" w14:textId="77777777" w:rsidTr="00FA46C0">
        <w:trPr>
          <w:trHeight w:val="300"/>
        </w:trPr>
        <w:tc>
          <w:tcPr>
            <w:tcW w:w="967" w:type="pct"/>
            <w:gridSpan w:val="2"/>
            <w:shd w:val="clear" w:color="auto" w:fill="D9D9D9" w:themeFill="background1" w:themeFillShade="D9"/>
          </w:tcPr>
          <w:p w14:paraId="4C43B4DD" w14:textId="77777777" w:rsidR="001727A8" w:rsidRPr="001306F5" w:rsidRDefault="001727A8" w:rsidP="00A07A25">
            <w:pPr>
              <w:rPr>
                <w:b/>
                <w:color w:val="000000"/>
                <w:sz w:val="22"/>
                <w:lang w:eastAsia="lv-LV"/>
              </w:rPr>
            </w:pPr>
            <w:r w:rsidRPr="001306F5">
              <w:rPr>
                <w:b/>
                <w:color w:val="000000"/>
                <w:sz w:val="22"/>
                <w:lang w:eastAsia="lv-LV"/>
              </w:rPr>
              <w:t>Kurzemes reģionā kopā</w:t>
            </w:r>
          </w:p>
        </w:tc>
        <w:tc>
          <w:tcPr>
            <w:tcW w:w="764" w:type="pct"/>
            <w:shd w:val="clear" w:color="auto" w:fill="D9D9D9" w:themeFill="background1" w:themeFillShade="D9"/>
            <w:noWrap/>
            <w:vAlign w:val="center"/>
          </w:tcPr>
          <w:p w14:paraId="5C7E718D" w14:textId="77777777" w:rsidR="001727A8" w:rsidRPr="00DF33A5" w:rsidRDefault="001727A8" w:rsidP="00E75B41">
            <w:pPr>
              <w:jc w:val="center"/>
              <w:rPr>
                <w:color w:val="000000"/>
                <w:sz w:val="22"/>
                <w:lang w:eastAsia="lv-LV"/>
              </w:rPr>
            </w:pPr>
            <w:r>
              <w:rPr>
                <w:color w:val="000000"/>
                <w:sz w:val="22"/>
                <w:lang w:eastAsia="lv-LV"/>
              </w:rPr>
              <w:t>12</w:t>
            </w:r>
          </w:p>
        </w:tc>
        <w:tc>
          <w:tcPr>
            <w:tcW w:w="835" w:type="pct"/>
            <w:shd w:val="clear" w:color="auto" w:fill="D9D9D9" w:themeFill="background1" w:themeFillShade="D9"/>
            <w:noWrap/>
            <w:vAlign w:val="center"/>
          </w:tcPr>
          <w:p w14:paraId="79D7244E" w14:textId="77777777" w:rsidR="001727A8" w:rsidRPr="00DF33A5" w:rsidRDefault="001727A8" w:rsidP="00E75B41">
            <w:pPr>
              <w:jc w:val="center"/>
              <w:rPr>
                <w:color w:val="000000"/>
                <w:sz w:val="22"/>
                <w:lang w:eastAsia="lv-LV"/>
              </w:rPr>
            </w:pPr>
            <w:r>
              <w:rPr>
                <w:color w:val="000000"/>
                <w:sz w:val="22"/>
                <w:lang w:eastAsia="lv-LV"/>
              </w:rPr>
              <w:t>20</w:t>
            </w:r>
          </w:p>
        </w:tc>
        <w:tc>
          <w:tcPr>
            <w:tcW w:w="556" w:type="pct"/>
            <w:shd w:val="clear" w:color="auto" w:fill="D9D9D9" w:themeFill="background1" w:themeFillShade="D9"/>
            <w:vAlign w:val="center"/>
          </w:tcPr>
          <w:p w14:paraId="4D98CEBA" w14:textId="77777777" w:rsidR="001727A8" w:rsidRPr="00DF33A5" w:rsidRDefault="001727A8" w:rsidP="00E75B41">
            <w:pPr>
              <w:jc w:val="center"/>
              <w:rPr>
                <w:color w:val="000000"/>
                <w:sz w:val="22"/>
                <w:lang w:eastAsia="lv-LV"/>
              </w:rPr>
            </w:pPr>
            <w:r>
              <w:rPr>
                <w:color w:val="000000"/>
                <w:sz w:val="22"/>
                <w:lang w:eastAsia="lv-LV"/>
              </w:rPr>
              <w:t>0</w:t>
            </w:r>
          </w:p>
        </w:tc>
        <w:tc>
          <w:tcPr>
            <w:tcW w:w="486" w:type="pct"/>
            <w:shd w:val="clear" w:color="auto" w:fill="D9D9D9" w:themeFill="background1" w:themeFillShade="D9"/>
            <w:noWrap/>
            <w:vAlign w:val="center"/>
          </w:tcPr>
          <w:p w14:paraId="7A3FA24A" w14:textId="77777777" w:rsidR="001727A8" w:rsidRPr="00DF33A5" w:rsidRDefault="001727A8" w:rsidP="00E75B41">
            <w:pPr>
              <w:jc w:val="center"/>
              <w:rPr>
                <w:color w:val="000000"/>
                <w:sz w:val="22"/>
                <w:lang w:eastAsia="lv-LV"/>
              </w:rPr>
            </w:pPr>
            <w:r>
              <w:rPr>
                <w:color w:val="000000"/>
                <w:sz w:val="22"/>
                <w:lang w:eastAsia="lv-LV"/>
              </w:rPr>
              <w:t>6</w:t>
            </w:r>
          </w:p>
        </w:tc>
        <w:tc>
          <w:tcPr>
            <w:tcW w:w="556" w:type="pct"/>
            <w:shd w:val="clear" w:color="auto" w:fill="D9D9D9" w:themeFill="background1" w:themeFillShade="D9"/>
            <w:noWrap/>
            <w:vAlign w:val="center"/>
          </w:tcPr>
          <w:p w14:paraId="7641E039" w14:textId="77777777" w:rsidR="001727A8" w:rsidRPr="00DF33A5" w:rsidRDefault="001727A8" w:rsidP="00E75B41">
            <w:pPr>
              <w:jc w:val="center"/>
              <w:rPr>
                <w:color w:val="000000"/>
                <w:sz w:val="22"/>
                <w:lang w:eastAsia="lv-LV"/>
              </w:rPr>
            </w:pPr>
            <w:r>
              <w:rPr>
                <w:color w:val="000000"/>
                <w:sz w:val="22"/>
                <w:lang w:eastAsia="lv-LV"/>
              </w:rPr>
              <w:t>6</w:t>
            </w:r>
          </w:p>
        </w:tc>
        <w:tc>
          <w:tcPr>
            <w:tcW w:w="419" w:type="pct"/>
            <w:shd w:val="clear" w:color="auto" w:fill="D9D9D9" w:themeFill="background1" w:themeFillShade="D9"/>
            <w:noWrap/>
            <w:vAlign w:val="center"/>
          </w:tcPr>
          <w:p w14:paraId="5843E7E9" w14:textId="77777777" w:rsidR="001727A8" w:rsidRPr="00DF33A5" w:rsidRDefault="001727A8" w:rsidP="00E75B41">
            <w:pPr>
              <w:jc w:val="center"/>
              <w:rPr>
                <w:color w:val="000000"/>
                <w:sz w:val="22"/>
                <w:lang w:eastAsia="lv-LV"/>
              </w:rPr>
            </w:pPr>
            <w:r>
              <w:rPr>
                <w:color w:val="000000"/>
                <w:sz w:val="22"/>
                <w:lang w:eastAsia="lv-LV"/>
              </w:rPr>
              <w:t>3</w:t>
            </w:r>
          </w:p>
        </w:tc>
        <w:tc>
          <w:tcPr>
            <w:tcW w:w="418" w:type="pct"/>
            <w:shd w:val="clear" w:color="auto" w:fill="D9D9D9" w:themeFill="background1" w:themeFillShade="D9"/>
            <w:noWrap/>
            <w:vAlign w:val="center"/>
          </w:tcPr>
          <w:p w14:paraId="4024C391" w14:textId="77777777" w:rsidR="001727A8" w:rsidRPr="006C195E" w:rsidRDefault="001727A8" w:rsidP="00E75B41">
            <w:pPr>
              <w:jc w:val="center"/>
              <w:rPr>
                <w:b/>
                <w:color w:val="000000"/>
                <w:sz w:val="22"/>
                <w:lang w:eastAsia="lv-LV"/>
              </w:rPr>
            </w:pPr>
            <w:r>
              <w:rPr>
                <w:b/>
                <w:color w:val="000000"/>
                <w:sz w:val="22"/>
                <w:lang w:eastAsia="lv-LV"/>
              </w:rPr>
              <w:t>47</w:t>
            </w:r>
          </w:p>
        </w:tc>
      </w:tr>
    </w:tbl>
    <w:p w14:paraId="136BBBEF" w14:textId="77777777" w:rsidR="009C70EB" w:rsidRDefault="009C70EB" w:rsidP="005B701C">
      <w:pPr>
        <w:pStyle w:val="ListParagraph"/>
        <w:ind w:left="1080"/>
        <w:jc w:val="right"/>
      </w:pPr>
    </w:p>
    <w:p w14:paraId="27157F5E" w14:textId="77777777" w:rsidR="005D01F7" w:rsidRPr="0061169A" w:rsidRDefault="00C40F89" w:rsidP="000038D0">
      <w:pPr>
        <w:ind w:firstLine="567"/>
        <w:rPr>
          <w:i/>
          <w:szCs w:val="24"/>
        </w:rPr>
      </w:pPr>
      <w:r w:rsidRPr="0061169A">
        <w:rPr>
          <w:noProof/>
          <w:szCs w:val="24"/>
          <w:lang w:eastAsia="lv-LV"/>
        </w:rPr>
        <w:t xml:space="preserve">Kā redzams </w:t>
      </w:r>
      <w:r w:rsidR="007600AB" w:rsidRPr="0061169A">
        <w:rPr>
          <w:noProof/>
          <w:szCs w:val="24"/>
          <w:lang w:eastAsia="lv-LV"/>
        </w:rPr>
        <w:t>1.</w:t>
      </w:r>
      <w:r w:rsidR="002739DC">
        <w:rPr>
          <w:noProof/>
          <w:szCs w:val="24"/>
          <w:lang w:eastAsia="lv-LV"/>
        </w:rPr>
        <w:t>4</w:t>
      </w:r>
      <w:r w:rsidR="007600AB" w:rsidRPr="0061169A">
        <w:rPr>
          <w:noProof/>
          <w:szCs w:val="24"/>
          <w:lang w:eastAsia="lv-LV"/>
        </w:rPr>
        <w:t>.</w:t>
      </w:r>
      <w:r w:rsidRPr="0061169A">
        <w:rPr>
          <w:noProof/>
          <w:szCs w:val="24"/>
          <w:lang w:eastAsia="lv-LV"/>
        </w:rPr>
        <w:t xml:space="preserve"> tabulā, </w:t>
      </w:r>
      <w:r w:rsidRPr="0061169A">
        <w:rPr>
          <w:b/>
          <w:noProof/>
          <w:szCs w:val="24"/>
          <w:lang w:eastAsia="lv-LV"/>
        </w:rPr>
        <w:t>Latgales reģionā</w:t>
      </w:r>
      <w:r w:rsidRPr="0061169A">
        <w:rPr>
          <w:noProof/>
          <w:szCs w:val="24"/>
          <w:lang w:eastAsia="lv-LV"/>
        </w:rPr>
        <w:t xml:space="preserve"> ir plašs studiju programmu piedāvājums izglītības tematiskajā grupās </w:t>
      </w:r>
      <w:r w:rsidRPr="0061169A">
        <w:rPr>
          <w:i/>
          <w:szCs w:val="24"/>
        </w:rPr>
        <w:t>Dabaszinātnes, matemātika un informācijas tehnoloģijas</w:t>
      </w:r>
      <w:r w:rsidRPr="0061169A">
        <w:rPr>
          <w:szCs w:val="24"/>
        </w:rPr>
        <w:t xml:space="preserve"> </w:t>
      </w:r>
      <w:r w:rsidR="007F603F">
        <w:rPr>
          <w:szCs w:val="24"/>
        </w:rPr>
        <w:t xml:space="preserve">(24 programmas) </w:t>
      </w:r>
      <w:r w:rsidRPr="0061169A">
        <w:rPr>
          <w:szCs w:val="24"/>
        </w:rPr>
        <w:t xml:space="preserve">un </w:t>
      </w:r>
      <w:r w:rsidRPr="0061169A">
        <w:rPr>
          <w:i/>
          <w:szCs w:val="24"/>
        </w:rPr>
        <w:t>Inženierzinātnes, ražošana un būvniecība</w:t>
      </w:r>
      <w:r w:rsidR="007F603F">
        <w:rPr>
          <w:i/>
          <w:szCs w:val="24"/>
        </w:rPr>
        <w:t xml:space="preserve"> </w:t>
      </w:r>
      <w:r w:rsidR="007F603F">
        <w:rPr>
          <w:szCs w:val="24"/>
        </w:rPr>
        <w:t>(19 programmas)</w:t>
      </w:r>
      <w:r w:rsidRPr="0061169A">
        <w:rPr>
          <w:i/>
          <w:szCs w:val="24"/>
        </w:rPr>
        <w:t xml:space="preserve">, </w:t>
      </w:r>
      <w:r w:rsidRPr="0061169A">
        <w:rPr>
          <w:szCs w:val="24"/>
        </w:rPr>
        <w:t xml:space="preserve">kā arī izglītības tematiskajā jomā </w:t>
      </w:r>
      <w:r w:rsidRPr="0061169A">
        <w:rPr>
          <w:i/>
          <w:szCs w:val="24"/>
        </w:rPr>
        <w:t>Mākslas</w:t>
      </w:r>
      <w:r w:rsidR="007F603F">
        <w:rPr>
          <w:i/>
          <w:szCs w:val="24"/>
        </w:rPr>
        <w:t xml:space="preserve"> </w:t>
      </w:r>
      <w:r w:rsidR="007F603F">
        <w:rPr>
          <w:szCs w:val="24"/>
        </w:rPr>
        <w:t>(13 programmas).</w:t>
      </w:r>
      <w:r w:rsidRPr="0061169A">
        <w:rPr>
          <w:i/>
          <w:szCs w:val="24"/>
        </w:rPr>
        <w:t xml:space="preserve"> </w:t>
      </w:r>
      <w:r w:rsidR="00565444">
        <w:rPr>
          <w:szCs w:val="24"/>
        </w:rPr>
        <w:t>I</w:t>
      </w:r>
      <w:r w:rsidR="000038D0" w:rsidRPr="0061169A">
        <w:rPr>
          <w:szCs w:val="24"/>
        </w:rPr>
        <w:t xml:space="preserve">zglītības tematiskajā jomā </w:t>
      </w:r>
      <w:r w:rsidR="00BD2CA8">
        <w:rPr>
          <w:i/>
          <w:szCs w:val="24"/>
        </w:rPr>
        <w:t xml:space="preserve">Veselības aprūpe </w:t>
      </w:r>
      <w:r w:rsidR="000038D0" w:rsidRPr="0061169A">
        <w:rPr>
          <w:szCs w:val="24"/>
        </w:rPr>
        <w:t xml:space="preserve">tiek piedāvāta viena studiju programma </w:t>
      </w:r>
      <w:r w:rsidR="003E4176">
        <w:rPr>
          <w:szCs w:val="24"/>
        </w:rPr>
        <w:t>–</w:t>
      </w:r>
      <w:r w:rsidR="000038D0" w:rsidRPr="0061169A">
        <w:rPr>
          <w:szCs w:val="24"/>
        </w:rPr>
        <w:t xml:space="preserve"> </w:t>
      </w:r>
      <w:r w:rsidR="000038D0" w:rsidRPr="0061169A">
        <w:rPr>
          <w:i/>
          <w:szCs w:val="24"/>
        </w:rPr>
        <w:t>Fizioterapija</w:t>
      </w:r>
      <w:r w:rsidR="003E4176">
        <w:rPr>
          <w:i/>
          <w:szCs w:val="24"/>
        </w:rPr>
        <w:t xml:space="preserve"> </w:t>
      </w:r>
      <w:r w:rsidR="000038D0" w:rsidRPr="0061169A">
        <w:rPr>
          <w:szCs w:val="24"/>
        </w:rPr>
        <w:t>(</w:t>
      </w:r>
      <w:r w:rsidR="001727A8" w:rsidRPr="0061169A">
        <w:rPr>
          <w:szCs w:val="24"/>
        </w:rPr>
        <w:t>Daugavpils Universitātē</w:t>
      </w:r>
      <w:r w:rsidR="000038D0" w:rsidRPr="0061169A">
        <w:rPr>
          <w:szCs w:val="24"/>
        </w:rPr>
        <w:t xml:space="preserve">). Vienlaikus jāatzīmē, ka Latgales reģionā ir iespējams apgūt 1.līmeņa profesionālās augstākās izglītības studiju programmas veselības aprūpes jomā Daugavpils </w:t>
      </w:r>
      <w:r w:rsidR="0061169A">
        <w:rPr>
          <w:szCs w:val="24"/>
        </w:rPr>
        <w:t>M</w:t>
      </w:r>
      <w:r w:rsidR="000038D0" w:rsidRPr="0061169A">
        <w:rPr>
          <w:szCs w:val="24"/>
        </w:rPr>
        <w:t xml:space="preserve">edicīnas koledžā, kā arī Latvijas Universitātes P.Stradiņa medicīnas koledžas Rēzeknes filiālē. </w:t>
      </w:r>
      <w:r w:rsidR="005D01F7" w:rsidRPr="0061169A">
        <w:rPr>
          <w:szCs w:val="24"/>
        </w:rPr>
        <w:t xml:space="preserve">Vides aizsardzības jomā 2 studiju programmas īsteno </w:t>
      </w:r>
      <w:r w:rsidR="001727A8" w:rsidRPr="0061169A">
        <w:rPr>
          <w:szCs w:val="24"/>
        </w:rPr>
        <w:t>Daugavpils Universitāte</w:t>
      </w:r>
      <w:r w:rsidR="005D01F7" w:rsidRPr="0061169A">
        <w:rPr>
          <w:szCs w:val="24"/>
        </w:rPr>
        <w:t xml:space="preserve">, kā arī 3 studiju programmas īsteno </w:t>
      </w:r>
      <w:r w:rsidR="001727A8" w:rsidRPr="0061169A">
        <w:rPr>
          <w:szCs w:val="24"/>
        </w:rPr>
        <w:t>Rēzeknes Tehnoloģiju akadēmija</w:t>
      </w:r>
      <w:r w:rsidR="005D01F7" w:rsidRPr="0061169A">
        <w:rPr>
          <w:szCs w:val="24"/>
        </w:rPr>
        <w:t xml:space="preserve"> (</w:t>
      </w:r>
      <w:r w:rsidR="001727A8" w:rsidRPr="0061169A">
        <w:rPr>
          <w:szCs w:val="24"/>
        </w:rPr>
        <w:t>Rēzeknes Tehnoloģiju akadēmijai</w:t>
      </w:r>
      <w:r w:rsidR="005D01F7" w:rsidRPr="0061169A">
        <w:rPr>
          <w:szCs w:val="24"/>
        </w:rPr>
        <w:t xml:space="preserve"> šīs programmas ir iekļautas izglītības tematiskajā grupā </w:t>
      </w:r>
      <w:r w:rsidR="005D01F7" w:rsidRPr="0061169A">
        <w:rPr>
          <w:i/>
          <w:szCs w:val="24"/>
        </w:rPr>
        <w:t>Inženierzinātnes, ražošana un būvniecība)</w:t>
      </w:r>
      <w:r w:rsidR="00B9728B" w:rsidRPr="0061169A">
        <w:rPr>
          <w:i/>
          <w:szCs w:val="24"/>
        </w:rPr>
        <w:t>.</w:t>
      </w:r>
      <w:r w:rsidR="00B9728B" w:rsidRPr="0061169A">
        <w:rPr>
          <w:szCs w:val="24"/>
        </w:rPr>
        <w:t xml:space="preserve"> </w:t>
      </w:r>
      <w:r w:rsidR="00BD2CA8">
        <w:rPr>
          <w:szCs w:val="24"/>
        </w:rPr>
        <w:t>K</w:t>
      </w:r>
      <w:r w:rsidR="00B9728B" w:rsidRPr="0061169A">
        <w:rPr>
          <w:szCs w:val="24"/>
        </w:rPr>
        <w:t>opumā Latgales reģionā ir plašs STEM joma</w:t>
      </w:r>
      <w:r w:rsidR="00BD2CA8">
        <w:rPr>
          <w:szCs w:val="24"/>
        </w:rPr>
        <w:t>s studiju programmu piedāvājums</w:t>
      </w:r>
      <w:r w:rsidR="00B9728B" w:rsidRPr="0061169A">
        <w:rPr>
          <w:i/>
          <w:szCs w:val="24"/>
        </w:rPr>
        <w:t>.</w:t>
      </w:r>
    </w:p>
    <w:p w14:paraId="7EC3EDD2" w14:textId="77777777" w:rsidR="00B9728B" w:rsidRPr="0061169A" w:rsidRDefault="00B9728B" w:rsidP="000038D0">
      <w:pPr>
        <w:ind w:firstLine="567"/>
        <w:rPr>
          <w:szCs w:val="24"/>
        </w:rPr>
      </w:pPr>
      <w:r w:rsidRPr="0061169A">
        <w:rPr>
          <w:b/>
          <w:szCs w:val="24"/>
        </w:rPr>
        <w:t>Vidzemes reģionā</w:t>
      </w:r>
      <w:r w:rsidRPr="0061169A">
        <w:rPr>
          <w:szCs w:val="24"/>
        </w:rPr>
        <w:t xml:space="preserve"> </w:t>
      </w:r>
      <w:r w:rsidR="007F603F">
        <w:rPr>
          <w:szCs w:val="24"/>
        </w:rPr>
        <w:t>ir 8 STEM jomas programmas</w:t>
      </w:r>
      <w:r w:rsidR="00E53735">
        <w:rPr>
          <w:szCs w:val="24"/>
        </w:rPr>
        <w:t xml:space="preserve">, kuras </w:t>
      </w:r>
      <w:r w:rsidRPr="0061169A">
        <w:rPr>
          <w:szCs w:val="24"/>
        </w:rPr>
        <w:t xml:space="preserve">īsteno </w:t>
      </w:r>
      <w:r w:rsidR="001727A8" w:rsidRPr="0061169A">
        <w:rPr>
          <w:szCs w:val="24"/>
        </w:rPr>
        <w:t>Vidzemes Augstskola</w:t>
      </w:r>
      <w:r w:rsidR="00E53735">
        <w:rPr>
          <w:szCs w:val="24"/>
        </w:rPr>
        <w:t xml:space="preserve"> un</w:t>
      </w:r>
      <w:r w:rsidRPr="0061169A">
        <w:rPr>
          <w:szCs w:val="24"/>
        </w:rPr>
        <w:t xml:space="preserve"> </w:t>
      </w:r>
      <w:r w:rsidR="00777850" w:rsidRPr="0061169A">
        <w:rPr>
          <w:szCs w:val="24"/>
        </w:rPr>
        <w:t xml:space="preserve">Rīgas Tehniskās universitātes </w:t>
      </w:r>
      <w:proofErr w:type="spellStart"/>
      <w:r w:rsidRPr="0061169A">
        <w:rPr>
          <w:szCs w:val="24"/>
        </w:rPr>
        <w:t>Cēsu</w:t>
      </w:r>
      <w:proofErr w:type="spellEnd"/>
      <w:r w:rsidRPr="0061169A">
        <w:rPr>
          <w:szCs w:val="24"/>
        </w:rPr>
        <w:t xml:space="preserve"> filiāle.</w:t>
      </w:r>
      <w:r w:rsidR="005E03C2" w:rsidRPr="0061169A">
        <w:rPr>
          <w:szCs w:val="24"/>
        </w:rPr>
        <w:t xml:space="preserve"> Kā redzams </w:t>
      </w:r>
      <w:r w:rsidR="00777850" w:rsidRPr="0061169A">
        <w:rPr>
          <w:szCs w:val="24"/>
        </w:rPr>
        <w:t>1.</w:t>
      </w:r>
      <w:r w:rsidR="002739DC">
        <w:rPr>
          <w:szCs w:val="24"/>
        </w:rPr>
        <w:t>4</w:t>
      </w:r>
      <w:r w:rsidR="00777850" w:rsidRPr="0061169A">
        <w:rPr>
          <w:szCs w:val="24"/>
        </w:rPr>
        <w:t>.</w:t>
      </w:r>
      <w:r w:rsidR="005E03C2" w:rsidRPr="0061169A">
        <w:rPr>
          <w:szCs w:val="24"/>
        </w:rPr>
        <w:t xml:space="preserve">tabulā, tiek piedāvātas </w:t>
      </w:r>
      <w:r w:rsidR="00777850" w:rsidRPr="0061169A">
        <w:rPr>
          <w:szCs w:val="24"/>
        </w:rPr>
        <w:t>4</w:t>
      </w:r>
      <w:r w:rsidR="005E03C2" w:rsidRPr="0061169A">
        <w:rPr>
          <w:szCs w:val="24"/>
        </w:rPr>
        <w:t xml:space="preserve"> studiju programmas </w:t>
      </w:r>
      <w:r w:rsidR="005E03C2" w:rsidRPr="0061169A">
        <w:rPr>
          <w:noProof/>
          <w:szCs w:val="24"/>
          <w:lang w:eastAsia="lv-LV"/>
        </w:rPr>
        <w:t xml:space="preserve">izglītības tematiskajā grupā </w:t>
      </w:r>
      <w:r w:rsidR="005E03C2" w:rsidRPr="0061169A">
        <w:rPr>
          <w:i/>
          <w:szCs w:val="24"/>
        </w:rPr>
        <w:t>Dabaszinātnes, matemātika un informācijas tehnoloģijas</w:t>
      </w:r>
      <w:r w:rsidR="005E03C2" w:rsidRPr="0061169A">
        <w:rPr>
          <w:szCs w:val="24"/>
        </w:rPr>
        <w:t xml:space="preserve"> un </w:t>
      </w:r>
      <w:r w:rsidR="00777850" w:rsidRPr="0061169A">
        <w:rPr>
          <w:noProof/>
          <w:szCs w:val="24"/>
          <w:lang w:eastAsia="lv-LV"/>
        </w:rPr>
        <w:t>4</w:t>
      </w:r>
      <w:r w:rsidR="005E03C2" w:rsidRPr="0061169A">
        <w:rPr>
          <w:noProof/>
          <w:szCs w:val="24"/>
          <w:lang w:eastAsia="lv-LV"/>
        </w:rPr>
        <w:t xml:space="preserve"> studiju programmas izglītības tematiskajā grupā </w:t>
      </w:r>
      <w:r w:rsidR="005E03C2" w:rsidRPr="0061169A">
        <w:rPr>
          <w:i/>
          <w:szCs w:val="24"/>
        </w:rPr>
        <w:t xml:space="preserve">Inženierzinātnes, ražošana un būvniecība. </w:t>
      </w:r>
      <w:r w:rsidR="007F603F" w:rsidRPr="0061169A">
        <w:rPr>
          <w:szCs w:val="24"/>
        </w:rPr>
        <w:t xml:space="preserve">Jāatzīmē, ka Vidzemes reģionā nav iespējas apgūt nevienu augstākā līmeņa studiju programmu izglītības tematiskajā grupā </w:t>
      </w:r>
      <w:r w:rsidR="007F603F" w:rsidRPr="0061169A">
        <w:rPr>
          <w:i/>
          <w:szCs w:val="24"/>
        </w:rPr>
        <w:t>Inženierzinātnes, ražošana un būvniecība</w:t>
      </w:r>
      <w:r w:rsidR="007F603F">
        <w:rPr>
          <w:i/>
          <w:szCs w:val="24"/>
        </w:rPr>
        <w:t xml:space="preserve">. </w:t>
      </w:r>
      <w:r w:rsidR="005E03C2" w:rsidRPr="0061169A">
        <w:rPr>
          <w:szCs w:val="24"/>
        </w:rPr>
        <w:t xml:space="preserve">Vidzemes reģionā </w:t>
      </w:r>
      <w:r w:rsidR="00E53735">
        <w:rPr>
          <w:szCs w:val="24"/>
        </w:rPr>
        <w:t xml:space="preserve">nav iespējams apgūt programmas izglītības tematiskajā grupā </w:t>
      </w:r>
      <w:r w:rsidR="00E53735" w:rsidRPr="00E53735">
        <w:rPr>
          <w:i/>
          <w:szCs w:val="24"/>
        </w:rPr>
        <w:t>Lauksaimniecība</w:t>
      </w:r>
      <w:r w:rsidR="00E53735">
        <w:rPr>
          <w:szCs w:val="24"/>
        </w:rPr>
        <w:t xml:space="preserve">, izglītības tematiskajās jomās </w:t>
      </w:r>
      <w:r w:rsidR="00E53735" w:rsidRPr="00E53735">
        <w:rPr>
          <w:i/>
          <w:szCs w:val="24"/>
        </w:rPr>
        <w:t>Mākslas</w:t>
      </w:r>
      <w:r w:rsidR="00E53735">
        <w:rPr>
          <w:szCs w:val="24"/>
        </w:rPr>
        <w:t xml:space="preserve">, </w:t>
      </w:r>
      <w:r w:rsidR="00E53735" w:rsidRPr="00E53735">
        <w:rPr>
          <w:i/>
          <w:szCs w:val="24"/>
        </w:rPr>
        <w:t>Veselības aprūpe</w:t>
      </w:r>
      <w:r w:rsidR="00E53735">
        <w:rPr>
          <w:szCs w:val="24"/>
        </w:rPr>
        <w:t xml:space="preserve"> un </w:t>
      </w:r>
      <w:r w:rsidR="00E53735" w:rsidRPr="00E53735">
        <w:rPr>
          <w:i/>
          <w:szCs w:val="24"/>
        </w:rPr>
        <w:t>Vides aizsardzība</w:t>
      </w:r>
      <w:r w:rsidR="00E53735">
        <w:rPr>
          <w:szCs w:val="24"/>
        </w:rPr>
        <w:t>. N</w:t>
      </w:r>
      <w:r w:rsidR="00D036C9">
        <w:rPr>
          <w:szCs w:val="24"/>
        </w:rPr>
        <w:t xml:space="preserve">av </w:t>
      </w:r>
      <w:r w:rsidR="005E03C2" w:rsidRPr="0061169A">
        <w:rPr>
          <w:szCs w:val="24"/>
        </w:rPr>
        <w:t xml:space="preserve">nevienas koledžas, izņemot Rīgas Tehniskās koledžas Priekuļu filiāli, kur tiek īstenotas 2 </w:t>
      </w:r>
      <w:r w:rsidR="00302A5E" w:rsidRPr="0061169A">
        <w:rPr>
          <w:szCs w:val="24"/>
        </w:rPr>
        <w:t xml:space="preserve">inženierzinātņu </w:t>
      </w:r>
      <w:r w:rsidR="005E03C2" w:rsidRPr="0061169A">
        <w:rPr>
          <w:szCs w:val="24"/>
        </w:rPr>
        <w:t>studiju programmas</w:t>
      </w:r>
      <w:r w:rsidR="00302A5E" w:rsidRPr="0061169A">
        <w:rPr>
          <w:szCs w:val="24"/>
        </w:rPr>
        <w:t xml:space="preserve">. </w:t>
      </w:r>
      <w:r w:rsidR="005E03C2" w:rsidRPr="0061169A">
        <w:rPr>
          <w:szCs w:val="24"/>
        </w:rPr>
        <w:t>Līdz ar to var secināt, ka Vidzemes reģionā ir ierobežot</w:t>
      </w:r>
      <w:r w:rsidR="00D036C9">
        <w:rPr>
          <w:szCs w:val="24"/>
        </w:rPr>
        <w:t>āk</w:t>
      </w:r>
      <w:r w:rsidR="005E03C2" w:rsidRPr="0061169A">
        <w:rPr>
          <w:szCs w:val="24"/>
        </w:rPr>
        <w:t>as iespējas apgūt STEM jomas studiju programmas.</w:t>
      </w:r>
      <w:r w:rsidR="0061169A" w:rsidRPr="0061169A">
        <w:rPr>
          <w:szCs w:val="24"/>
        </w:rPr>
        <w:t xml:space="preserve"> </w:t>
      </w:r>
    </w:p>
    <w:p w14:paraId="3D8785BA" w14:textId="77777777" w:rsidR="00302A5E" w:rsidRPr="007F603F" w:rsidRDefault="00302A5E" w:rsidP="000038D0">
      <w:pPr>
        <w:ind w:firstLine="567"/>
        <w:rPr>
          <w:szCs w:val="24"/>
        </w:rPr>
      </w:pPr>
      <w:r w:rsidRPr="007F603F">
        <w:rPr>
          <w:b/>
          <w:szCs w:val="24"/>
        </w:rPr>
        <w:t>Zemgales reģionā</w:t>
      </w:r>
      <w:r w:rsidRPr="007F603F">
        <w:rPr>
          <w:szCs w:val="24"/>
        </w:rPr>
        <w:t xml:space="preserve"> ir viena augstskola, kas īsteno STEM jomas studiju programmas – </w:t>
      </w:r>
      <w:r w:rsidR="0061169A" w:rsidRPr="007F603F">
        <w:rPr>
          <w:szCs w:val="24"/>
        </w:rPr>
        <w:t>Latvijas Lauksaimniecības universitāte</w:t>
      </w:r>
      <w:r w:rsidRPr="007F603F">
        <w:rPr>
          <w:szCs w:val="24"/>
        </w:rPr>
        <w:t xml:space="preserve">, kas piedāvā 31 </w:t>
      </w:r>
      <w:r w:rsidR="00E75B41" w:rsidRPr="007F603F">
        <w:rPr>
          <w:szCs w:val="24"/>
        </w:rPr>
        <w:t xml:space="preserve">studiju </w:t>
      </w:r>
      <w:r w:rsidRPr="007F603F">
        <w:rPr>
          <w:szCs w:val="24"/>
        </w:rPr>
        <w:t xml:space="preserve">programmu </w:t>
      </w:r>
      <w:r w:rsidRPr="007F603F">
        <w:rPr>
          <w:noProof/>
          <w:szCs w:val="24"/>
          <w:lang w:eastAsia="lv-LV"/>
        </w:rPr>
        <w:t xml:space="preserve">izglītības tematiskajā grupā </w:t>
      </w:r>
      <w:r w:rsidRPr="007F603F">
        <w:rPr>
          <w:i/>
          <w:szCs w:val="24"/>
        </w:rPr>
        <w:t>Inženierzinātnes, ražošana un būvniecība</w:t>
      </w:r>
      <w:r w:rsidRPr="007F603F">
        <w:rPr>
          <w:szCs w:val="24"/>
        </w:rPr>
        <w:t xml:space="preserve">, </w:t>
      </w:r>
      <w:r w:rsidR="00E75B41" w:rsidRPr="007F603F">
        <w:rPr>
          <w:szCs w:val="24"/>
        </w:rPr>
        <w:t xml:space="preserve">13 studiju programmas izglītības tematiskajā grupā </w:t>
      </w:r>
      <w:r w:rsidR="00E75B41" w:rsidRPr="007F603F">
        <w:rPr>
          <w:i/>
          <w:szCs w:val="24"/>
        </w:rPr>
        <w:t>Lauksaimniecība</w:t>
      </w:r>
      <w:r w:rsidR="00E75B41" w:rsidRPr="007F603F">
        <w:rPr>
          <w:szCs w:val="24"/>
        </w:rPr>
        <w:t>,</w:t>
      </w:r>
      <w:r w:rsidR="00E75B41" w:rsidRPr="007F603F">
        <w:rPr>
          <w:i/>
          <w:szCs w:val="24"/>
        </w:rPr>
        <w:t xml:space="preserve"> </w:t>
      </w:r>
      <w:r w:rsidRPr="007F603F">
        <w:rPr>
          <w:szCs w:val="24"/>
        </w:rPr>
        <w:t xml:space="preserve">1 studiju programmu izglītības tematiskajā jomā </w:t>
      </w:r>
      <w:r w:rsidRPr="007F603F">
        <w:rPr>
          <w:i/>
          <w:szCs w:val="24"/>
        </w:rPr>
        <w:t>Veselības aprūpe</w:t>
      </w:r>
      <w:r w:rsidRPr="007F603F">
        <w:rPr>
          <w:szCs w:val="24"/>
        </w:rPr>
        <w:t xml:space="preserve"> (studiju programma </w:t>
      </w:r>
      <w:proofErr w:type="spellStart"/>
      <w:r w:rsidRPr="007F603F">
        <w:rPr>
          <w:i/>
          <w:szCs w:val="24"/>
        </w:rPr>
        <w:t>Uzturzinātne</w:t>
      </w:r>
      <w:proofErr w:type="spellEnd"/>
      <w:r w:rsidRPr="007F603F">
        <w:rPr>
          <w:szCs w:val="24"/>
        </w:rPr>
        <w:t xml:space="preserve">) un 3 studiju programmas izglītības tematiskajā jomā </w:t>
      </w:r>
      <w:r w:rsidRPr="007F603F">
        <w:rPr>
          <w:i/>
          <w:szCs w:val="24"/>
        </w:rPr>
        <w:t>Vides aizsardzība</w:t>
      </w:r>
      <w:r w:rsidRPr="007F603F">
        <w:rPr>
          <w:szCs w:val="24"/>
        </w:rPr>
        <w:t xml:space="preserve">. Zemgales reģionā ir viena koledža – Jēkabpils </w:t>
      </w:r>
      <w:proofErr w:type="spellStart"/>
      <w:r w:rsidRPr="007F603F">
        <w:rPr>
          <w:szCs w:val="24"/>
        </w:rPr>
        <w:t>Agrobiznesa</w:t>
      </w:r>
      <w:proofErr w:type="spellEnd"/>
      <w:r w:rsidRPr="007F603F">
        <w:rPr>
          <w:szCs w:val="24"/>
        </w:rPr>
        <w:t xml:space="preserve"> koledža, kas piedāvā iespēju iegūt 1.līmeņa profesionālo augstāko izglītību</w:t>
      </w:r>
      <w:r w:rsidR="00F20496" w:rsidRPr="007F603F">
        <w:rPr>
          <w:szCs w:val="24"/>
        </w:rPr>
        <w:t xml:space="preserve"> </w:t>
      </w:r>
      <w:r w:rsidR="0061169A" w:rsidRPr="007F603F">
        <w:rPr>
          <w:szCs w:val="24"/>
        </w:rPr>
        <w:t>informācijas tehnoloģiju</w:t>
      </w:r>
      <w:r w:rsidR="00F20496" w:rsidRPr="007F603F">
        <w:rPr>
          <w:szCs w:val="24"/>
        </w:rPr>
        <w:t xml:space="preserve"> jomā</w:t>
      </w:r>
      <w:r w:rsidRPr="007F603F">
        <w:rPr>
          <w:szCs w:val="24"/>
        </w:rPr>
        <w:t xml:space="preserve">, apgūstot studiju programmu </w:t>
      </w:r>
      <w:r w:rsidRPr="007F603F">
        <w:rPr>
          <w:i/>
          <w:szCs w:val="24"/>
        </w:rPr>
        <w:t>Datorsistēmu un datortīkla administrēšana</w:t>
      </w:r>
      <w:r w:rsidRPr="007F603F">
        <w:rPr>
          <w:szCs w:val="24"/>
        </w:rPr>
        <w:t>.</w:t>
      </w:r>
      <w:r w:rsidR="00300B63" w:rsidRPr="007F603F">
        <w:rPr>
          <w:szCs w:val="24"/>
        </w:rPr>
        <w:t xml:space="preserve"> Līdz ar to var secināt, ka Zemgales reģionā ir iespējas iegūt augstāko izglītību </w:t>
      </w:r>
      <w:r w:rsidR="0061169A" w:rsidRPr="007F603F">
        <w:rPr>
          <w:szCs w:val="24"/>
        </w:rPr>
        <w:t xml:space="preserve">STEM jomās, izņemot </w:t>
      </w:r>
      <w:r w:rsidR="00BB6F5E" w:rsidRPr="007F603F">
        <w:rPr>
          <w:szCs w:val="24"/>
        </w:rPr>
        <w:t xml:space="preserve">izglītības tematisko jomu </w:t>
      </w:r>
      <w:r w:rsidR="0061169A" w:rsidRPr="007F603F">
        <w:rPr>
          <w:i/>
          <w:szCs w:val="24"/>
        </w:rPr>
        <w:t>Māk</w:t>
      </w:r>
      <w:r w:rsidR="00BB6F5E" w:rsidRPr="007F603F">
        <w:rPr>
          <w:i/>
          <w:szCs w:val="24"/>
        </w:rPr>
        <w:t>slas</w:t>
      </w:r>
      <w:r w:rsidR="00BB6F5E" w:rsidRPr="007F603F">
        <w:rPr>
          <w:szCs w:val="24"/>
        </w:rPr>
        <w:t xml:space="preserve">. </w:t>
      </w:r>
    </w:p>
    <w:p w14:paraId="132214E7" w14:textId="77777777" w:rsidR="00300B63" w:rsidRPr="007F603F" w:rsidRDefault="006D7493" w:rsidP="000038D0">
      <w:pPr>
        <w:ind w:firstLine="567"/>
        <w:rPr>
          <w:szCs w:val="24"/>
        </w:rPr>
      </w:pPr>
      <w:r w:rsidRPr="007F603F">
        <w:rPr>
          <w:szCs w:val="24"/>
        </w:rPr>
        <w:t xml:space="preserve">Kā redzams </w:t>
      </w:r>
      <w:r w:rsidR="007F603F" w:rsidRPr="007F603F">
        <w:rPr>
          <w:szCs w:val="24"/>
        </w:rPr>
        <w:t>1.</w:t>
      </w:r>
      <w:r w:rsidR="002739DC">
        <w:rPr>
          <w:szCs w:val="24"/>
        </w:rPr>
        <w:t>4</w:t>
      </w:r>
      <w:r w:rsidR="007F603F" w:rsidRPr="007F603F">
        <w:rPr>
          <w:szCs w:val="24"/>
        </w:rPr>
        <w:t>.</w:t>
      </w:r>
      <w:r w:rsidRPr="007F603F">
        <w:rPr>
          <w:szCs w:val="24"/>
        </w:rPr>
        <w:t xml:space="preserve">tabulā, </w:t>
      </w:r>
      <w:r w:rsidR="00300B63" w:rsidRPr="007F603F">
        <w:rPr>
          <w:b/>
          <w:szCs w:val="24"/>
        </w:rPr>
        <w:t>Kurzemes reģionā</w:t>
      </w:r>
      <w:r w:rsidR="00300B63" w:rsidRPr="007F603F">
        <w:rPr>
          <w:szCs w:val="24"/>
        </w:rPr>
        <w:t xml:space="preserve"> </w:t>
      </w:r>
      <w:r w:rsidRPr="007F603F">
        <w:rPr>
          <w:szCs w:val="24"/>
        </w:rPr>
        <w:t xml:space="preserve">ir </w:t>
      </w:r>
      <w:r w:rsidR="001F4D79" w:rsidRPr="007F603F">
        <w:rPr>
          <w:szCs w:val="24"/>
        </w:rPr>
        <w:t>STEM jomas izglītības tematiskajās grupās un jomās</w:t>
      </w:r>
      <w:r w:rsidR="003D521E">
        <w:rPr>
          <w:szCs w:val="24"/>
        </w:rPr>
        <w:t xml:space="preserve"> </w:t>
      </w:r>
      <w:r w:rsidR="007F603F">
        <w:rPr>
          <w:szCs w:val="24"/>
        </w:rPr>
        <w:t xml:space="preserve">kopā </w:t>
      </w:r>
      <w:r w:rsidR="003D521E">
        <w:rPr>
          <w:szCs w:val="24"/>
        </w:rPr>
        <w:t xml:space="preserve">ir </w:t>
      </w:r>
      <w:r w:rsidR="007F603F">
        <w:rPr>
          <w:szCs w:val="24"/>
        </w:rPr>
        <w:t>47 prog</w:t>
      </w:r>
      <w:r w:rsidR="003D521E">
        <w:rPr>
          <w:szCs w:val="24"/>
        </w:rPr>
        <w:t>rammas</w:t>
      </w:r>
      <w:r w:rsidRPr="007F603F">
        <w:rPr>
          <w:szCs w:val="24"/>
        </w:rPr>
        <w:t>.</w:t>
      </w:r>
    </w:p>
    <w:p w14:paraId="1D889DB7" w14:textId="77777777" w:rsidR="001F4D79" w:rsidRPr="00E53735" w:rsidRDefault="009C70EB" w:rsidP="00DD6C86">
      <w:pPr>
        <w:ind w:firstLine="720"/>
        <w:rPr>
          <w:szCs w:val="24"/>
        </w:rPr>
      </w:pPr>
      <w:r w:rsidRPr="00E53735">
        <w:rPr>
          <w:szCs w:val="24"/>
        </w:rPr>
        <w:t>STEM jomas studiju programmu piedāvājums ir</w:t>
      </w:r>
      <w:r w:rsidR="00A65F62">
        <w:rPr>
          <w:szCs w:val="24"/>
        </w:rPr>
        <w:t xml:space="preserve"> koncentrēts</w:t>
      </w:r>
      <w:r w:rsidRPr="00E53735">
        <w:rPr>
          <w:szCs w:val="24"/>
        </w:rPr>
        <w:t xml:space="preserve"> </w:t>
      </w:r>
      <w:r w:rsidRPr="003E4ACC">
        <w:rPr>
          <w:b/>
          <w:szCs w:val="24"/>
        </w:rPr>
        <w:t>Rīgā</w:t>
      </w:r>
      <w:r w:rsidRPr="00E53735">
        <w:rPr>
          <w:szCs w:val="24"/>
        </w:rPr>
        <w:t xml:space="preserve">, kur </w:t>
      </w:r>
      <w:r w:rsidR="00641858" w:rsidRPr="00E53735">
        <w:rPr>
          <w:szCs w:val="24"/>
        </w:rPr>
        <w:t xml:space="preserve">8 valsts un 8 privātajās augstskolās </w:t>
      </w:r>
      <w:r w:rsidRPr="00E53735">
        <w:rPr>
          <w:szCs w:val="24"/>
        </w:rPr>
        <w:t xml:space="preserve">ir iespējams apgūt </w:t>
      </w:r>
      <w:r w:rsidR="00641858" w:rsidRPr="00E53735">
        <w:rPr>
          <w:szCs w:val="24"/>
        </w:rPr>
        <w:t xml:space="preserve">48 studiju programmas izglītības tematiskajā </w:t>
      </w:r>
      <w:r w:rsidR="00641858" w:rsidRPr="00E53735">
        <w:rPr>
          <w:noProof/>
          <w:szCs w:val="24"/>
          <w:lang w:eastAsia="lv-LV"/>
        </w:rPr>
        <w:t xml:space="preserve">grupā </w:t>
      </w:r>
      <w:r w:rsidR="00641858" w:rsidRPr="00E53735">
        <w:rPr>
          <w:i/>
          <w:szCs w:val="24"/>
        </w:rPr>
        <w:t xml:space="preserve">Dabaszinātnes, matemātika un informācijas tehnoloģijas, </w:t>
      </w:r>
      <w:r w:rsidR="00641858" w:rsidRPr="00E53735">
        <w:rPr>
          <w:szCs w:val="24"/>
        </w:rPr>
        <w:t xml:space="preserve">109 </w:t>
      </w:r>
      <w:r w:rsidR="00641858" w:rsidRPr="00E53735">
        <w:rPr>
          <w:noProof/>
          <w:szCs w:val="24"/>
          <w:lang w:eastAsia="lv-LV"/>
        </w:rPr>
        <w:t xml:space="preserve">studiju programmas izglītības tematiskajā grupā </w:t>
      </w:r>
      <w:r w:rsidR="00641858" w:rsidRPr="00E53735">
        <w:rPr>
          <w:i/>
          <w:szCs w:val="24"/>
        </w:rPr>
        <w:t xml:space="preserve">Inženierzinātnes, ražošana un būvniecība, </w:t>
      </w:r>
      <w:r w:rsidR="00641858" w:rsidRPr="00E53735">
        <w:rPr>
          <w:szCs w:val="24"/>
        </w:rPr>
        <w:t xml:space="preserve">28 studiju programmas izglītības tematiskajā jomā </w:t>
      </w:r>
      <w:r w:rsidR="00641858" w:rsidRPr="00E53735">
        <w:rPr>
          <w:i/>
          <w:szCs w:val="24"/>
        </w:rPr>
        <w:t xml:space="preserve">Mākslas, </w:t>
      </w:r>
      <w:r w:rsidR="00641858" w:rsidRPr="00E53735">
        <w:rPr>
          <w:szCs w:val="24"/>
        </w:rPr>
        <w:t>46 studiju programmas izglītības tematiskajā jomā</w:t>
      </w:r>
      <w:r w:rsidR="00641858" w:rsidRPr="00E53735">
        <w:rPr>
          <w:i/>
          <w:szCs w:val="24"/>
        </w:rPr>
        <w:t xml:space="preserve"> Veselības aprūpe </w:t>
      </w:r>
      <w:r w:rsidR="00641858" w:rsidRPr="00E53735">
        <w:rPr>
          <w:szCs w:val="24"/>
        </w:rPr>
        <w:t>un 6 studiju programmas izglītības tematiskajā jomā</w:t>
      </w:r>
      <w:r w:rsidR="00641858" w:rsidRPr="00E53735">
        <w:rPr>
          <w:i/>
          <w:szCs w:val="24"/>
        </w:rPr>
        <w:t xml:space="preserve"> Vides aizsardzība.</w:t>
      </w:r>
    </w:p>
    <w:p w14:paraId="1D172703" w14:textId="77777777" w:rsidR="009C70EB" w:rsidRDefault="009C70EB" w:rsidP="000038D0">
      <w:pPr>
        <w:ind w:firstLine="567"/>
        <w:rPr>
          <w:color w:val="FF0000"/>
          <w:szCs w:val="24"/>
        </w:rPr>
      </w:pPr>
    </w:p>
    <w:p w14:paraId="1C40540A" w14:textId="77777777" w:rsidR="00D56DBC" w:rsidRPr="00DD6C86" w:rsidRDefault="00D56DBC" w:rsidP="00D56DBC">
      <w:pPr>
        <w:ind w:firstLine="720"/>
      </w:pPr>
      <w:r w:rsidRPr="00DD6C86">
        <w:rPr>
          <w:szCs w:val="24"/>
        </w:rPr>
        <w:t>Viens no valsts ilgtspējīgas attīstības nosacījumiem ir elastīga augstākās izglītības sistēma, kas spēj vidējā un ilgtermiņā nodrošināt pieprasījumu pēc atbilstošas kvalifikācijas speciālistiem saskaņā ar tautsaimniecības attīstības tendencēm.</w:t>
      </w:r>
    </w:p>
    <w:p w14:paraId="6AE4D514" w14:textId="77777777" w:rsidR="00E85785" w:rsidRPr="00DD6C86" w:rsidRDefault="00363BEE" w:rsidP="00DD6C86">
      <w:pPr>
        <w:ind w:firstLine="720"/>
        <w:rPr>
          <w:szCs w:val="24"/>
        </w:rPr>
      </w:pPr>
      <w:r w:rsidRPr="00DD6C86">
        <w:rPr>
          <w:szCs w:val="24"/>
        </w:rPr>
        <w:t>8.1.1. SAM ietvaros plānotais atbalsts STEM jomas studiju programmu modernizēšanai atbilst Latvijas tautsaimniecības attīstības vajadzībām, kas norāda uz nepieciešamām pārmaiņām augstākās izglītības nozaru struktūrā.</w:t>
      </w:r>
    </w:p>
    <w:p w14:paraId="67CF4B1C" w14:textId="77777777" w:rsidR="00820F72" w:rsidRPr="00DD6C86" w:rsidRDefault="00D42476" w:rsidP="00DD6C86">
      <w:pPr>
        <w:autoSpaceDE w:val="0"/>
        <w:autoSpaceDN w:val="0"/>
        <w:adjustRightInd w:val="0"/>
        <w:ind w:firstLine="720"/>
        <w:rPr>
          <w:szCs w:val="28"/>
        </w:rPr>
      </w:pPr>
      <w:r w:rsidRPr="00DD6C86">
        <w:rPr>
          <w:szCs w:val="28"/>
        </w:rPr>
        <w:t>Izvērtējot Latvijas augstākās izglītības piedāvājumu, var secināt, ka šobrīd augstākās izglītības nozaru struktūra (studējošo sadalījums pa izglītības tematiskajām grupām) neatbilst valsts attīstības vajadzībām, jo ir vērojams pārlieku liels studējošo īpatsvars sociālajās un humanitārajās nozarēs, bet nepietiekams – inženierzinātnēs</w:t>
      </w:r>
      <w:r w:rsidR="00DD6C86" w:rsidRPr="00DD6C86">
        <w:rPr>
          <w:szCs w:val="28"/>
        </w:rPr>
        <w:t xml:space="preserve"> un</w:t>
      </w:r>
      <w:r w:rsidRPr="00DD6C86">
        <w:rPr>
          <w:szCs w:val="28"/>
        </w:rPr>
        <w:t xml:space="preserve"> dabaszinātnēs.</w:t>
      </w:r>
    </w:p>
    <w:p w14:paraId="16817247" w14:textId="77777777" w:rsidR="00820F72" w:rsidRDefault="00D42476" w:rsidP="00DD6C86">
      <w:pPr>
        <w:pStyle w:val="Default"/>
        <w:ind w:firstLine="720"/>
        <w:jc w:val="both"/>
        <w:rPr>
          <w:color w:val="auto"/>
        </w:rPr>
      </w:pPr>
      <w:r w:rsidRPr="00DD6C86">
        <w:rPr>
          <w:color w:val="auto"/>
          <w:szCs w:val="28"/>
        </w:rPr>
        <w:t xml:space="preserve">Par nepieciešamību veikt izmaiņas augstākās izglītības nozaru struktūrā liecina </w:t>
      </w:r>
      <w:r w:rsidR="005F781F">
        <w:rPr>
          <w:color w:val="auto"/>
          <w:szCs w:val="28"/>
        </w:rPr>
        <w:t xml:space="preserve">ikgadējie </w:t>
      </w:r>
      <w:r w:rsidRPr="00DD6C86">
        <w:rPr>
          <w:color w:val="auto"/>
          <w:szCs w:val="28"/>
        </w:rPr>
        <w:t>Ekonomikas ministrijas „Informatīvajā ziņojumā par darba tirgus vidēja un ilgtermiņa prognozēm” atspoguļotie rezultāti</w:t>
      </w:r>
      <w:r w:rsidR="004571EC">
        <w:rPr>
          <w:color w:val="auto"/>
          <w:szCs w:val="28"/>
        </w:rPr>
        <w:t>, tostarp 2016.gada</w:t>
      </w:r>
      <w:r w:rsidR="00B82CAF">
        <w:rPr>
          <w:color w:val="auto"/>
          <w:szCs w:val="28"/>
        </w:rPr>
        <w:t xml:space="preserve"> ziņojumā</w:t>
      </w:r>
      <w:r w:rsidR="004571EC">
        <w:rPr>
          <w:rStyle w:val="FootnoteReference"/>
          <w:color w:val="auto"/>
          <w:szCs w:val="28"/>
        </w:rPr>
        <w:footnoteReference w:id="12"/>
      </w:r>
      <w:r w:rsidR="004571EC">
        <w:rPr>
          <w:color w:val="auto"/>
          <w:szCs w:val="28"/>
        </w:rPr>
        <w:t xml:space="preserve"> </w:t>
      </w:r>
      <w:r w:rsidR="00B82CAF" w:rsidRPr="00DD6C86">
        <w:rPr>
          <w:color w:val="auto"/>
          <w:szCs w:val="28"/>
        </w:rPr>
        <w:t>(turpmāk – EM informatīvais ziņojums</w:t>
      </w:r>
      <w:r w:rsidR="00B82CAF">
        <w:rPr>
          <w:color w:val="auto"/>
          <w:szCs w:val="28"/>
        </w:rPr>
        <w:t>) atspoguļotie rezultāti</w:t>
      </w:r>
      <w:r w:rsidRPr="00DD6C86">
        <w:rPr>
          <w:color w:val="auto"/>
          <w:szCs w:val="28"/>
        </w:rPr>
        <w:t>.</w:t>
      </w:r>
      <w:r w:rsidR="00903EFB">
        <w:rPr>
          <w:color w:val="auto"/>
          <w:szCs w:val="28"/>
        </w:rPr>
        <w:t xml:space="preserve"> Taj</w:t>
      </w:r>
      <w:r w:rsidR="00A11205">
        <w:rPr>
          <w:color w:val="auto"/>
          <w:szCs w:val="28"/>
        </w:rPr>
        <w:t>ā</w:t>
      </w:r>
      <w:r w:rsidR="00903EFB">
        <w:rPr>
          <w:color w:val="auto"/>
          <w:szCs w:val="28"/>
        </w:rPr>
        <w:t xml:space="preserve"> uzsvērts, ka</w:t>
      </w:r>
      <w:r w:rsidR="00903EFB" w:rsidRPr="00903EFB">
        <w:rPr>
          <w:color w:val="auto"/>
        </w:rPr>
        <w:t xml:space="preserve"> </w:t>
      </w:r>
      <w:r w:rsidR="00903EFB">
        <w:rPr>
          <w:color w:val="auto"/>
        </w:rPr>
        <w:t>t</w:t>
      </w:r>
      <w:r w:rsidR="00903EFB" w:rsidRPr="00DD6C86">
        <w:rPr>
          <w:color w:val="auto"/>
        </w:rPr>
        <w:t>urpmākajos gados palielināsies speciālistu pārpalikums humanitāro un sociālo zinātņu jomās (202</w:t>
      </w:r>
      <w:r w:rsidR="00A11205">
        <w:rPr>
          <w:color w:val="auto"/>
        </w:rPr>
        <w:t>2</w:t>
      </w:r>
      <w:r w:rsidR="00903EFB" w:rsidRPr="00DD6C86">
        <w:rPr>
          <w:color w:val="auto"/>
        </w:rPr>
        <w:t>.gadā pārpalikums ~1</w:t>
      </w:r>
      <w:r w:rsidR="00A11205">
        <w:rPr>
          <w:color w:val="auto"/>
        </w:rPr>
        <w:t>0</w:t>
      </w:r>
      <w:r w:rsidR="00903EFB" w:rsidRPr="00DD6C86">
        <w:rPr>
          <w:color w:val="auto"/>
        </w:rPr>
        <w:t xml:space="preserve"> tūkst.), vienlaikus iztrūkums varētu veidoties pēc dabaszinātņu, IKT un inženierzinātņu speciālistiem (202</w:t>
      </w:r>
      <w:r w:rsidR="00A11205">
        <w:rPr>
          <w:color w:val="auto"/>
        </w:rPr>
        <w:t>2</w:t>
      </w:r>
      <w:r w:rsidR="00903EFB" w:rsidRPr="00DD6C86">
        <w:rPr>
          <w:color w:val="auto"/>
        </w:rPr>
        <w:t>.gadā iztrūkums ~1</w:t>
      </w:r>
      <w:r w:rsidR="00A11205">
        <w:rPr>
          <w:color w:val="auto"/>
        </w:rPr>
        <w:t>6</w:t>
      </w:r>
      <w:r w:rsidR="00903EFB" w:rsidRPr="00DD6C86">
        <w:rPr>
          <w:color w:val="auto"/>
        </w:rPr>
        <w:t xml:space="preserve"> tūkst.)</w:t>
      </w:r>
    </w:p>
    <w:p w14:paraId="7F09BFFE" w14:textId="77777777" w:rsidR="00D42476" w:rsidRPr="00DD6C86" w:rsidRDefault="00D42476" w:rsidP="00DD6C86">
      <w:pPr>
        <w:pStyle w:val="Default"/>
        <w:spacing w:before="120"/>
        <w:ind w:firstLine="720"/>
        <w:jc w:val="both"/>
        <w:rPr>
          <w:color w:val="auto"/>
        </w:rPr>
      </w:pPr>
      <w:r w:rsidRPr="00DD6C86">
        <w:rPr>
          <w:color w:val="auto"/>
        </w:rPr>
        <w:t xml:space="preserve">Balstoties uz tautsaimniecības izaugsmes un demogrāfijas scenārijiem, EM ir izstrādājusi darbaspēka piedāvājuma un pieprasījuma prognozes ar augstāko un vidējo izglītību sadalījumā pa izglītības tematiskajām grupām uz </w:t>
      </w:r>
      <w:r w:rsidR="00B82CAF" w:rsidRPr="00DD6C86">
        <w:rPr>
          <w:color w:val="auto"/>
        </w:rPr>
        <w:t>202</w:t>
      </w:r>
      <w:r w:rsidR="00B82CAF">
        <w:rPr>
          <w:color w:val="auto"/>
        </w:rPr>
        <w:t>2</w:t>
      </w:r>
      <w:r w:rsidRPr="00DD6C86">
        <w:rPr>
          <w:color w:val="auto"/>
        </w:rPr>
        <w:t xml:space="preserve">.gadu. </w:t>
      </w:r>
    </w:p>
    <w:p w14:paraId="341767F0" w14:textId="77777777" w:rsidR="00D42476" w:rsidRPr="00834B53" w:rsidRDefault="00D42476" w:rsidP="00D42476">
      <w:pPr>
        <w:pStyle w:val="Default"/>
        <w:spacing w:line="360" w:lineRule="auto"/>
        <w:ind w:firstLine="567"/>
        <w:jc w:val="right"/>
      </w:pPr>
      <w:r w:rsidRPr="00DD6C86">
        <w:t>1.</w:t>
      </w:r>
      <w:r w:rsidR="00191DA2" w:rsidRPr="00DD6C86">
        <w:t>1</w:t>
      </w:r>
      <w:r w:rsidR="00191DA2">
        <w:t>4</w:t>
      </w:r>
      <w:r w:rsidRPr="00DD6C86">
        <w:t>.attēls</w:t>
      </w:r>
    </w:p>
    <w:p w14:paraId="00FB34FD" w14:textId="77777777" w:rsidR="00D42476" w:rsidRDefault="00D42476" w:rsidP="00D42476">
      <w:pPr>
        <w:spacing w:after="240"/>
        <w:jc w:val="center"/>
        <w:rPr>
          <w:sz w:val="23"/>
          <w:szCs w:val="23"/>
        </w:rPr>
      </w:pPr>
      <w:r w:rsidRPr="007B1682">
        <w:rPr>
          <w:rFonts w:ascii="Segoe UI Semibold" w:hAnsi="Segoe UI Semibold"/>
          <w:b/>
          <w:w w:val="80"/>
          <w:szCs w:val="26"/>
        </w:rPr>
        <w:t xml:space="preserve">Darbaspēka piedāvājuma un pieprasījuma prognozes </w:t>
      </w:r>
      <w:r w:rsidRPr="007B1682">
        <w:rPr>
          <w:rFonts w:ascii="Segoe UI Semibold" w:hAnsi="Segoe UI Semibold"/>
          <w:b/>
          <w:w w:val="80"/>
          <w:szCs w:val="26"/>
          <w:u w:val="single"/>
        </w:rPr>
        <w:t xml:space="preserve">ar augstāko </w:t>
      </w:r>
      <w:r w:rsidRPr="007B1682">
        <w:rPr>
          <w:rFonts w:ascii="Segoe UI Semibold" w:hAnsi="Segoe UI Semibold"/>
          <w:b/>
          <w:bCs/>
          <w:color w:val="000000"/>
          <w:w w:val="80"/>
          <w:szCs w:val="26"/>
          <w:u w:val="single"/>
        </w:rPr>
        <w:t>izglītību</w:t>
      </w:r>
      <w:r w:rsidRPr="007B1682">
        <w:rPr>
          <w:rFonts w:ascii="Segoe UI Semibold" w:hAnsi="Segoe UI Semibold"/>
          <w:b/>
          <w:bCs/>
          <w:color w:val="000000"/>
          <w:w w:val="80"/>
          <w:szCs w:val="26"/>
        </w:rPr>
        <w:t xml:space="preserve"> </w:t>
      </w:r>
      <w:r>
        <w:rPr>
          <w:rFonts w:ascii="Segoe UI Semibold" w:hAnsi="Segoe UI Semibold"/>
          <w:b/>
          <w:bCs/>
          <w:color w:val="000000"/>
          <w:w w:val="80"/>
          <w:szCs w:val="26"/>
        </w:rPr>
        <w:br/>
      </w:r>
      <w:r w:rsidRPr="007B1682">
        <w:rPr>
          <w:rFonts w:ascii="Segoe UI Semibold" w:hAnsi="Segoe UI Semibold"/>
          <w:b/>
          <w:bCs/>
          <w:color w:val="000000"/>
          <w:w w:val="80"/>
          <w:szCs w:val="26"/>
        </w:rPr>
        <w:t>sadalījumā pa izglītības tematiskajām grupām</w:t>
      </w:r>
      <w:r>
        <w:rPr>
          <w:rFonts w:ascii="Segoe UI Semibold" w:hAnsi="Segoe UI Semibold"/>
          <w:b/>
          <w:bCs/>
          <w:color w:val="000000"/>
          <w:w w:val="80"/>
          <w:szCs w:val="26"/>
        </w:rPr>
        <w:br/>
      </w:r>
      <w:r w:rsidR="00B82CAF" w:rsidRPr="007B1682">
        <w:rPr>
          <w:rFonts w:ascii="Segoe UI Semibold" w:hAnsi="Segoe UI Semibold"/>
          <w:bCs/>
          <w:color w:val="000000"/>
          <w:w w:val="80"/>
          <w:sz w:val="20"/>
        </w:rPr>
        <w:t>procentos, pieprasījums pret piedāvājumu</w:t>
      </w:r>
      <w:r w:rsidR="00B82CAF">
        <w:rPr>
          <w:rFonts w:ascii="Segoe UI Semibold" w:hAnsi="Segoe UI Semibold"/>
          <w:bCs/>
          <w:color w:val="000000"/>
          <w:w w:val="80"/>
          <w:sz w:val="20"/>
        </w:rPr>
        <w:t xml:space="preserve"> 2022.gadā</w:t>
      </w:r>
    </w:p>
    <w:p w14:paraId="402C765F" w14:textId="77777777" w:rsidR="00A11205" w:rsidRDefault="00BA2886" w:rsidP="00655888">
      <w:pPr>
        <w:spacing w:after="240"/>
        <w:rPr>
          <w:bCs/>
          <w:iCs/>
          <w:szCs w:val="24"/>
        </w:rPr>
      </w:pPr>
      <w:r>
        <w:rPr>
          <w:rFonts w:ascii="Segoe UI Semibold" w:hAnsi="Segoe UI Semibold"/>
          <w:bCs/>
          <w:iCs/>
          <w:noProof/>
          <w:w w:val="80"/>
          <w:szCs w:val="26"/>
          <w:lang w:eastAsia="lv-LV"/>
        </w:rPr>
        <w:drawing>
          <wp:inline distT="0" distB="0" distL="0" distR="0" wp14:anchorId="7A62A551" wp14:editId="356D0CD6">
            <wp:extent cx="5760085" cy="2160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TableGrid"/>
        <w:tblW w:w="8476"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3"/>
        <w:gridCol w:w="992"/>
        <w:gridCol w:w="1422"/>
        <w:gridCol w:w="1134"/>
        <w:gridCol w:w="704"/>
        <w:gridCol w:w="1276"/>
        <w:gridCol w:w="963"/>
      </w:tblGrid>
      <w:tr w:rsidR="00A11205" w14:paraId="04194AB4" w14:textId="77777777" w:rsidTr="004C43CE">
        <w:trPr>
          <w:cantSplit/>
          <w:trHeight w:val="1868"/>
        </w:trPr>
        <w:tc>
          <w:tcPr>
            <w:tcW w:w="992" w:type="dxa"/>
            <w:textDirection w:val="btLr"/>
          </w:tcPr>
          <w:p w14:paraId="04C5F7A7" w14:textId="77777777" w:rsidR="00A11205" w:rsidRDefault="00A11205" w:rsidP="006C7108">
            <w:pPr>
              <w:ind w:left="113" w:right="113"/>
              <w:rPr>
                <w:rFonts w:ascii="Segoe UI Semibold" w:hAnsi="Segoe UI Semibold"/>
                <w:bCs/>
                <w:iCs/>
                <w:w w:val="80"/>
                <w:szCs w:val="26"/>
              </w:rPr>
            </w:pPr>
            <w:r>
              <w:rPr>
                <w:rFonts w:ascii="Segoe UI Semibold" w:hAnsi="Segoe UI Semibold"/>
                <w:bCs/>
                <w:iCs/>
                <w:w w:val="80"/>
                <w:szCs w:val="26"/>
              </w:rPr>
              <w:t>Izglītība</w:t>
            </w:r>
          </w:p>
        </w:tc>
        <w:tc>
          <w:tcPr>
            <w:tcW w:w="993" w:type="dxa"/>
            <w:textDirection w:val="btLr"/>
          </w:tcPr>
          <w:p w14:paraId="39BA7824" w14:textId="77777777" w:rsidR="00A11205" w:rsidRDefault="00A11205" w:rsidP="006C7108">
            <w:pPr>
              <w:ind w:left="113" w:right="113"/>
              <w:rPr>
                <w:rFonts w:ascii="Segoe UI Semibold" w:hAnsi="Segoe UI Semibold"/>
                <w:bCs/>
                <w:iCs/>
                <w:w w:val="80"/>
                <w:szCs w:val="26"/>
              </w:rPr>
            </w:pPr>
            <w:r>
              <w:rPr>
                <w:rFonts w:ascii="Segoe UI Semibold" w:hAnsi="Segoe UI Semibold"/>
                <w:bCs/>
                <w:iCs/>
                <w:w w:val="80"/>
                <w:szCs w:val="26"/>
              </w:rPr>
              <w:t>Humanitārās zinātnes un māksla</w:t>
            </w:r>
          </w:p>
        </w:tc>
        <w:tc>
          <w:tcPr>
            <w:tcW w:w="992" w:type="dxa"/>
            <w:textDirection w:val="btLr"/>
          </w:tcPr>
          <w:p w14:paraId="419FD8F1" w14:textId="77777777" w:rsidR="00A11205" w:rsidRDefault="00A11205" w:rsidP="006C7108">
            <w:pPr>
              <w:ind w:left="113" w:right="113"/>
              <w:rPr>
                <w:rFonts w:ascii="Segoe UI Semibold" w:hAnsi="Segoe UI Semibold"/>
                <w:bCs/>
                <w:iCs/>
                <w:w w:val="80"/>
                <w:szCs w:val="26"/>
              </w:rPr>
            </w:pPr>
            <w:r>
              <w:rPr>
                <w:rFonts w:ascii="Segoe UI Semibold" w:hAnsi="Segoe UI Semibold"/>
                <w:bCs/>
                <w:iCs/>
                <w:w w:val="80"/>
                <w:szCs w:val="26"/>
              </w:rPr>
              <w:t xml:space="preserve">Sociālās zinātnes,  </w:t>
            </w:r>
            <w:proofErr w:type="spellStart"/>
            <w:r>
              <w:rPr>
                <w:rFonts w:ascii="Segoe UI Semibold" w:hAnsi="Segoe UI Semibold"/>
                <w:bCs/>
                <w:iCs/>
                <w:w w:val="80"/>
                <w:szCs w:val="26"/>
              </w:rPr>
              <w:t>komerczinības</w:t>
            </w:r>
            <w:proofErr w:type="spellEnd"/>
            <w:r>
              <w:rPr>
                <w:rFonts w:ascii="Segoe UI Semibold" w:hAnsi="Segoe UI Semibold"/>
                <w:bCs/>
                <w:iCs/>
                <w:w w:val="80"/>
                <w:szCs w:val="26"/>
              </w:rPr>
              <w:t xml:space="preserve"> un tiesības</w:t>
            </w:r>
          </w:p>
        </w:tc>
        <w:tc>
          <w:tcPr>
            <w:tcW w:w="1422" w:type="dxa"/>
            <w:textDirection w:val="btLr"/>
          </w:tcPr>
          <w:p w14:paraId="2C52638D" w14:textId="77777777" w:rsidR="00A11205" w:rsidRDefault="00A11205" w:rsidP="006C7108">
            <w:pPr>
              <w:ind w:left="113" w:right="113"/>
              <w:rPr>
                <w:rFonts w:ascii="Segoe UI Semibold" w:hAnsi="Segoe UI Semibold"/>
                <w:bCs/>
                <w:iCs/>
                <w:w w:val="80"/>
                <w:szCs w:val="26"/>
              </w:rPr>
            </w:pPr>
            <w:r>
              <w:rPr>
                <w:rFonts w:ascii="Segoe UI Semibold" w:hAnsi="Segoe UI Semibold"/>
                <w:bCs/>
                <w:iCs/>
                <w:w w:val="80"/>
                <w:szCs w:val="26"/>
              </w:rPr>
              <w:t>Dabas zinātnes, matemātika un informācijas tehnoloģijas</w:t>
            </w:r>
          </w:p>
        </w:tc>
        <w:tc>
          <w:tcPr>
            <w:tcW w:w="1134" w:type="dxa"/>
            <w:textDirection w:val="btLr"/>
          </w:tcPr>
          <w:p w14:paraId="6FC1F56E" w14:textId="77777777" w:rsidR="00A11205" w:rsidRDefault="00A11205" w:rsidP="006C7108">
            <w:pPr>
              <w:ind w:left="113" w:right="113"/>
              <w:rPr>
                <w:rFonts w:ascii="Segoe UI Semibold" w:hAnsi="Segoe UI Semibold"/>
                <w:bCs/>
                <w:iCs/>
                <w:w w:val="80"/>
                <w:szCs w:val="26"/>
              </w:rPr>
            </w:pPr>
            <w:r>
              <w:rPr>
                <w:rFonts w:ascii="Segoe UI Semibold" w:hAnsi="Segoe UI Semibold"/>
                <w:bCs/>
                <w:iCs/>
                <w:w w:val="80"/>
                <w:szCs w:val="26"/>
              </w:rPr>
              <w:t>Inženierzinātnes, ražošana un būvniecība</w:t>
            </w:r>
          </w:p>
        </w:tc>
        <w:tc>
          <w:tcPr>
            <w:tcW w:w="704" w:type="dxa"/>
            <w:textDirection w:val="btLr"/>
          </w:tcPr>
          <w:p w14:paraId="7EF17BA9" w14:textId="77777777" w:rsidR="00A11205" w:rsidRDefault="00A11205" w:rsidP="006C7108">
            <w:pPr>
              <w:ind w:left="113" w:right="113"/>
              <w:rPr>
                <w:rFonts w:ascii="Segoe UI Semibold" w:hAnsi="Segoe UI Semibold"/>
                <w:bCs/>
                <w:iCs/>
                <w:w w:val="80"/>
                <w:szCs w:val="26"/>
              </w:rPr>
            </w:pPr>
            <w:r>
              <w:rPr>
                <w:rFonts w:ascii="Segoe UI Semibold" w:hAnsi="Segoe UI Semibold"/>
                <w:bCs/>
                <w:iCs/>
                <w:w w:val="80"/>
                <w:szCs w:val="26"/>
              </w:rPr>
              <w:t>Lauksaimniecība</w:t>
            </w:r>
          </w:p>
        </w:tc>
        <w:tc>
          <w:tcPr>
            <w:tcW w:w="1276" w:type="dxa"/>
            <w:textDirection w:val="btLr"/>
          </w:tcPr>
          <w:p w14:paraId="11220898" w14:textId="77777777" w:rsidR="00A11205" w:rsidRDefault="00A11205" w:rsidP="006C7108">
            <w:pPr>
              <w:ind w:left="113" w:right="113"/>
              <w:rPr>
                <w:rFonts w:ascii="Segoe UI Semibold" w:hAnsi="Segoe UI Semibold"/>
                <w:bCs/>
                <w:iCs/>
                <w:w w:val="80"/>
                <w:szCs w:val="26"/>
              </w:rPr>
            </w:pPr>
            <w:r>
              <w:rPr>
                <w:rFonts w:ascii="Segoe UI Semibold" w:hAnsi="Segoe UI Semibold"/>
                <w:bCs/>
                <w:iCs/>
                <w:w w:val="80"/>
                <w:szCs w:val="26"/>
              </w:rPr>
              <w:t>Veselības aprūpe un sociālā labklājība</w:t>
            </w:r>
          </w:p>
          <w:p w14:paraId="61B06EFB" w14:textId="77777777" w:rsidR="00A11205" w:rsidRDefault="00A11205" w:rsidP="006C7108">
            <w:pPr>
              <w:ind w:left="113" w:right="113"/>
              <w:rPr>
                <w:rFonts w:ascii="Segoe UI Semibold" w:hAnsi="Segoe UI Semibold"/>
                <w:bCs/>
                <w:iCs/>
                <w:w w:val="80"/>
                <w:szCs w:val="26"/>
              </w:rPr>
            </w:pPr>
          </w:p>
        </w:tc>
        <w:tc>
          <w:tcPr>
            <w:tcW w:w="963" w:type="dxa"/>
            <w:textDirection w:val="btLr"/>
          </w:tcPr>
          <w:p w14:paraId="489E8320" w14:textId="77777777" w:rsidR="00A11205" w:rsidRDefault="00A11205" w:rsidP="006C7108">
            <w:pPr>
              <w:ind w:left="113" w:right="113"/>
              <w:rPr>
                <w:rFonts w:ascii="Segoe UI Semibold" w:hAnsi="Segoe UI Semibold"/>
                <w:bCs/>
                <w:iCs/>
                <w:w w:val="80"/>
                <w:szCs w:val="26"/>
              </w:rPr>
            </w:pPr>
            <w:r>
              <w:rPr>
                <w:rFonts w:ascii="Segoe UI Semibold" w:hAnsi="Segoe UI Semibold"/>
                <w:bCs/>
                <w:iCs/>
                <w:w w:val="80"/>
                <w:szCs w:val="26"/>
              </w:rPr>
              <w:t>Pakalpojumi</w:t>
            </w:r>
          </w:p>
        </w:tc>
      </w:tr>
    </w:tbl>
    <w:p w14:paraId="59539A54" w14:textId="77777777" w:rsidR="00A11205" w:rsidRDefault="00B82CAF" w:rsidP="00DD6C86">
      <w:pPr>
        <w:spacing w:after="240"/>
        <w:ind w:firstLine="720"/>
        <w:rPr>
          <w:bCs/>
          <w:iCs/>
          <w:szCs w:val="24"/>
        </w:rPr>
      </w:pPr>
      <w:r w:rsidRPr="000C7B95">
        <w:rPr>
          <w:i/>
          <w:szCs w:val="24"/>
        </w:rPr>
        <w:t xml:space="preserve">Avots: EM informatīvais ziņojums, </w:t>
      </w:r>
      <w:r>
        <w:rPr>
          <w:i/>
          <w:szCs w:val="24"/>
        </w:rPr>
        <w:t>68</w:t>
      </w:r>
      <w:r w:rsidRPr="000C7B95">
        <w:rPr>
          <w:i/>
          <w:szCs w:val="24"/>
        </w:rPr>
        <w:t>.lpp</w:t>
      </w:r>
    </w:p>
    <w:p w14:paraId="77547888" w14:textId="77777777" w:rsidR="00B82CAF" w:rsidRDefault="00D42476" w:rsidP="00B82CAF">
      <w:pPr>
        <w:ind w:firstLine="720"/>
        <w:rPr>
          <w:bCs/>
          <w:iCs/>
          <w:szCs w:val="24"/>
        </w:rPr>
      </w:pPr>
      <w:r w:rsidRPr="00DD6C86">
        <w:rPr>
          <w:bCs/>
          <w:iCs/>
          <w:szCs w:val="24"/>
        </w:rPr>
        <w:t xml:space="preserve">Kā rāda </w:t>
      </w:r>
      <w:r w:rsidR="00DD6C86" w:rsidRPr="00DD6C86">
        <w:rPr>
          <w:bCs/>
          <w:iCs/>
          <w:szCs w:val="24"/>
        </w:rPr>
        <w:t>1.</w:t>
      </w:r>
      <w:r w:rsidR="00F5532E" w:rsidRPr="00DD6C86">
        <w:rPr>
          <w:bCs/>
          <w:iCs/>
          <w:szCs w:val="24"/>
        </w:rPr>
        <w:t>1</w:t>
      </w:r>
      <w:r w:rsidR="00F5532E">
        <w:rPr>
          <w:bCs/>
          <w:iCs/>
          <w:szCs w:val="24"/>
        </w:rPr>
        <w:t>4</w:t>
      </w:r>
      <w:r w:rsidR="00DD6C86" w:rsidRPr="00DD6C86">
        <w:rPr>
          <w:bCs/>
          <w:iCs/>
          <w:szCs w:val="24"/>
        </w:rPr>
        <w:t>.</w:t>
      </w:r>
      <w:r w:rsidRPr="00DD6C86">
        <w:rPr>
          <w:bCs/>
          <w:iCs/>
          <w:szCs w:val="24"/>
        </w:rPr>
        <w:t xml:space="preserve">attēla dati, saglabājoties esošai </w:t>
      </w:r>
      <w:r w:rsidR="00DD6C86" w:rsidRPr="00DD6C86">
        <w:rPr>
          <w:bCs/>
          <w:iCs/>
          <w:szCs w:val="24"/>
        </w:rPr>
        <w:t xml:space="preserve">darbaspēka </w:t>
      </w:r>
      <w:r w:rsidRPr="00DD6C86">
        <w:rPr>
          <w:bCs/>
          <w:iCs/>
          <w:szCs w:val="24"/>
        </w:rPr>
        <w:t xml:space="preserve">sagatavošanas intensitātei, būtiskākais darbaspēka pārpalikums </w:t>
      </w:r>
      <w:r w:rsidR="00DD6C86" w:rsidRPr="00DD6C86">
        <w:rPr>
          <w:bCs/>
          <w:iCs/>
          <w:szCs w:val="24"/>
        </w:rPr>
        <w:t xml:space="preserve">ar </w:t>
      </w:r>
      <w:r w:rsidRPr="00DD6C86">
        <w:rPr>
          <w:b/>
          <w:bCs/>
          <w:iCs/>
          <w:szCs w:val="24"/>
        </w:rPr>
        <w:t>augstāk</w:t>
      </w:r>
      <w:r w:rsidR="00DD6C86" w:rsidRPr="00DD6C86">
        <w:rPr>
          <w:b/>
          <w:bCs/>
          <w:iCs/>
          <w:szCs w:val="24"/>
        </w:rPr>
        <w:t>o</w:t>
      </w:r>
      <w:r w:rsidRPr="00DD6C86">
        <w:rPr>
          <w:b/>
          <w:bCs/>
          <w:iCs/>
          <w:szCs w:val="24"/>
        </w:rPr>
        <w:t xml:space="preserve"> izglītīb</w:t>
      </w:r>
      <w:r w:rsidR="00DD6C86" w:rsidRPr="00DD6C86">
        <w:rPr>
          <w:b/>
          <w:bCs/>
          <w:iCs/>
          <w:szCs w:val="24"/>
        </w:rPr>
        <w:t>u</w:t>
      </w:r>
      <w:r w:rsidRPr="00DD6C86">
        <w:rPr>
          <w:b/>
          <w:bCs/>
          <w:iCs/>
          <w:szCs w:val="24"/>
        </w:rPr>
        <w:t xml:space="preserve"> </w:t>
      </w:r>
      <w:r w:rsidRPr="00DD6C86">
        <w:rPr>
          <w:bCs/>
          <w:iCs/>
          <w:szCs w:val="24"/>
        </w:rPr>
        <w:t xml:space="preserve">sagaidāms </w:t>
      </w:r>
      <w:r w:rsidR="00B82CAF" w:rsidRPr="001D6904">
        <w:rPr>
          <w:bCs/>
          <w:iCs/>
          <w:color w:val="000000" w:themeColor="text1"/>
          <w:szCs w:val="26"/>
        </w:rPr>
        <w:t xml:space="preserve">starp iedzīvotājiem ar </w:t>
      </w:r>
      <w:r w:rsidR="00B82CAF" w:rsidRPr="001D6904">
        <w:rPr>
          <w:bCs/>
          <w:iCs/>
          <w:color w:val="000000" w:themeColor="text1"/>
          <w:szCs w:val="26"/>
        </w:rPr>
        <w:lastRenderedPageBreak/>
        <w:t>izglītību pedagogu izglītības jomā.</w:t>
      </w:r>
      <w:r w:rsidR="00B82CAF">
        <w:rPr>
          <w:bCs/>
          <w:iCs/>
          <w:color w:val="000000" w:themeColor="text1"/>
          <w:szCs w:val="26"/>
        </w:rPr>
        <w:t xml:space="preserve"> </w:t>
      </w:r>
      <w:r w:rsidR="00B82CAF" w:rsidRPr="001D6904">
        <w:rPr>
          <w:bCs/>
          <w:iCs/>
          <w:color w:val="000000" w:themeColor="text1"/>
          <w:szCs w:val="26"/>
        </w:rPr>
        <w:t>Darbaspēka pārpalikums ar izglītību pedagogu izglītības jomā 2022. gadā varētu pārsniegt pat 10 procentus.</w:t>
      </w:r>
      <w:r w:rsidR="00B82CAF">
        <w:rPr>
          <w:bCs/>
          <w:iCs/>
          <w:color w:val="000000" w:themeColor="text1"/>
          <w:szCs w:val="26"/>
        </w:rPr>
        <w:t xml:space="preserve"> </w:t>
      </w:r>
      <w:r w:rsidR="00B82CAF" w:rsidRPr="001D6904">
        <w:rPr>
          <w:bCs/>
          <w:iCs/>
          <w:color w:val="000000" w:themeColor="text1"/>
          <w:szCs w:val="26"/>
        </w:rPr>
        <w:t>Nozīmīgs darbaspēka piedāvājuma pārsvars pār pieprasījumu būs vērojams arī pakalpojumu, humanitārajās zinībās, kā arī sociālajās, komerc</w:t>
      </w:r>
      <w:r w:rsidR="00B82CAF">
        <w:rPr>
          <w:bCs/>
          <w:iCs/>
          <w:color w:val="000000" w:themeColor="text1"/>
          <w:szCs w:val="26"/>
        </w:rPr>
        <w:t>iālajās</w:t>
      </w:r>
      <w:r w:rsidR="00B82CAF" w:rsidRPr="001D6904">
        <w:rPr>
          <w:bCs/>
          <w:iCs/>
          <w:color w:val="000000" w:themeColor="text1"/>
          <w:szCs w:val="26"/>
        </w:rPr>
        <w:t xml:space="preserve"> un tiesību zinībās</w:t>
      </w:r>
      <w:r w:rsidR="00B82CAF">
        <w:rPr>
          <w:bCs/>
          <w:iCs/>
          <w:color w:val="000000" w:themeColor="text1"/>
          <w:szCs w:val="26"/>
        </w:rPr>
        <w:t xml:space="preserve">. </w:t>
      </w:r>
      <w:r w:rsidR="00B82CAF" w:rsidRPr="001D6904">
        <w:rPr>
          <w:bCs/>
          <w:iCs/>
          <w:color w:val="000000" w:themeColor="text1"/>
          <w:szCs w:val="26"/>
        </w:rPr>
        <w:t xml:space="preserve">Savukārt citās izglītības jomās var nākties saskarties ar nepieciešamo speciālistu iztrūkumu. Visātrāk tas varētu izpausties dabaszinātņu, matemātikas un informācijas tehnoloģiju grupā. </w:t>
      </w:r>
      <w:r w:rsidR="00782434" w:rsidRPr="00DD6C86">
        <w:rPr>
          <w:bCs/>
          <w:iCs/>
          <w:szCs w:val="24"/>
        </w:rPr>
        <w:t xml:space="preserve">Izglītības tematiskajā grupā </w:t>
      </w:r>
      <w:r w:rsidR="00782434" w:rsidRPr="00DD6C86">
        <w:rPr>
          <w:bCs/>
          <w:i/>
          <w:iCs/>
          <w:szCs w:val="24"/>
        </w:rPr>
        <w:t>Dabaszinātnes, matemātika un informācijas tehnoloģijas</w:t>
      </w:r>
      <w:r w:rsidR="00782434" w:rsidRPr="00DD6C86">
        <w:rPr>
          <w:bCs/>
          <w:iCs/>
          <w:szCs w:val="24"/>
        </w:rPr>
        <w:t xml:space="preserve"> </w:t>
      </w:r>
      <w:r w:rsidR="00782434">
        <w:rPr>
          <w:bCs/>
          <w:iCs/>
          <w:szCs w:val="24"/>
        </w:rPr>
        <w:t xml:space="preserve">uz 2022.gadu </w:t>
      </w:r>
      <w:r w:rsidR="00782434" w:rsidRPr="00DD6C86">
        <w:rPr>
          <w:bCs/>
          <w:iCs/>
          <w:szCs w:val="24"/>
        </w:rPr>
        <w:t xml:space="preserve">darbaspēka pieprasījums pārsniegs piedāvājumu par </w:t>
      </w:r>
      <w:r w:rsidR="00782434">
        <w:rPr>
          <w:bCs/>
          <w:iCs/>
          <w:szCs w:val="24"/>
        </w:rPr>
        <w:t>33</w:t>
      </w:r>
      <w:r w:rsidR="00782434" w:rsidRPr="00DD6C86">
        <w:rPr>
          <w:bCs/>
          <w:iCs/>
          <w:szCs w:val="24"/>
        </w:rPr>
        <w:t xml:space="preserve"> %, savukārt izglītības tematiskajā grupā </w:t>
      </w:r>
      <w:r w:rsidR="00782434" w:rsidRPr="00DD6C86">
        <w:rPr>
          <w:bCs/>
          <w:i/>
          <w:iCs/>
          <w:szCs w:val="24"/>
        </w:rPr>
        <w:t>Inženierzinātnes, ražošana un būvniecība</w:t>
      </w:r>
      <w:r w:rsidR="00782434" w:rsidRPr="00DD6C86">
        <w:rPr>
          <w:bCs/>
          <w:iCs/>
          <w:szCs w:val="24"/>
        </w:rPr>
        <w:t xml:space="preserve"> pieprasījums pārsniegs piedāvājumu par 1</w:t>
      </w:r>
      <w:r w:rsidR="00782434">
        <w:rPr>
          <w:bCs/>
          <w:iCs/>
          <w:szCs w:val="24"/>
        </w:rPr>
        <w:t>8</w:t>
      </w:r>
      <w:r w:rsidR="00782434" w:rsidRPr="00DD6C86">
        <w:rPr>
          <w:bCs/>
          <w:iCs/>
          <w:szCs w:val="24"/>
        </w:rPr>
        <w:t xml:space="preserve"> %. </w:t>
      </w:r>
      <w:r w:rsidR="00B82CAF" w:rsidRPr="001D6904">
        <w:rPr>
          <w:bCs/>
          <w:iCs/>
          <w:color w:val="000000" w:themeColor="text1"/>
          <w:szCs w:val="26"/>
        </w:rPr>
        <w:t xml:space="preserve">Ja netiks mainīta izglītības </w:t>
      </w:r>
      <w:r w:rsidR="00E4711B">
        <w:rPr>
          <w:bCs/>
          <w:iCs/>
          <w:color w:val="000000" w:themeColor="text1"/>
          <w:szCs w:val="26"/>
        </w:rPr>
        <w:t xml:space="preserve">piedāvājuma </w:t>
      </w:r>
      <w:r w:rsidR="00B82CAF" w:rsidRPr="001D6904">
        <w:rPr>
          <w:bCs/>
          <w:iCs/>
          <w:color w:val="000000" w:themeColor="text1"/>
          <w:szCs w:val="26"/>
        </w:rPr>
        <w:t xml:space="preserve">struktūra, līdz 2022. gadam var veidoties iztrūkums pēc speciālistiem ar augstāko izglītību </w:t>
      </w:r>
      <w:r w:rsidR="00E4711B" w:rsidRPr="00E4711B">
        <w:rPr>
          <w:bCs/>
          <w:iCs/>
          <w:color w:val="000000" w:themeColor="text1"/>
          <w:szCs w:val="26"/>
        </w:rPr>
        <w:t>d</w:t>
      </w:r>
      <w:r w:rsidR="00E4711B" w:rsidRPr="00E4711B">
        <w:rPr>
          <w:bCs/>
          <w:iCs/>
          <w:szCs w:val="24"/>
        </w:rPr>
        <w:t>abaszinātnēs, matemātikā un informācijas tehnoloģijās,</w:t>
      </w:r>
      <w:r w:rsidR="00E4711B">
        <w:rPr>
          <w:bCs/>
          <w:i/>
          <w:iCs/>
          <w:szCs w:val="24"/>
        </w:rPr>
        <w:t xml:space="preserve"> </w:t>
      </w:r>
      <w:r w:rsidR="00B82CAF" w:rsidRPr="001D6904">
        <w:rPr>
          <w:bCs/>
          <w:iCs/>
          <w:color w:val="000000" w:themeColor="text1"/>
          <w:szCs w:val="26"/>
        </w:rPr>
        <w:t>inženierzinātnēs, ražošanā un būvniecībā, lauksaimniecībā, kā arī veselības aprūpē</w:t>
      </w:r>
      <w:r w:rsidR="00782434">
        <w:rPr>
          <w:bCs/>
          <w:iCs/>
          <w:color w:val="000000" w:themeColor="text1"/>
          <w:szCs w:val="26"/>
        </w:rPr>
        <w:t>.</w:t>
      </w:r>
    </w:p>
    <w:p w14:paraId="7EA0E872" w14:textId="77777777" w:rsidR="00B82CAF" w:rsidRPr="001D6904" w:rsidRDefault="00B82CAF" w:rsidP="00B82CAF">
      <w:pPr>
        <w:spacing w:after="240"/>
        <w:rPr>
          <w:bCs/>
          <w:iCs/>
          <w:color w:val="000000" w:themeColor="text1"/>
          <w:szCs w:val="26"/>
        </w:rPr>
      </w:pPr>
    </w:p>
    <w:p w14:paraId="7E02651B" w14:textId="77777777" w:rsidR="00012948" w:rsidRPr="00DD6C86" w:rsidRDefault="00012948" w:rsidP="00DD6C86">
      <w:pPr>
        <w:ind w:firstLine="720"/>
        <w:rPr>
          <w:szCs w:val="24"/>
        </w:rPr>
      </w:pPr>
      <w:r w:rsidRPr="00DD6C86">
        <w:rPr>
          <w:szCs w:val="24"/>
        </w:rPr>
        <w:t>I</w:t>
      </w:r>
      <w:r w:rsidR="00D42476" w:rsidRPr="00DD6C86">
        <w:rPr>
          <w:szCs w:val="24"/>
        </w:rPr>
        <w:t xml:space="preserve">zvērtējot EM prognozēto darbaspēka </w:t>
      </w:r>
      <w:r w:rsidRPr="00DD6C86">
        <w:rPr>
          <w:szCs w:val="24"/>
        </w:rPr>
        <w:t xml:space="preserve">ar augstāko izglītību </w:t>
      </w:r>
      <w:r w:rsidR="00D42476" w:rsidRPr="00DD6C86">
        <w:rPr>
          <w:szCs w:val="24"/>
        </w:rPr>
        <w:t xml:space="preserve">piedāvājuma un pieprasījuma starpību </w:t>
      </w:r>
      <w:r w:rsidRPr="00DD6C86">
        <w:rPr>
          <w:szCs w:val="24"/>
        </w:rPr>
        <w:t xml:space="preserve">(absolūtā izteiksmē) </w:t>
      </w:r>
      <w:r w:rsidR="00D42476" w:rsidRPr="00DD6C86">
        <w:rPr>
          <w:szCs w:val="24"/>
        </w:rPr>
        <w:t>pa izglītības tematiskajām jomām (skat. 1.</w:t>
      </w:r>
      <w:r w:rsidR="002739DC">
        <w:rPr>
          <w:szCs w:val="24"/>
        </w:rPr>
        <w:t>5</w:t>
      </w:r>
      <w:r w:rsidR="00D42476" w:rsidRPr="00DD6C86">
        <w:rPr>
          <w:szCs w:val="24"/>
        </w:rPr>
        <w:t xml:space="preserve">.tabulu), secināms, ka uz </w:t>
      </w:r>
      <w:r w:rsidR="00B97BCA" w:rsidRPr="00DD6C86">
        <w:rPr>
          <w:szCs w:val="24"/>
        </w:rPr>
        <w:t>202</w:t>
      </w:r>
      <w:r w:rsidR="00B97BCA">
        <w:rPr>
          <w:szCs w:val="24"/>
        </w:rPr>
        <w:t>2</w:t>
      </w:r>
      <w:r w:rsidR="00D42476" w:rsidRPr="00DD6C86">
        <w:rPr>
          <w:szCs w:val="24"/>
        </w:rPr>
        <w:t>.gadu vislielākais darbaspēka iztrūkums prognozējams inženierzinātņu un tehnoloģiju jomā (</w:t>
      </w:r>
      <w:r w:rsidR="00B97BCA">
        <w:rPr>
          <w:szCs w:val="24"/>
        </w:rPr>
        <w:t>6 8</w:t>
      </w:r>
      <w:r w:rsidR="00B97BCA" w:rsidRPr="00DD6C86">
        <w:rPr>
          <w:szCs w:val="24"/>
        </w:rPr>
        <w:t xml:space="preserve">00 </w:t>
      </w:r>
      <w:r w:rsidR="00D42476" w:rsidRPr="00DD6C86">
        <w:rPr>
          <w:szCs w:val="24"/>
        </w:rPr>
        <w:t>speciālisti), datorikas jomā (3 </w:t>
      </w:r>
      <w:r w:rsidR="00B97BCA">
        <w:rPr>
          <w:szCs w:val="24"/>
        </w:rPr>
        <w:t>7</w:t>
      </w:r>
      <w:r w:rsidR="00B97BCA" w:rsidRPr="00DD6C86">
        <w:rPr>
          <w:szCs w:val="24"/>
        </w:rPr>
        <w:t xml:space="preserve">00 </w:t>
      </w:r>
      <w:r w:rsidR="00D42476" w:rsidRPr="00DD6C86">
        <w:rPr>
          <w:szCs w:val="24"/>
        </w:rPr>
        <w:t>speciālisti), kā arī veselības aprūpes jomā (3 </w:t>
      </w:r>
      <w:r w:rsidR="00B97BCA">
        <w:rPr>
          <w:szCs w:val="24"/>
        </w:rPr>
        <w:t>5</w:t>
      </w:r>
      <w:r w:rsidR="00B97BCA" w:rsidRPr="00DD6C86">
        <w:rPr>
          <w:szCs w:val="24"/>
        </w:rPr>
        <w:t xml:space="preserve">00 </w:t>
      </w:r>
      <w:r w:rsidR="00D42476" w:rsidRPr="00DD6C86">
        <w:rPr>
          <w:szCs w:val="24"/>
        </w:rPr>
        <w:t>speciālisti).</w:t>
      </w:r>
      <w:r w:rsidR="005B701C" w:rsidRPr="00DD6C86">
        <w:rPr>
          <w:szCs w:val="24"/>
        </w:rPr>
        <w:t xml:space="preserve"> Jāatzīmē, ka minēto jomu speciālistu sagatavošanu sekmēs 8.1.1. SAM īstenošana.</w:t>
      </w:r>
    </w:p>
    <w:p w14:paraId="3CEDBB37" w14:textId="77777777" w:rsidR="00820F72" w:rsidRPr="00834B53" w:rsidRDefault="00D42476">
      <w:pPr>
        <w:ind w:firstLine="567"/>
        <w:rPr>
          <w:szCs w:val="24"/>
        </w:rPr>
      </w:pPr>
      <w:r w:rsidRPr="00834B53">
        <w:rPr>
          <w:szCs w:val="24"/>
        </w:rPr>
        <w:t xml:space="preserve"> </w:t>
      </w:r>
    </w:p>
    <w:p w14:paraId="0733F0F2" w14:textId="77777777" w:rsidR="00D42476" w:rsidRPr="00D70E31" w:rsidRDefault="00D42476" w:rsidP="00D42476">
      <w:pPr>
        <w:pStyle w:val="ListParagraph"/>
        <w:spacing w:after="120"/>
        <w:jc w:val="right"/>
        <w:rPr>
          <w:bCs/>
          <w:szCs w:val="24"/>
        </w:rPr>
      </w:pPr>
      <w:r w:rsidRPr="00D70E31">
        <w:rPr>
          <w:bCs/>
          <w:szCs w:val="24"/>
        </w:rPr>
        <w:t>1.</w:t>
      </w:r>
      <w:r w:rsidR="00191DA2">
        <w:rPr>
          <w:bCs/>
          <w:szCs w:val="24"/>
        </w:rPr>
        <w:t>5</w:t>
      </w:r>
      <w:r w:rsidRPr="00D70E31">
        <w:rPr>
          <w:bCs/>
          <w:szCs w:val="24"/>
        </w:rPr>
        <w:t>.tabula</w:t>
      </w:r>
    </w:p>
    <w:p w14:paraId="6EAF1DB9" w14:textId="77777777" w:rsidR="00D42476" w:rsidRPr="00A86303" w:rsidRDefault="00D42476" w:rsidP="00D42476">
      <w:pPr>
        <w:spacing w:after="120"/>
        <w:ind w:firstLine="567"/>
        <w:jc w:val="center"/>
        <w:rPr>
          <w:i/>
          <w:szCs w:val="26"/>
        </w:rPr>
      </w:pPr>
      <w:r w:rsidRPr="00A86303">
        <w:rPr>
          <w:b/>
          <w:bCs/>
          <w:i/>
          <w:sz w:val="23"/>
          <w:szCs w:val="23"/>
        </w:rPr>
        <w:t>Darbaspēka piedāvājuma un pieprasījuma starpība pa izglītības</w:t>
      </w:r>
      <w:r>
        <w:rPr>
          <w:b/>
          <w:bCs/>
          <w:i/>
          <w:sz w:val="23"/>
          <w:szCs w:val="23"/>
        </w:rPr>
        <w:t xml:space="preserve"> tematiskajām</w:t>
      </w:r>
      <w:r w:rsidRPr="00A86303">
        <w:rPr>
          <w:b/>
          <w:bCs/>
          <w:i/>
          <w:sz w:val="23"/>
          <w:szCs w:val="23"/>
        </w:rPr>
        <w:t xml:space="preserve"> jomām </w:t>
      </w:r>
      <w:r w:rsidR="00C60B66" w:rsidRPr="00A86303">
        <w:rPr>
          <w:b/>
          <w:bCs/>
          <w:i/>
          <w:sz w:val="23"/>
          <w:szCs w:val="23"/>
        </w:rPr>
        <w:t>202</w:t>
      </w:r>
      <w:r w:rsidR="00C60B66">
        <w:rPr>
          <w:b/>
          <w:bCs/>
          <w:i/>
          <w:sz w:val="23"/>
          <w:szCs w:val="23"/>
        </w:rPr>
        <w:t>2</w:t>
      </w:r>
      <w:r w:rsidRPr="00A86303">
        <w:rPr>
          <w:b/>
          <w:bCs/>
          <w:i/>
          <w:sz w:val="23"/>
          <w:szCs w:val="23"/>
        </w:rPr>
        <w:t xml:space="preserve">.gadā, </w:t>
      </w:r>
      <w:r w:rsidRPr="00A86303">
        <w:rPr>
          <w:b/>
          <w:bCs/>
          <w:i/>
          <w:sz w:val="20"/>
        </w:rPr>
        <w:t>tūkstošos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5734"/>
        <w:gridCol w:w="2218"/>
      </w:tblGrid>
      <w:tr w:rsidR="006C7F3A" w:rsidRPr="00EB1420" w14:paraId="282D75DB" w14:textId="77777777" w:rsidTr="006C7F3A">
        <w:trPr>
          <w:trHeight w:val="93"/>
        </w:trPr>
        <w:tc>
          <w:tcPr>
            <w:tcW w:w="612" w:type="pct"/>
          </w:tcPr>
          <w:p w14:paraId="4F1429AF" w14:textId="77777777" w:rsidR="006C7F3A" w:rsidRPr="00EB1420" w:rsidRDefault="006C7F3A" w:rsidP="006C7F3A">
            <w:pPr>
              <w:pStyle w:val="Default"/>
              <w:jc w:val="center"/>
              <w:rPr>
                <w:sz w:val="20"/>
                <w:szCs w:val="20"/>
              </w:rPr>
            </w:pPr>
            <w:r w:rsidRPr="00EB1420">
              <w:rPr>
                <w:bCs/>
                <w:sz w:val="20"/>
                <w:szCs w:val="20"/>
              </w:rPr>
              <w:t>Kods</w:t>
            </w:r>
          </w:p>
        </w:tc>
        <w:tc>
          <w:tcPr>
            <w:tcW w:w="3164" w:type="pct"/>
          </w:tcPr>
          <w:p w14:paraId="538FF291" w14:textId="77777777" w:rsidR="006C7F3A" w:rsidRPr="001538A5" w:rsidRDefault="006C7F3A" w:rsidP="006C7F3A">
            <w:pPr>
              <w:pStyle w:val="Default"/>
              <w:jc w:val="center"/>
              <w:rPr>
                <w:bCs/>
                <w:sz w:val="20"/>
                <w:szCs w:val="20"/>
              </w:rPr>
            </w:pPr>
            <w:r w:rsidRPr="00821941">
              <w:rPr>
                <w:bCs/>
                <w:sz w:val="20"/>
                <w:szCs w:val="20"/>
              </w:rPr>
              <w:t>Izgl</w:t>
            </w:r>
            <w:r w:rsidRPr="001538A5">
              <w:rPr>
                <w:bCs/>
                <w:sz w:val="20"/>
                <w:szCs w:val="20"/>
              </w:rPr>
              <w:t>ītības tematiskās jomas</w:t>
            </w:r>
          </w:p>
          <w:p w14:paraId="54599644" w14:textId="77777777" w:rsidR="006C7F3A" w:rsidRPr="00940DD0" w:rsidRDefault="006C7F3A" w:rsidP="006C7F3A">
            <w:pPr>
              <w:pStyle w:val="Default"/>
              <w:jc w:val="center"/>
              <w:rPr>
                <w:sz w:val="20"/>
                <w:szCs w:val="20"/>
              </w:rPr>
            </w:pPr>
          </w:p>
        </w:tc>
        <w:tc>
          <w:tcPr>
            <w:tcW w:w="1224" w:type="pct"/>
          </w:tcPr>
          <w:p w14:paraId="0BE696A2" w14:textId="77777777" w:rsidR="006C7F3A" w:rsidRPr="00940DD0" w:rsidRDefault="006C7F3A" w:rsidP="006C7F3A">
            <w:pPr>
              <w:pStyle w:val="Default"/>
              <w:jc w:val="center"/>
              <w:rPr>
                <w:sz w:val="20"/>
                <w:szCs w:val="20"/>
              </w:rPr>
            </w:pPr>
            <w:r w:rsidRPr="00940DD0">
              <w:rPr>
                <w:bCs/>
                <w:sz w:val="20"/>
                <w:szCs w:val="20"/>
              </w:rPr>
              <w:t>Augstākā izglītība</w:t>
            </w:r>
          </w:p>
        </w:tc>
      </w:tr>
      <w:tr w:rsidR="006C7F3A" w14:paraId="5577DE8C" w14:textId="77777777" w:rsidTr="006C7F3A">
        <w:trPr>
          <w:trHeight w:val="93"/>
        </w:trPr>
        <w:tc>
          <w:tcPr>
            <w:tcW w:w="3776" w:type="pct"/>
            <w:gridSpan w:val="2"/>
          </w:tcPr>
          <w:p w14:paraId="730F2474" w14:textId="77777777" w:rsidR="006C7F3A" w:rsidRPr="00D54E0D" w:rsidRDefault="006C7F3A" w:rsidP="00AE7FDF">
            <w:pPr>
              <w:pStyle w:val="Default"/>
              <w:rPr>
                <w:sz w:val="20"/>
                <w:szCs w:val="20"/>
              </w:rPr>
            </w:pPr>
            <w:r w:rsidRPr="00D54E0D">
              <w:rPr>
                <w:bCs/>
                <w:sz w:val="20"/>
                <w:szCs w:val="20"/>
              </w:rPr>
              <w:t xml:space="preserve">Kopā </w:t>
            </w:r>
          </w:p>
        </w:tc>
        <w:tc>
          <w:tcPr>
            <w:tcW w:w="1224" w:type="pct"/>
          </w:tcPr>
          <w:p w14:paraId="26F66470" w14:textId="77777777" w:rsidR="00BA2886" w:rsidRPr="007A37DE" w:rsidRDefault="00C60B66" w:rsidP="007A37DE">
            <w:pPr>
              <w:pStyle w:val="Default"/>
              <w:jc w:val="center"/>
              <w:rPr>
                <w:bCs/>
                <w:sz w:val="20"/>
                <w:szCs w:val="20"/>
              </w:rPr>
            </w:pPr>
            <w:r>
              <w:rPr>
                <w:bCs/>
                <w:sz w:val="20"/>
                <w:szCs w:val="20"/>
              </w:rPr>
              <w:t>-2,9</w:t>
            </w:r>
          </w:p>
        </w:tc>
      </w:tr>
      <w:tr w:rsidR="006C7F3A" w14:paraId="1ECA8DB5" w14:textId="77777777" w:rsidTr="006C7F3A">
        <w:trPr>
          <w:trHeight w:val="93"/>
        </w:trPr>
        <w:tc>
          <w:tcPr>
            <w:tcW w:w="612" w:type="pct"/>
          </w:tcPr>
          <w:p w14:paraId="72A19419" w14:textId="77777777" w:rsidR="006C7F3A" w:rsidRPr="00D54E0D" w:rsidRDefault="006C7F3A" w:rsidP="00AE7FDF">
            <w:pPr>
              <w:pStyle w:val="Default"/>
              <w:rPr>
                <w:sz w:val="20"/>
                <w:szCs w:val="20"/>
              </w:rPr>
            </w:pPr>
            <w:r w:rsidRPr="00D54E0D">
              <w:rPr>
                <w:bCs/>
                <w:sz w:val="20"/>
                <w:szCs w:val="20"/>
              </w:rPr>
              <w:t xml:space="preserve">14 </w:t>
            </w:r>
          </w:p>
        </w:tc>
        <w:tc>
          <w:tcPr>
            <w:tcW w:w="3164" w:type="pct"/>
          </w:tcPr>
          <w:p w14:paraId="3BBB6ADC" w14:textId="77777777" w:rsidR="006C7F3A" w:rsidRPr="00D54E0D" w:rsidRDefault="006C7F3A" w:rsidP="00AE7FDF">
            <w:pPr>
              <w:pStyle w:val="Default"/>
              <w:rPr>
                <w:sz w:val="20"/>
                <w:szCs w:val="20"/>
              </w:rPr>
            </w:pPr>
            <w:r w:rsidRPr="00D54E0D">
              <w:rPr>
                <w:bCs/>
                <w:sz w:val="20"/>
                <w:szCs w:val="20"/>
              </w:rPr>
              <w:t xml:space="preserve">Pedagogu izglītība un izglītības zinātnes </w:t>
            </w:r>
          </w:p>
        </w:tc>
        <w:tc>
          <w:tcPr>
            <w:tcW w:w="1224" w:type="pct"/>
          </w:tcPr>
          <w:p w14:paraId="1FFF436E" w14:textId="77777777" w:rsidR="00BA2886" w:rsidRDefault="00C60B66">
            <w:pPr>
              <w:pStyle w:val="Default"/>
              <w:jc w:val="center"/>
              <w:rPr>
                <w:rFonts w:eastAsia="Times New Roman"/>
                <w:sz w:val="20"/>
                <w:szCs w:val="20"/>
                <w:lang w:eastAsia="en-US"/>
              </w:rPr>
            </w:pPr>
            <w:r w:rsidRPr="00C60B66">
              <w:rPr>
                <w:bCs/>
                <w:sz w:val="20"/>
                <w:szCs w:val="20"/>
              </w:rPr>
              <w:t>5,0</w:t>
            </w:r>
          </w:p>
        </w:tc>
      </w:tr>
      <w:tr w:rsidR="00C60B66" w14:paraId="48B4BAED" w14:textId="77777777" w:rsidTr="006C7108">
        <w:trPr>
          <w:trHeight w:val="93"/>
        </w:trPr>
        <w:tc>
          <w:tcPr>
            <w:tcW w:w="612" w:type="pct"/>
          </w:tcPr>
          <w:p w14:paraId="5BAB1BD0" w14:textId="77777777" w:rsidR="00C60B66" w:rsidRPr="00D54E0D" w:rsidRDefault="00C60B66" w:rsidP="00C60B66">
            <w:pPr>
              <w:pStyle w:val="Default"/>
              <w:rPr>
                <w:sz w:val="20"/>
                <w:szCs w:val="20"/>
              </w:rPr>
            </w:pPr>
            <w:r w:rsidRPr="00D54E0D">
              <w:rPr>
                <w:bCs/>
                <w:sz w:val="20"/>
                <w:szCs w:val="20"/>
              </w:rPr>
              <w:t xml:space="preserve">21 </w:t>
            </w:r>
          </w:p>
        </w:tc>
        <w:tc>
          <w:tcPr>
            <w:tcW w:w="3164" w:type="pct"/>
          </w:tcPr>
          <w:p w14:paraId="4E56EA35" w14:textId="77777777" w:rsidR="00C60B66" w:rsidRPr="00D54E0D" w:rsidRDefault="00C60B66" w:rsidP="00C60B66">
            <w:pPr>
              <w:pStyle w:val="Default"/>
              <w:rPr>
                <w:sz w:val="20"/>
                <w:szCs w:val="20"/>
              </w:rPr>
            </w:pPr>
            <w:r w:rsidRPr="00D54E0D">
              <w:rPr>
                <w:bCs/>
                <w:sz w:val="20"/>
                <w:szCs w:val="20"/>
              </w:rPr>
              <w:t xml:space="preserve">Mākslas </w:t>
            </w:r>
          </w:p>
        </w:tc>
        <w:tc>
          <w:tcPr>
            <w:tcW w:w="1224" w:type="pct"/>
            <w:vAlign w:val="bottom"/>
          </w:tcPr>
          <w:p w14:paraId="7763BF74" w14:textId="77777777" w:rsidR="00BA2886" w:rsidRDefault="001079A9">
            <w:pPr>
              <w:pStyle w:val="Default"/>
              <w:jc w:val="center"/>
              <w:rPr>
                <w:rFonts w:eastAsia="Times New Roman"/>
                <w:sz w:val="20"/>
                <w:szCs w:val="20"/>
                <w:lang w:eastAsia="en-US"/>
              </w:rPr>
            </w:pPr>
            <w:r w:rsidRPr="001079A9">
              <w:rPr>
                <w:w w:val="80"/>
                <w:sz w:val="20"/>
                <w:szCs w:val="18"/>
              </w:rPr>
              <w:t>0,8</w:t>
            </w:r>
          </w:p>
        </w:tc>
      </w:tr>
      <w:tr w:rsidR="00C60B66" w14:paraId="34FAE354" w14:textId="77777777" w:rsidTr="006C7108">
        <w:trPr>
          <w:trHeight w:val="93"/>
        </w:trPr>
        <w:tc>
          <w:tcPr>
            <w:tcW w:w="612" w:type="pct"/>
          </w:tcPr>
          <w:p w14:paraId="5874049E" w14:textId="77777777" w:rsidR="00C60B66" w:rsidRPr="00D54E0D" w:rsidRDefault="00C60B66" w:rsidP="00C60B66">
            <w:pPr>
              <w:pStyle w:val="Default"/>
              <w:rPr>
                <w:sz w:val="20"/>
                <w:szCs w:val="20"/>
              </w:rPr>
            </w:pPr>
            <w:r w:rsidRPr="00D54E0D">
              <w:rPr>
                <w:bCs/>
                <w:sz w:val="20"/>
                <w:szCs w:val="20"/>
              </w:rPr>
              <w:t xml:space="preserve">22 </w:t>
            </w:r>
          </w:p>
        </w:tc>
        <w:tc>
          <w:tcPr>
            <w:tcW w:w="3164" w:type="pct"/>
          </w:tcPr>
          <w:p w14:paraId="75E1F82A" w14:textId="77777777" w:rsidR="00C60B66" w:rsidRPr="00D54E0D" w:rsidRDefault="00C60B66" w:rsidP="00C60B66">
            <w:pPr>
              <w:pStyle w:val="Default"/>
              <w:rPr>
                <w:sz w:val="20"/>
                <w:szCs w:val="20"/>
              </w:rPr>
            </w:pPr>
            <w:r w:rsidRPr="00D54E0D">
              <w:rPr>
                <w:bCs/>
                <w:sz w:val="20"/>
                <w:szCs w:val="20"/>
              </w:rPr>
              <w:t xml:space="preserve">Humanitārās zinātnes </w:t>
            </w:r>
          </w:p>
        </w:tc>
        <w:tc>
          <w:tcPr>
            <w:tcW w:w="1224" w:type="pct"/>
            <w:vAlign w:val="bottom"/>
          </w:tcPr>
          <w:p w14:paraId="78FA4A22" w14:textId="77777777" w:rsidR="00BA2886" w:rsidRDefault="001079A9">
            <w:pPr>
              <w:pStyle w:val="Default"/>
              <w:jc w:val="center"/>
              <w:rPr>
                <w:rFonts w:eastAsia="Times New Roman"/>
                <w:sz w:val="20"/>
                <w:szCs w:val="20"/>
                <w:lang w:eastAsia="en-US"/>
              </w:rPr>
            </w:pPr>
            <w:r w:rsidRPr="001079A9">
              <w:rPr>
                <w:w w:val="80"/>
                <w:sz w:val="20"/>
                <w:szCs w:val="18"/>
              </w:rPr>
              <w:t>0,5</w:t>
            </w:r>
          </w:p>
        </w:tc>
      </w:tr>
      <w:tr w:rsidR="00C60B66" w14:paraId="41518271" w14:textId="77777777" w:rsidTr="006C7108">
        <w:trPr>
          <w:trHeight w:val="93"/>
        </w:trPr>
        <w:tc>
          <w:tcPr>
            <w:tcW w:w="612" w:type="pct"/>
          </w:tcPr>
          <w:p w14:paraId="17EFD36D" w14:textId="77777777" w:rsidR="00C60B66" w:rsidRPr="00D54E0D" w:rsidRDefault="00C60B66" w:rsidP="00C60B66">
            <w:pPr>
              <w:pStyle w:val="Default"/>
              <w:rPr>
                <w:sz w:val="20"/>
                <w:szCs w:val="20"/>
              </w:rPr>
            </w:pPr>
            <w:r w:rsidRPr="00D54E0D">
              <w:rPr>
                <w:bCs/>
                <w:sz w:val="20"/>
                <w:szCs w:val="20"/>
              </w:rPr>
              <w:t xml:space="preserve">31 </w:t>
            </w:r>
          </w:p>
        </w:tc>
        <w:tc>
          <w:tcPr>
            <w:tcW w:w="3164" w:type="pct"/>
          </w:tcPr>
          <w:p w14:paraId="668EC221" w14:textId="77777777" w:rsidR="00C60B66" w:rsidRPr="00D54E0D" w:rsidRDefault="00C60B66" w:rsidP="00C60B66">
            <w:pPr>
              <w:pStyle w:val="Default"/>
              <w:rPr>
                <w:sz w:val="20"/>
                <w:szCs w:val="20"/>
              </w:rPr>
            </w:pPr>
            <w:r w:rsidRPr="00D54E0D">
              <w:rPr>
                <w:bCs/>
                <w:sz w:val="20"/>
                <w:szCs w:val="20"/>
              </w:rPr>
              <w:t xml:space="preserve">Sociālās un </w:t>
            </w:r>
            <w:proofErr w:type="spellStart"/>
            <w:r w:rsidRPr="00D54E0D">
              <w:rPr>
                <w:bCs/>
                <w:sz w:val="20"/>
                <w:szCs w:val="20"/>
              </w:rPr>
              <w:t>cilvēkrīcības</w:t>
            </w:r>
            <w:proofErr w:type="spellEnd"/>
            <w:r w:rsidRPr="00D54E0D">
              <w:rPr>
                <w:bCs/>
                <w:sz w:val="20"/>
                <w:szCs w:val="20"/>
              </w:rPr>
              <w:t xml:space="preserve"> zinātnes </w:t>
            </w:r>
          </w:p>
        </w:tc>
        <w:tc>
          <w:tcPr>
            <w:tcW w:w="1224" w:type="pct"/>
            <w:vAlign w:val="bottom"/>
          </w:tcPr>
          <w:p w14:paraId="0DBA5B69" w14:textId="77777777" w:rsidR="00BA2886" w:rsidRDefault="001079A9">
            <w:pPr>
              <w:pStyle w:val="Default"/>
              <w:jc w:val="center"/>
              <w:rPr>
                <w:rFonts w:eastAsia="Times New Roman"/>
                <w:sz w:val="20"/>
                <w:szCs w:val="20"/>
                <w:lang w:eastAsia="en-US"/>
              </w:rPr>
            </w:pPr>
            <w:r w:rsidRPr="001079A9">
              <w:rPr>
                <w:w w:val="80"/>
                <w:sz w:val="20"/>
                <w:szCs w:val="18"/>
              </w:rPr>
              <w:t>3,8</w:t>
            </w:r>
          </w:p>
        </w:tc>
      </w:tr>
      <w:tr w:rsidR="00C60B66" w14:paraId="1B398F54" w14:textId="77777777" w:rsidTr="006C7108">
        <w:trPr>
          <w:trHeight w:val="93"/>
        </w:trPr>
        <w:tc>
          <w:tcPr>
            <w:tcW w:w="612" w:type="pct"/>
          </w:tcPr>
          <w:p w14:paraId="6F0604D6" w14:textId="77777777" w:rsidR="00C60B66" w:rsidRPr="00D54E0D" w:rsidRDefault="00C60B66" w:rsidP="00C60B66">
            <w:pPr>
              <w:pStyle w:val="Default"/>
              <w:rPr>
                <w:sz w:val="20"/>
                <w:szCs w:val="20"/>
              </w:rPr>
            </w:pPr>
            <w:r w:rsidRPr="00D54E0D">
              <w:rPr>
                <w:bCs/>
                <w:sz w:val="20"/>
                <w:szCs w:val="20"/>
              </w:rPr>
              <w:t xml:space="preserve">32 </w:t>
            </w:r>
          </w:p>
        </w:tc>
        <w:tc>
          <w:tcPr>
            <w:tcW w:w="3164" w:type="pct"/>
          </w:tcPr>
          <w:p w14:paraId="54F47323" w14:textId="77777777" w:rsidR="00C60B66" w:rsidRPr="00D54E0D" w:rsidRDefault="00C60B66" w:rsidP="00C60B66">
            <w:pPr>
              <w:pStyle w:val="Default"/>
              <w:rPr>
                <w:sz w:val="20"/>
                <w:szCs w:val="20"/>
              </w:rPr>
            </w:pPr>
            <w:r w:rsidRPr="00D54E0D">
              <w:rPr>
                <w:bCs/>
                <w:sz w:val="20"/>
                <w:szCs w:val="20"/>
              </w:rPr>
              <w:t xml:space="preserve">Informācijas un komunikācijas zinātnes </w:t>
            </w:r>
          </w:p>
        </w:tc>
        <w:tc>
          <w:tcPr>
            <w:tcW w:w="1224" w:type="pct"/>
            <w:vAlign w:val="bottom"/>
          </w:tcPr>
          <w:p w14:paraId="40F1E70C" w14:textId="77777777" w:rsidR="00BA2886" w:rsidRDefault="001079A9">
            <w:pPr>
              <w:pStyle w:val="Default"/>
              <w:jc w:val="center"/>
              <w:rPr>
                <w:rFonts w:eastAsia="Times New Roman"/>
                <w:sz w:val="20"/>
                <w:szCs w:val="20"/>
                <w:lang w:eastAsia="en-US"/>
              </w:rPr>
            </w:pPr>
            <w:r w:rsidRPr="001079A9">
              <w:rPr>
                <w:w w:val="80"/>
                <w:sz w:val="20"/>
                <w:szCs w:val="18"/>
              </w:rPr>
              <w:t>0,0</w:t>
            </w:r>
          </w:p>
        </w:tc>
      </w:tr>
      <w:tr w:rsidR="00C60B66" w14:paraId="65EA561C" w14:textId="77777777" w:rsidTr="006C7108">
        <w:trPr>
          <w:trHeight w:val="93"/>
        </w:trPr>
        <w:tc>
          <w:tcPr>
            <w:tcW w:w="612" w:type="pct"/>
          </w:tcPr>
          <w:p w14:paraId="0A3C4670" w14:textId="77777777" w:rsidR="00C60B66" w:rsidRPr="00D54E0D" w:rsidRDefault="00C60B66" w:rsidP="00C60B66">
            <w:pPr>
              <w:pStyle w:val="Default"/>
              <w:rPr>
                <w:sz w:val="20"/>
                <w:szCs w:val="20"/>
              </w:rPr>
            </w:pPr>
            <w:r w:rsidRPr="00D54E0D">
              <w:rPr>
                <w:bCs/>
                <w:sz w:val="20"/>
                <w:szCs w:val="20"/>
              </w:rPr>
              <w:t xml:space="preserve">34 </w:t>
            </w:r>
          </w:p>
        </w:tc>
        <w:tc>
          <w:tcPr>
            <w:tcW w:w="3164" w:type="pct"/>
          </w:tcPr>
          <w:p w14:paraId="4566DDA6" w14:textId="77777777" w:rsidR="00C60B66" w:rsidRPr="00D54E0D" w:rsidRDefault="00C60B66" w:rsidP="00C60B66">
            <w:pPr>
              <w:pStyle w:val="Default"/>
              <w:rPr>
                <w:sz w:val="20"/>
                <w:szCs w:val="20"/>
              </w:rPr>
            </w:pPr>
            <w:proofErr w:type="spellStart"/>
            <w:r w:rsidRPr="00D54E0D">
              <w:rPr>
                <w:bCs/>
                <w:sz w:val="20"/>
                <w:szCs w:val="20"/>
              </w:rPr>
              <w:t>Komerczinības</w:t>
            </w:r>
            <w:proofErr w:type="spellEnd"/>
            <w:r w:rsidRPr="00D54E0D">
              <w:rPr>
                <w:bCs/>
                <w:sz w:val="20"/>
                <w:szCs w:val="20"/>
              </w:rPr>
              <w:t xml:space="preserve"> un administrēšana </w:t>
            </w:r>
          </w:p>
        </w:tc>
        <w:tc>
          <w:tcPr>
            <w:tcW w:w="1224" w:type="pct"/>
            <w:vAlign w:val="bottom"/>
          </w:tcPr>
          <w:p w14:paraId="16521488" w14:textId="77777777" w:rsidR="00BA2886" w:rsidRDefault="001079A9">
            <w:pPr>
              <w:pStyle w:val="Default"/>
              <w:jc w:val="center"/>
              <w:rPr>
                <w:rFonts w:eastAsia="Times New Roman"/>
                <w:sz w:val="20"/>
                <w:szCs w:val="20"/>
                <w:lang w:eastAsia="en-US"/>
              </w:rPr>
            </w:pPr>
            <w:r w:rsidRPr="001079A9">
              <w:rPr>
                <w:w w:val="80"/>
                <w:sz w:val="20"/>
                <w:szCs w:val="18"/>
              </w:rPr>
              <w:t>4,5</w:t>
            </w:r>
          </w:p>
        </w:tc>
      </w:tr>
      <w:tr w:rsidR="00C60B66" w14:paraId="666AAC8D" w14:textId="77777777" w:rsidTr="006C7108">
        <w:trPr>
          <w:trHeight w:val="93"/>
        </w:trPr>
        <w:tc>
          <w:tcPr>
            <w:tcW w:w="612" w:type="pct"/>
          </w:tcPr>
          <w:p w14:paraId="69F64C8E" w14:textId="77777777" w:rsidR="00C60B66" w:rsidRPr="00D54E0D" w:rsidRDefault="00C60B66" w:rsidP="00C60B66">
            <w:pPr>
              <w:pStyle w:val="Default"/>
              <w:rPr>
                <w:sz w:val="20"/>
                <w:szCs w:val="20"/>
              </w:rPr>
            </w:pPr>
            <w:r w:rsidRPr="00D54E0D">
              <w:rPr>
                <w:bCs/>
                <w:sz w:val="20"/>
                <w:szCs w:val="20"/>
              </w:rPr>
              <w:t xml:space="preserve">38 </w:t>
            </w:r>
          </w:p>
        </w:tc>
        <w:tc>
          <w:tcPr>
            <w:tcW w:w="3164" w:type="pct"/>
          </w:tcPr>
          <w:p w14:paraId="28E3E25E" w14:textId="77777777" w:rsidR="00C60B66" w:rsidRPr="00D54E0D" w:rsidRDefault="00C60B66" w:rsidP="00C60B66">
            <w:pPr>
              <w:pStyle w:val="Default"/>
              <w:rPr>
                <w:sz w:val="20"/>
                <w:szCs w:val="20"/>
              </w:rPr>
            </w:pPr>
            <w:r w:rsidRPr="00D54E0D">
              <w:rPr>
                <w:bCs/>
                <w:sz w:val="20"/>
                <w:szCs w:val="20"/>
              </w:rPr>
              <w:t xml:space="preserve">Tiesību zinātne </w:t>
            </w:r>
          </w:p>
        </w:tc>
        <w:tc>
          <w:tcPr>
            <w:tcW w:w="1224" w:type="pct"/>
            <w:vAlign w:val="bottom"/>
          </w:tcPr>
          <w:p w14:paraId="496FF083" w14:textId="77777777" w:rsidR="00BA2886" w:rsidRDefault="001079A9">
            <w:pPr>
              <w:pStyle w:val="Default"/>
              <w:jc w:val="center"/>
              <w:rPr>
                <w:rFonts w:eastAsia="Times New Roman"/>
                <w:sz w:val="20"/>
                <w:szCs w:val="20"/>
                <w:lang w:eastAsia="en-US"/>
              </w:rPr>
            </w:pPr>
            <w:r w:rsidRPr="001079A9">
              <w:rPr>
                <w:w w:val="80"/>
                <w:sz w:val="20"/>
                <w:szCs w:val="18"/>
              </w:rPr>
              <w:t>-0,2</w:t>
            </w:r>
          </w:p>
        </w:tc>
      </w:tr>
      <w:tr w:rsidR="00C60B66" w14:paraId="0090240B" w14:textId="77777777" w:rsidTr="006C7108">
        <w:trPr>
          <w:trHeight w:val="93"/>
        </w:trPr>
        <w:tc>
          <w:tcPr>
            <w:tcW w:w="612" w:type="pct"/>
          </w:tcPr>
          <w:p w14:paraId="256A8AB2" w14:textId="77777777" w:rsidR="00C60B66" w:rsidRPr="00D54E0D" w:rsidRDefault="00C60B66" w:rsidP="00C60B66">
            <w:pPr>
              <w:pStyle w:val="Default"/>
              <w:rPr>
                <w:sz w:val="20"/>
                <w:szCs w:val="20"/>
              </w:rPr>
            </w:pPr>
            <w:r w:rsidRPr="00D54E0D">
              <w:rPr>
                <w:bCs/>
                <w:sz w:val="20"/>
                <w:szCs w:val="20"/>
              </w:rPr>
              <w:t xml:space="preserve">42 </w:t>
            </w:r>
          </w:p>
        </w:tc>
        <w:tc>
          <w:tcPr>
            <w:tcW w:w="3164" w:type="pct"/>
          </w:tcPr>
          <w:p w14:paraId="0357909B" w14:textId="77777777" w:rsidR="00C60B66" w:rsidRPr="00D54E0D" w:rsidRDefault="00C60B66" w:rsidP="00C60B66">
            <w:pPr>
              <w:pStyle w:val="Default"/>
              <w:rPr>
                <w:sz w:val="20"/>
                <w:szCs w:val="20"/>
              </w:rPr>
            </w:pPr>
            <w:r w:rsidRPr="00D54E0D">
              <w:rPr>
                <w:bCs/>
                <w:sz w:val="20"/>
                <w:szCs w:val="20"/>
              </w:rPr>
              <w:t xml:space="preserve">Dzīvās dabas zinātnes </w:t>
            </w:r>
          </w:p>
        </w:tc>
        <w:tc>
          <w:tcPr>
            <w:tcW w:w="1224" w:type="pct"/>
            <w:vAlign w:val="bottom"/>
          </w:tcPr>
          <w:p w14:paraId="515337CA" w14:textId="77777777" w:rsidR="00BA2886" w:rsidRDefault="001079A9">
            <w:pPr>
              <w:pStyle w:val="Default"/>
              <w:jc w:val="center"/>
              <w:rPr>
                <w:rFonts w:eastAsia="Times New Roman"/>
                <w:sz w:val="20"/>
                <w:szCs w:val="20"/>
                <w:lang w:eastAsia="en-US"/>
              </w:rPr>
            </w:pPr>
            <w:r w:rsidRPr="001079A9">
              <w:rPr>
                <w:w w:val="80"/>
                <w:sz w:val="20"/>
                <w:szCs w:val="18"/>
              </w:rPr>
              <w:t>0,2</w:t>
            </w:r>
          </w:p>
        </w:tc>
      </w:tr>
      <w:tr w:rsidR="00C60B66" w14:paraId="322E17C2" w14:textId="77777777" w:rsidTr="006C7108">
        <w:trPr>
          <w:trHeight w:val="93"/>
        </w:trPr>
        <w:tc>
          <w:tcPr>
            <w:tcW w:w="612" w:type="pct"/>
          </w:tcPr>
          <w:p w14:paraId="34C35D70" w14:textId="77777777" w:rsidR="00C60B66" w:rsidRPr="00DC1B60" w:rsidRDefault="00C60B66" w:rsidP="00C60B66">
            <w:pPr>
              <w:pStyle w:val="Default"/>
              <w:rPr>
                <w:b/>
                <w:sz w:val="20"/>
                <w:szCs w:val="20"/>
              </w:rPr>
            </w:pPr>
            <w:r w:rsidRPr="00DC1B60">
              <w:rPr>
                <w:b/>
                <w:bCs/>
                <w:sz w:val="20"/>
                <w:szCs w:val="20"/>
              </w:rPr>
              <w:t xml:space="preserve">44 </w:t>
            </w:r>
          </w:p>
        </w:tc>
        <w:tc>
          <w:tcPr>
            <w:tcW w:w="3164" w:type="pct"/>
          </w:tcPr>
          <w:p w14:paraId="45E4684E" w14:textId="77777777" w:rsidR="00C60B66" w:rsidRPr="00D54E0D" w:rsidRDefault="00C60B66" w:rsidP="00C60B66">
            <w:pPr>
              <w:pStyle w:val="Default"/>
              <w:rPr>
                <w:b/>
                <w:sz w:val="20"/>
                <w:szCs w:val="20"/>
              </w:rPr>
            </w:pPr>
            <w:r w:rsidRPr="00D54E0D">
              <w:rPr>
                <w:b/>
                <w:bCs/>
                <w:sz w:val="20"/>
                <w:szCs w:val="20"/>
              </w:rPr>
              <w:t xml:space="preserve">Fizikālās zinātnes </w:t>
            </w:r>
          </w:p>
        </w:tc>
        <w:tc>
          <w:tcPr>
            <w:tcW w:w="1224" w:type="pct"/>
            <w:vAlign w:val="bottom"/>
          </w:tcPr>
          <w:p w14:paraId="66825CC6" w14:textId="77777777" w:rsidR="00BA2886" w:rsidRDefault="001079A9">
            <w:pPr>
              <w:pStyle w:val="Default"/>
              <w:jc w:val="center"/>
              <w:rPr>
                <w:rFonts w:eastAsia="Times New Roman"/>
                <w:b/>
                <w:sz w:val="20"/>
                <w:szCs w:val="20"/>
                <w:lang w:eastAsia="en-US"/>
              </w:rPr>
            </w:pPr>
            <w:r w:rsidRPr="001079A9">
              <w:rPr>
                <w:b/>
                <w:w w:val="80"/>
                <w:sz w:val="20"/>
                <w:szCs w:val="18"/>
              </w:rPr>
              <w:t>-2,5</w:t>
            </w:r>
          </w:p>
        </w:tc>
      </w:tr>
      <w:tr w:rsidR="00C60B66" w14:paraId="47C77B9C" w14:textId="77777777" w:rsidTr="006C7108">
        <w:trPr>
          <w:trHeight w:val="93"/>
        </w:trPr>
        <w:tc>
          <w:tcPr>
            <w:tcW w:w="612" w:type="pct"/>
          </w:tcPr>
          <w:p w14:paraId="2D5242AC" w14:textId="77777777" w:rsidR="00C60B66" w:rsidRPr="000F1F0B" w:rsidRDefault="00C60B66" w:rsidP="00C60B66">
            <w:pPr>
              <w:pStyle w:val="Default"/>
              <w:rPr>
                <w:sz w:val="20"/>
                <w:szCs w:val="20"/>
              </w:rPr>
            </w:pPr>
            <w:r w:rsidRPr="000F1F0B">
              <w:rPr>
                <w:bCs/>
                <w:sz w:val="20"/>
                <w:szCs w:val="20"/>
              </w:rPr>
              <w:t xml:space="preserve">46 </w:t>
            </w:r>
          </w:p>
        </w:tc>
        <w:tc>
          <w:tcPr>
            <w:tcW w:w="3164" w:type="pct"/>
          </w:tcPr>
          <w:p w14:paraId="47D4881E" w14:textId="77777777" w:rsidR="00C60B66" w:rsidRPr="00E4711B" w:rsidRDefault="00C60B66" w:rsidP="00C60B66">
            <w:pPr>
              <w:pStyle w:val="Default"/>
              <w:rPr>
                <w:b/>
                <w:sz w:val="20"/>
                <w:szCs w:val="20"/>
              </w:rPr>
            </w:pPr>
            <w:r w:rsidRPr="00E4711B">
              <w:rPr>
                <w:b/>
                <w:bCs/>
                <w:sz w:val="20"/>
                <w:szCs w:val="20"/>
              </w:rPr>
              <w:t xml:space="preserve">Matemātika un statistika </w:t>
            </w:r>
          </w:p>
        </w:tc>
        <w:tc>
          <w:tcPr>
            <w:tcW w:w="1224" w:type="pct"/>
            <w:vAlign w:val="bottom"/>
          </w:tcPr>
          <w:p w14:paraId="3F76B340" w14:textId="77777777" w:rsidR="00BA2886" w:rsidRPr="00E4711B" w:rsidRDefault="001079A9">
            <w:pPr>
              <w:pStyle w:val="Default"/>
              <w:jc w:val="center"/>
              <w:rPr>
                <w:rFonts w:eastAsia="Times New Roman"/>
                <w:b/>
                <w:sz w:val="20"/>
                <w:szCs w:val="20"/>
                <w:lang w:eastAsia="en-US"/>
              </w:rPr>
            </w:pPr>
            <w:r w:rsidRPr="00E4711B">
              <w:rPr>
                <w:b/>
                <w:w w:val="80"/>
                <w:sz w:val="20"/>
                <w:szCs w:val="18"/>
              </w:rPr>
              <w:t>-1,6</w:t>
            </w:r>
          </w:p>
        </w:tc>
      </w:tr>
      <w:tr w:rsidR="00C60B66" w14:paraId="696624D1" w14:textId="77777777" w:rsidTr="006C7108">
        <w:trPr>
          <w:trHeight w:val="93"/>
        </w:trPr>
        <w:tc>
          <w:tcPr>
            <w:tcW w:w="612" w:type="pct"/>
          </w:tcPr>
          <w:p w14:paraId="4ADDF5F3" w14:textId="77777777" w:rsidR="00C60B66" w:rsidRPr="00DC1B60" w:rsidRDefault="00C60B66" w:rsidP="00C60B66">
            <w:pPr>
              <w:pStyle w:val="Default"/>
              <w:rPr>
                <w:b/>
                <w:sz w:val="20"/>
                <w:szCs w:val="20"/>
              </w:rPr>
            </w:pPr>
            <w:r w:rsidRPr="00DC1B60">
              <w:rPr>
                <w:b/>
                <w:bCs/>
                <w:sz w:val="20"/>
                <w:szCs w:val="20"/>
              </w:rPr>
              <w:t xml:space="preserve">48 </w:t>
            </w:r>
          </w:p>
        </w:tc>
        <w:tc>
          <w:tcPr>
            <w:tcW w:w="3164" w:type="pct"/>
          </w:tcPr>
          <w:p w14:paraId="403142CB" w14:textId="77777777" w:rsidR="00C60B66" w:rsidRPr="00D54E0D" w:rsidRDefault="00C60B66" w:rsidP="00C60B66">
            <w:pPr>
              <w:pStyle w:val="Default"/>
              <w:rPr>
                <w:b/>
                <w:sz w:val="20"/>
                <w:szCs w:val="20"/>
              </w:rPr>
            </w:pPr>
            <w:r w:rsidRPr="00D54E0D">
              <w:rPr>
                <w:b/>
                <w:bCs/>
                <w:sz w:val="20"/>
                <w:szCs w:val="20"/>
              </w:rPr>
              <w:t xml:space="preserve">Datorika </w:t>
            </w:r>
          </w:p>
        </w:tc>
        <w:tc>
          <w:tcPr>
            <w:tcW w:w="1224" w:type="pct"/>
            <w:vAlign w:val="bottom"/>
          </w:tcPr>
          <w:p w14:paraId="3CDC4594" w14:textId="77777777" w:rsidR="00BA2886" w:rsidRDefault="001079A9">
            <w:pPr>
              <w:pStyle w:val="Default"/>
              <w:jc w:val="center"/>
              <w:rPr>
                <w:rFonts w:eastAsia="Times New Roman"/>
                <w:b/>
                <w:sz w:val="20"/>
                <w:szCs w:val="20"/>
                <w:lang w:eastAsia="en-US"/>
              </w:rPr>
            </w:pPr>
            <w:r w:rsidRPr="001079A9">
              <w:rPr>
                <w:b/>
                <w:w w:val="80"/>
                <w:sz w:val="20"/>
                <w:szCs w:val="18"/>
              </w:rPr>
              <w:t>-3,7</w:t>
            </w:r>
          </w:p>
        </w:tc>
      </w:tr>
      <w:tr w:rsidR="00C60B66" w14:paraId="61DDE363" w14:textId="77777777" w:rsidTr="006C7108">
        <w:trPr>
          <w:trHeight w:val="93"/>
        </w:trPr>
        <w:tc>
          <w:tcPr>
            <w:tcW w:w="612" w:type="pct"/>
          </w:tcPr>
          <w:p w14:paraId="0E9F4EE7" w14:textId="77777777" w:rsidR="00C60B66" w:rsidRPr="00DC1B60" w:rsidRDefault="00C60B66" w:rsidP="00C60B66">
            <w:pPr>
              <w:pStyle w:val="Default"/>
              <w:rPr>
                <w:b/>
                <w:sz w:val="20"/>
                <w:szCs w:val="20"/>
              </w:rPr>
            </w:pPr>
            <w:r w:rsidRPr="00DC1B60">
              <w:rPr>
                <w:b/>
                <w:bCs/>
                <w:sz w:val="20"/>
                <w:szCs w:val="20"/>
              </w:rPr>
              <w:t xml:space="preserve">52 </w:t>
            </w:r>
          </w:p>
        </w:tc>
        <w:tc>
          <w:tcPr>
            <w:tcW w:w="3164" w:type="pct"/>
          </w:tcPr>
          <w:p w14:paraId="10A2B9C1" w14:textId="77777777" w:rsidR="00C60B66" w:rsidRPr="00D54E0D" w:rsidRDefault="00C60B66" w:rsidP="00C60B66">
            <w:pPr>
              <w:pStyle w:val="Default"/>
              <w:rPr>
                <w:b/>
                <w:sz w:val="20"/>
                <w:szCs w:val="20"/>
              </w:rPr>
            </w:pPr>
            <w:r w:rsidRPr="00D54E0D">
              <w:rPr>
                <w:b/>
                <w:bCs/>
                <w:sz w:val="20"/>
                <w:szCs w:val="20"/>
              </w:rPr>
              <w:t xml:space="preserve">Inženierzinātnes un tehnoloģijas </w:t>
            </w:r>
          </w:p>
        </w:tc>
        <w:tc>
          <w:tcPr>
            <w:tcW w:w="1224" w:type="pct"/>
            <w:vAlign w:val="bottom"/>
          </w:tcPr>
          <w:p w14:paraId="4DBCDFAE" w14:textId="77777777" w:rsidR="00BA2886" w:rsidRDefault="001079A9">
            <w:pPr>
              <w:pStyle w:val="Default"/>
              <w:jc w:val="center"/>
              <w:rPr>
                <w:rFonts w:eastAsia="Times New Roman"/>
                <w:b/>
                <w:sz w:val="20"/>
                <w:szCs w:val="20"/>
                <w:lang w:eastAsia="en-US"/>
              </w:rPr>
            </w:pPr>
            <w:r w:rsidRPr="001079A9">
              <w:rPr>
                <w:b/>
                <w:w w:val="80"/>
                <w:sz w:val="20"/>
                <w:szCs w:val="18"/>
              </w:rPr>
              <w:t>-6,8</w:t>
            </w:r>
          </w:p>
        </w:tc>
      </w:tr>
      <w:tr w:rsidR="00C60B66" w14:paraId="320C56F4" w14:textId="77777777" w:rsidTr="006C7108">
        <w:trPr>
          <w:trHeight w:val="93"/>
        </w:trPr>
        <w:tc>
          <w:tcPr>
            <w:tcW w:w="612" w:type="pct"/>
          </w:tcPr>
          <w:p w14:paraId="18692A41" w14:textId="77777777" w:rsidR="00C60B66" w:rsidRPr="00DC1B60" w:rsidRDefault="00C60B66" w:rsidP="00C60B66">
            <w:pPr>
              <w:pStyle w:val="Default"/>
              <w:rPr>
                <w:b/>
                <w:sz w:val="20"/>
                <w:szCs w:val="20"/>
              </w:rPr>
            </w:pPr>
            <w:r w:rsidRPr="00DC1B60">
              <w:rPr>
                <w:b/>
                <w:bCs/>
                <w:sz w:val="20"/>
                <w:szCs w:val="20"/>
              </w:rPr>
              <w:t xml:space="preserve">54 </w:t>
            </w:r>
          </w:p>
        </w:tc>
        <w:tc>
          <w:tcPr>
            <w:tcW w:w="3164" w:type="pct"/>
          </w:tcPr>
          <w:p w14:paraId="1586B890" w14:textId="77777777" w:rsidR="00C60B66" w:rsidRPr="00E4711B" w:rsidRDefault="00C60B66" w:rsidP="00C60B66">
            <w:pPr>
              <w:pStyle w:val="Default"/>
              <w:rPr>
                <w:b/>
                <w:sz w:val="20"/>
                <w:szCs w:val="20"/>
              </w:rPr>
            </w:pPr>
            <w:r w:rsidRPr="00E4711B">
              <w:rPr>
                <w:b/>
                <w:bCs/>
                <w:sz w:val="20"/>
                <w:szCs w:val="20"/>
              </w:rPr>
              <w:t xml:space="preserve">Ražošana un pārstrāde </w:t>
            </w:r>
          </w:p>
        </w:tc>
        <w:tc>
          <w:tcPr>
            <w:tcW w:w="1224" w:type="pct"/>
            <w:vAlign w:val="bottom"/>
          </w:tcPr>
          <w:p w14:paraId="6C632196" w14:textId="77777777" w:rsidR="00BA2886" w:rsidRPr="00E4711B" w:rsidRDefault="001079A9">
            <w:pPr>
              <w:pStyle w:val="Default"/>
              <w:jc w:val="center"/>
              <w:rPr>
                <w:rFonts w:eastAsia="Times New Roman"/>
                <w:b/>
                <w:sz w:val="20"/>
                <w:szCs w:val="20"/>
                <w:lang w:eastAsia="en-US"/>
              </w:rPr>
            </w:pPr>
            <w:r w:rsidRPr="00E4711B">
              <w:rPr>
                <w:b/>
                <w:w w:val="80"/>
                <w:sz w:val="20"/>
                <w:szCs w:val="18"/>
              </w:rPr>
              <w:t>-0,8</w:t>
            </w:r>
          </w:p>
        </w:tc>
      </w:tr>
      <w:tr w:rsidR="00C60B66" w14:paraId="35F3A12C" w14:textId="77777777" w:rsidTr="006C7108">
        <w:trPr>
          <w:trHeight w:val="93"/>
        </w:trPr>
        <w:tc>
          <w:tcPr>
            <w:tcW w:w="612" w:type="pct"/>
          </w:tcPr>
          <w:p w14:paraId="1E709201" w14:textId="77777777" w:rsidR="00C60B66" w:rsidRPr="00DC1B60" w:rsidRDefault="00C60B66" w:rsidP="00C60B66">
            <w:pPr>
              <w:pStyle w:val="Default"/>
              <w:rPr>
                <w:b/>
                <w:sz w:val="20"/>
                <w:szCs w:val="20"/>
              </w:rPr>
            </w:pPr>
            <w:r w:rsidRPr="00DC1B60">
              <w:rPr>
                <w:b/>
                <w:bCs/>
                <w:sz w:val="20"/>
                <w:szCs w:val="20"/>
              </w:rPr>
              <w:t xml:space="preserve">58 </w:t>
            </w:r>
          </w:p>
        </w:tc>
        <w:tc>
          <w:tcPr>
            <w:tcW w:w="3164" w:type="pct"/>
          </w:tcPr>
          <w:p w14:paraId="5F9DEF27" w14:textId="77777777" w:rsidR="00C60B66" w:rsidRPr="000F1F0B" w:rsidRDefault="00C60B66" w:rsidP="00C60B66">
            <w:pPr>
              <w:pStyle w:val="Default"/>
              <w:rPr>
                <w:b/>
                <w:sz w:val="20"/>
                <w:szCs w:val="20"/>
              </w:rPr>
            </w:pPr>
            <w:r w:rsidRPr="000F1F0B">
              <w:rPr>
                <w:b/>
                <w:bCs/>
                <w:sz w:val="20"/>
                <w:szCs w:val="20"/>
              </w:rPr>
              <w:t xml:space="preserve">Arhitektūra un būvniecība </w:t>
            </w:r>
          </w:p>
        </w:tc>
        <w:tc>
          <w:tcPr>
            <w:tcW w:w="1224" w:type="pct"/>
            <w:vAlign w:val="bottom"/>
          </w:tcPr>
          <w:p w14:paraId="48EC8D40" w14:textId="77777777" w:rsidR="00BA2886" w:rsidRDefault="001079A9">
            <w:pPr>
              <w:pStyle w:val="Default"/>
              <w:jc w:val="center"/>
              <w:rPr>
                <w:rFonts w:eastAsia="Times New Roman"/>
                <w:b/>
                <w:sz w:val="20"/>
                <w:szCs w:val="20"/>
                <w:lang w:eastAsia="en-US"/>
              </w:rPr>
            </w:pPr>
            <w:r w:rsidRPr="001079A9">
              <w:rPr>
                <w:b/>
                <w:w w:val="80"/>
                <w:sz w:val="20"/>
                <w:szCs w:val="18"/>
              </w:rPr>
              <w:t>-1,1</w:t>
            </w:r>
          </w:p>
        </w:tc>
      </w:tr>
      <w:tr w:rsidR="00C60B66" w14:paraId="174D4F91" w14:textId="77777777" w:rsidTr="006C7108">
        <w:trPr>
          <w:trHeight w:val="93"/>
        </w:trPr>
        <w:tc>
          <w:tcPr>
            <w:tcW w:w="612" w:type="pct"/>
          </w:tcPr>
          <w:p w14:paraId="5E7AF56A" w14:textId="77777777" w:rsidR="00C60B66" w:rsidRPr="00D54E0D" w:rsidRDefault="00C60B66" w:rsidP="00C60B66">
            <w:pPr>
              <w:pStyle w:val="Default"/>
              <w:rPr>
                <w:sz w:val="20"/>
                <w:szCs w:val="20"/>
              </w:rPr>
            </w:pPr>
            <w:r w:rsidRPr="00D54E0D">
              <w:rPr>
                <w:bCs/>
                <w:sz w:val="20"/>
                <w:szCs w:val="20"/>
              </w:rPr>
              <w:t xml:space="preserve">62 </w:t>
            </w:r>
          </w:p>
        </w:tc>
        <w:tc>
          <w:tcPr>
            <w:tcW w:w="3164" w:type="pct"/>
          </w:tcPr>
          <w:p w14:paraId="2E25DAF2" w14:textId="77777777" w:rsidR="00C60B66" w:rsidRPr="00E4711B" w:rsidRDefault="00C60B66" w:rsidP="00C60B66">
            <w:pPr>
              <w:pStyle w:val="Default"/>
              <w:rPr>
                <w:b/>
                <w:sz w:val="20"/>
                <w:szCs w:val="20"/>
              </w:rPr>
            </w:pPr>
            <w:r w:rsidRPr="00E4711B">
              <w:rPr>
                <w:b/>
                <w:bCs/>
                <w:sz w:val="20"/>
                <w:szCs w:val="20"/>
              </w:rPr>
              <w:t xml:space="preserve">Lauksaimniecība, mežsaimniecība un zivsaimniecība </w:t>
            </w:r>
          </w:p>
        </w:tc>
        <w:tc>
          <w:tcPr>
            <w:tcW w:w="1224" w:type="pct"/>
            <w:vAlign w:val="bottom"/>
          </w:tcPr>
          <w:p w14:paraId="7D4D3DEB" w14:textId="77777777" w:rsidR="00BA2886" w:rsidRPr="00E4711B" w:rsidRDefault="001079A9">
            <w:pPr>
              <w:pStyle w:val="Default"/>
              <w:jc w:val="center"/>
              <w:rPr>
                <w:rFonts w:eastAsia="Times New Roman"/>
                <w:b/>
                <w:sz w:val="20"/>
                <w:szCs w:val="20"/>
                <w:lang w:eastAsia="en-US"/>
              </w:rPr>
            </w:pPr>
            <w:r w:rsidRPr="00E4711B">
              <w:rPr>
                <w:b/>
                <w:w w:val="80"/>
                <w:sz w:val="20"/>
                <w:szCs w:val="18"/>
              </w:rPr>
              <w:t>-0,2</w:t>
            </w:r>
          </w:p>
        </w:tc>
      </w:tr>
      <w:tr w:rsidR="00C60B66" w14:paraId="0B9C52F3" w14:textId="77777777" w:rsidTr="006C7108">
        <w:trPr>
          <w:trHeight w:val="93"/>
        </w:trPr>
        <w:tc>
          <w:tcPr>
            <w:tcW w:w="612" w:type="pct"/>
          </w:tcPr>
          <w:p w14:paraId="0BF2366F" w14:textId="77777777" w:rsidR="00C60B66" w:rsidRPr="00D54E0D" w:rsidRDefault="00C60B66" w:rsidP="00C60B66">
            <w:pPr>
              <w:pStyle w:val="Default"/>
              <w:rPr>
                <w:sz w:val="20"/>
                <w:szCs w:val="20"/>
              </w:rPr>
            </w:pPr>
            <w:r w:rsidRPr="00D54E0D">
              <w:rPr>
                <w:bCs/>
                <w:sz w:val="20"/>
                <w:szCs w:val="20"/>
              </w:rPr>
              <w:t xml:space="preserve">64 </w:t>
            </w:r>
          </w:p>
        </w:tc>
        <w:tc>
          <w:tcPr>
            <w:tcW w:w="3164" w:type="pct"/>
          </w:tcPr>
          <w:p w14:paraId="661F021C" w14:textId="77777777" w:rsidR="00C60B66" w:rsidRPr="00E4711B" w:rsidRDefault="00C60B66" w:rsidP="00C60B66">
            <w:pPr>
              <w:pStyle w:val="Default"/>
              <w:rPr>
                <w:b/>
                <w:sz w:val="20"/>
                <w:szCs w:val="20"/>
              </w:rPr>
            </w:pPr>
            <w:r w:rsidRPr="00E4711B">
              <w:rPr>
                <w:b/>
                <w:bCs/>
                <w:sz w:val="20"/>
                <w:szCs w:val="20"/>
              </w:rPr>
              <w:t xml:space="preserve">Veterinārija </w:t>
            </w:r>
          </w:p>
        </w:tc>
        <w:tc>
          <w:tcPr>
            <w:tcW w:w="1224" w:type="pct"/>
            <w:vAlign w:val="bottom"/>
          </w:tcPr>
          <w:p w14:paraId="4EA0D871" w14:textId="77777777" w:rsidR="00BA2886" w:rsidRPr="00E4711B" w:rsidRDefault="001079A9">
            <w:pPr>
              <w:pStyle w:val="Default"/>
              <w:jc w:val="center"/>
              <w:rPr>
                <w:rFonts w:eastAsia="Times New Roman"/>
                <w:b/>
                <w:sz w:val="20"/>
                <w:szCs w:val="20"/>
                <w:lang w:eastAsia="en-US"/>
              </w:rPr>
            </w:pPr>
            <w:r w:rsidRPr="00E4711B">
              <w:rPr>
                <w:b/>
                <w:w w:val="80"/>
                <w:sz w:val="20"/>
                <w:szCs w:val="18"/>
              </w:rPr>
              <w:t>-0,2</w:t>
            </w:r>
          </w:p>
        </w:tc>
      </w:tr>
      <w:tr w:rsidR="00C60B66" w14:paraId="24EBC4D8" w14:textId="77777777" w:rsidTr="006C7108">
        <w:trPr>
          <w:trHeight w:val="93"/>
        </w:trPr>
        <w:tc>
          <w:tcPr>
            <w:tcW w:w="612" w:type="pct"/>
          </w:tcPr>
          <w:p w14:paraId="0726FD56" w14:textId="77777777" w:rsidR="00C60B66" w:rsidRPr="00DC1B60" w:rsidRDefault="00C60B66" w:rsidP="00C60B66">
            <w:pPr>
              <w:pStyle w:val="Default"/>
              <w:rPr>
                <w:b/>
                <w:sz w:val="20"/>
                <w:szCs w:val="20"/>
              </w:rPr>
            </w:pPr>
            <w:r w:rsidRPr="00DC1B60">
              <w:rPr>
                <w:b/>
                <w:bCs/>
                <w:sz w:val="20"/>
                <w:szCs w:val="20"/>
              </w:rPr>
              <w:t xml:space="preserve">72 </w:t>
            </w:r>
          </w:p>
        </w:tc>
        <w:tc>
          <w:tcPr>
            <w:tcW w:w="3164" w:type="pct"/>
          </w:tcPr>
          <w:p w14:paraId="7DD18389" w14:textId="77777777" w:rsidR="00C60B66" w:rsidRPr="00D54E0D" w:rsidRDefault="00C60B66" w:rsidP="00C60B66">
            <w:pPr>
              <w:pStyle w:val="Default"/>
              <w:rPr>
                <w:b/>
                <w:sz w:val="20"/>
                <w:szCs w:val="20"/>
              </w:rPr>
            </w:pPr>
            <w:r w:rsidRPr="00D54E0D">
              <w:rPr>
                <w:b/>
                <w:bCs/>
                <w:sz w:val="20"/>
                <w:szCs w:val="20"/>
              </w:rPr>
              <w:t xml:space="preserve">Veselības aprūpe </w:t>
            </w:r>
          </w:p>
        </w:tc>
        <w:tc>
          <w:tcPr>
            <w:tcW w:w="1224" w:type="pct"/>
            <w:vAlign w:val="bottom"/>
          </w:tcPr>
          <w:p w14:paraId="69B020EB" w14:textId="77777777" w:rsidR="00BA2886" w:rsidRDefault="001079A9">
            <w:pPr>
              <w:pStyle w:val="Default"/>
              <w:jc w:val="center"/>
              <w:rPr>
                <w:rFonts w:eastAsia="Times New Roman"/>
                <w:b/>
                <w:sz w:val="20"/>
                <w:szCs w:val="20"/>
                <w:lang w:eastAsia="en-US"/>
              </w:rPr>
            </w:pPr>
            <w:r w:rsidRPr="001079A9">
              <w:rPr>
                <w:b/>
                <w:w w:val="80"/>
                <w:sz w:val="20"/>
                <w:szCs w:val="18"/>
              </w:rPr>
              <w:t>-3,5</w:t>
            </w:r>
          </w:p>
        </w:tc>
      </w:tr>
      <w:tr w:rsidR="00C60B66" w14:paraId="3369209D" w14:textId="77777777" w:rsidTr="006C7108">
        <w:trPr>
          <w:trHeight w:val="93"/>
        </w:trPr>
        <w:tc>
          <w:tcPr>
            <w:tcW w:w="612" w:type="pct"/>
          </w:tcPr>
          <w:p w14:paraId="03EB5469" w14:textId="77777777" w:rsidR="00C60B66" w:rsidRPr="00D54E0D" w:rsidRDefault="00C60B66" w:rsidP="00C60B66">
            <w:pPr>
              <w:pStyle w:val="Default"/>
              <w:rPr>
                <w:sz w:val="20"/>
                <w:szCs w:val="20"/>
              </w:rPr>
            </w:pPr>
            <w:r w:rsidRPr="00D54E0D">
              <w:rPr>
                <w:bCs/>
                <w:sz w:val="20"/>
                <w:szCs w:val="20"/>
              </w:rPr>
              <w:t xml:space="preserve">76 </w:t>
            </w:r>
          </w:p>
        </w:tc>
        <w:tc>
          <w:tcPr>
            <w:tcW w:w="3164" w:type="pct"/>
          </w:tcPr>
          <w:p w14:paraId="7611ED9F" w14:textId="77777777" w:rsidR="00C60B66" w:rsidRPr="00D54E0D" w:rsidRDefault="00C60B66" w:rsidP="00C60B66">
            <w:pPr>
              <w:pStyle w:val="Default"/>
              <w:rPr>
                <w:sz w:val="20"/>
                <w:szCs w:val="20"/>
              </w:rPr>
            </w:pPr>
            <w:r w:rsidRPr="00D54E0D">
              <w:rPr>
                <w:bCs/>
                <w:sz w:val="20"/>
                <w:szCs w:val="20"/>
              </w:rPr>
              <w:t xml:space="preserve">Sociālā labklājība </w:t>
            </w:r>
          </w:p>
        </w:tc>
        <w:tc>
          <w:tcPr>
            <w:tcW w:w="1224" w:type="pct"/>
            <w:vAlign w:val="bottom"/>
          </w:tcPr>
          <w:p w14:paraId="28D5F6C8" w14:textId="77777777" w:rsidR="00BA2886" w:rsidRDefault="001079A9">
            <w:pPr>
              <w:pStyle w:val="Default"/>
              <w:jc w:val="center"/>
              <w:rPr>
                <w:rFonts w:eastAsia="Times New Roman"/>
                <w:sz w:val="20"/>
                <w:szCs w:val="20"/>
                <w:lang w:eastAsia="en-US"/>
              </w:rPr>
            </w:pPr>
            <w:r w:rsidRPr="001079A9">
              <w:rPr>
                <w:w w:val="80"/>
                <w:sz w:val="20"/>
                <w:szCs w:val="18"/>
              </w:rPr>
              <w:t>1,3</w:t>
            </w:r>
          </w:p>
        </w:tc>
      </w:tr>
      <w:tr w:rsidR="00C60B66" w14:paraId="25E5A528" w14:textId="77777777" w:rsidTr="006C7108">
        <w:trPr>
          <w:trHeight w:val="93"/>
        </w:trPr>
        <w:tc>
          <w:tcPr>
            <w:tcW w:w="612" w:type="pct"/>
          </w:tcPr>
          <w:p w14:paraId="6314E539" w14:textId="77777777" w:rsidR="00C60B66" w:rsidRPr="00D54E0D" w:rsidRDefault="00C60B66" w:rsidP="00C60B66">
            <w:pPr>
              <w:pStyle w:val="Default"/>
              <w:rPr>
                <w:sz w:val="20"/>
                <w:szCs w:val="20"/>
              </w:rPr>
            </w:pPr>
            <w:r w:rsidRPr="00D54E0D">
              <w:rPr>
                <w:bCs/>
                <w:sz w:val="20"/>
                <w:szCs w:val="20"/>
              </w:rPr>
              <w:t xml:space="preserve">81 </w:t>
            </w:r>
          </w:p>
        </w:tc>
        <w:tc>
          <w:tcPr>
            <w:tcW w:w="3164" w:type="pct"/>
          </w:tcPr>
          <w:p w14:paraId="33AAB2C5" w14:textId="77777777" w:rsidR="00C60B66" w:rsidRPr="00D54E0D" w:rsidRDefault="00C60B66" w:rsidP="00C60B66">
            <w:pPr>
              <w:pStyle w:val="Default"/>
              <w:rPr>
                <w:sz w:val="20"/>
                <w:szCs w:val="20"/>
              </w:rPr>
            </w:pPr>
            <w:r w:rsidRPr="00D54E0D">
              <w:rPr>
                <w:bCs/>
                <w:sz w:val="20"/>
                <w:szCs w:val="20"/>
              </w:rPr>
              <w:t xml:space="preserve">Individuālie pakalpojumi </w:t>
            </w:r>
          </w:p>
        </w:tc>
        <w:tc>
          <w:tcPr>
            <w:tcW w:w="1224" w:type="pct"/>
            <w:vAlign w:val="bottom"/>
          </w:tcPr>
          <w:p w14:paraId="3698FB18" w14:textId="77777777" w:rsidR="00BA2886" w:rsidRDefault="001079A9">
            <w:pPr>
              <w:pStyle w:val="Default"/>
              <w:jc w:val="center"/>
              <w:rPr>
                <w:rFonts w:eastAsia="Times New Roman"/>
                <w:sz w:val="20"/>
                <w:szCs w:val="20"/>
                <w:lang w:eastAsia="en-US"/>
              </w:rPr>
            </w:pPr>
            <w:r w:rsidRPr="001079A9">
              <w:rPr>
                <w:w w:val="80"/>
                <w:sz w:val="20"/>
                <w:szCs w:val="18"/>
              </w:rPr>
              <w:t>0,7</w:t>
            </w:r>
          </w:p>
        </w:tc>
      </w:tr>
      <w:tr w:rsidR="00C60B66" w14:paraId="1458FF08" w14:textId="77777777" w:rsidTr="006C7108">
        <w:trPr>
          <w:trHeight w:val="93"/>
        </w:trPr>
        <w:tc>
          <w:tcPr>
            <w:tcW w:w="612" w:type="pct"/>
          </w:tcPr>
          <w:p w14:paraId="75FDB669" w14:textId="77777777" w:rsidR="00C60B66" w:rsidRPr="00D54E0D" w:rsidRDefault="00C60B66" w:rsidP="00C60B66">
            <w:pPr>
              <w:pStyle w:val="Default"/>
              <w:rPr>
                <w:sz w:val="20"/>
                <w:szCs w:val="20"/>
              </w:rPr>
            </w:pPr>
            <w:r w:rsidRPr="00D54E0D">
              <w:rPr>
                <w:bCs/>
                <w:sz w:val="20"/>
                <w:szCs w:val="20"/>
              </w:rPr>
              <w:t xml:space="preserve">84 </w:t>
            </w:r>
          </w:p>
        </w:tc>
        <w:tc>
          <w:tcPr>
            <w:tcW w:w="3164" w:type="pct"/>
          </w:tcPr>
          <w:p w14:paraId="214BD3E8" w14:textId="77777777" w:rsidR="00C60B66" w:rsidRPr="00D54E0D" w:rsidRDefault="00C60B66" w:rsidP="00C60B66">
            <w:pPr>
              <w:pStyle w:val="Default"/>
              <w:rPr>
                <w:sz w:val="20"/>
                <w:szCs w:val="20"/>
              </w:rPr>
            </w:pPr>
            <w:r w:rsidRPr="00D54E0D">
              <w:rPr>
                <w:bCs/>
                <w:sz w:val="20"/>
                <w:szCs w:val="20"/>
              </w:rPr>
              <w:t xml:space="preserve">Transporta pakalpojumi </w:t>
            </w:r>
          </w:p>
        </w:tc>
        <w:tc>
          <w:tcPr>
            <w:tcW w:w="1224" w:type="pct"/>
            <w:vAlign w:val="bottom"/>
          </w:tcPr>
          <w:p w14:paraId="750D2533" w14:textId="77777777" w:rsidR="00BA2886" w:rsidRDefault="001079A9">
            <w:pPr>
              <w:pStyle w:val="Default"/>
              <w:jc w:val="center"/>
              <w:rPr>
                <w:rFonts w:eastAsia="Times New Roman"/>
                <w:sz w:val="20"/>
                <w:szCs w:val="20"/>
                <w:lang w:eastAsia="en-US"/>
              </w:rPr>
            </w:pPr>
            <w:r w:rsidRPr="001079A9">
              <w:rPr>
                <w:w w:val="80"/>
                <w:sz w:val="20"/>
                <w:szCs w:val="18"/>
              </w:rPr>
              <w:t>-0,2</w:t>
            </w:r>
          </w:p>
        </w:tc>
      </w:tr>
      <w:tr w:rsidR="00C60B66" w14:paraId="594E60A2" w14:textId="77777777" w:rsidTr="006C7108">
        <w:trPr>
          <w:trHeight w:val="93"/>
        </w:trPr>
        <w:tc>
          <w:tcPr>
            <w:tcW w:w="612" w:type="pct"/>
          </w:tcPr>
          <w:p w14:paraId="353C7FCB" w14:textId="77777777" w:rsidR="00C60B66" w:rsidRPr="00D54E0D" w:rsidRDefault="00C60B66" w:rsidP="00C60B66">
            <w:pPr>
              <w:pStyle w:val="Default"/>
              <w:rPr>
                <w:sz w:val="20"/>
                <w:szCs w:val="20"/>
              </w:rPr>
            </w:pPr>
            <w:r w:rsidRPr="00D54E0D">
              <w:rPr>
                <w:bCs/>
                <w:sz w:val="20"/>
                <w:szCs w:val="20"/>
              </w:rPr>
              <w:t xml:space="preserve">85 </w:t>
            </w:r>
          </w:p>
        </w:tc>
        <w:tc>
          <w:tcPr>
            <w:tcW w:w="3164" w:type="pct"/>
          </w:tcPr>
          <w:p w14:paraId="6CFF56D3" w14:textId="77777777" w:rsidR="00C60B66" w:rsidRPr="00D54E0D" w:rsidRDefault="00C60B66" w:rsidP="00C60B66">
            <w:pPr>
              <w:pStyle w:val="Default"/>
              <w:rPr>
                <w:sz w:val="20"/>
                <w:szCs w:val="20"/>
              </w:rPr>
            </w:pPr>
            <w:r w:rsidRPr="00D54E0D">
              <w:rPr>
                <w:bCs/>
                <w:sz w:val="20"/>
                <w:szCs w:val="20"/>
              </w:rPr>
              <w:t xml:space="preserve">Vides aizsardzība </w:t>
            </w:r>
          </w:p>
        </w:tc>
        <w:tc>
          <w:tcPr>
            <w:tcW w:w="1224" w:type="pct"/>
            <w:vAlign w:val="bottom"/>
          </w:tcPr>
          <w:p w14:paraId="1AB2D2D1" w14:textId="77777777" w:rsidR="00BA2886" w:rsidRDefault="001079A9">
            <w:pPr>
              <w:pStyle w:val="Default"/>
              <w:jc w:val="center"/>
              <w:rPr>
                <w:rFonts w:eastAsia="Times New Roman"/>
                <w:sz w:val="20"/>
                <w:szCs w:val="20"/>
                <w:lang w:eastAsia="en-US"/>
              </w:rPr>
            </w:pPr>
            <w:r w:rsidRPr="001079A9">
              <w:rPr>
                <w:w w:val="80"/>
                <w:sz w:val="20"/>
                <w:szCs w:val="18"/>
              </w:rPr>
              <w:t>0,3</w:t>
            </w:r>
          </w:p>
        </w:tc>
      </w:tr>
      <w:tr w:rsidR="00C60B66" w14:paraId="481711A8" w14:textId="77777777" w:rsidTr="006C7108">
        <w:trPr>
          <w:trHeight w:val="93"/>
        </w:trPr>
        <w:tc>
          <w:tcPr>
            <w:tcW w:w="612" w:type="pct"/>
          </w:tcPr>
          <w:p w14:paraId="2EDE1659" w14:textId="77777777" w:rsidR="00C60B66" w:rsidRPr="00D54E0D" w:rsidRDefault="00C60B66" w:rsidP="00C60B66">
            <w:pPr>
              <w:pStyle w:val="Default"/>
              <w:rPr>
                <w:sz w:val="20"/>
                <w:szCs w:val="20"/>
              </w:rPr>
            </w:pPr>
            <w:r w:rsidRPr="00D54E0D">
              <w:rPr>
                <w:bCs/>
                <w:sz w:val="20"/>
                <w:szCs w:val="20"/>
              </w:rPr>
              <w:t xml:space="preserve">86 </w:t>
            </w:r>
          </w:p>
        </w:tc>
        <w:tc>
          <w:tcPr>
            <w:tcW w:w="3164" w:type="pct"/>
          </w:tcPr>
          <w:p w14:paraId="190C129A" w14:textId="77777777" w:rsidR="00C60B66" w:rsidRPr="00D54E0D" w:rsidRDefault="00C60B66" w:rsidP="00C60B66">
            <w:pPr>
              <w:pStyle w:val="Default"/>
              <w:rPr>
                <w:sz w:val="20"/>
                <w:szCs w:val="20"/>
              </w:rPr>
            </w:pPr>
            <w:r w:rsidRPr="00D54E0D">
              <w:rPr>
                <w:bCs/>
                <w:sz w:val="20"/>
                <w:szCs w:val="20"/>
              </w:rPr>
              <w:t xml:space="preserve">Civilā un militārā aizsardzība </w:t>
            </w:r>
          </w:p>
        </w:tc>
        <w:tc>
          <w:tcPr>
            <w:tcW w:w="1224" w:type="pct"/>
            <w:vAlign w:val="bottom"/>
          </w:tcPr>
          <w:p w14:paraId="7F324F3F" w14:textId="77777777" w:rsidR="00BA2886" w:rsidRDefault="001079A9">
            <w:pPr>
              <w:pStyle w:val="Default"/>
              <w:jc w:val="center"/>
              <w:rPr>
                <w:rFonts w:eastAsia="Times New Roman"/>
                <w:sz w:val="20"/>
                <w:szCs w:val="20"/>
                <w:lang w:eastAsia="en-US"/>
              </w:rPr>
            </w:pPr>
            <w:r w:rsidRPr="001079A9">
              <w:rPr>
                <w:w w:val="80"/>
                <w:sz w:val="20"/>
                <w:szCs w:val="18"/>
              </w:rPr>
              <w:t>1,1</w:t>
            </w:r>
          </w:p>
        </w:tc>
      </w:tr>
      <w:tr w:rsidR="00C60B66" w14:paraId="25DB61FB" w14:textId="77777777" w:rsidTr="006C7108">
        <w:trPr>
          <w:trHeight w:val="93"/>
        </w:trPr>
        <w:tc>
          <w:tcPr>
            <w:tcW w:w="612" w:type="pct"/>
          </w:tcPr>
          <w:p w14:paraId="380D37EB" w14:textId="77777777" w:rsidR="00C60B66" w:rsidRPr="00D54E0D" w:rsidRDefault="00C60B66" w:rsidP="00C60B66">
            <w:pPr>
              <w:pStyle w:val="Default"/>
              <w:rPr>
                <w:sz w:val="20"/>
                <w:szCs w:val="20"/>
              </w:rPr>
            </w:pPr>
            <w:r w:rsidRPr="00D54E0D">
              <w:rPr>
                <w:bCs/>
                <w:sz w:val="20"/>
                <w:szCs w:val="20"/>
              </w:rPr>
              <w:t xml:space="preserve">X99 </w:t>
            </w:r>
          </w:p>
        </w:tc>
        <w:tc>
          <w:tcPr>
            <w:tcW w:w="3164" w:type="pct"/>
          </w:tcPr>
          <w:p w14:paraId="6E26FCB3" w14:textId="77777777" w:rsidR="00C60B66" w:rsidRPr="00D54E0D" w:rsidRDefault="00C60B66" w:rsidP="00C60B66">
            <w:pPr>
              <w:pStyle w:val="Default"/>
              <w:rPr>
                <w:sz w:val="20"/>
                <w:szCs w:val="20"/>
              </w:rPr>
            </w:pPr>
            <w:r w:rsidRPr="00D54E0D">
              <w:rPr>
                <w:bCs/>
                <w:sz w:val="20"/>
                <w:szCs w:val="20"/>
              </w:rPr>
              <w:t xml:space="preserve">Vispārējās izglītības un citur neklasificētās tematiskās jomas </w:t>
            </w:r>
          </w:p>
        </w:tc>
        <w:tc>
          <w:tcPr>
            <w:tcW w:w="1224" w:type="pct"/>
            <w:vAlign w:val="bottom"/>
          </w:tcPr>
          <w:p w14:paraId="68B9400F" w14:textId="77777777" w:rsidR="00BA2886" w:rsidRDefault="001079A9">
            <w:pPr>
              <w:pStyle w:val="Default"/>
              <w:jc w:val="center"/>
              <w:rPr>
                <w:rFonts w:eastAsia="Times New Roman"/>
                <w:sz w:val="20"/>
                <w:szCs w:val="20"/>
                <w:lang w:eastAsia="en-US"/>
              </w:rPr>
            </w:pPr>
            <w:r w:rsidRPr="001079A9">
              <w:rPr>
                <w:w w:val="80"/>
                <w:sz w:val="20"/>
                <w:szCs w:val="18"/>
              </w:rPr>
              <w:t>-0,5</w:t>
            </w:r>
          </w:p>
        </w:tc>
      </w:tr>
    </w:tbl>
    <w:p w14:paraId="6C4AAE8D" w14:textId="77777777" w:rsidR="00D42476" w:rsidRPr="000C7B95" w:rsidRDefault="00D42476" w:rsidP="00D42476">
      <w:pPr>
        <w:spacing w:after="240"/>
        <w:rPr>
          <w:i/>
          <w:szCs w:val="24"/>
        </w:rPr>
      </w:pPr>
      <w:r w:rsidRPr="000C7B95">
        <w:rPr>
          <w:bCs/>
          <w:i/>
          <w:szCs w:val="24"/>
        </w:rPr>
        <w:t xml:space="preserve">Avots: EM informatīvais ziņojums, pielikums, </w:t>
      </w:r>
      <w:r w:rsidR="00C60B66">
        <w:rPr>
          <w:bCs/>
          <w:i/>
          <w:szCs w:val="24"/>
        </w:rPr>
        <w:t>29</w:t>
      </w:r>
      <w:r w:rsidRPr="000C7B95">
        <w:rPr>
          <w:bCs/>
          <w:i/>
          <w:szCs w:val="24"/>
        </w:rPr>
        <w:t>. lpp.</w:t>
      </w:r>
    </w:p>
    <w:p w14:paraId="0817454C" w14:textId="77777777" w:rsidR="000F1F0B" w:rsidRPr="00CC1B1A" w:rsidRDefault="00012948" w:rsidP="00CC1B1A">
      <w:pPr>
        <w:ind w:firstLine="720"/>
        <w:rPr>
          <w:szCs w:val="24"/>
        </w:rPr>
      </w:pPr>
      <w:r w:rsidRPr="00CC1B1A">
        <w:rPr>
          <w:szCs w:val="24"/>
        </w:rPr>
        <w:t>EM sniegtās prognozes liecina, ka uz 2030.gadu,</w:t>
      </w:r>
      <w:r w:rsidRPr="00CC1B1A">
        <w:rPr>
          <w:bCs/>
          <w:iCs/>
          <w:szCs w:val="24"/>
        </w:rPr>
        <w:t xml:space="preserve"> </w:t>
      </w:r>
      <w:r w:rsidRPr="00CC1B1A">
        <w:rPr>
          <w:szCs w:val="24"/>
        </w:rPr>
        <w:t>nemainoties uzsvariem izglītības piedāvājumā, minētās disproporcijas ilgtermiņā palielināsies</w:t>
      </w:r>
      <w:r w:rsidR="00D56DBC" w:rsidRPr="00CC1B1A">
        <w:rPr>
          <w:szCs w:val="24"/>
        </w:rPr>
        <w:t xml:space="preserve"> (skat. 1.</w:t>
      </w:r>
      <w:r w:rsidR="00F5532E">
        <w:rPr>
          <w:szCs w:val="24"/>
        </w:rPr>
        <w:t>6</w:t>
      </w:r>
      <w:r w:rsidR="00D56DBC" w:rsidRPr="00CC1B1A">
        <w:rPr>
          <w:szCs w:val="24"/>
        </w:rPr>
        <w:t>.tabulu)</w:t>
      </w:r>
      <w:r w:rsidRPr="00CC1B1A">
        <w:rPr>
          <w:szCs w:val="24"/>
        </w:rPr>
        <w:t xml:space="preserve">. </w:t>
      </w:r>
    </w:p>
    <w:p w14:paraId="7FCA21A3" w14:textId="77777777" w:rsidR="000F1F0B" w:rsidRPr="00CC1B1A" w:rsidRDefault="000F1F0B" w:rsidP="00CC1B1A">
      <w:pPr>
        <w:ind w:firstLine="720"/>
        <w:rPr>
          <w:szCs w:val="24"/>
        </w:rPr>
      </w:pPr>
    </w:p>
    <w:p w14:paraId="087970CA" w14:textId="77777777" w:rsidR="00012948" w:rsidRPr="00834B53" w:rsidRDefault="00012948" w:rsidP="000F1F0B">
      <w:pPr>
        <w:ind w:firstLine="567"/>
        <w:jc w:val="right"/>
      </w:pPr>
      <w:r w:rsidRPr="00834B53">
        <w:lastRenderedPageBreak/>
        <w:t>1.</w:t>
      </w:r>
      <w:r w:rsidR="00191DA2">
        <w:t>6</w:t>
      </w:r>
      <w:r w:rsidRPr="00834B53">
        <w:t>.tabula</w:t>
      </w:r>
    </w:p>
    <w:p w14:paraId="35E8B18D" w14:textId="77777777" w:rsidR="00012948" w:rsidRPr="00A61F81" w:rsidRDefault="00012948" w:rsidP="00012948">
      <w:pPr>
        <w:spacing w:after="240"/>
        <w:jc w:val="center"/>
        <w:rPr>
          <w:rFonts w:ascii="Segoe UI Semibold" w:hAnsi="Segoe UI Semibold"/>
          <w:w w:val="80"/>
          <w:sz w:val="20"/>
        </w:rPr>
      </w:pPr>
      <w:r w:rsidRPr="000C7B95">
        <w:rPr>
          <w:rFonts w:ascii="Segoe UI Semibold" w:hAnsi="Segoe UI Semibold"/>
          <w:b/>
          <w:w w:val="80"/>
          <w:szCs w:val="26"/>
        </w:rPr>
        <w:t>Darbaspēka pieprasījuma un piedāvājuma prognozes pa izglītības tematiskām grupām 2030.gadā</w:t>
      </w:r>
      <w:r w:rsidR="00CC1B1A">
        <w:rPr>
          <w:rFonts w:ascii="Segoe UI Semibold" w:hAnsi="Segoe UI Semibold"/>
          <w:b/>
          <w:w w:val="80"/>
          <w:szCs w:val="26"/>
        </w:rPr>
        <w:t>,</w:t>
      </w:r>
      <w:r w:rsidRPr="000C7B95">
        <w:rPr>
          <w:rFonts w:ascii="Segoe UI Semibold" w:hAnsi="Segoe UI Semibold"/>
          <w:b/>
          <w:w w:val="80"/>
          <w:szCs w:val="26"/>
        </w:rPr>
        <w:br/>
      </w:r>
      <w:r w:rsidRPr="00CC1B1A">
        <w:rPr>
          <w:rFonts w:ascii="Segoe UI Semibold" w:hAnsi="Segoe UI Semibold"/>
          <w:b/>
          <w:w w:val="80"/>
          <w:szCs w:val="26"/>
        </w:rPr>
        <w:t>saglabājoties pašreizējai darbaspēka sagatavošanas struktūrai</w:t>
      </w:r>
    </w:p>
    <w:tbl>
      <w:tblPr>
        <w:tblW w:w="5000" w:type="pct"/>
        <w:tblBorders>
          <w:top w:val="single" w:sz="4" w:space="0" w:color="auto"/>
          <w:insideH w:val="single" w:sz="4" w:space="0" w:color="auto"/>
          <w:insideV w:val="single" w:sz="4" w:space="0" w:color="auto"/>
        </w:tblBorders>
        <w:tblLook w:val="0400" w:firstRow="0" w:lastRow="0" w:firstColumn="0" w:lastColumn="0" w:noHBand="0" w:noVBand="1"/>
      </w:tblPr>
      <w:tblGrid>
        <w:gridCol w:w="4502"/>
        <w:gridCol w:w="1307"/>
        <w:gridCol w:w="1700"/>
        <w:gridCol w:w="1553"/>
      </w:tblGrid>
      <w:tr w:rsidR="00012948" w:rsidRPr="00280C38" w14:paraId="238CBF6C" w14:textId="77777777" w:rsidTr="00057E2F">
        <w:trPr>
          <w:trHeight w:val="271"/>
        </w:trPr>
        <w:tc>
          <w:tcPr>
            <w:tcW w:w="2484" w:type="pct"/>
            <w:vMerge w:val="restart"/>
            <w:tcBorders>
              <w:left w:val="single" w:sz="4" w:space="0" w:color="auto"/>
              <w:bottom w:val="single" w:sz="4" w:space="0" w:color="auto"/>
            </w:tcBorders>
          </w:tcPr>
          <w:p w14:paraId="3AF04298" w14:textId="77777777" w:rsidR="00012948" w:rsidRPr="00280C38" w:rsidRDefault="00012948" w:rsidP="00057E2F">
            <w:pPr>
              <w:jc w:val="center"/>
              <w:rPr>
                <w:b/>
                <w:bCs/>
                <w:color w:val="000000"/>
                <w:sz w:val="20"/>
              </w:rPr>
            </w:pPr>
          </w:p>
        </w:tc>
        <w:tc>
          <w:tcPr>
            <w:tcW w:w="2516" w:type="pct"/>
            <w:gridSpan w:val="3"/>
            <w:tcBorders>
              <w:right w:val="single" w:sz="4" w:space="0" w:color="auto"/>
            </w:tcBorders>
          </w:tcPr>
          <w:p w14:paraId="2E3788ED" w14:textId="77777777" w:rsidR="00012948" w:rsidRPr="00280C38" w:rsidRDefault="00012948" w:rsidP="00057E2F">
            <w:pPr>
              <w:jc w:val="center"/>
              <w:rPr>
                <w:b/>
                <w:color w:val="000000"/>
                <w:sz w:val="20"/>
              </w:rPr>
            </w:pPr>
            <w:r w:rsidRPr="00280C38">
              <w:rPr>
                <w:b/>
                <w:color w:val="000000"/>
                <w:sz w:val="20"/>
              </w:rPr>
              <w:t>Prognoze</w:t>
            </w:r>
            <w:r>
              <w:rPr>
                <w:b/>
                <w:color w:val="000000"/>
                <w:sz w:val="20"/>
              </w:rPr>
              <w:t xml:space="preserve"> </w:t>
            </w:r>
            <w:r w:rsidRPr="00280C38">
              <w:rPr>
                <w:b/>
                <w:color w:val="000000"/>
                <w:sz w:val="20"/>
              </w:rPr>
              <w:t>2030.</w:t>
            </w:r>
          </w:p>
        </w:tc>
      </w:tr>
      <w:tr w:rsidR="00012948" w:rsidRPr="00280C38" w14:paraId="2973A7F4" w14:textId="77777777" w:rsidTr="00057E2F">
        <w:trPr>
          <w:trHeight w:val="20"/>
        </w:trPr>
        <w:tc>
          <w:tcPr>
            <w:tcW w:w="2484" w:type="pct"/>
            <w:vMerge/>
            <w:tcBorders>
              <w:left w:val="single" w:sz="4" w:space="0" w:color="auto"/>
              <w:bottom w:val="single" w:sz="4" w:space="0" w:color="auto"/>
            </w:tcBorders>
          </w:tcPr>
          <w:p w14:paraId="6998451C" w14:textId="77777777" w:rsidR="00012948" w:rsidRPr="00280C38" w:rsidRDefault="00012948" w:rsidP="00057E2F">
            <w:pPr>
              <w:jc w:val="center"/>
              <w:rPr>
                <w:bCs/>
                <w:color w:val="000000"/>
                <w:sz w:val="20"/>
              </w:rPr>
            </w:pPr>
          </w:p>
        </w:tc>
        <w:tc>
          <w:tcPr>
            <w:tcW w:w="721" w:type="pct"/>
            <w:tcBorders>
              <w:bottom w:val="single" w:sz="4" w:space="0" w:color="auto"/>
            </w:tcBorders>
          </w:tcPr>
          <w:p w14:paraId="11A029D4" w14:textId="77777777" w:rsidR="00012948" w:rsidRPr="00280C38" w:rsidRDefault="00012948" w:rsidP="00057E2F">
            <w:pPr>
              <w:jc w:val="center"/>
              <w:rPr>
                <w:color w:val="000000"/>
                <w:sz w:val="20"/>
              </w:rPr>
            </w:pPr>
            <w:r w:rsidRPr="00280C38">
              <w:rPr>
                <w:color w:val="000000"/>
                <w:sz w:val="20"/>
              </w:rPr>
              <w:t>piepra</w:t>
            </w:r>
            <w:r w:rsidRPr="00280C38">
              <w:rPr>
                <w:color w:val="000000"/>
                <w:sz w:val="20"/>
              </w:rPr>
              <w:softHyphen/>
              <w:t>sījums</w:t>
            </w:r>
          </w:p>
          <w:p w14:paraId="487157A6" w14:textId="77777777" w:rsidR="00012948" w:rsidRPr="00280C38" w:rsidRDefault="00012948" w:rsidP="00057E2F">
            <w:pPr>
              <w:jc w:val="center"/>
              <w:rPr>
                <w:color w:val="000000"/>
                <w:sz w:val="20"/>
              </w:rPr>
            </w:pPr>
            <w:r w:rsidRPr="00280C38">
              <w:rPr>
                <w:color w:val="000000"/>
                <w:sz w:val="20"/>
              </w:rPr>
              <w:t>(tūkst.)</w:t>
            </w:r>
          </w:p>
        </w:tc>
        <w:tc>
          <w:tcPr>
            <w:tcW w:w="938" w:type="pct"/>
            <w:tcBorders>
              <w:bottom w:val="single" w:sz="4" w:space="0" w:color="auto"/>
            </w:tcBorders>
          </w:tcPr>
          <w:p w14:paraId="3F3C4688" w14:textId="77777777" w:rsidR="00012948" w:rsidRPr="00280C38" w:rsidRDefault="00012948" w:rsidP="00057E2F">
            <w:pPr>
              <w:jc w:val="center"/>
              <w:rPr>
                <w:color w:val="000000"/>
                <w:sz w:val="20"/>
              </w:rPr>
            </w:pPr>
            <w:r w:rsidRPr="00280C38">
              <w:rPr>
                <w:color w:val="000000"/>
                <w:sz w:val="20"/>
              </w:rPr>
              <w:t>piedā</w:t>
            </w:r>
            <w:r w:rsidRPr="00280C38">
              <w:rPr>
                <w:color w:val="000000"/>
                <w:sz w:val="20"/>
              </w:rPr>
              <w:softHyphen/>
              <w:t>vājums</w:t>
            </w:r>
          </w:p>
          <w:p w14:paraId="066AB756" w14:textId="77777777" w:rsidR="00012948" w:rsidRPr="00280C38" w:rsidRDefault="00012948" w:rsidP="00057E2F">
            <w:pPr>
              <w:jc w:val="center"/>
              <w:rPr>
                <w:color w:val="000000"/>
                <w:sz w:val="20"/>
              </w:rPr>
            </w:pPr>
            <w:r w:rsidRPr="00280C38">
              <w:rPr>
                <w:color w:val="000000"/>
                <w:sz w:val="20"/>
              </w:rPr>
              <w:t>(tūkst.)</w:t>
            </w:r>
          </w:p>
        </w:tc>
        <w:tc>
          <w:tcPr>
            <w:tcW w:w="857" w:type="pct"/>
            <w:tcBorders>
              <w:bottom w:val="single" w:sz="4" w:space="0" w:color="auto"/>
              <w:right w:val="single" w:sz="4" w:space="0" w:color="auto"/>
            </w:tcBorders>
          </w:tcPr>
          <w:p w14:paraId="47080F3F" w14:textId="77777777" w:rsidR="00012948" w:rsidRPr="00280C38" w:rsidRDefault="00012948" w:rsidP="00057E2F">
            <w:pPr>
              <w:jc w:val="center"/>
              <w:rPr>
                <w:color w:val="000000"/>
                <w:sz w:val="20"/>
              </w:rPr>
            </w:pPr>
            <w:r w:rsidRPr="00280C38">
              <w:rPr>
                <w:color w:val="000000"/>
                <w:sz w:val="20"/>
              </w:rPr>
              <w:t>Atbilstība</w:t>
            </w:r>
          </w:p>
          <w:p w14:paraId="1B3DB5C9" w14:textId="77777777" w:rsidR="00012948" w:rsidRPr="00280C38" w:rsidRDefault="00012948" w:rsidP="00057E2F">
            <w:pPr>
              <w:jc w:val="center"/>
              <w:rPr>
                <w:color w:val="000000"/>
                <w:sz w:val="20"/>
              </w:rPr>
            </w:pPr>
            <w:r w:rsidRPr="00280C38">
              <w:rPr>
                <w:color w:val="000000"/>
                <w:sz w:val="20"/>
              </w:rPr>
              <w:t>(%)</w:t>
            </w:r>
          </w:p>
        </w:tc>
      </w:tr>
      <w:tr w:rsidR="00B97BCA" w:rsidRPr="00A15C78" w14:paraId="520C1F09" w14:textId="77777777" w:rsidTr="00057E2F">
        <w:trPr>
          <w:trHeight w:val="20"/>
        </w:trPr>
        <w:tc>
          <w:tcPr>
            <w:tcW w:w="2484" w:type="pct"/>
            <w:tcBorders>
              <w:left w:val="single" w:sz="4" w:space="0" w:color="auto"/>
              <w:bottom w:val="single" w:sz="4" w:space="0" w:color="auto"/>
            </w:tcBorders>
            <w:hideMark/>
          </w:tcPr>
          <w:p w14:paraId="54FEFD80" w14:textId="77777777" w:rsidR="00B97BCA" w:rsidRPr="00280C38" w:rsidRDefault="00B97BCA" w:rsidP="00B97BCA">
            <w:pPr>
              <w:rPr>
                <w:color w:val="000000"/>
                <w:sz w:val="20"/>
              </w:rPr>
            </w:pPr>
            <w:r w:rsidRPr="00280C38">
              <w:rPr>
                <w:b/>
                <w:bCs/>
                <w:sz w:val="20"/>
              </w:rPr>
              <w:t>Augstākā izglītība kopā</w:t>
            </w:r>
            <w:r>
              <w:rPr>
                <w:b/>
                <w:bCs/>
                <w:sz w:val="20"/>
              </w:rPr>
              <w:t>, tai skaitā:</w:t>
            </w:r>
          </w:p>
        </w:tc>
        <w:tc>
          <w:tcPr>
            <w:tcW w:w="721" w:type="pct"/>
            <w:tcBorders>
              <w:bottom w:val="single" w:sz="4" w:space="0" w:color="auto"/>
            </w:tcBorders>
            <w:vAlign w:val="bottom"/>
          </w:tcPr>
          <w:p w14:paraId="55500ABD" w14:textId="77777777" w:rsidR="00B97BCA" w:rsidRPr="00A80B20" w:rsidRDefault="001079A9" w:rsidP="00B97BCA">
            <w:pPr>
              <w:jc w:val="center"/>
              <w:rPr>
                <w:b/>
                <w:color w:val="000000"/>
                <w:sz w:val="20"/>
              </w:rPr>
            </w:pPr>
            <w:r w:rsidRPr="001079A9">
              <w:rPr>
                <w:color w:val="000000"/>
                <w:w w:val="80"/>
                <w:sz w:val="20"/>
              </w:rPr>
              <w:t>403,1</w:t>
            </w:r>
          </w:p>
        </w:tc>
        <w:tc>
          <w:tcPr>
            <w:tcW w:w="938" w:type="pct"/>
            <w:tcBorders>
              <w:bottom w:val="single" w:sz="4" w:space="0" w:color="auto"/>
            </w:tcBorders>
            <w:vAlign w:val="bottom"/>
          </w:tcPr>
          <w:p w14:paraId="7AB8DC6F" w14:textId="77777777" w:rsidR="00B97BCA" w:rsidRPr="00A80B20" w:rsidRDefault="001079A9" w:rsidP="00B97BCA">
            <w:pPr>
              <w:jc w:val="center"/>
              <w:rPr>
                <w:b/>
                <w:color w:val="000000"/>
                <w:sz w:val="20"/>
              </w:rPr>
            </w:pPr>
            <w:r w:rsidRPr="001079A9">
              <w:rPr>
                <w:color w:val="000000"/>
                <w:w w:val="80"/>
                <w:sz w:val="20"/>
              </w:rPr>
              <w:t>419,4</w:t>
            </w:r>
          </w:p>
        </w:tc>
        <w:tc>
          <w:tcPr>
            <w:tcW w:w="857" w:type="pct"/>
            <w:tcBorders>
              <w:bottom w:val="single" w:sz="4" w:space="0" w:color="auto"/>
              <w:right w:val="single" w:sz="4" w:space="0" w:color="auto"/>
            </w:tcBorders>
            <w:vAlign w:val="bottom"/>
          </w:tcPr>
          <w:p w14:paraId="20ED7E1F" w14:textId="77777777" w:rsidR="00B97BCA" w:rsidRPr="00A80B20" w:rsidRDefault="001079A9" w:rsidP="00B97BCA">
            <w:pPr>
              <w:jc w:val="center"/>
              <w:rPr>
                <w:b/>
                <w:color w:val="000000"/>
                <w:sz w:val="20"/>
              </w:rPr>
            </w:pPr>
            <w:r w:rsidRPr="001079A9">
              <w:rPr>
                <w:color w:val="000000"/>
                <w:w w:val="80"/>
                <w:sz w:val="20"/>
              </w:rPr>
              <w:t>96</w:t>
            </w:r>
          </w:p>
        </w:tc>
      </w:tr>
      <w:tr w:rsidR="00B97BCA" w:rsidRPr="00A15C78" w14:paraId="3C36419B" w14:textId="77777777" w:rsidTr="00057E2F">
        <w:trPr>
          <w:trHeight w:val="20"/>
        </w:trPr>
        <w:tc>
          <w:tcPr>
            <w:tcW w:w="2484" w:type="pct"/>
            <w:tcBorders>
              <w:left w:val="single" w:sz="4" w:space="0" w:color="auto"/>
              <w:bottom w:val="single" w:sz="4" w:space="0" w:color="auto"/>
            </w:tcBorders>
            <w:hideMark/>
          </w:tcPr>
          <w:p w14:paraId="360F89D1" w14:textId="77777777" w:rsidR="00B97BCA" w:rsidRPr="00280C38" w:rsidRDefault="00B97BCA" w:rsidP="00B97BCA">
            <w:pPr>
              <w:rPr>
                <w:color w:val="000000"/>
                <w:sz w:val="20"/>
              </w:rPr>
            </w:pPr>
            <w:r w:rsidRPr="00280C38">
              <w:rPr>
                <w:color w:val="000000"/>
                <w:sz w:val="20"/>
              </w:rPr>
              <w:t>Izglītība</w:t>
            </w:r>
          </w:p>
        </w:tc>
        <w:tc>
          <w:tcPr>
            <w:tcW w:w="721" w:type="pct"/>
            <w:tcBorders>
              <w:bottom w:val="single" w:sz="4" w:space="0" w:color="auto"/>
            </w:tcBorders>
            <w:vAlign w:val="bottom"/>
          </w:tcPr>
          <w:p w14:paraId="0D26DFD6" w14:textId="77777777" w:rsidR="00B97BCA" w:rsidRPr="00A80B20" w:rsidRDefault="001079A9" w:rsidP="00B97BCA">
            <w:pPr>
              <w:jc w:val="center"/>
              <w:rPr>
                <w:color w:val="000000"/>
                <w:sz w:val="20"/>
              </w:rPr>
            </w:pPr>
            <w:r w:rsidRPr="001079A9">
              <w:rPr>
                <w:color w:val="000000"/>
                <w:w w:val="80"/>
                <w:sz w:val="20"/>
              </w:rPr>
              <w:t>39,6</w:t>
            </w:r>
          </w:p>
        </w:tc>
        <w:tc>
          <w:tcPr>
            <w:tcW w:w="938" w:type="pct"/>
            <w:tcBorders>
              <w:bottom w:val="single" w:sz="4" w:space="0" w:color="auto"/>
            </w:tcBorders>
            <w:vAlign w:val="bottom"/>
          </w:tcPr>
          <w:p w14:paraId="2765BE1B" w14:textId="77777777" w:rsidR="00B97BCA" w:rsidRPr="00A80B20" w:rsidRDefault="001079A9" w:rsidP="00B97BCA">
            <w:pPr>
              <w:jc w:val="center"/>
              <w:rPr>
                <w:color w:val="000000"/>
                <w:sz w:val="20"/>
              </w:rPr>
            </w:pPr>
            <w:r w:rsidRPr="001079A9">
              <w:rPr>
                <w:color w:val="000000"/>
                <w:w w:val="80"/>
                <w:sz w:val="20"/>
              </w:rPr>
              <w:t>47,1</w:t>
            </w:r>
          </w:p>
        </w:tc>
        <w:tc>
          <w:tcPr>
            <w:tcW w:w="857" w:type="pct"/>
            <w:tcBorders>
              <w:bottom w:val="single" w:sz="4" w:space="0" w:color="auto"/>
              <w:right w:val="single" w:sz="4" w:space="0" w:color="auto"/>
            </w:tcBorders>
            <w:vAlign w:val="bottom"/>
          </w:tcPr>
          <w:p w14:paraId="053ACF7A" w14:textId="77777777" w:rsidR="00B97BCA" w:rsidRPr="00A80B20" w:rsidRDefault="001079A9" w:rsidP="00B97BCA">
            <w:pPr>
              <w:jc w:val="center"/>
              <w:rPr>
                <w:color w:val="000000"/>
                <w:sz w:val="20"/>
              </w:rPr>
            </w:pPr>
            <w:r w:rsidRPr="001079A9">
              <w:rPr>
                <w:color w:val="000000"/>
                <w:w w:val="80"/>
                <w:sz w:val="20"/>
              </w:rPr>
              <w:t>84</w:t>
            </w:r>
          </w:p>
        </w:tc>
      </w:tr>
      <w:tr w:rsidR="00B97BCA" w:rsidRPr="00A15C78" w14:paraId="7CCEB161" w14:textId="77777777" w:rsidTr="00057E2F">
        <w:trPr>
          <w:trHeight w:val="20"/>
        </w:trPr>
        <w:tc>
          <w:tcPr>
            <w:tcW w:w="2484" w:type="pct"/>
            <w:tcBorders>
              <w:left w:val="single" w:sz="4" w:space="0" w:color="auto"/>
              <w:bottom w:val="single" w:sz="4" w:space="0" w:color="auto"/>
            </w:tcBorders>
            <w:hideMark/>
          </w:tcPr>
          <w:p w14:paraId="087F9953" w14:textId="77777777" w:rsidR="00B97BCA" w:rsidRPr="00280C38" w:rsidRDefault="00B97BCA" w:rsidP="00B97BCA">
            <w:pPr>
              <w:rPr>
                <w:color w:val="000000"/>
                <w:sz w:val="20"/>
              </w:rPr>
            </w:pPr>
            <w:r w:rsidRPr="00280C38">
              <w:rPr>
                <w:color w:val="000000"/>
                <w:sz w:val="20"/>
              </w:rPr>
              <w:t>Humanitārās zinātnes un māksla</w:t>
            </w:r>
          </w:p>
        </w:tc>
        <w:tc>
          <w:tcPr>
            <w:tcW w:w="721" w:type="pct"/>
            <w:tcBorders>
              <w:bottom w:val="single" w:sz="4" w:space="0" w:color="auto"/>
            </w:tcBorders>
            <w:vAlign w:val="bottom"/>
          </w:tcPr>
          <w:p w14:paraId="2229B99B" w14:textId="77777777" w:rsidR="00B97BCA" w:rsidRPr="00A80B20" w:rsidRDefault="001079A9" w:rsidP="00B97BCA">
            <w:pPr>
              <w:jc w:val="center"/>
              <w:rPr>
                <w:color w:val="000000"/>
                <w:sz w:val="20"/>
              </w:rPr>
            </w:pPr>
            <w:r w:rsidRPr="001079A9">
              <w:rPr>
                <w:color w:val="000000"/>
                <w:w w:val="80"/>
                <w:sz w:val="20"/>
              </w:rPr>
              <w:t>18,2</w:t>
            </w:r>
          </w:p>
        </w:tc>
        <w:tc>
          <w:tcPr>
            <w:tcW w:w="938" w:type="pct"/>
            <w:tcBorders>
              <w:bottom w:val="single" w:sz="4" w:space="0" w:color="auto"/>
            </w:tcBorders>
            <w:vAlign w:val="bottom"/>
          </w:tcPr>
          <w:p w14:paraId="35C2287B" w14:textId="77777777" w:rsidR="00B97BCA" w:rsidRPr="00A80B20" w:rsidRDefault="001079A9" w:rsidP="00B97BCA">
            <w:pPr>
              <w:jc w:val="center"/>
              <w:rPr>
                <w:color w:val="000000"/>
                <w:sz w:val="20"/>
              </w:rPr>
            </w:pPr>
            <w:r w:rsidRPr="001079A9">
              <w:rPr>
                <w:color w:val="000000"/>
                <w:w w:val="80"/>
                <w:sz w:val="20"/>
              </w:rPr>
              <w:t>24,0</w:t>
            </w:r>
          </w:p>
        </w:tc>
        <w:tc>
          <w:tcPr>
            <w:tcW w:w="857" w:type="pct"/>
            <w:tcBorders>
              <w:bottom w:val="single" w:sz="4" w:space="0" w:color="auto"/>
              <w:right w:val="single" w:sz="4" w:space="0" w:color="auto"/>
            </w:tcBorders>
            <w:vAlign w:val="bottom"/>
          </w:tcPr>
          <w:p w14:paraId="7497C0DC" w14:textId="77777777" w:rsidR="00B97BCA" w:rsidRPr="00A80B20" w:rsidRDefault="001079A9" w:rsidP="00B97BCA">
            <w:pPr>
              <w:jc w:val="center"/>
              <w:rPr>
                <w:color w:val="000000"/>
                <w:sz w:val="20"/>
              </w:rPr>
            </w:pPr>
            <w:r w:rsidRPr="001079A9">
              <w:rPr>
                <w:color w:val="000000"/>
                <w:w w:val="80"/>
                <w:sz w:val="20"/>
              </w:rPr>
              <w:t>76</w:t>
            </w:r>
          </w:p>
        </w:tc>
      </w:tr>
      <w:tr w:rsidR="00B97BCA" w:rsidRPr="00A15C78" w14:paraId="13AD8CA0" w14:textId="77777777" w:rsidTr="00057E2F">
        <w:trPr>
          <w:trHeight w:val="20"/>
        </w:trPr>
        <w:tc>
          <w:tcPr>
            <w:tcW w:w="2484" w:type="pct"/>
            <w:tcBorders>
              <w:left w:val="single" w:sz="4" w:space="0" w:color="auto"/>
              <w:bottom w:val="single" w:sz="4" w:space="0" w:color="auto"/>
            </w:tcBorders>
            <w:hideMark/>
          </w:tcPr>
          <w:p w14:paraId="2077C103" w14:textId="77777777" w:rsidR="00B97BCA" w:rsidRPr="00280C38" w:rsidRDefault="00B97BCA" w:rsidP="00B97BCA">
            <w:pPr>
              <w:rPr>
                <w:color w:val="000000"/>
                <w:sz w:val="20"/>
              </w:rPr>
            </w:pPr>
            <w:r w:rsidRPr="00280C38">
              <w:rPr>
                <w:color w:val="000000"/>
                <w:sz w:val="20"/>
              </w:rPr>
              <w:t xml:space="preserve">Sociālās zinātnes, </w:t>
            </w:r>
            <w:proofErr w:type="spellStart"/>
            <w:r w:rsidRPr="00280C38">
              <w:rPr>
                <w:color w:val="000000"/>
                <w:sz w:val="20"/>
              </w:rPr>
              <w:t>komerczinības</w:t>
            </w:r>
            <w:proofErr w:type="spellEnd"/>
            <w:r w:rsidRPr="00280C38">
              <w:rPr>
                <w:color w:val="000000"/>
                <w:sz w:val="20"/>
              </w:rPr>
              <w:t xml:space="preserve"> un tiesības</w:t>
            </w:r>
          </w:p>
        </w:tc>
        <w:tc>
          <w:tcPr>
            <w:tcW w:w="721" w:type="pct"/>
            <w:tcBorders>
              <w:bottom w:val="single" w:sz="4" w:space="0" w:color="auto"/>
            </w:tcBorders>
            <w:vAlign w:val="bottom"/>
          </w:tcPr>
          <w:p w14:paraId="2D3463C9" w14:textId="77777777" w:rsidR="00B97BCA" w:rsidRPr="00A80B20" w:rsidRDefault="001079A9" w:rsidP="00B97BCA">
            <w:pPr>
              <w:jc w:val="center"/>
              <w:rPr>
                <w:color w:val="000000"/>
                <w:sz w:val="20"/>
              </w:rPr>
            </w:pPr>
            <w:r w:rsidRPr="001079A9">
              <w:rPr>
                <w:color w:val="000000"/>
                <w:w w:val="80"/>
                <w:sz w:val="20"/>
              </w:rPr>
              <w:t>170,7</w:t>
            </w:r>
          </w:p>
        </w:tc>
        <w:tc>
          <w:tcPr>
            <w:tcW w:w="938" w:type="pct"/>
            <w:tcBorders>
              <w:bottom w:val="single" w:sz="4" w:space="0" w:color="auto"/>
            </w:tcBorders>
            <w:vAlign w:val="bottom"/>
          </w:tcPr>
          <w:p w14:paraId="4DE4EBBD" w14:textId="77777777" w:rsidR="00B97BCA" w:rsidRPr="00A80B20" w:rsidRDefault="001079A9" w:rsidP="00B97BCA">
            <w:pPr>
              <w:jc w:val="center"/>
              <w:rPr>
                <w:color w:val="000000"/>
                <w:sz w:val="20"/>
              </w:rPr>
            </w:pPr>
            <w:r w:rsidRPr="001079A9">
              <w:rPr>
                <w:color w:val="000000"/>
                <w:w w:val="80"/>
                <w:sz w:val="20"/>
              </w:rPr>
              <w:t>196,0</w:t>
            </w:r>
          </w:p>
        </w:tc>
        <w:tc>
          <w:tcPr>
            <w:tcW w:w="857" w:type="pct"/>
            <w:tcBorders>
              <w:bottom w:val="single" w:sz="4" w:space="0" w:color="auto"/>
              <w:right w:val="single" w:sz="4" w:space="0" w:color="auto"/>
            </w:tcBorders>
            <w:vAlign w:val="bottom"/>
          </w:tcPr>
          <w:p w14:paraId="623483B4" w14:textId="77777777" w:rsidR="00B97BCA" w:rsidRPr="00A80B20" w:rsidRDefault="001079A9" w:rsidP="00B97BCA">
            <w:pPr>
              <w:jc w:val="center"/>
              <w:rPr>
                <w:color w:val="000000"/>
                <w:sz w:val="20"/>
              </w:rPr>
            </w:pPr>
            <w:r w:rsidRPr="001079A9">
              <w:rPr>
                <w:color w:val="000000"/>
                <w:w w:val="80"/>
                <w:sz w:val="20"/>
              </w:rPr>
              <w:t>87</w:t>
            </w:r>
          </w:p>
        </w:tc>
      </w:tr>
      <w:tr w:rsidR="00B97BCA" w:rsidRPr="00A15C78" w14:paraId="6D6177A0" w14:textId="77777777" w:rsidTr="00057E2F">
        <w:trPr>
          <w:trHeight w:val="20"/>
        </w:trPr>
        <w:tc>
          <w:tcPr>
            <w:tcW w:w="2484" w:type="pct"/>
            <w:tcBorders>
              <w:left w:val="single" w:sz="4" w:space="0" w:color="auto"/>
              <w:bottom w:val="single" w:sz="4" w:space="0" w:color="auto"/>
            </w:tcBorders>
            <w:hideMark/>
          </w:tcPr>
          <w:p w14:paraId="03F88FC0" w14:textId="77777777" w:rsidR="00B97BCA" w:rsidRPr="00A15C78" w:rsidRDefault="00B97BCA" w:rsidP="00B97BCA">
            <w:pPr>
              <w:rPr>
                <w:color w:val="000000"/>
                <w:sz w:val="20"/>
              </w:rPr>
            </w:pPr>
            <w:r w:rsidRPr="00A15C78">
              <w:rPr>
                <w:color w:val="000000"/>
                <w:sz w:val="20"/>
              </w:rPr>
              <w:t>Dabas zinātnes, matemātika un IT</w:t>
            </w:r>
          </w:p>
        </w:tc>
        <w:tc>
          <w:tcPr>
            <w:tcW w:w="721" w:type="pct"/>
            <w:tcBorders>
              <w:bottom w:val="single" w:sz="4" w:space="0" w:color="auto"/>
            </w:tcBorders>
            <w:vAlign w:val="bottom"/>
          </w:tcPr>
          <w:p w14:paraId="71AF6002" w14:textId="77777777" w:rsidR="00B97BCA" w:rsidRPr="00A80B20" w:rsidRDefault="001079A9" w:rsidP="00B97BCA">
            <w:pPr>
              <w:jc w:val="center"/>
              <w:rPr>
                <w:color w:val="000000"/>
                <w:sz w:val="20"/>
              </w:rPr>
            </w:pPr>
            <w:r w:rsidRPr="001079A9">
              <w:rPr>
                <w:color w:val="000000"/>
                <w:w w:val="80"/>
                <w:sz w:val="20"/>
              </w:rPr>
              <w:t>40,9</w:t>
            </w:r>
          </w:p>
        </w:tc>
        <w:tc>
          <w:tcPr>
            <w:tcW w:w="938" w:type="pct"/>
            <w:tcBorders>
              <w:bottom w:val="single" w:sz="4" w:space="0" w:color="auto"/>
            </w:tcBorders>
            <w:vAlign w:val="bottom"/>
          </w:tcPr>
          <w:p w14:paraId="700333D2" w14:textId="77777777" w:rsidR="00B97BCA" w:rsidRPr="00A80B20" w:rsidRDefault="001079A9" w:rsidP="00B97BCA">
            <w:pPr>
              <w:jc w:val="center"/>
              <w:rPr>
                <w:color w:val="000000"/>
                <w:sz w:val="20"/>
              </w:rPr>
            </w:pPr>
            <w:r w:rsidRPr="001079A9">
              <w:rPr>
                <w:color w:val="000000"/>
                <w:w w:val="80"/>
                <w:sz w:val="20"/>
              </w:rPr>
              <w:t>29,7</w:t>
            </w:r>
          </w:p>
        </w:tc>
        <w:tc>
          <w:tcPr>
            <w:tcW w:w="857" w:type="pct"/>
            <w:tcBorders>
              <w:bottom w:val="single" w:sz="4" w:space="0" w:color="auto"/>
              <w:right w:val="single" w:sz="4" w:space="0" w:color="auto"/>
            </w:tcBorders>
            <w:vAlign w:val="bottom"/>
          </w:tcPr>
          <w:p w14:paraId="45E7EC4F" w14:textId="77777777" w:rsidR="00B97BCA" w:rsidRPr="00A80B20" w:rsidRDefault="001079A9" w:rsidP="00B97BCA">
            <w:pPr>
              <w:jc w:val="center"/>
              <w:rPr>
                <w:color w:val="000000"/>
                <w:sz w:val="20"/>
              </w:rPr>
            </w:pPr>
            <w:r w:rsidRPr="001079A9">
              <w:rPr>
                <w:color w:val="000000"/>
                <w:w w:val="80"/>
                <w:sz w:val="20"/>
              </w:rPr>
              <w:t>138</w:t>
            </w:r>
          </w:p>
        </w:tc>
      </w:tr>
      <w:tr w:rsidR="00B97BCA" w:rsidRPr="00A15C78" w14:paraId="5DC61765" w14:textId="77777777" w:rsidTr="00057E2F">
        <w:trPr>
          <w:trHeight w:val="20"/>
        </w:trPr>
        <w:tc>
          <w:tcPr>
            <w:tcW w:w="2484" w:type="pct"/>
            <w:tcBorders>
              <w:left w:val="single" w:sz="4" w:space="0" w:color="auto"/>
              <w:bottom w:val="single" w:sz="4" w:space="0" w:color="auto"/>
            </w:tcBorders>
            <w:hideMark/>
          </w:tcPr>
          <w:p w14:paraId="4F3728AA" w14:textId="77777777" w:rsidR="00B97BCA" w:rsidRPr="00A15C78" w:rsidRDefault="00B97BCA" w:rsidP="00B97BCA">
            <w:pPr>
              <w:rPr>
                <w:color w:val="000000"/>
                <w:sz w:val="20"/>
              </w:rPr>
            </w:pPr>
            <w:r w:rsidRPr="00A15C78">
              <w:rPr>
                <w:color w:val="000000"/>
                <w:sz w:val="20"/>
              </w:rPr>
              <w:t>Inženierzinātnes, ražošana un būvniecība</w:t>
            </w:r>
          </w:p>
        </w:tc>
        <w:tc>
          <w:tcPr>
            <w:tcW w:w="721" w:type="pct"/>
            <w:tcBorders>
              <w:bottom w:val="single" w:sz="4" w:space="0" w:color="auto"/>
            </w:tcBorders>
            <w:vAlign w:val="bottom"/>
          </w:tcPr>
          <w:p w14:paraId="121FDF32" w14:textId="77777777" w:rsidR="00B97BCA" w:rsidRPr="00A80B20" w:rsidRDefault="001079A9" w:rsidP="00B97BCA">
            <w:pPr>
              <w:jc w:val="center"/>
              <w:rPr>
                <w:color w:val="000000"/>
                <w:sz w:val="20"/>
              </w:rPr>
            </w:pPr>
            <w:r w:rsidRPr="001079A9">
              <w:rPr>
                <w:color w:val="000000"/>
                <w:w w:val="80"/>
                <w:sz w:val="20"/>
              </w:rPr>
              <w:t>70,2</w:t>
            </w:r>
          </w:p>
        </w:tc>
        <w:tc>
          <w:tcPr>
            <w:tcW w:w="938" w:type="pct"/>
            <w:tcBorders>
              <w:bottom w:val="single" w:sz="4" w:space="0" w:color="auto"/>
            </w:tcBorders>
            <w:vAlign w:val="bottom"/>
          </w:tcPr>
          <w:p w14:paraId="6BC2480B" w14:textId="77777777" w:rsidR="00B97BCA" w:rsidRPr="00A80B20" w:rsidRDefault="001079A9" w:rsidP="00B97BCA">
            <w:pPr>
              <w:jc w:val="center"/>
              <w:rPr>
                <w:color w:val="000000"/>
                <w:sz w:val="20"/>
              </w:rPr>
            </w:pPr>
            <w:r w:rsidRPr="001079A9">
              <w:rPr>
                <w:color w:val="000000"/>
                <w:w w:val="80"/>
                <w:sz w:val="20"/>
              </w:rPr>
              <w:t>52,2</w:t>
            </w:r>
          </w:p>
        </w:tc>
        <w:tc>
          <w:tcPr>
            <w:tcW w:w="857" w:type="pct"/>
            <w:tcBorders>
              <w:bottom w:val="single" w:sz="4" w:space="0" w:color="auto"/>
              <w:right w:val="single" w:sz="4" w:space="0" w:color="auto"/>
            </w:tcBorders>
            <w:vAlign w:val="bottom"/>
          </w:tcPr>
          <w:p w14:paraId="1752C7C2" w14:textId="77777777" w:rsidR="00B97BCA" w:rsidRPr="00A80B20" w:rsidRDefault="001079A9" w:rsidP="00B97BCA">
            <w:pPr>
              <w:jc w:val="center"/>
              <w:rPr>
                <w:color w:val="000000"/>
                <w:sz w:val="20"/>
              </w:rPr>
            </w:pPr>
            <w:r w:rsidRPr="001079A9">
              <w:rPr>
                <w:color w:val="000000"/>
                <w:w w:val="80"/>
                <w:sz w:val="20"/>
              </w:rPr>
              <w:t>135</w:t>
            </w:r>
          </w:p>
        </w:tc>
      </w:tr>
      <w:tr w:rsidR="00B97BCA" w:rsidRPr="00A15C78" w14:paraId="6E5F50EC" w14:textId="77777777" w:rsidTr="00057E2F">
        <w:trPr>
          <w:trHeight w:val="20"/>
        </w:trPr>
        <w:tc>
          <w:tcPr>
            <w:tcW w:w="2484" w:type="pct"/>
            <w:tcBorders>
              <w:left w:val="single" w:sz="4" w:space="0" w:color="auto"/>
              <w:bottom w:val="single" w:sz="4" w:space="0" w:color="auto"/>
            </w:tcBorders>
            <w:hideMark/>
          </w:tcPr>
          <w:p w14:paraId="137C6732" w14:textId="77777777" w:rsidR="00B97BCA" w:rsidRPr="00A15C78" w:rsidRDefault="00B97BCA" w:rsidP="00B97BCA">
            <w:pPr>
              <w:rPr>
                <w:color w:val="000000"/>
                <w:sz w:val="20"/>
              </w:rPr>
            </w:pPr>
            <w:r w:rsidRPr="00A15C78">
              <w:rPr>
                <w:color w:val="000000"/>
                <w:sz w:val="20"/>
              </w:rPr>
              <w:t>Lauksaimniecība</w:t>
            </w:r>
          </w:p>
        </w:tc>
        <w:tc>
          <w:tcPr>
            <w:tcW w:w="721" w:type="pct"/>
            <w:tcBorders>
              <w:bottom w:val="single" w:sz="4" w:space="0" w:color="auto"/>
            </w:tcBorders>
            <w:vAlign w:val="bottom"/>
          </w:tcPr>
          <w:p w14:paraId="268F930D" w14:textId="77777777" w:rsidR="00B97BCA" w:rsidRPr="00A80B20" w:rsidRDefault="001079A9" w:rsidP="00B97BCA">
            <w:pPr>
              <w:jc w:val="center"/>
              <w:rPr>
                <w:color w:val="000000"/>
                <w:sz w:val="20"/>
              </w:rPr>
            </w:pPr>
            <w:r w:rsidRPr="001079A9">
              <w:rPr>
                <w:color w:val="000000"/>
                <w:w w:val="80"/>
                <w:sz w:val="20"/>
              </w:rPr>
              <w:t>8,0</w:t>
            </w:r>
          </w:p>
        </w:tc>
        <w:tc>
          <w:tcPr>
            <w:tcW w:w="938" w:type="pct"/>
            <w:tcBorders>
              <w:bottom w:val="single" w:sz="4" w:space="0" w:color="auto"/>
            </w:tcBorders>
            <w:vAlign w:val="bottom"/>
          </w:tcPr>
          <w:p w14:paraId="6D0921CD" w14:textId="77777777" w:rsidR="00B97BCA" w:rsidRPr="00A80B20" w:rsidRDefault="001079A9" w:rsidP="00B97BCA">
            <w:pPr>
              <w:jc w:val="center"/>
              <w:rPr>
                <w:color w:val="000000"/>
                <w:sz w:val="20"/>
              </w:rPr>
            </w:pPr>
            <w:r w:rsidRPr="001079A9">
              <w:rPr>
                <w:color w:val="000000"/>
                <w:w w:val="80"/>
                <w:sz w:val="20"/>
              </w:rPr>
              <w:t>7,9</w:t>
            </w:r>
          </w:p>
        </w:tc>
        <w:tc>
          <w:tcPr>
            <w:tcW w:w="857" w:type="pct"/>
            <w:tcBorders>
              <w:bottom w:val="single" w:sz="4" w:space="0" w:color="auto"/>
              <w:right w:val="single" w:sz="4" w:space="0" w:color="auto"/>
            </w:tcBorders>
            <w:vAlign w:val="bottom"/>
          </w:tcPr>
          <w:p w14:paraId="1262ABA3" w14:textId="77777777" w:rsidR="00B97BCA" w:rsidRPr="00A80B20" w:rsidRDefault="001079A9" w:rsidP="00B97BCA">
            <w:pPr>
              <w:jc w:val="center"/>
              <w:rPr>
                <w:color w:val="000000"/>
                <w:sz w:val="20"/>
              </w:rPr>
            </w:pPr>
            <w:r w:rsidRPr="001079A9">
              <w:rPr>
                <w:color w:val="000000"/>
                <w:w w:val="80"/>
                <w:sz w:val="20"/>
              </w:rPr>
              <w:t>102</w:t>
            </w:r>
          </w:p>
        </w:tc>
      </w:tr>
      <w:tr w:rsidR="00B97BCA" w:rsidRPr="00A15C78" w14:paraId="457E0459" w14:textId="77777777" w:rsidTr="00057E2F">
        <w:trPr>
          <w:trHeight w:val="20"/>
        </w:trPr>
        <w:tc>
          <w:tcPr>
            <w:tcW w:w="2484" w:type="pct"/>
            <w:tcBorders>
              <w:left w:val="single" w:sz="4" w:space="0" w:color="auto"/>
              <w:bottom w:val="single" w:sz="4" w:space="0" w:color="auto"/>
            </w:tcBorders>
            <w:hideMark/>
          </w:tcPr>
          <w:p w14:paraId="59B05D3A" w14:textId="77777777" w:rsidR="00B97BCA" w:rsidRPr="00A15C78" w:rsidRDefault="00B97BCA" w:rsidP="00B97BCA">
            <w:pPr>
              <w:rPr>
                <w:color w:val="000000"/>
                <w:sz w:val="20"/>
              </w:rPr>
            </w:pPr>
            <w:r w:rsidRPr="00A15C78">
              <w:rPr>
                <w:color w:val="000000"/>
                <w:sz w:val="20"/>
              </w:rPr>
              <w:t>Veselības aprūpe un sociālā labklājība</w:t>
            </w:r>
          </w:p>
        </w:tc>
        <w:tc>
          <w:tcPr>
            <w:tcW w:w="721" w:type="pct"/>
            <w:tcBorders>
              <w:bottom w:val="single" w:sz="4" w:space="0" w:color="auto"/>
            </w:tcBorders>
            <w:vAlign w:val="bottom"/>
          </w:tcPr>
          <w:p w14:paraId="5DF55EB3" w14:textId="77777777" w:rsidR="00B97BCA" w:rsidRPr="00A80B20" w:rsidRDefault="001079A9" w:rsidP="00B97BCA">
            <w:pPr>
              <w:jc w:val="center"/>
              <w:rPr>
                <w:color w:val="000000"/>
                <w:sz w:val="20"/>
              </w:rPr>
            </w:pPr>
            <w:r w:rsidRPr="001079A9">
              <w:rPr>
                <w:color w:val="000000"/>
                <w:w w:val="80"/>
                <w:sz w:val="20"/>
              </w:rPr>
              <w:t>40,4</w:t>
            </w:r>
          </w:p>
        </w:tc>
        <w:tc>
          <w:tcPr>
            <w:tcW w:w="938" w:type="pct"/>
            <w:tcBorders>
              <w:bottom w:val="single" w:sz="4" w:space="0" w:color="auto"/>
            </w:tcBorders>
            <w:vAlign w:val="bottom"/>
          </w:tcPr>
          <w:p w14:paraId="293ED0B2" w14:textId="77777777" w:rsidR="00B97BCA" w:rsidRPr="00A80B20" w:rsidRDefault="001079A9" w:rsidP="00B97BCA">
            <w:pPr>
              <w:jc w:val="center"/>
              <w:rPr>
                <w:color w:val="000000"/>
                <w:sz w:val="20"/>
              </w:rPr>
            </w:pPr>
            <w:r w:rsidRPr="001079A9">
              <w:rPr>
                <w:color w:val="000000"/>
                <w:w w:val="80"/>
                <w:sz w:val="20"/>
              </w:rPr>
              <w:t>41,5</w:t>
            </w:r>
          </w:p>
        </w:tc>
        <w:tc>
          <w:tcPr>
            <w:tcW w:w="857" w:type="pct"/>
            <w:tcBorders>
              <w:bottom w:val="single" w:sz="4" w:space="0" w:color="auto"/>
              <w:right w:val="single" w:sz="4" w:space="0" w:color="auto"/>
            </w:tcBorders>
            <w:vAlign w:val="bottom"/>
          </w:tcPr>
          <w:p w14:paraId="69D90412" w14:textId="77777777" w:rsidR="00B97BCA" w:rsidRPr="00A80B20" w:rsidRDefault="001079A9" w:rsidP="00B97BCA">
            <w:pPr>
              <w:jc w:val="center"/>
              <w:rPr>
                <w:color w:val="000000"/>
                <w:sz w:val="20"/>
              </w:rPr>
            </w:pPr>
            <w:r w:rsidRPr="001079A9">
              <w:rPr>
                <w:color w:val="000000"/>
                <w:w w:val="80"/>
                <w:sz w:val="20"/>
              </w:rPr>
              <w:t>97</w:t>
            </w:r>
          </w:p>
        </w:tc>
      </w:tr>
      <w:tr w:rsidR="00B97BCA" w:rsidRPr="00A15C78" w14:paraId="1B6644B8" w14:textId="77777777" w:rsidTr="00057E2F">
        <w:trPr>
          <w:trHeight w:val="20"/>
        </w:trPr>
        <w:tc>
          <w:tcPr>
            <w:tcW w:w="2484" w:type="pct"/>
            <w:tcBorders>
              <w:left w:val="single" w:sz="4" w:space="0" w:color="auto"/>
              <w:bottom w:val="single" w:sz="4" w:space="0" w:color="auto"/>
            </w:tcBorders>
            <w:hideMark/>
          </w:tcPr>
          <w:p w14:paraId="0E79B40F" w14:textId="77777777" w:rsidR="00B97BCA" w:rsidRPr="00A15C78" w:rsidRDefault="00B97BCA" w:rsidP="00B97BCA">
            <w:pPr>
              <w:rPr>
                <w:color w:val="000000"/>
                <w:sz w:val="20"/>
              </w:rPr>
            </w:pPr>
            <w:r w:rsidRPr="00A15C78">
              <w:rPr>
                <w:color w:val="000000"/>
                <w:sz w:val="20"/>
              </w:rPr>
              <w:t>Pakalpojumi</w:t>
            </w:r>
          </w:p>
        </w:tc>
        <w:tc>
          <w:tcPr>
            <w:tcW w:w="721" w:type="pct"/>
            <w:tcBorders>
              <w:bottom w:val="single" w:sz="4" w:space="0" w:color="auto"/>
            </w:tcBorders>
            <w:vAlign w:val="bottom"/>
          </w:tcPr>
          <w:p w14:paraId="6DFD623D" w14:textId="77777777" w:rsidR="00B97BCA" w:rsidRPr="00A80B20" w:rsidRDefault="001079A9" w:rsidP="00B97BCA">
            <w:pPr>
              <w:jc w:val="center"/>
              <w:rPr>
                <w:color w:val="000000"/>
                <w:sz w:val="20"/>
              </w:rPr>
            </w:pPr>
            <w:r w:rsidRPr="001079A9">
              <w:rPr>
                <w:color w:val="000000"/>
                <w:w w:val="80"/>
                <w:sz w:val="20"/>
              </w:rPr>
              <w:t>14,9</w:t>
            </w:r>
          </w:p>
        </w:tc>
        <w:tc>
          <w:tcPr>
            <w:tcW w:w="938" w:type="pct"/>
            <w:tcBorders>
              <w:bottom w:val="single" w:sz="4" w:space="0" w:color="auto"/>
            </w:tcBorders>
            <w:vAlign w:val="bottom"/>
          </w:tcPr>
          <w:p w14:paraId="2CAEA03E" w14:textId="77777777" w:rsidR="00B97BCA" w:rsidRPr="00A80B20" w:rsidRDefault="001079A9" w:rsidP="00B97BCA">
            <w:pPr>
              <w:jc w:val="center"/>
              <w:rPr>
                <w:color w:val="000000"/>
                <w:sz w:val="20"/>
              </w:rPr>
            </w:pPr>
            <w:r w:rsidRPr="001079A9">
              <w:rPr>
                <w:color w:val="000000"/>
                <w:w w:val="80"/>
                <w:sz w:val="20"/>
              </w:rPr>
              <w:t>21,1</w:t>
            </w:r>
          </w:p>
        </w:tc>
        <w:tc>
          <w:tcPr>
            <w:tcW w:w="857" w:type="pct"/>
            <w:tcBorders>
              <w:bottom w:val="single" w:sz="4" w:space="0" w:color="auto"/>
              <w:right w:val="single" w:sz="4" w:space="0" w:color="auto"/>
            </w:tcBorders>
            <w:vAlign w:val="bottom"/>
          </w:tcPr>
          <w:p w14:paraId="42463B85" w14:textId="77777777" w:rsidR="00B97BCA" w:rsidRPr="00A80B20" w:rsidRDefault="001079A9" w:rsidP="00B97BCA">
            <w:pPr>
              <w:jc w:val="center"/>
              <w:rPr>
                <w:color w:val="000000"/>
                <w:sz w:val="20"/>
              </w:rPr>
            </w:pPr>
            <w:r w:rsidRPr="001079A9">
              <w:rPr>
                <w:color w:val="000000"/>
                <w:w w:val="80"/>
                <w:sz w:val="20"/>
              </w:rPr>
              <w:t>71</w:t>
            </w:r>
          </w:p>
        </w:tc>
      </w:tr>
    </w:tbl>
    <w:p w14:paraId="3D6713CC" w14:textId="77777777" w:rsidR="00012948" w:rsidRDefault="00012948" w:rsidP="00012948">
      <w:pPr>
        <w:pStyle w:val="Default"/>
        <w:spacing w:line="360" w:lineRule="auto"/>
        <w:jc w:val="both"/>
        <w:rPr>
          <w:i/>
        </w:rPr>
      </w:pPr>
      <w:r w:rsidRPr="000C7B95">
        <w:rPr>
          <w:i/>
        </w:rPr>
        <w:t xml:space="preserve">Avots: EM informatīvais ziņojums, </w:t>
      </w:r>
      <w:r w:rsidR="00A80B20">
        <w:rPr>
          <w:i/>
        </w:rPr>
        <w:t>76</w:t>
      </w:r>
      <w:r w:rsidRPr="000C7B95">
        <w:rPr>
          <w:i/>
        </w:rPr>
        <w:t>.lpp.</w:t>
      </w:r>
    </w:p>
    <w:p w14:paraId="366F417E" w14:textId="77777777" w:rsidR="00012948" w:rsidRPr="00CC1B1A" w:rsidRDefault="00012948" w:rsidP="00CC1B1A">
      <w:pPr>
        <w:pStyle w:val="Default"/>
        <w:ind w:firstLine="720"/>
        <w:jc w:val="both"/>
        <w:rPr>
          <w:color w:val="auto"/>
        </w:rPr>
      </w:pPr>
      <w:r w:rsidRPr="00CC1B1A">
        <w:rPr>
          <w:color w:val="auto"/>
        </w:rPr>
        <w:t>Kā rāda 1.</w:t>
      </w:r>
      <w:r w:rsidR="002739DC">
        <w:rPr>
          <w:color w:val="auto"/>
        </w:rPr>
        <w:t>6</w:t>
      </w:r>
      <w:r w:rsidRPr="00CC1B1A">
        <w:rPr>
          <w:color w:val="auto"/>
        </w:rPr>
        <w:t xml:space="preserve">.tabulas dati, uz 2030.gadu pieprasījums pēc darbaspēka ar augstāko izglītību kopumā prognozēts mazāks nekā piedāvājums. Pēc EM aprēķiniem 2030.gadā salīdzinājumā ar </w:t>
      </w:r>
      <w:r w:rsidR="00A80B20" w:rsidRPr="00CC1B1A">
        <w:rPr>
          <w:color w:val="auto"/>
        </w:rPr>
        <w:t>202</w:t>
      </w:r>
      <w:r w:rsidR="00A80B20">
        <w:rPr>
          <w:color w:val="auto"/>
        </w:rPr>
        <w:t>2</w:t>
      </w:r>
      <w:r w:rsidRPr="00CC1B1A">
        <w:rPr>
          <w:color w:val="auto"/>
        </w:rPr>
        <w:t xml:space="preserve">.gadu tiek prognozēta vēl lielāka neatbilstība starp pieprasījumu un piedāvājumu dažādās tematiskajās grupās. Pieprasījums pēc darbaspēka ar augstāko izglītību izglītības tematiskajā grupā </w:t>
      </w:r>
      <w:r w:rsidRPr="00CC1B1A">
        <w:rPr>
          <w:bCs/>
          <w:i/>
          <w:iCs/>
          <w:color w:val="auto"/>
        </w:rPr>
        <w:t>Dabaszinātnes, matemātika un informācijas tehnoloģijas</w:t>
      </w:r>
      <w:r w:rsidRPr="00CC1B1A">
        <w:rPr>
          <w:bCs/>
          <w:iCs/>
          <w:color w:val="auto"/>
        </w:rPr>
        <w:t xml:space="preserve"> pārsniegs tā piedāvājumu par </w:t>
      </w:r>
      <w:r w:rsidR="00A80B20">
        <w:rPr>
          <w:bCs/>
          <w:iCs/>
          <w:color w:val="auto"/>
        </w:rPr>
        <w:t>38</w:t>
      </w:r>
      <w:r w:rsidR="00A80B20" w:rsidRPr="00CC1B1A">
        <w:rPr>
          <w:bCs/>
          <w:iCs/>
          <w:color w:val="auto"/>
        </w:rPr>
        <w:t xml:space="preserve"> </w:t>
      </w:r>
      <w:r w:rsidRPr="00CC1B1A">
        <w:rPr>
          <w:bCs/>
          <w:iCs/>
          <w:color w:val="auto"/>
        </w:rPr>
        <w:t xml:space="preserve">%, savukārt izglītības tematiskajā grupā </w:t>
      </w:r>
      <w:r w:rsidRPr="00CC1B1A">
        <w:rPr>
          <w:bCs/>
          <w:i/>
          <w:iCs/>
          <w:color w:val="auto"/>
        </w:rPr>
        <w:t>Inženierzinātnes, ražošana un būvniecība</w:t>
      </w:r>
      <w:r w:rsidRPr="00CC1B1A">
        <w:rPr>
          <w:bCs/>
          <w:iCs/>
          <w:color w:val="auto"/>
        </w:rPr>
        <w:t xml:space="preserve"> pieprasījums pārsniegs piedāvājumu par </w:t>
      </w:r>
      <w:r w:rsidR="00A80B20">
        <w:rPr>
          <w:bCs/>
          <w:iCs/>
          <w:color w:val="auto"/>
        </w:rPr>
        <w:t>35</w:t>
      </w:r>
      <w:r w:rsidR="00A80B20" w:rsidRPr="00CC1B1A">
        <w:rPr>
          <w:bCs/>
          <w:iCs/>
          <w:color w:val="auto"/>
        </w:rPr>
        <w:t xml:space="preserve"> </w:t>
      </w:r>
      <w:r w:rsidRPr="00CC1B1A">
        <w:rPr>
          <w:bCs/>
          <w:iCs/>
          <w:color w:val="auto"/>
        </w:rPr>
        <w:t>%</w:t>
      </w:r>
      <w:r w:rsidR="00CC1B1A" w:rsidRPr="00CC1B1A">
        <w:rPr>
          <w:bCs/>
          <w:iCs/>
          <w:color w:val="auto"/>
        </w:rPr>
        <w:t xml:space="preserve"> un izglītības tematiskajā grupā L</w:t>
      </w:r>
      <w:r w:rsidR="00CC1B1A" w:rsidRPr="00CC1B1A">
        <w:rPr>
          <w:bCs/>
          <w:i/>
          <w:iCs/>
          <w:color w:val="auto"/>
        </w:rPr>
        <w:t>auksaimniecība</w:t>
      </w:r>
      <w:r w:rsidR="00CC1B1A" w:rsidRPr="00CC1B1A">
        <w:rPr>
          <w:bCs/>
          <w:iCs/>
          <w:color w:val="auto"/>
        </w:rPr>
        <w:t xml:space="preserve"> – </w:t>
      </w:r>
      <w:r w:rsidR="00A80B20">
        <w:rPr>
          <w:bCs/>
          <w:iCs/>
          <w:color w:val="auto"/>
        </w:rPr>
        <w:t>2</w:t>
      </w:r>
      <w:r w:rsidR="00A80B20" w:rsidRPr="00CC1B1A">
        <w:rPr>
          <w:bCs/>
          <w:iCs/>
          <w:color w:val="auto"/>
        </w:rPr>
        <w:t xml:space="preserve"> </w:t>
      </w:r>
      <w:r w:rsidR="00CC1B1A" w:rsidRPr="00CC1B1A">
        <w:rPr>
          <w:bCs/>
          <w:iCs/>
          <w:color w:val="auto"/>
        </w:rPr>
        <w:t>%</w:t>
      </w:r>
      <w:r w:rsidRPr="00CC1B1A">
        <w:rPr>
          <w:bCs/>
          <w:iCs/>
          <w:color w:val="auto"/>
        </w:rPr>
        <w:t xml:space="preserve">. </w:t>
      </w:r>
    </w:p>
    <w:p w14:paraId="65304415" w14:textId="77777777" w:rsidR="00012948" w:rsidRPr="000F1F0B" w:rsidRDefault="00012948" w:rsidP="000C7B95">
      <w:pPr>
        <w:pStyle w:val="Default"/>
        <w:ind w:firstLine="567"/>
        <w:jc w:val="both"/>
        <w:rPr>
          <w:color w:val="FF0000"/>
        </w:rPr>
      </w:pPr>
    </w:p>
    <w:p w14:paraId="07B0B425" w14:textId="77777777" w:rsidR="00D42476" w:rsidRDefault="00D42476" w:rsidP="00CC1B1A">
      <w:pPr>
        <w:pStyle w:val="Default"/>
        <w:ind w:firstLine="720"/>
        <w:jc w:val="both"/>
        <w:rPr>
          <w:color w:val="auto"/>
        </w:rPr>
      </w:pPr>
      <w:r w:rsidRPr="00CC1B1A">
        <w:rPr>
          <w:color w:val="auto"/>
        </w:rPr>
        <w:t xml:space="preserve">Prognozējot jaunas darba iespējas nākotnē, EM informatīvajā ziņojumā </w:t>
      </w:r>
      <w:r w:rsidRPr="00CC1B1A">
        <w:rPr>
          <w:iCs/>
          <w:color w:val="auto"/>
        </w:rPr>
        <w:t xml:space="preserve">ir secināts, ka </w:t>
      </w:r>
      <w:r w:rsidRPr="00CC1B1A">
        <w:rPr>
          <w:bCs/>
          <w:color w:val="auto"/>
        </w:rPr>
        <w:t>tās veidosies galvenokārt dažādu speciālistu profesiju grupās (inženierzinātņu, IT, veselības u.c. jomās)</w:t>
      </w:r>
      <w:r w:rsidRPr="00CC1B1A">
        <w:rPr>
          <w:color w:val="auto"/>
        </w:rPr>
        <w:t xml:space="preserve">. </w:t>
      </w:r>
      <w:r w:rsidRPr="00CC1B1A">
        <w:rPr>
          <w:iCs/>
          <w:color w:val="auto"/>
        </w:rPr>
        <w:t xml:space="preserve">Latvijā, līdzīgi kā ES, līdz </w:t>
      </w:r>
      <w:r w:rsidRPr="00CC1B1A">
        <w:rPr>
          <w:color w:val="auto"/>
        </w:rPr>
        <w:t>2025.gadam vispieprasītākās profesiju grupas būs speciālisti un vecākie speciālisti. Lai gan turpināsies orientācija uz pakalpojumiem vērstu ekonomiku, tomēr pieprasījums pēc zinātnes, tehnoloģiju, inženierzinātņu un matemātikas prasmēm nemazināsies un tās būs nepieciešamas arī pakalpojumu nozarēs, piemēram, liela daļa cilvēku ar IKT prasmēm ir nodarbināti finanšu sektorā.</w:t>
      </w:r>
    </w:p>
    <w:p w14:paraId="20FBB31B" w14:textId="77777777" w:rsidR="00D42476" w:rsidRPr="00CC1B1A" w:rsidRDefault="00D42476" w:rsidP="00CC1B1A">
      <w:pPr>
        <w:ind w:firstLine="720"/>
        <w:rPr>
          <w:szCs w:val="24"/>
        </w:rPr>
      </w:pPr>
      <w:r w:rsidRPr="00CC1B1A">
        <w:rPr>
          <w:szCs w:val="24"/>
        </w:rPr>
        <w:t xml:space="preserve">Vienlaikus EM atzīst, ka demogrāfijas faktoru izmaiņas ietekmēs prasmju piedāvājumu daudzās profesijās. Novecošanās ietekmēs daudzas STEM profesijas. Tas norāda uz iespējamo nākotnes darbaspēka iztrūkumu zinātnes un tehnoloģiju jomā. </w:t>
      </w:r>
    </w:p>
    <w:p w14:paraId="7312C71B" w14:textId="77777777" w:rsidR="00D42476" w:rsidRPr="00CC1B1A" w:rsidRDefault="00D42476" w:rsidP="00CC1B1A">
      <w:pPr>
        <w:ind w:firstLine="720"/>
        <w:rPr>
          <w:szCs w:val="24"/>
        </w:rPr>
      </w:pPr>
      <w:r w:rsidRPr="00CC1B1A">
        <w:rPr>
          <w:szCs w:val="24"/>
        </w:rPr>
        <w:t>Ņemot vērā iepriekš minēto, šobrīd augstākās izglītības jomā akcents ir jāliek uz nozaru pārstrukturizācijas pasākumiem, lai palielinātu jauno speciālistu skaitu STEM profesijās un tādā veidā nodrošinātu nākotnes darbaspēka vajadzības.</w:t>
      </w:r>
    </w:p>
    <w:p w14:paraId="326D4EC5" w14:textId="77777777" w:rsidR="00D42476" w:rsidRPr="00CC1B1A" w:rsidRDefault="00D42476" w:rsidP="00CC1B1A">
      <w:pPr>
        <w:ind w:firstLine="720"/>
        <w:rPr>
          <w:szCs w:val="26"/>
        </w:rPr>
      </w:pPr>
      <w:r w:rsidRPr="00CC1B1A">
        <w:rPr>
          <w:szCs w:val="26"/>
        </w:rPr>
        <w:t xml:space="preserve">Lai gan uzņemto studentu struktūra </w:t>
      </w:r>
      <w:r w:rsidR="005B701C" w:rsidRPr="00CC1B1A">
        <w:rPr>
          <w:szCs w:val="26"/>
        </w:rPr>
        <w:t xml:space="preserve">pēdējo gadu laikā </w:t>
      </w:r>
      <w:r w:rsidRPr="00CC1B1A">
        <w:rPr>
          <w:szCs w:val="26"/>
        </w:rPr>
        <w:t xml:space="preserve">būtiski nav izmainījusies, tomēr vērojama tendence samazināties sociālo zinātņu tematiskās grupu studentu īpatsvaram. Pozitīvi vērtējams fakts, ka </w:t>
      </w:r>
      <w:r w:rsidR="00CC1B1A" w:rsidRPr="00CC1B1A">
        <w:rPr>
          <w:szCs w:val="26"/>
        </w:rPr>
        <w:t xml:space="preserve">studijas uzsākušo īpatsvars </w:t>
      </w:r>
      <w:r w:rsidRPr="00CC1B1A">
        <w:rPr>
          <w:szCs w:val="26"/>
        </w:rPr>
        <w:t>pakāp</w:t>
      </w:r>
      <w:r w:rsidR="00CC1B1A" w:rsidRPr="00CC1B1A">
        <w:rPr>
          <w:szCs w:val="26"/>
        </w:rPr>
        <w:t>eniski turpināja palielināties i</w:t>
      </w:r>
      <w:r w:rsidRPr="00CC1B1A">
        <w:rPr>
          <w:szCs w:val="26"/>
        </w:rPr>
        <w:t xml:space="preserve">nženierzinātņu, ražošanas un būvniecības </w:t>
      </w:r>
      <w:r w:rsidR="00CC1B1A" w:rsidRPr="00CC1B1A">
        <w:rPr>
          <w:szCs w:val="26"/>
        </w:rPr>
        <w:t xml:space="preserve">izglītības </w:t>
      </w:r>
      <w:r w:rsidRPr="00CC1B1A">
        <w:rPr>
          <w:szCs w:val="26"/>
        </w:rPr>
        <w:t>tematisk</w:t>
      </w:r>
      <w:r w:rsidR="00CC1B1A" w:rsidRPr="00CC1B1A">
        <w:rPr>
          <w:szCs w:val="26"/>
        </w:rPr>
        <w:t>aj</w:t>
      </w:r>
      <w:r w:rsidRPr="00CC1B1A">
        <w:rPr>
          <w:szCs w:val="26"/>
        </w:rPr>
        <w:t>ā grupā, lauksaimniecības</w:t>
      </w:r>
      <w:r w:rsidR="00CC1B1A" w:rsidRPr="00CC1B1A">
        <w:rPr>
          <w:szCs w:val="26"/>
        </w:rPr>
        <w:t>,</w:t>
      </w:r>
      <w:r w:rsidRPr="00CC1B1A">
        <w:rPr>
          <w:szCs w:val="26"/>
        </w:rPr>
        <w:t xml:space="preserve"> veselības aprūpes un sociālās labklājības </w:t>
      </w:r>
      <w:r w:rsidR="00CC1B1A" w:rsidRPr="00CC1B1A">
        <w:rPr>
          <w:szCs w:val="26"/>
        </w:rPr>
        <w:t xml:space="preserve">izglītības </w:t>
      </w:r>
      <w:r w:rsidRPr="00CC1B1A">
        <w:rPr>
          <w:szCs w:val="26"/>
        </w:rPr>
        <w:t>tematisk</w:t>
      </w:r>
      <w:r w:rsidR="00CC1B1A" w:rsidRPr="00CC1B1A">
        <w:rPr>
          <w:szCs w:val="26"/>
        </w:rPr>
        <w:t>ajās</w:t>
      </w:r>
      <w:r w:rsidRPr="00CC1B1A">
        <w:rPr>
          <w:szCs w:val="26"/>
        </w:rPr>
        <w:t xml:space="preserve"> grupā</w:t>
      </w:r>
      <w:r w:rsidR="00CC1B1A" w:rsidRPr="00CC1B1A">
        <w:rPr>
          <w:szCs w:val="26"/>
        </w:rPr>
        <w:t>s</w:t>
      </w:r>
      <w:r w:rsidRPr="00CC1B1A">
        <w:rPr>
          <w:szCs w:val="26"/>
        </w:rPr>
        <w:t xml:space="preserve">. Arī augstākās izglītības iestāžu absolvējušo struktūra uzrāda pozitīvas tendences – arvien palielinās absolvējušo skaita īpatsvara pieaugums inženierzinātņu, ražošanas un būvniecības </w:t>
      </w:r>
      <w:r w:rsidR="00CC1B1A" w:rsidRPr="00CC1B1A">
        <w:rPr>
          <w:szCs w:val="26"/>
        </w:rPr>
        <w:t xml:space="preserve">izglītības </w:t>
      </w:r>
      <w:r w:rsidRPr="00CC1B1A">
        <w:rPr>
          <w:szCs w:val="26"/>
        </w:rPr>
        <w:t>tematisk</w:t>
      </w:r>
      <w:r w:rsidR="00CC1B1A" w:rsidRPr="00CC1B1A">
        <w:rPr>
          <w:szCs w:val="26"/>
        </w:rPr>
        <w:t>aj</w:t>
      </w:r>
      <w:r w:rsidRPr="00CC1B1A">
        <w:rPr>
          <w:szCs w:val="26"/>
        </w:rPr>
        <w:t>ā grupā, kā arī veselības aprūpes un sociālās labklājības grupā.</w:t>
      </w:r>
    </w:p>
    <w:p w14:paraId="2673AE10" w14:textId="77777777" w:rsidR="006C7F3A" w:rsidRPr="000F1F0B" w:rsidRDefault="006C7F3A" w:rsidP="000C7B95">
      <w:pPr>
        <w:ind w:firstLine="567"/>
        <w:rPr>
          <w:color w:val="FF0000"/>
          <w:szCs w:val="26"/>
        </w:rPr>
      </w:pPr>
    </w:p>
    <w:p w14:paraId="3EE97521" w14:textId="77777777" w:rsidR="00D42476" w:rsidRPr="00BC1A53" w:rsidRDefault="00D42476" w:rsidP="00BC1A53">
      <w:pPr>
        <w:ind w:firstLine="720"/>
        <w:rPr>
          <w:szCs w:val="26"/>
        </w:rPr>
      </w:pPr>
      <w:r w:rsidRPr="00BC1A53">
        <w:rPr>
          <w:szCs w:val="26"/>
        </w:rPr>
        <w:t>Kaut arī pēdējos gados izglītības piedāvājumā vērojamas pozitīvas tendences, tomēr, saglabājoties esošai speciālistu sagatavošanas intensitātei, joprojām pastāv risks, ka arī turpmāk vidējā termiņā un ilgtermiņā saglabāsies neatbilstības darba tirgū.</w:t>
      </w:r>
    </w:p>
    <w:p w14:paraId="1D3F3A3F" w14:textId="77777777" w:rsidR="00D42476" w:rsidRPr="00BC1A53" w:rsidRDefault="00D42476" w:rsidP="000C7B95">
      <w:pPr>
        <w:pStyle w:val="Default"/>
        <w:ind w:firstLine="720"/>
        <w:jc w:val="both"/>
        <w:rPr>
          <w:b/>
          <w:bCs/>
          <w:color w:val="auto"/>
        </w:rPr>
      </w:pPr>
      <w:r w:rsidRPr="00BC1A53">
        <w:rPr>
          <w:bCs/>
          <w:color w:val="auto"/>
        </w:rPr>
        <w:lastRenderedPageBreak/>
        <w:t xml:space="preserve">EM informatīvajā ziņojumā </w:t>
      </w:r>
      <w:r w:rsidRPr="00BC1A53">
        <w:rPr>
          <w:color w:val="auto"/>
        </w:rPr>
        <w:t>ir norādīts, lai efektīvāk novērstu nākotnē sagaidāmās neatbilstības darba tirgū, ir nepieciešams pievērst pastiprinātu uzmanību sekojošās jomās (</w:t>
      </w:r>
      <w:r w:rsidRPr="00BC1A53">
        <w:rPr>
          <w:b/>
          <w:bCs/>
          <w:color w:val="auto"/>
        </w:rPr>
        <w:t>pasākumi augstākajā izglītībā):</w:t>
      </w:r>
    </w:p>
    <w:p w14:paraId="1DAA52C3" w14:textId="77777777" w:rsidR="009C34E1" w:rsidRDefault="009C34E1" w:rsidP="00B47005">
      <w:pPr>
        <w:pStyle w:val="Default"/>
        <w:numPr>
          <w:ilvl w:val="0"/>
          <w:numId w:val="19"/>
        </w:numPr>
        <w:jc w:val="both"/>
        <w:rPr>
          <w:color w:val="auto"/>
        </w:rPr>
      </w:pPr>
      <w:r w:rsidRPr="001D6904">
        <w:rPr>
          <w:szCs w:val="28"/>
          <w:lang w:eastAsia="en-US"/>
        </w:rPr>
        <w:t>jāstiprina augstākās izglītības kvalitāte – akreditācijas sistēmas pilnveide, studiju vietas nodrošinājuma palielināšana, akadēmiskā personāla kvalifikācijas kritēriju paaugstināšana;</w:t>
      </w:r>
    </w:p>
    <w:p w14:paraId="2A35CE72" w14:textId="77777777" w:rsidR="00D42476" w:rsidRPr="00BC1A53" w:rsidRDefault="00D42476" w:rsidP="00B47005">
      <w:pPr>
        <w:pStyle w:val="Default"/>
        <w:numPr>
          <w:ilvl w:val="0"/>
          <w:numId w:val="19"/>
        </w:numPr>
        <w:jc w:val="both"/>
        <w:rPr>
          <w:color w:val="auto"/>
        </w:rPr>
      </w:pPr>
      <w:r w:rsidRPr="00BC1A53">
        <w:rPr>
          <w:color w:val="auto"/>
        </w:rPr>
        <w:t xml:space="preserve">jāmazina studentu atbirums inženierzinātņu un dabaszinātņu programmās, piemēram, ieviešot valsts finansētu </w:t>
      </w:r>
      <w:proofErr w:type="spellStart"/>
      <w:r w:rsidRPr="00BC1A53">
        <w:rPr>
          <w:color w:val="auto"/>
        </w:rPr>
        <w:t>pirmsstudiju</w:t>
      </w:r>
      <w:proofErr w:type="spellEnd"/>
      <w:r w:rsidRPr="00BC1A53">
        <w:rPr>
          <w:color w:val="auto"/>
        </w:rPr>
        <w:t xml:space="preserve"> kursu; </w:t>
      </w:r>
    </w:p>
    <w:p w14:paraId="6D3DA974" w14:textId="77777777" w:rsidR="00D42476" w:rsidRPr="00BC1A53" w:rsidRDefault="00D42476" w:rsidP="00B47005">
      <w:pPr>
        <w:pStyle w:val="Default"/>
        <w:numPr>
          <w:ilvl w:val="0"/>
          <w:numId w:val="19"/>
        </w:numPr>
        <w:jc w:val="both"/>
        <w:rPr>
          <w:color w:val="auto"/>
        </w:rPr>
      </w:pPr>
      <w:r w:rsidRPr="00BC1A53">
        <w:rPr>
          <w:b/>
          <w:color w:val="auto"/>
        </w:rPr>
        <w:t>jāturpina palielināt budžeta studiju vietu skaits inženierzinātnēs, informācijas un komunikācijas tehnoloģijās, farmācijā un lauksaimniecībā</w:t>
      </w:r>
      <w:r w:rsidRPr="00BC1A53">
        <w:rPr>
          <w:color w:val="auto"/>
        </w:rPr>
        <w:t xml:space="preserve">; </w:t>
      </w:r>
    </w:p>
    <w:p w14:paraId="719AB043" w14:textId="77777777" w:rsidR="00D42476" w:rsidRPr="00BC1A53" w:rsidRDefault="00D42476" w:rsidP="00B47005">
      <w:pPr>
        <w:pStyle w:val="Default"/>
        <w:numPr>
          <w:ilvl w:val="0"/>
          <w:numId w:val="19"/>
        </w:numPr>
        <w:jc w:val="both"/>
        <w:rPr>
          <w:color w:val="auto"/>
        </w:rPr>
      </w:pPr>
      <w:r w:rsidRPr="00BC1A53">
        <w:rPr>
          <w:color w:val="auto"/>
        </w:rPr>
        <w:t xml:space="preserve">jāattīsta starpdisciplināras programmas; </w:t>
      </w:r>
    </w:p>
    <w:p w14:paraId="5668F48C" w14:textId="77777777" w:rsidR="00D42476" w:rsidRPr="00BC1A53" w:rsidRDefault="00D42476" w:rsidP="00B47005">
      <w:pPr>
        <w:pStyle w:val="Default"/>
        <w:numPr>
          <w:ilvl w:val="0"/>
          <w:numId w:val="19"/>
        </w:numPr>
        <w:jc w:val="both"/>
        <w:rPr>
          <w:color w:val="auto"/>
        </w:rPr>
      </w:pPr>
      <w:r w:rsidRPr="00BC1A53">
        <w:rPr>
          <w:color w:val="auto"/>
        </w:rPr>
        <w:t xml:space="preserve">jāpaplašina profesionālās augstākās izglītības 1.līmeņa (koledžu) piedāvājums – īpaši STEM virzienos; </w:t>
      </w:r>
    </w:p>
    <w:p w14:paraId="137A8298" w14:textId="77777777" w:rsidR="00D42476" w:rsidRPr="00BC1A53" w:rsidRDefault="00D42476" w:rsidP="00B47005">
      <w:pPr>
        <w:pStyle w:val="Default"/>
        <w:numPr>
          <w:ilvl w:val="0"/>
          <w:numId w:val="19"/>
        </w:numPr>
        <w:jc w:val="both"/>
        <w:rPr>
          <w:color w:val="auto"/>
        </w:rPr>
      </w:pPr>
      <w:r w:rsidRPr="00BC1A53">
        <w:rPr>
          <w:b/>
          <w:color w:val="auto"/>
        </w:rPr>
        <w:t>jāuzlabo augstskolu nodrošinājums ar mūsdienīgām iekārtām, aprīkojumu un tehnoloģijām tādos prioritāros studiju virzienos kā dabaszinātnes, matemātika un informācijas tehnoloģijas, inženierzinātnes, ražošana un būvniecība</w:t>
      </w:r>
      <w:r w:rsidRPr="00BC1A53">
        <w:rPr>
          <w:color w:val="auto"/>
        </w:rPr>
        <w:t xml:space="preserve">; </w:t>
      </w:r>
    </w:p>
    <w:p w14:paraId="5DF0ABA0" w14:textId="77777777" w:rsidR="009C34E1" w:rsidRDefault="00D42476" w:rsidP="00B47005">
      <w:pPr>
        <w:pStyle w:val="Default"/>
        <w:numPr>
          <w:ilvl w:val="0"/>
          <w:numId w:val="19"/>
        </w:numPr>
        <w:jc w:val="both"/>
        <w:rPr>
          <w:color w:val="auto"/>
        </w:rPr>
      </w:pPr>
      <w:r w:rsidRPr="00BC1A53">
        <w:rPr>
          <w:color w:val="auto"/>
        </w:rPr>
        <w:t xml:space="preserve">jāpaplašina pieaugušo izglītības piedāvājums augstākās izglītības iestādēs – zināšanu atjaunošana un padziļināšanā iegūtā specialitātē, </w:t>
      </w:r>
      <w:proofErr w:type="spellStart"/>
      <w:r w:rsidRPr="00BC1A53">
        <w:rPr>
          <w:color w:val="auto"/>
        </w:rPr>
        <w:t>pārkvalifikācijas</w:t>
      </w:r>
      <w:proofErr w:type="spellEnd"/>
      <w:r w:rsidRPr="00BC1A53">
        <w:rPr>
          <w:color w:val="auto"/>
        </w:rPr>
        <w:t xml:space="preserve"> iespējas cilvēkiem ar augstāko izglītību</w:t>
      </w:r>
      <w:r w:rsidR="009C34E1">
        <w:rPr>
          <w:color w:val="auto"/>
        </w:rPr>
        <w:t>;</w:t>
      </w:r>
    </w:p>
    <w:p w14:paraId="74F511FB" w14:textId="77777777" w:rsidR="005F76A8" w:rsidRPr="005F76A8" w:rsidRDefault="005F76A8" w:rsidP="00B47005">
      <w:pPr>
        <w:pStyle w:val="Default"/>
        <w:numPr>
          <w:ilvl w:val="0"/>
          <w:numId w:val="19"/>
        </w:numPr>
        <w:jc w:val="both"/>
        <w:rPr>
          <w:color w:val="auto"/>
        </w:rPr>
      </w:pPr>
      <w:r>
        <w:rPr>
          <w:color w:val="auto"/>
        </w:rPr>
        <w:t xml:space="preserve">jāīsteno uz rezultātiem orientēta </w:t>
      </w:r>
      <w:r w:rsidRPr="005F76A8">
        <w:rPr>
          <w:szCs w:val="28"/>
          <w:lang w:eastAsia="en-US"/>
        </w:rPr>
        <w:t>augstākās izglītības finansēšanas modeļa ieviešana</w:t>
      </w:r>
      <w:r>
        <w:rPr>
          <w:szCs w:val="28"/>
          <w:lang w:eastAsia="en-US"/>
        </w:rPr>
        <w:t>;</w:t>
      </w:r>
    </w:p>
    <w:p w14:paraId="78BFC9DC" w14:textId="77777777" w:rsidR="005F76A8" w:rsidRDefault="005F76A8" w:rsidP="00B47005">
      <w:pPr>
        <w:pStyle w:val="Default"/>
        <w:numPr>
          <w:ilvl w:val="0"/>
          <w:numId w:val="19"/>
        </w:numPr>
        <w:jc w:val="both"/>
        <w:rPr>
          <w:color w:val="auto"/>
        </w:rPr>
      </w:pPr>
      <w:r>
        <w:rPr>
          <w:szCs w:val="28"/>
          <w:lang w:eastAsia="en-US"/>
        </w:rPr>
        <w:t xml:space="preserve">jāuzlabo </w:t>
      </w:r>
      <w:r w:rsidRPr="001D6904">
        <w:rPr>
          <w:szCs w:val="28"/>
          <w:lang w:eastAsia="en-US"/>
        </w:rPr>
        <w:t>augstākās izglītības iestāžu sadarbība ar vidējās profesionālās izglītības iestādēm, tādējādi sekmējot vidējās profesionālās izglītības iestāžu absolventu pāreju no profesionālās izglītības uz augstāko izglītību (piemēram, līdzdalība izglītības programmu izstrādē un savstarpējā saskaņošanā, iepriekšējās izglītības atzīšana u</w:t>
      </w:r>
      <w:r>
        <w:rPr>
          <w:szCs w:val="28"/>
          <w:lang w:eastAsia="en-US"/>
        </w:rPr>
        <w:t>.tml.</w:t>
      </w:r>
    </w:p>
    <w:p w14:paraId="70AFEA8A" w14:textId="77777777" w:rsidR="00BA2886" w:rsidRDefault="00BA2886">
      <w:pPr>
        <w:pStyle w:val="Default"/>
        <w:ind w:left="720"/>
        <w:jc w:val="both"/>
        <w:rPr>
          <w:szCs w:val="28"/>
          <w:lang w:eastAsia="en-US"/>
        </w:rPr>
      </w:pPr>
    </w:p>
    <w:p w14:paraId="27C5A672" w14:textId="77777777" w:rsidR="00D56DBC" w:rsidRDefault="00AE50E9" w:rsidP="00BC1A53">
      <w:pPr>
        <w:spacing w:after="120"/>
        <w:ind w:firstLine="720"/>
        <w:rPr>
          <w:szCs w:val="24"/>
        </w:rPr>
      </w:pPr>
      <w:r w:rsidRPr="00BC1A53">
        <w:rPr>
          <w:rFonts w:eastAsia="Calibri"/>
          <w:szCs w:val="24"/>
          <w:lang w:eastAsia="lv-LV"/>
        </w:rPr>
        <w:t xml:space="preserve">Viens no risinājumiem, lai mazinātu </w:t>
      </w:r>
      <w:r w:rsidRPr="00BC1A53">
        <w:t xml:space="preserve">neatbilstību starp augstākās izglītības piedāvājumu un darba tirgus pieprasījumu, ir </w:t>
      </w:r>
      <w:r w:rsidRPr="00BC1A53">
        <w:rPr>
          <w:rFonts w:eastAsia="Calibri"/>
          <w:szCs w:val="24"/>
          <w:lang w:eastAsia="lv-LV"/>
        </w:rPr>
        <w:t xml:space="preserve">palielināt studējošo skaitu STEM jomas programmās, uzlabojot tajās </w:t>
      </w:r>
      <w:r w:rsidRPr="00BC1A53">
        <w:rPr>
          <w:rFonts w:eastAsia="Calibri"/>
        </w:rPr>
        <w:t>studiju un zinātniskā darba</w:t>
      </w:r>
      <w:r w:rsidRPr="00BC1A53">
        <w:rPr>
          <w:rFonts w:eastAsia="Calibri"/>
          <w:szCs w:val="24"/>
          <w:lang w:eastAsia="lv-LV"/>
        </w:rPr>
        <w:t xml:space="preserve"> vidi, tādā veidā paaugstinot</w:t>
      </w:r>
      <w:r w:rsidR="00A20D10" w:rsidRPr="00BC1A53">
        <w:rPr>
          <w:rFonts w:eastAsia="Calibri"/>
          <w:szCs w:val="24"/>
          <w:lang w:eastAsia="lv-LV"/>
        </w:rPr>
        <w:t xml:space="preserve"> studiju kvalitāti un </w:t>
      </w:r>
      <w:r w:rsidR="00A20D10" w:rsidRPr="00BC1A53">
        <w:rPr>
          <w:rFonts w:eastAsia="Calibri"/>
        </w:rPr>
        <w:t>veicinot</w:t>
      </w:r>
      <w:r w:rsidRPr="00BC1A53">
        <w:rPr>
          <w:rFonts w:eastAsia="Calibri"/>
          <w:szCs w:val="24"/>
          <w:lang w:eastAsia="lv-LV"/>
        </w:rPr>
        <w:t xml:space="preserve"> potenciālo </w:t>
      </w:r>
      <w:r w:rsidR="00A20D10" w:rsidRPr="00BC1A53">
        <w:rPr>
          <w:rFonts w:eastAsia="Calibri"/>
        </w:rPr>
        <w:t>studentu</w:t>
      </w:r>
      <w:r w:rsidRPr="00BC1A53">
        <w:rPr>
          <w:rFonts w:eastAsia="Calibri"/>
          <w:szCs w:val="24"/>
          <w:lang w:eastAsia="lv-LV"/>
        </w:rPr>
        <w:t xml:space="preserve"> interesi par studijām STEM jomas programmās. </w:t>
      </w:r>
      <w:r w:rsidRPr="00BC1A53">
        <w:rPr>
          <w:szCs w:val="26"/>
        </w:rPr>
        <w:t>Šī mērķa sasniegšanu sekmēs 8.1.</w:t>
      </w:r>
      <w:r w:rsidR="00A20D10" w:rsidRPr="00BC1A53">
        <w:rPr>
          <w:szCs w:val="26"/>
        </w:rPr>
        <w:t>1</w:t>
      </w:r>
      <w:r w:rsidRPr="00BC1A53">
        <w:rPr>
          <w:szCs w:val="26"/>
        </w:rPr>
        <w:t>. SAM īstenošana</w:t>
      </w:r>
      <w:r w:rsidRPr="00BC1A53">
        <w:rPr>
          <w:szCs w:val="24"/>
        </w:rPr>
        <w:t>.</w:t>
      </w:r>
    </w:p>
    <w:p w14:paraId="648F360F" w14:textId="77777777" w:rsidR="00BC1A53" w:rsidRPr="00BC1A53" w:rsidRDefault="00BC1A53" w:rsidP="00BC1A53">
      <w:pPr>
        <w:spacing w:after="120"/>
        <w:ind w:firstLine="720"/>
        <w:rPr>
          <w:szCs w:val="24"/>
        </w:rPr>
        <w:sectPr w:rsidR="00BC1A53" w:rsidRPr="00BC1A53" w:rsidSect="00500454">
          <w:headerReference w:type="default" r:id="rId29"/>
          <w:footerReference w:type="default" r:id="rId30"/>
          <w:pgSz w:w="11907" w:h="16840" w:code="9"/>
          <w:pgMar w:top="1134" w:right="1134" w:bottom="1134" w:left="1701" w:header="709" w:footer="709" w:gutter="0"/>
          <w:cols w:space="708"/>
          <w:docGrid w:linePitch="360"/>
        </w:sectPr>
      </w:pPr>
    </w:p>
    <w:p w14:paraId="6519C4B3" w14:textId="77777777" w:rsidR="00D42476" w:rsidRDefault="00D42476" w:rsidP="00D93672">
      <w:pPr>
        <w:pStyle w:val="Heading2"/>
        <w:rPr>
          <w:noProof/>
          <w:lang w:eastAsia="lv-LV"/>
        </w:rPr>
      </w:pPr>
      <w:bookmarkStart w:id="11" w:name="_Toc457815670"/>
      <w:r w:rsidRPr="00D42476">
        <w:rPr>
          <w:noProof/>
          <w:color w:val="365F91" w:themeColor="accent1" w:themeShade="BF"/>
          <w:lang w:eastAsia="lv-LV"/>
        </w:rPr>
        <w:lastRenderedPageBreak/>
        <w:t>1.</w:t>
      </w:r>
      <w:r w:rsidR="00D1667A">
        <w:rPr>
          <w:noProof/>
          <w:color w:val="365F91" w:themeColor="accent1" w:themeShade="BF"/>
          <w:lang w:eastAsia="lv-LV"/>
        </w:rPr>
        <w:t>3</w:t>
      </w:r>
      <w:r w:rsidRPr="00D42476">
        <w:rPr>
          <w:noProof/>
          <w:color w:val="365F91" w:themeColor="accent1" w:themeShade="BF"/>
          <w:lang w:eastAsia="lv-LV"/>
        </w:rPr>
        <w:t>.</w:t>
      </w:r>
      <w:r w:rsidRPr="00D42476">
        <w:rPr>
          <w:noProof/>
          <w:lang w:eastAsia="lv-LV"/>
        </w:rPr>
        <w:t xml:space="preserve"> </w:t>
      </w:r>
      <w:r w:rsidR="00D1667A">
        <w:rPr>
          <w:noProof/>
          <w:lang w:eastAsia="lv-LV"/>
        </w:rPr>
        <w:t>8.1.1.SAM sasaiste ar īstenoto politiku augstākās izglītības jomā</w:t>
      </w:r>
      <w:bookmarkEnd w:id="11"/>
    </w:p>
    <w:p w14:paraId="289BEC68" w14:textId="77777777" w:rsidR="003F34D8" w:rsidRPr="003F34D8" w:rsidRDefault="003F34D8" w:rsidP="003F34D8">
      <w:pPr>
        <w:rPr>
          <w:rFonts w:eastAsia="Calibri"/>
          <w:lang w:eastAsia="lv-LV"/>
        </w:rPr>
      </w:pPr>
    </w:p>
    <w:p w14:paraId="00C92269" w14:textId="77777777" w:rsidR="004572BD" w:rsidRPr="00BC1A53" w:rsidRDefault="004572BD" w:rsidP="004572BD">
      <w:pPr>
        <w:pStyle w:val="Default"/>
        <w:ind w:firstLine="720"/>
        <w:jc w:val="both"/>
        <w:rPr>
          <w:color w:val="auto"/>
          <w:highlight w:val="yellow"/>
        </w:rPr>
      </w:pPr>
      <w:r w:rsidRPr="00BC1A53">
        <w:rPr>
          <w:color w:val="auto"/>
        </w:rPr>
        <w:t>Izglītības attīstības pamatnostādnēs 2014.- 2020.gadam viens no uzdevumiem izglītības politikas mērķu sasniegšanā paredz īstenot augstākās izglītības pārstrukturizēšanas pasākumus, kas vērsti uz studējošo skaita proporcijas maiņu atbilstoši darba tirgus vidēja termiņa un ilgtermiņa prognozēm</w:t>
      </w:r>
      <w:r w:rsidR="00287EF8" w:rsidRPr="00BC1A53">
        <w:rPr>
          <w:color w:val="auto"/>
        </w:rPr>
        <w:t xml:space="preserve">. </w:t>
      </w:r>
    </w:p>
    <w:p w14:paraId="3F39B457" w14:textId="77777777" w:rsidR="004572BD" w:rsidRPr="00BC1A53" w:rsidRDefault="00604846" w:rsidP="004572BD">
      <w:pPr>
        <w:pStyle w:val="Default"/>
        <w:spacing w:before="120"/>
        <w:ind w:firstLine="720"/>
        <w:jc w:val="both"/>
        <w:rPr>
          <w:color w:val="auto"/>
        </w:rPr>
      </w:pPr>
      <w:r w:rsidRPr="00BC1A53">
        <w:rPr>
          <w:bCs/>
          <w:color w:val="auto"/>
        </w:rPr>
        <w:t xml:space="preserve">Lai izglītības piedāvājumu arvien tuvinātu darbaspēka pieprasījumam, jau šobrīd tiek veikti pasākumi izglītības piedāvājuma struktūras maiņai, kuru rezultāti būs redzami jau tuvāko gadu laikā. </w:t>
      </w:r>
      <w:r w:rsidR="004572BD" w:rsidRPr="00BC1A53">
        <w:rPr>
          <w:color w:val="auto"/>
          <w:szCs w:val="28"/>
          <w:lang w:eastAsia="en-US"/>
        </w:rPr>
        <w:t>Lai meklētu risinājumus darba tirgus disproporciju mazināšanai, IZM ir izstrādājusi informatīvo ziņojumu “</w:t>
      </w:r>
      <w:r w:rsidR="004572BD" w:rsidRPr="00BC1A53">
        <w:rPr>
          <w:color w:val="auto"/>
        </w:rPr>
        <w:t>Par pasākumiem matemātikas, dabaszinātņu un inženiertehniskās izglītības apguves kvalitātes un sagatavoto speciālistu piedāvājuma paaugstināšanā” (</w:t>
      </w:r>
      <w:r w:rsidR="004572BD" w:rsidRPr="00BC1A53">
        <w:rPr>
          <w:i/>
          <w:color w:val="auto"/>
        </w:rPr>
        <w:t>Izskatīts un akceptēts 02.06.2015. MK sēdē, protokols Nr.27 41.§.)</w:t>
      </w:r>
      <w:r w:rsidR="004572BD" w:rsidRPr="00BC1A53">
        <w:rPr>
          <w:rStyle w:val="FootnoteReference"/>
          <w:i/>
          <w:color w:val="auto"/>
        </w:rPr>
        <w:footnoteReference w:id="13"/>
      </w:r>
      <w:r w:rsidR="004572BD" w:rsidRPr="00BC1A53">
        <w:rPr>
          <w:color w:val="auto"/>
        </w:rPr>
        <w:t xml:space="preserve"> (turpmāk – IZM informatīvais ziņojums). Šajā ziņojumā, </w:t>
      </w:r>
      <w:r w:rsidR="004572BD" w:rsidRPr="00BC1A53">
        <w:rPr>
          <w:color w:val="auto"/>
          <w:szCs w:val="28"/>
        </w:rPr>
        <w:t>ņemot vērā prognozējamo izglītojamo skaitu, finansējumu un teritoriālo izvietojumu, IZM ir sagatavojusi vidēja termiņa rīcības virzienus par eksakto un dabaszinātņu priekšmetu apguves kvalitātes paaugstināšanu pamata un vispārējā vidējā izglītībā, izglītojamo skaita proporcijas maiņu vispārējā vidējā izglītībā par labu profesionālajai vidējai izglītībai, budžeta studiju vietu pārdali par labu dabas, eksaktajiem un inženierzinātņu virzieniem, profesionālās augstākās izglītības pirmā līmeņa (koledžu) piedāvājuma palielināšanu, vienoto pieaugušo izglītības sistēmu konkrētām mērķa grupām, kā arī izvērtējusi pasākumu ietekmi uz darba tirgus disproporciju mazināšanu.</w:t>
      </w:r>
    </w:p>
    <w:p w14:paraId="23C84F2A" w14:textId="77777777" w:rsidR="00604846" w:rsidRPr="00BC1A53" w:rsidRDefault="004572BD" w:rsidP="00604846">
      <w:pPr>
        <w:pStyle w:val="Default"/>
        <w:ind w:firstLine="720"/>
        <w:jc w:val="both"/>
        <w:rPr>
          <w:color w:val="auto"/>
          <w:szCs w:val="26"/>
        </w:rPr>
      </w:pPr>
      <w:r w:rsidRPr="00BC1A53">
        <w:rPr>
          <w:color w:val="auto"/>
        </w:rPr>
        <w:t xml:space="preserve">IZM informatīvajā ziņojumā noteikto rīcības virzienu un pasākumu matemātikas, dabaszinātņu un inženiertehniskās izglītības apguves kvalitātes un sagatavoto speciālistu piedāvājuma paaugstināšanas mērķis ir novērst pašreiz konstatējamo disproporciju starp izglītības jomām, lai tie nebūtu pretrunā ar nepieciešamību veikt pasākumus visu izglītības jomu kvalitātes un efektivitātes paaugstināšanā. Līdz ar to izglītībā tiek īstenots plašs savstarpēji saistītu rīcības virzienu kopums, starp kuriem nozīmīga loma ir eksaktajai un inženiertehniskajai izglītībai. IZM īstenotie </w:t>
      </w:r>
      <w:r w:rsidRPr="00BC1A53">
        <w:rPr>
          <w:color w:val="auto"/>
          <w:szCs w:val="26"/>
        </w:rPr>
        <w:t xml:space="preserve">izglītības politikas pasākumi veicinās visu izglītības pakāpju izglītojamo interesi par dabas un eksaktajām zinātnēm, līdz ar to prognozējams, ka palielināsies to </w:t>
      </w:r>
      <w:r w:rsidR="00287EF8" w:rsidRPr="00BC1A53">
        <w:rPr>
          <w:color w:val="auto"/>
          <w:szCs w:val="26"/>
        </w:rPr>
        <w:t>potenciālo studentu</w:t>
      </w:r>
      <w:r w:rsidRPr="00BC1A53">
        <w:rPr>
          <w:color w:val="auto"/>
          <w:szCs w:val="26"/>
        </w:rPr>
        <w:t xml:space="preserve"> skaits, kas izvēlēsies studijas dabas zinātņu, informācijas tehnoloģiju, inženierzinātņu, ražošanas un būvniecības jomā.</w:t>
      </w:r>
      <w:r w:rsidR="00287EF8" w:rsidRPr="00BC1A53">
        <w:rPr>
          <w:color w:val="auto"/>
          <w:szCs w:val="26"/>
        </w:rPr>
        <w:t xml:space="preserve"> </w:t>
      </w:r>
    </w:p>
    <w:p w14:paraId="5691D03A" w14:textId="77777777" w:rsidR="004572BD" w:rsidRPr="00BC1A53" w:rsidRDefault="00751939" w:rsidP="00604846">
      <w:pPr>
        <w:pStyle w:val="Default"/>
        <w:ind w:firstLine="720"/>
        <w:jc w:val="both"/>
        <w:rPr>
          <w:bCs/>
          <w:color w:val="auto"/>
        </w:rPr>
      </w:pPr>
      <w:r w:rsidRPr="00BC1A53">
        <w:rPr>
          <w:bCs/>
          <w:color w:val="auto"/>
        </w:rPr>
        <w:t xml:space="preserve">Tā kā </w:t>
      </w:r>
      <w:r w:rsidR="00287EF8" w:rsidRPr="00BC1A53">
        <w:rPr>
          <w:bCs/>
          <w:color w:val="auto"/>
        </w:rPr>
        <w:t xml:space="preserve">8.1.1. SAM īstenošana sekmēs studējošo skaita palielināšanos STEM jomas programmās, līdz ar to </w:t>
      </w:r>
      <w:r w:rsidRPr="00BC1A53">
        <w:rPr>
          <w:bCs/>
          <w:color w:val="auto"/>
        </w:rPr>
        <w:t>tiks veicināta augstākās izglītības piedāvājuma atbilstība darba tirgus pieprasījumam.</w:t>
      </w:r>
    </w:p>
    <w:p w14:paraId="32EE3656" w14:textId="77777777" w:rsidR="00C43DD6" w:rsidRDefault="00751939" w:rsidP="00C43DD6">
      <w:pPr>
        <w:pStyle w:val="Default"/>
        <w:ind w:firstLine="720"/>
        <w:jc w:val="both"/>
        <w:rPr>
          <w:color w:val="auto"/>
        </w:rPr>
      </w:pPr>
      <w:r w:rsidRPr="00BC1A53">
        <w:rPr>
          <w:color w:val="auto"/>
        </w:rPr>
        <w:t>8.1.1. SAM ietvaros plānotajām darbībām ir sasaiste ar valsts budžeta iniciatīvām</w:t>
      </w:r>
      <w:r w:rsidR="00FD77D3" w:rsidRPr="00BC1A53">
        <w:rPr>
          <w:color w:val="auto"/>
        </w:rPr>
        <w:t xml:space="preserve"> augstākās izglītības jomā</w:t>
      </w:r>
      <w:r w:rsidRPr="00BC1A53">
        <w:rPr>
          <w:color w:val="auto"/>
        </w:rPr>
        <w:t xml:space="preserve">. Plānojot valsts budžeta finansēto studiju vietu skaitu, IZM ņem vērā EM sagatavotās vidēja termiņa un ilgtermiņa darba tirgus prognozes. Tā kā Latvijā ir iespējams iegūt augstāko izglītību gan par valsts budžeta līdzekļiem, gan personai pašai finansējot studijas, valsts, nosakot finansējuma apjomu, var tieši ietekmēt no budžeta finansēto studiju vietu (programmu) sadalījumu pa nozarēm – </w:t>
      </w:r>
      <w:bookmarkStart w:id="12" w:name="OLE_LINK8"/>
      <w:bookmarkStart w:id="13" w:name="OLE_LINK9"/>
      <w:r w:rsidRPr="00BC1A53">
        <w:rPr>
          <w:color w:val="auto"/>
        </w:rPr>
        <w:t>izglītības tematiskajām grupām</w:t>
      </w:r>
      <w:bookmarkEnd w:id="12"/>
      <w:bookmarkEnd w:id="13"/>
      <w:r w:rsidRPr="00BC1A53">
        <w:rPr>
          <w:color w:val="auto"/>
        </w:rPr>
        <w:t xml:space="preserve">. Budžeta vietas prioritāri tiek piešķirtas studijām inženierzinātņu, dabas zinātņu, vides zinātņu un </w:t>
      </w:r>
      <w:r w:rsidR="00044C50" w:rsidRPr="00BC1A53">
        <w:rPr>
          <w:color w:val="auto"/>
        </w:rPr>
        <w:t>veselības aprūpes</w:t>
      </w:r>
      <w:r w:rsidRPr="00BC1A53">
        <w:rPr>
          <w:color w:val="auto"/>
        </w:rPr>
        <w:t xml:space="preserve"> izglītības tematiskajās grupās. </w:t>
      </w:r>
    </w:p>
    <w:p w14:paraId="77A73EFB" w14:textId="77777777" w:rsidR="00D42476" w:rsidRPr="00BC1A53" w:rsidRDefault="00D42476" w:rsidP="00D42476">
      <w:pPr>
        <w:autoSpaceDE w:val="0"/>
        <w:autoSpaceDN w:val="0"/>
        <w:adjustRightInd w:val="0"/>
        <w:spacing w:after="120"/>
        <w:ind w:firstLine="567"/>
        <w:rPr>
          <w:bCs/>
          <w:szCs w:val="24"/>
        </w:rPr>
      </w:pPr>
      <w:r w:rsidRPr="00BC1A53">
        <w:rPr>
          <w:szCs w:val="24"/>
        </w:rPr>
        <w:t xml:space="preserve">Mērķtiecīgam speciālistu skaita palielinājumam STEM jomā ir nepieciešams sistemātisks finansiāls nodrošinājums studiju vietām attiecīgajās studiju programmās. </w:t>
      </w:r>
      <w:r w:rsidRPr="00BC1A53">
        <w:rPr>
          <w:bCs/>
          <w:szCs w:val="24"/>
        </w:rPr>
        <w:t xml:space="preserve">Plānojot valsts budžeta finansēto studiju vietu sadalījumu </w:t>
      </w:r>
      <w:r w:rsidR="0040644A" w:rsidRPr="00BC1A53">
        <w:rPr>
          <w:bCs/>
          <w:szCs w:val="24"/>
        </w:rPr>
        <w:t>2016</w:t>
      </w:r>
      <w:r w:rsidRPr="00BC1A53">
        <w:rPr>
          <w:bCs/>
          <w:szCs w:val="24"/>
        </w:rPr>
        <w:t>.gadam, tika ievērotas EM prognozes un priekšlikumi:</w:t>
      </w:r>
    </w:p>
    <w:p w14:paraId="662816CC" w14:textId="77777777" w:rsidR="00D42476" w:rsidRPr="00BC1A53" w:rsidRDefault="00D42476" w:rsidP="00722156">
      <w:pPr>
        <w:numPr>
          <w:ilvl w:val="0"/>
          <w:numId w:val="13"/>
        </w:numPr>
        <w:rPr>
          <w:szCs w:val="24"/>
        </w:rPr>
      </w:pPr>
      <w:r w:rsidRPr="00BC1A53">
        <w:rPr>
          <w:szCs w:val="24"/>
        </w:rPr>
        <w:t>iespēju robežās palielināt studiju vietu skaitu dabaszinātņu un inženierzinātņu nozarēs;</w:t>
      </w:r>
    </w:p>
    <w:p w14:paraId="2AFF7471" w14:textId="77777777" w:rsidR="00D42476" w:rsidRPr="00BC1A53" w:rsidRDefault="00D42476" w:rsidP="00722156">
      <w:pPr>
        <w:numPr>
          <w:ilvl w:val="0"/>
          <w:numId w:val="13"/>
        </w:numPr>
        <w:rPr>
          <w:szCs w:val="24"/>
        </w:rPr>
      </w:pPr>
      <w:r w:rsidRPr="00BC1A53">
        <w:rPr>
          <w:szCs w:val="24"/>
        </w:rPr>
        <w:t>pakāpeniski samazināt studiju vietu skaitu sociālajās zinātnēs;</w:t>
      </w:r>
    </w:p>
    <w:p w14:paraId="2522CED8" w14:textId="77777777" w:rsidR="00D42476" w:rsidRPr="00BC1A53" w:rsidRDefault="00D42476" w:rsidP="00722156">
      <w:pPr>
        <w:numPr>
          <w:ilvl w:val="0"/>
          <w:numId w:val="13"/>
        </w:numPr>
        <w:rPr>
          <w:szCs w:val="24"/>
        </w:rPr>
      </w:pPr>
      <w:r w:rsidRPr="00BC1A53">
        <w:rPr>
          <w:szCs w:val="24"/>
        </w:rPr>
        <w:t xml:space="preserve">papildu finansējumu izlietot, nodrošinot lielāku finansējumu katrai studiju vietai, īpaši dabaszinātņu un inženierzinātņu nozarēs. </w:t>
      </w:r>
    </w:p>
    <w:p w14:paraId="43660C5C" w14:textId="77777777" w:rsidR="00D42476" w:rsidRPr="00BC1A53" w:rsidRDefault="00D42476" w:rsidP="00D42476">
      <w:pPr>
        <w:pStyle w:val="BodyText"/>
        <w:tabs>
          <w:tab w:val="num" w:pos="0"/>
        </w:tabs>
        <w:ind w:firstLine="357"/>
        <w:rPr>
          <w:szCs w:val="24"/>
        </w:rPr>
      </w:pPr>
    </w:p>
    <w:p w14:paraId="3CF501BC" w14:textId="77777777" w:rsidR="00D42476" w:rsidRPr="00BC1A53" w:rsidRDefault="00D42476" w:rsidP="000423B7">
      <w:pPr>
        <w:pStyle w:val="Default"/>
        <w:spacing w:after="120"/>
        <w:ind w:firstLine="720"/>
        <w:jc w:val="both"/>
        <w:rPr>
          <w:color w:val="auto"/>
        </w:rPr>
      </w:pPr>
      <w:r w:rsidRPr="00BC1A53">
        <w:rPr>
          <w:color w:val="auto"/>
        </w:rPr>
        <w:t xml:space="preserve">Saskaņā ar </w:t>
      </w:r>
      <w:r w:rsidRPr="00BC1A53">
        <w:rPr>
          <w:iCs/>
          <w:color w:val="auto"/>
        </w:rPr>
        <w:t>Izglītības attīstības pamatnostādnēm 2014.-2020.gadam</w:t>
      </w:r>
      <w:r w:rsidRPr="00BC1A53">
        <w:rPr>
          <w:color w:val="auto"/>
        </w:rPr>
        <w:t>, lai mazinātu dabaszinātņu un inženierzinātņu speciālistu iztrūkumu darba tirgū, līdz 2020. gadam plānots palielināt valsts finansētu studiju vietu īpatsvaru STEM programmās līdz 55</w:t>
      </w:r>
      <w:r w:rsidR="000003FD" w:rsidRPr="00BC1A53">
        <w:rPr>
          <w:color w:val="auto"/>
        </w:rPr>
        <w:t xml:space="preserve"> </w:t>
      </w:r>
      <w:r w:rsidRPr="00BC1A53">
        <w:rPr>
          <w:color w:val="auto"/>
        </w:rPr>
        <w:t>% no kopējā budžeta vietu skaita. Vienlaikus absolventu</w:t>
      </w:r>
      <w:r w:rsidR="00057E2F" w:rsidRPr="00BC1A53">
        <w:rPr>
          <w:color w:val="auto"/>
        </w:rPr>
        <w:t xml:space="preserve"> (ISCED 5. un 6. līmenis) </w:t>
      </w:r>
      <w:r w:rsidRPr="00BC1A53">
        <w:rPr>
          <w:color w:val="auto"/>
        </w:rPr>
        <w:t>īpatsvars STEM virzienos varētu palielināties līdz 27</w:t>
      </w:r>
      <w:r w:rsidR="000003FD" w:rsidRPr="00BC1A53">
        <w:rPr>
          <w:color w:val="auto"/>
        </w:rPr>
        <w:t xml:space="preserve"> </w:t>
      </w:r>
      <w:r w:rsidRPr="00BC1A53">
        <w:rPr>
          <w:color w:val="auto"/>
        </w:rPr>
        <w:t>% no kopējā absolventu skaita, kas ir noteikts kā viens no sasniedzamajiem rezultatīvajiem rādītājiem uz 2020.gadu</w:t>
      </w:r>
      <w:r w:rsidR="00FB6EAE" w:rsidRPr="00BC1A53">
        <w:rPr>
          <w:color w:val="auto"/>
        </w:rPr>
        <w:t>.</w:t>
      </w:r>
      <w:r w:rsidRPr="00BC1A53">
        <w:rPr>
          <w:rStyle w:val="FootnoteReference"/>
          <w:color w:val="auto"/>
        </w:rPr>
        <w:footnoteReference w:id="14"/>
      </w:r>
    </w:p>
    <w:p w14:paraId="1E505ABF" w14:textId="77777777" w:rsidR="00B2033A" w:rsidRPr="00BC1A53" w:rsidRDefault="00965748" w:rsidP="000F1ADE">
      <w:pPr>
        <w:pStyle w:val="NormalWeb"/>
        <w:shd w:val="clear" w:color="auto" w:fill="FFFFFF"/>
        <w:spacing w:before="0" w:beforeAutospacing="0" w:after="0" w:afterAutospacing="0"/>
        <w:ind w:firstLine="720"/>
        <w:jc w:val="both"/>
      </w:pPr>
      <w:r w:rsidRPr="00BC1A53">
        <w:t xml:space="preserve">Izvērtējot budžeta vietu skaitu augstskolās 2016.gadā sadalījumā pa izglītības tematiskajām grupām, redzams, ka vislielākais budžeta vietu skaits un īpatsvars kopējā budžeta vietu skaitā ir izglītības tematiskajā grupā </w:t>
      </w:r>
      <w:r w:rsidRPr="00BC1A53">
        <w:rPr>
          <w:i/>
        </w:rPr>
        <w:t>Inženierzinātnes, ražošana un būvniecība</w:t>
      </w:r>
      <w:r w:rsidRPr="00BC1A53">
        <w:t xml:space="preserve"> – 7096 vietas jeb 30</w:t>
      </w:r>
      <w:r w:rsidR="001929E6" w:rsidRPr="00BC1A53">
        <w:t xml:space="preserve"> </w:t>
      </w:r>
      <w:r w:rsidRPr="00BC1A53">
        <w:t>% no kopējā budžeta vietu skaita</w:t>
      </w:r>
      <w:r w:rsidR="00A97429" w:rsidRPr="00BC1A53">
        <w:t xml:space="preserve"> (skat. 1.</w:t>
      </w:r>
      <w:r w:rsidR="002739DC" w:rsidRPr="00BC1A53">
        <w:t>1</w:t>
      </w:r>
      <w:r w:rsidR="002739DC">
        <w:t>5</w:t>
      </w:r>
      <w:r w:rsidR="00A97429" w:rsidRPr="00BC1A53">
        <w:t xml:space="preserve">. attēlu). </w:t>
      </w:r>
      <w:r w:rsidR="00BC1A53" w:rsidRPr="000F1ADE">
        <w:t xml:space="preserve">Nākošais lielākais budžeta vietu skaits un īpatsvars ir izglītības tematiskajā grupā </w:t>
      </w:r>
      <w:r w:rsidR="00BC1A53" w:rsidRPr="000F1ADE">
        <w:rPr>
          <w:i/>
        </w:rPr>
        <w:t>Humanitārās zinātnes un māksla</w:t>
      </w:r>
      <w:r w:rsidR="00BC1A53" w:rsidRPr="000F1ADE">
        <w:t xml:space="preserve"> (3583 vietas jeb 15%), kā arī </w:t>
      </w:r>
      <w:r w:rsidR="00BC1A53" w:rsidRPr="000F1ADE">
        <w:rPr>
          <w:i/>
        </w:rPr>
        <w:t>Veselības aprūpe un sociālā labklājība</w:t>
      </w:r>
      <w:r w:rsidR="00BC1A53" w:rsidRPr="000F1ADE">
        <w:t xml:space="preserve"> (3438 vietas jeb 15%). Līdzīgs budžeta vietu skaits un īpatsvars ir izglītības tematiskajās grupās </w:t>
      </w:r>
      <w:r w:rsidR="00BC1A53" w:rsidRPr="000F1ADE">
        <w:rPr>
          <w:i/>
        </w:rPr>
        <w:t xml:space="preserve">Sociālās zinātnes, </w:t>
      </w:r>
      <w:proofErr w:type="spellStart"/>
      <w:r w:rsidR="00BC1A53" w:rsidRPr="000F1ADE">
        <w:rPr>
          <w:i/>
        </w:rPr>
        <w:t>komerczinības</w:t>
      </w:r>
      <w:proofErr w:type="spellEnd"/>
      <w:r w:rsidR="00BC1A53" w:rsidRPr="000F1ADE">
        <w:rPr>
          <w:i/>
        </w:rPr>
        <w:t xml:space="preserve"> un tiesības</w:t>
      </w:r>
      <w:r w:rsidR="00BC1A53" w:rsidRPr="000F1ADE">
        <w:t xml:space="preserve"> (2754 vietas jeb 12%) un </w:t>
      </w:r>
      <w:r w:rsidR="00BC1A53" w:rsidRPr="000F1ADE">
        <w:rPr>
          <w:i/>
        </w:rPr>
        <w:t>Dabaszinātnes, matemātika un informācijas tehnoloģijas</w:t>
      </w:r>
      <w:r w:rsidR="00BC1A53" w:rsidRPr="000F1ADE">
        <w:t xml:space="preserve"> (2692 jeb 12%). Te gan jāņem vērā fakts, ka sociālo zinātņu grupā studējošo skaits ir 4,5 reizes lielāks nekā dabaszinātņu grupā, līdz ar to budžeta vietām kā motivējošam faktoram ievērojami lielāka nozīme ir studējošajiem izglītības tematiskajā grupā </w:t>
      </w:r>
      <w:r w:rsidR="00BC1A53" w:rsidRPr="000F1ADE">
        <w:rPr>
          <w:i/>
        </w:rPr>
        <w:t>Dabaszinātnes, matemātika un informācijas tehnoloģijas.</w:t>
      </w:r>
      <w:r w:rsidR="00BC1A53" w:rsidRPr="000F1ADE">
        <w:t xml:space="preserve">     </w:t>
      </w:r>
    </w:p>
    <w:p w14:paraId="0BB615E0" w14:textId="77777777" w:rsidR="00B93BB8" w:rsidRDefault="00B93BB8" w:rsidP="00B93BB8">
      <w:pPr>
        <w:jc w:val="right"/>
      </w:pPr>
      <w:r>
        <w:t>1.</w:t>
      </w:r>
      <w:r w:rsidR="00191DA2">
        <w:t>15</w:t>
      </w:r>
      <w:r>
        <w:t>. attēls</w:t>
      </w:r>
    </w:p>
    <w:p w14:paraId="6371E699" w14:textId="77777777" w:rsidR="00BC1A53" w:rsidRDefault="00B2033A" w:rsidP="00B93BB8">
      <w:pPr>
        <w:jc w:val="center"/>
        <w:rPr>
          <w:b/>
        </w:rPr>
      </w:pPr>
      <w:r w:rsidRPr="00B93BB8">
        <w:rPr>
          <w:b/>
        </w:rPr>
        <w:t>Valsts budžeta finansēto studiju vietu skait</w:t>
      </w:r>
      <w:r w:rsidR="00FE4750">
        <w:rPr>
          <w:b/>
        </w:rPr>
        <w:t xml:space="preserve">s </w:t>
      </w:r>
      <w:r w:rsidRPr="00B93BB8">
        <w:rPr>
          <w:b/>
        </w:rPr>
        <w:t xml:space="preserve">augstskolās 2016. gadā </w:t>
      </w:r>
    </w:p>
    <w:p w14:paraId="23A86C93" w14:textId="77777777" w:rsidR="00B2033A" w:rsidRPr="00B93BB8" w:rsidRDefault="00B93BB8" w:rsidP="00B93BB8">
      <w:pPr>
        <w:jc w:val="center"/>
        <w:rPr>
          <w:b/>
        </w:rPr>
      </w:pPr>
      <w:r w:rsidRPr="00B93BB8">
        <w:rPr>
          <w:b/>
        </w:rPr>
        <w:t>sadalījumā pa izglītības tematiskajām grupām</w:t>
      </w:r>
    </w:p>
    <w:p w14:paraId="0F5A19F3" w14:textId="77777777" w:rsidR="00B2033A" w:rsidRDefault="00B2033A" w:rsidP="00B93BB8"/>
    <w:p w14:paraId="0EA22AE4" w14:textId="77777777" w:rsidR="00E177B1" w:rsidRDefault="00B2033A" w:rsidP="00B2033A">
      <w:pPr>
        <w:autoSpaceDE w:val="0"/>
        <w:autoSpaceDN w:val="0"/>
        <w:adjustRightInd w:val="0"/>
        <w:spacing w:after="120"/>
        <w:ind w:firstLine="567"/>
        <w:rPr>
          <w:szCs w:val="24"/>
        </w:rPr>
      </w:pPr>
      <w:r>
        <w:rPr>
          <w:szCs w:val="24"/>
        </w:rPr>
        <w:t xml:space="preserve"> </w:t>
      </w:r>
      <w:r w:rsidR="00D544FF">
        <w:rPr>
          <w:szCs w:val="24"/>
        </w:rPr>
        <w:t xml:space="preserve"> </w:t>
      </w:r>
    </w:p>
    <w:p w14:paraId="7E54155C" w14:textId="77777777" w:rsidR="00965748" w:rsidRDefault="00F355B1" w:rsidP="00965748">
      <w:pPr>
        <w:autoSpaceDE w:val="0"/>
        <w:autoSpaceDN w:val="0"/>
        <w:adjustRightInd w:val="0"/>
        <w:spacing w:after="120"/>
        <w:ind w:firstLine="567"/>
        <w:rPr>
          <w:color w:val="FF0000"/>
          <w:szCs w:val="24"/>
        </w:rPr>
      </w:pPr>
      <w:r>
        <w:rPr>
          <w:noProof/>
          <w:lang w:eastAsia="lv-LV"/>
        </w:rPr>
        <w:drawing>
          <wp:inline distT="0" distB="0" distL="0" distR="0" wp14:anchorId="339243B0" wp14:editId="0D3B7787">
            <wp:extent cx="5200650" cy="2867025"/>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AC474E3" w14:textId="77777777" w:rsidR="00B3283D" w:rsidRPr="00BC1A53" w:rsidRDefault="00892A01" w:rsidP="00965748">
      <w:pPr>
        <w:autoSpaceDE w:val="0"/>
        <w:autoSpaceDN w:val="0"/>
        <w:adjustRightInd w:val="0"/>
        <w:spacing w:after="120"/>
        <w:ind w:firstLine="567"/>
        <w:rPr>
          <w:i/>
          <w:szCs w:val="24"/>
        </w:rPr>
      </w:pPr>
      <w:r w:rsidRPr="00BC1A53">
        <w:rPr>
          <w:i/>
          <w:szCs w:val="24"/>
        </w:rPr>
        <w:t>Avots: IZM dati</w:t>
      </w:r>
    </w:p>
    <w:p w14:paraId="5DC51C14" w14:textId="77777777" w:rsidR="00A97429" w:rsidRPr="000F1ADE" w:rsidRDefault="00A97429" w:rsidP="00A97429">
      <w:pPr>
        <w:pStyle w:val="NormalWeb"/>
        <w:shd w:val="clear" w:color="auto" w:fill="FFFFFF"/>
        <w:spacing w:before="0" w:beforeAutospacing="0" w:after="0" w:afterAutospacing="0"/>
        <w:ind w:firstLine="720"/>
        <w:jc w:val="both"/>
        <w:rPr>
          <w:bCs/>
        </w:rPr>
      </w:pPr>
      <w:r w:rsidRPr="000F1ADE">
        <w:t xml:space="preserve">Tātad </w:t>
      </w:r>
      <w:r w:rsidRPr="000F1ADE">
        <w:rPr>
          <w:bCs/>
        </w:rPr>
        <w:t xml:space="preserve">valsts budžeta finansēto studiju vietu sadalījums augstākās izglītības nozarēm 2016.gadam atbilst nepieciešamajām </w:t>
      </w:r>
      <w:r w:rsidRPr="000F1ADE">
        <w:t>i</w:t>
      </w:r>
      <w:r w:rsidRPr="000F1ADE">
        <w:rPr>
          <w:szCs w:val="26"/>
        </w:rPr>
        <w:t>zglītības piedāvājuma strukturālajām izmaiņām darba tirgus disproporciju mazināšanai un</w:t>
      </w:r>
      <w:r w:rsidR="000F1ADE" w:rsidRPr="000F1ADE">
        <w:rPr>
          <w:szCs w:val="26"/>
        </w:rPr>
        <w:t>,</w:t>
      </w:r>
      <w:r w:rsidRPr="000F1ADE">
        <w:rPr>
          <w:szCs w:val="26"/>
        </w:rPr>
        <w:t xml:space="preserve"> to plānojot,</w:t>
      </w:r>
      <w:r w:rsidRPr="000F1ADE">
        <w:rPr>
          <w:bCs/>
        </w:rPr>
        <w:t xml:space="preserve"> ir ņemtas vērā darba tirgus tendences, kas atspoguļotas EM informatīvajā ziņojumā. </w:t>
      </w:r>
    </w:p>
    <w:p w14:paraId="6DD30F98" w14:textId="77777777" w:rsidR="00A97429" w:rsidRDefault="00A97429" w:rsidP="00965748">
      <w:pPr>
        <w:autoSpaceDE w:val="0"/>
        <w:autoSpaceDN w:val="0"/>
        <w:adjustRightInd w:val="0"/>
        <w:spacing w:after="120"/>
        <w:ind w:firstLine="567"/>
        <w:rPr>
          <w:color w:val="FF0000"/>
          <w:szCs w:val="24"/>
        </w:rPr>
      </w:pPr>
    </w:p>
    <w:p w14:paraId="550A1C60" w14:textId="77777777" w:rsidR="00965748" w:rsidRPr="000F1ADE" w:rsidRDefault="00965748" w:rsidP="000F1ADE">
      <w:pPr>
        <w:autoSpaceDE w:val="0"/>
        <w:autoSpaceDN w:val="0"/>
        <w:adjustRightInd w:val="0"/>
        <w:spacing w:after="120"/>
        <w:ind w:firstLine="720"/>
        <w:rPr>
          <w:szCs w:val="24"/>
        </w:rPr>
      </w:pPr>
      <w:r w:rsidRPr="000F1ADE">
        <w:rPr>
          <w:szCs w:val="24"/>
        </w:rPr>
        <w:lastRenderedPageBreak/>
        <w:t>Izvērtējot valsts budžeta finansēto studiju vietu sadalījumu augstskolās 2016.gadā</w:t>
      </w:r>
      <w:r w:rsidR="00FE4750" w:rsidRPr="000F1ADE">
        <w:rPr>
          <w:szCs w:val="24"/>
        </w:rPr>
        <w:t xml:space="preserve"> </w:t>
      </w:r>
      <w:r w:rsidR="001B4215" w:rsidRPr="000F1ADE">
        <w:rPr>
          <w:szCs w:val="24"/>
        </w:rPr>
        <w:t xml:space="preserve">konkrēti </w:t>
      </w:r>
      <w:r w:rsidR="00FE4750" w:rsidRPr="000F1ADE">
        <w:rPr>
          <w:szCs w:val="24"/>
        </w:rPr>
        <w:t>STEM jomas programmām</w:t>
      </w:r>
      <w:r w:rsidRPr="000F1ADE">
        <w:rPr>
          <w:szCs w:val="24"/>
        </w:rPr>
        <w:t xml:space="preserve">, secināms, ka jau šobrīd lielākais budžeta vietu skaits tiek piešķirts studiju programmām, kas attiecas uz </w:t>
      </w:r>
      <w:r w:rsidR="00FE4750" w:rsidRPr="000F1ADE">
        <w:rPr>
          <w:szCs w:val="24"/>
        </w:rPr>
        <w:t>šo</w:t>
      </w:r>
      <w:r w:rsidRPr="000F1ADE">
        <w:rPr>
          <w:szCs w:val="24"/>
        </w:rPr>
        <w:t xml:space="preserve"> jomu </w:t>
      </w:r>
      <w:r w:rsidR="00FE4750" w:rsidRPr="000F1ADE">
        <w:rPr>
          <w:szCs w:val="24"/>
        </w:rPr>
        <w:t>(</w:t>
      </w:r>
      <w:r w:rsidR="009C58F2">
        <w:rPr>
          <w:szCs w:val="24"/>
        </w:rPr>
        <w:t>16 094</w:t>
      </w:r>
      <w:r w:rsidRPr="000F1ADE">
        <w:rPr>
          <w:szCs w:val="24"/>
        </w:rPr>
        <w:t xml:space="preserve"> budžeta vietas jeb </w:t>
      </w:r>
      <w:r w:rsidR="009C58F2" w:rsidRPr="000F1ADE">
        <w:rPr>
          <w:szCs w:val="24"/>
        </w:rPr>
        <w:t>6</w:t>
      </w:r>
      <w:r w:rsidR="009C58F2">
        <w:rPr>
          <w:szCs w:val="24"/>
        </w:rPr>
        <w:t>9</w:t>
      </w:r>
      <w:r w:rsidR="009C58F2" w:rsidRPr="000F1ADE">
        <w:rPr>
          <w:szCs w:val="24"/>
        </w:rPr>
        <w:t xml:space="preserve"> </w:t>
      </w:r>
      <w:r w:rsidRPr="000F1ADE">
        <w:rPr>
          <w:szCs w:val="24"/>
        </w:rPr>
        <w:t>%</w:t>
      </w:r>
      <w:r w:rsidRPr="000F1ADE">
        <w:rPr>
          <w:rStyle w:val="FootnoteReference"/>
          <w:szCs w:val="24"/>
        </w:rPr>
        <w:footnoteReference w:id="15"/>
      </w:r>
      <w:r w:rsidRPr="000F1ADE">
        <w:rPr>
          <w:szCs w:val="24"/>
        </w:rPr>
        <w:t xml:space="preserve"> no kopējā valsts budžeta finansēto studiju vietu skaita augstskolās</w:t>
      </w:r>
      <w:r w:rsidR="00FE4750" w:rsidRPr="000F1ADE">
        <w:rPr>
          <w:szCs w:val="24"/>
        </w:rPr>
        <w:t>), tajā skaitā:</w:t>
      </w:r>
    </w:p>
    <w:p w14:paraId="7FEF66EA" w14:textId="77777777" w:rsidR="00965748" w:rsidRPr="000F1ADE" w:rsidRDefault="00965748" w:rsidP="00B47005">
      <w:pPr>
        <w:pStyle w:val="ListParagraph"/>
        <w:numPr>
          <w:ilvl w:val="0"/>
          <w:numId w:val="25"/>
        </w:numPr>
      </w:pPr>
      <w:r w:rsidRPr="000F1ADE">
        <w:t xml:space="preserve">izglītības tematiskajā grupā </w:t>
      </w:r>
      <w:r w:rsidRPr="000F1ADE">
        <w:rPr>
          <w:i/>
        </w:rPr>
        <w:t>Dabaszinātnes, matemātika un informācijas tehnoloģijas</w:t>
      </w:r>
      <w:r w:rsidRPr="000F1ADE">
        <w:t xml:space="preserve"> – 2692 vietas;</w:t>
      </w:r>
    </w:p>
    <w:p w14:paraId="1E4C0942" w14:textId="77777777" w:rsidR="00965748" w:rsidRPr="000F1ADE" w:rsidRDefault="00965748" w:rsidP="00B47005">
      <w:pPr>
        <w:pStyle w:val="ListParagraph"/>
        <w:numPr>
          <w:ilvl w:val="0"/>
          <w:numId w:val="25"/>
        </w:numPr>
      </w:pPr>
      <w:r w:rsidRPr="000F1ADE">
        <w:t xml:space="preserve">izglītības tematiskajā grupā </w:t>
      </w:r>
      <w:r w:rsidRPr="000F1ADE">
        <w:rPr>
          <w:i/>
        </w:rPr>
        <w:t>Inženierzinātnes, ražošana un būvniecība</w:t>
      </w:r>
      <w:r w:rsidRPr="000F1ADE">
        <w:t xml:space="preserve"> – 7096 vietas;</w:t>
      </w:r>
    </w:p>
    <w:p w14:paraId="660BF254" w14:textId="77777777" w:rsidR="000F1ADE" w:rsidRPr="009C58F2" w:rsidRDefault="001079A9" w:rsidP="00B47005">
      <w:pPr>
        <w:pStyle w:val="ListParagraph"/>
        <w:numPr>
          <w:ilvl w:val="0"/>
          <w:numId w:val="25"/>
        </w:numPr>
      </w:pPr>
      <w:r w:rsidRPr="001079A9">
        <w:t xml:space="preserve">izglītības tematiskajā grupā </w:t>
      </w:r>
      <w:r w:rsidRPr="001079A9">
        <w:rPr>
          <w:i/>
        </w:rPr>
        <w:t>Lauksaimniecība</w:t>
      </w:r>
      <w:r w:rsidRPr="001079A9">
        <w:t xml:space="preserve"> – 711 vietas;</w:t>
      </w:r>
    </w:p>
    <w:p w14:paraId="735C7A0C" w14:textId="77777777" w:rsidR="00965748" w:rsidRPr="000F1ADE" w:rsidRDefault="00965748" w:rsidP="00B47005">
      <w:pPr>
        <w:pStyle w:val="ListParagraph"/>
        <w:numPr>
          <w:ilvl w:val="0"/>
          <w:numId w:val="25"/>
        </w:numPr>
      </w:pPr>
      <w:r w:rsidRPr="000F1ADE">
        <w:t xml:space="preserve">izglītības tematiskajā jomā </w:t>
      </w:r>
      <w:r w:rsidRPr="000F1ADE">
        <w:rPr>
          <w:i/>
        </w:rPr>
        <w:t>Māksla</w:t>
      </w:r>
      <w:r w:rsidR="000F1ADE">
        <w:rPr>
          <w:i/>
        </w:rPr>
        <w:t>s</w:t>
      </w:r>
      <w:r w:rsidR="000F1ADE">
        <w:t xml:space="preserve"> – 1736 </w:t>
      </w:r>
      <w:r w:rsidRPr="000F1ADE">
        <w:t>vietas;</w:t>
      </w:r>
    </w:p>
    <w:p w14:paraId="3DC31007" w14:textId="77777777" w:rsidR="00965748" w:rsidRPr="000F1ADE" w:rsidRDefault="00965748" w:rsidP="00B47005">
      <w:pPr>
        <w:pStyle w:val="ListParagraph"/>
        <w:numPr>
          <w:ilvl w:val="0"/>
          <w:numId w:val="25"/>
        </w:numPr>
      </w:pPr>
      <w:r w:rsidRPr="000F1ADE">
        <w:t xml:space="preserve">izglītības tematiskajā jomā </w:t>
      </w:r>
      <w:r w:rsidRPr="000F1ADE">
        <w:rPr>
          <w:i/>
        </w:rPr>
        <w:t>Veselības aprūpe</w:t>
      </w:r>
      <w:r w:rsidRPr="000F1ADE">
        <w:t xml:space="preserve"> – 3321 vietas;</w:t>
      </w:r>
    </w:p>
    <w:p w14:paraId="7F4AA525" w14:textId="77777777" w:rsidR="00965748" w:rsidRPr="000F1ADE" w:rsidRDefault="00965748" w:rsidP="00B47005">
      <w:pPr>
        <w:pStyle w:val="ListParagraph"/>
        <w:numPr>
          <w:ilvl w:val="0"/>
          <w:numId w:val="25"/>
        </w:numPr>
      </w:pPr>
      <w:r w:rsidRPr="000F1ADE">
        <w:t xml:space="preserve">izglītības tematiskajā jomā </w:t>
      </w:r>
      <w:r w:rsidRPr="000F1ADE">
        <w:rPr>
          <w:i/>
        </w:rPr>
        <w:t>Vides aizsardzība</w:t>
      </w:r>
      <w:r w:rsidRPr="000F1ADE">
        <w:t xml:space="preserve"> – 538 vietas.</w:t>
      </w:r>
    </w:p>
    <w:p w14:paraId="6DAE7D04" w14:textId="77777777" w:rsidR="00C60218" w:rsidRDefault="00C60218" w:rsidP="00424BE9">
      <w:pPr>
        <w:pStyle w:val="NormalWeb"/>
        <w:shd w:val="clear" w:color="auto" w:fill="FFFFFF"/>
        <w:spacing w:before="0" w:beforeAutospacing="0" w:after="0" w:afterAutospacing="0"/>
        <w:ind w:firstLine="720"/>
        <w:jc w:val="both"/>
      </w:pPr>
    </w:p>
    <w:p w14:paraId="59FEF6F7" w14:textId="77777777" w:rsidR="00D42476" w:rsidRPr="000F1ADE" w:rsidRDefault="00D42476" w:rsidP="000423B7">
      <w:pPr>
        <w:pStyle w:val="NormalWeb"/>
        <w:shd w:val="clear" w:color="auto" w:fill="FFFFFF"/>
        <w:spacing w:before="0" w:beforeAutospacing="0" w:after="0" w:afterAutospacing="0"/>
        <w:ind w:firstLine="720"/>
        <w:jc w:val="both"/>
      </w:pPr>
      <w:r w:rsidRPr="000F1ADE">
        <w:t>Atbalsts STEM studiju programmu attīstībai no valsts budžeta līdzekļiem ir jāvērtē kopsakarā ar jauno augstākās izglītības finansēšanas modeli, kura ieviešanu IZM ir uzsākusi, balstoties uz Pasaules bankas pētījum</w:t>
      </w:r>
      <w:r w:rsidR="004779F6" w:rsidRPr="000F1ADE">
        <w:t>a</w:t>
      </w:r>
      <w:r w:rsidRPr="000F1ADE">
        <w:t xml:space="preserve"> gala ziņojumā </w:t>
      </w:r>
      <w:r w:rsidR="0098650E" w:rsidRPr="000F1ADE">
        <w:t>„</w:t>
      </w:r>
      <w:r w:rsidRPr="000F1ADE">
        <w:t>Piedāvājums augstākās izglītības finansēšanai vidējā termiņā”</w:t>
      </w:r>
      <w:r w:rsidRPr="000F1ADE">
        <w:rPr>
          <w:rStyle w:val="FootnoteReference"/>
        </w:rPr>
        <w:footnoteReference w:id="16"/>
      </w:r>
      <w:r w:rsidRPr="000F1ADE">
        <w:t xml:space="preserve"> secināto. Saskaņā ar Pasaules bankas ieteikumu, Latvijas sociālekonomiskajai situācijai atbilstošākais ir trīs pīlāru finansēšanas modelis, kur augstskolas un koledžas bāzes finansējums tiek papildināts ar uz sniegumu orientētiem elementiem un papildus tiek paredzēts atbalsts augstskolu profilu attīstībai un inovācijām. Jaunajā modelī studiju vietas, ar kuru palīdzību tiek nodrošināts STEM speciālistu pieaugums, tiks saglabāts kā sistēmas stabilitātes un ilgtspējas garants, tomēr ir nepieciešama efektīvāka šī komponenta izmantošana un plānošanas mehānismu optimizācija. Augstākās izglītības finansēšanas ieviešanas scenāriji un nepieciešamais papildu finansējums augstākajai izglītībai ir detalizēti skaidrots konceptuālajā ziņojumā „Jauna augstākās izglītības finansēšanas modeļa ieviešana Latvijā”</w:t>
      </w:r>
      <w:r w:rsidRPr="000F1ADE">
        <w:rPr>
          <w:rStyle w:val="FootnoteReference"/>
        </w:rPr>
        <w:footnoteReference w:id="17"/>
      </w:r>
      <w:r w:rsidRPr="000F1ADE">
        <w:t>.</w:t>
      </w:r>
    </w:p>
    <w:p w14:paraId="25554CF4" w14:textId="77777777" w:rsidR="00D42476" w:rsidRDefault="00D42476" w:rsidP="00EB15F2">
      <w:pPr>
        <w:ind w:firstLine="720"/>
      </w:pPr>
    </w:p>
    <w:p w14:paraId="547603B5" w14:textId="77777777" w:rsidR="00E177B1" w:rsidRDefault="00E177B1" w:rsidP="00B03774">
      <w:pPr>
        <w:pStyle w:val="ListParagraph"/>
        <w:autoSpaceDE w:val="0"/>
        <w:autoSpaceDN w:val="0"/>
        <w:adjustRightInd w:val="0"/>
        <w:spacing w:after="100" w:afterAutospacing="1"/>
        <w:ind w:left="0" w:firstLine="720"/>
        <w:rPr>
          <w:rFonts w:ascii="TimesNewRoman,Italic" w:hAnsi="TimesNewRoman,Italic" w:cs="TimesNewRoman,Italic"/>
          <w:iCs/>
          <w:szCs w:val="24"/>
        </w:rPr>
      </w:pPr>
      <w:r>
        <w:rPr>
          <w:rFonts w:ascii="TimesNewRoman,Italic" w:hAnsi="TimesNewRoman,Italic" w:cs="TimesNewRoman,Italic"/>
          <w:iCs/>
          <w:szCs w:val="24"/>
        </w:rPr>
        <w:br w:type="page"/>
      </w:r>
    </w:p>
    <w:p w14:paraId="4E791324" w14:textId="77777777" w:rsidR="002B567E" w:rsidRPr="00A94D09" w:rsidRDefault="001D51D3" w:rsidP="00A94D09">
      <w:pPr>
        <w:pStyle w:val="Heading1"/>
        <w:spacing w:before="0" w:line="240" w:lineRule="auto"/>
        <w:jc w:val="center"/>
      </w:pPr>
      <w:bookmarkStart w:id="14" w:name="_Toc385413136"/>
      <w:bookmarkStart w:id="15" w:name="_Toc409448075"/>
      <w:bookmarkStart w:id="16" w:name="_Toc457815671"/>
      <w:r w:rsidRPr="00A94D09">
        <w:lastRenderedPageBreak/>
        <w:t xml:space="preserve">2. </w:t>
      </w:r>
      <w:r w:rsidR="002B567E" w:rsidRPr="00A94D09">
        <w:t xml:space="preserve">Apraksts un analīze par līdzīgiem </w:t>
      </w:r>
      <w:r w:rsidR="002B567E" w:rsidRPr="00D42476">
        <w:rPr>
          <w:color w:val="365F91" w:themeColor="accent1" w:themeShade="BF"/>
        </w:rPr>
        <w:t>investīciju ieviešanas</w:t>
      </w:r>
      <w:r w:rsidR="002B567E" w:rsidRPr="00A94D09">
        <w:t xml:space="preserve"> mehānismiem 2007. – 2013. gada plānošanas periodā</w:t>
      </w:r>
      <w:bookmarkEnd w:id="14"/>
      <w:bookmarkEnd w:id="15"/>
      <w:bookmarkEnd w:id="16"/>
    </w:p>
    <w:p w14:paraId="15E0247F" w14:textId="77777777" w:rsidR="00904CF9" w:rsidRDefault="00904CF9" w:rsidP="00904CF9">
      <w:pPr>
        <w:pStyle w:val="abbreviationslist"/>
        <w:spacing w:before="0" w:after="0"/>
        <w:ind w:right="0" w:firstLine="720"/>
        <w:rPr>
          <w:b/>
          <w:bCs/>
          <w:sz w:val="24"/>
          <w:szCs w:val="24"/>
        </w:rPr>
      </w:pPr>
    </w:p>
    <w:p w14:paraId="52E4DC80" w14:textId="77777777" w:rsidR="004B5357" w:rsidRDefault="00F72FB0" w:rsidP="00F72FB0">
      <w:pPr>
        <w:pStyle w:val="abbreviationslist"/>
        <w:spacing w:before="0" w:after="0"/>
        <w:ind w:right="0" w:firstLine="720"/>
        <w:rPr>
          <w:sz w:val="24"/>
          <w:szCs w:val="24"/>
        </w:rPr>
      </w:pPr>
      <w:r w:rsidRPr="007402CB">
        <w:rPr>
          <w:bCs/>
          <w:sz w:val="24"/>
          <w:szCs w:val="24"/>
        </w:rPr>
        <w:t>2007.</w:t>
      </w:r>
      <w:r w:rsidRPr="004779F6">
        <w:rPr>
          <w:sz w:val="24"/>
          <w:szCs w:val="24"/>
        </w:rPr>
        <w:t xml:space="preserve"> </w:t>
      </w:r>
      <w:r w:rsidRPr="007402CB">
        <w:rPr>
          <w:sz w:val="24"/>
          <w:szCs w:val="24"/>
        </w:rPr>
        <w:t>–</w:t>
      </w:r>
      <w:r>
        <w:rPr>
          <w:sz w:val="24"/>
          <w:szCs w:val="24"/>
        </w:rPr>
        <w:t xml:space="preserve"> </w:t>
      </w:r>
      <w:r w:rsidRPr="007402CB">
        <w:rPr>
          <w:bCs/>
          <w:sz w:val="24"/>
          <w:szCs w:val="24"/>
        </w:rPr>
        <w:t xml:space="preserve">2013.gada plānošanas periodā investīcijas </w:t>
      </w:r>
      <w:r>
        <w:rPr>
          <w:bCs/>
          <w:sz w:val="24"/>
          <w:szCs w:val="24"/>
        </w:rPr>
        <w:t>augstskolu</w:t>
      </w:r>
      <w:r w:rsidRPr="007402CB">
        <w:rPr>
          <w:bCs/>
          <w:sz w:val="24"/>
          <w:szCs w:val="24"/>
        </w:rPr>
        <w:t xml:space="preserve"> infrastruktūrā tika veiktas no Eiropas Reģionālās attīstības fonda </w:t>
      </w:r>
      <w:r w:rsidRPr="007402CB">
        <w:rPr>
          <w:sz w:val="24"/>
          <w:szCs w:val="24"/>
        </w:rPr>
        <w:t xml:space="preserve">(turpmāk – </w:t>
      </w:r>
      <w:r w:rsidRPr="007402CB">
        <w:rPr>
          <w:bCs/>
          <w:sz w:val="24"/>
          <w:szCs w:val="24"/>
        </w:rPr>
        <w:t xml:space="preserve">ERAF), </w:t>
      </w:r>
      <w:r w:rsidRPr="007402CB">
        <w:rPr>
          <w:sz w:val="24"/>
          <w:szCs w:val="24"/>
        </w:rPr>
        <w:t xml:space="preserve">Klimata pārmaiņu </w:t>
      </w:r>
      <w:r w:rsidRPr="0094530D">
        <w:rPr>
          <w:sz w:val="24"/>
          <w:szCs w:val="24"/>
        </w:rPr>
        <w:t xml:space="preserve">finanšu instrumenta (turpmāk </w:t>
      </w:r>
      <w:r w:rsidRPr="0094530D">
        <w:rPr>
          <w:bCs/>
          <w:sz w:val="24"/>
          <w:szCs w:val="24"/>
        </w:rPr>
        <w:t>–</w:t>
      </w:r>
      <w:r w:rsidRPr="0094530D">
        <w:rPr>
          <w:sz w:val="24"/>
          <w:szCs w:val="24"/>
        </w:rPr>
        <w:t xml:space="preserve"> KPFI) un </w:t>
      </w:r>
      <w:hyperlink r:id="rId32" w:tgtFrame="_self" w:history="1">
        <w:r w:rsidRPr="0058230C">
          <w:rPr>
            <w:rStyle w:val="Strong"/>
            <w:b w:val="0"/>
            <w:bCs w:val="0"/>
            <w:sz w:val="24"/>
            <w:szCs w:val="24"/>
          </w:rPr>
          <w:t>Eiropas Savienības struktūrfondu 3. mērķa „Eiropas teritoriālā sadarbība” programm</w:t>
        </w:r>
      </w:hyperlink>
      <w:r>
        <w:t>ām</w:t>
      </w:r>
      <w:r w:rsidRPr="0058230C">
        <w:rPr>
          <w:rStyle w:val="FootnoteReference"/>
          <w:bCs/>
          <w:sz w:val="24"/>
          <w:szCs w:val="24"/>
        </w:rPr>
        <w:footnoteReference w:id="18"/>
      </w:r>
      <w:r w:rsidRPr="0058230C">
        <w:rPr>
          <w:rStyle w:val="Strong"/>
          <w:b w:val="0"/>
          <w:sz w:val="24"/>
          <w:szCs w:val="24"/>
        </w:rPr>
        <w:t>.</w:t>
      </w:r>
      <w:r w:rsidRPr="0094530D">
        <w:rPr>
          <w:sz w:val="24"/>
          <w:szCs w:val="24"/>
        </w:rPr>
        <w:t xml:space="preserve"> </w:t>
      </w:r>
    </w:p>
    <w:p w14:paraId="30EBF577" w14:textId="77777777" w:rsidR="00F72FB0" w:rsidRPr="00064BA9" w:rsidRDefault="00F72FB0" w:rsidP="00F72FB0">
      <w:pPr>
        <w:pStyle w:val="abbreviationslist"/>
        <w:spacing w:before="0" w:after="0"/>
        <w:ind w:right="0" w:firstLine="720"/>
        <w:rPr>
          <w:bCs/>
          <w:sz w:val="24"/>
          <w:szCs w:val="24"/>
          <w:highlight w:val="yellow"/>
        </w:rPr>
      </w:pPr>
      <w:r w:rsidRPr="0094530D">
        <w:rPr>
          <w:sz w:val="24"/>
          <w:szCs w:val="24"/>
        </w:rPr>
        <w:t>ERAF</w:t>
      </w:r>
      <w:r w:rsidRPr="007402CB">
        <w:rPr>
          <w:sz w:val="24"/>
          <w:szCs w:val="24"/>
        </w:rPr>
        <w:t xml:space="preserve"> finansējumu </w:t>
      </w:r>
      <w:r>
        <w:rPr>
          <w:sz w:val="24"/>
          <w:szCs w:val="24"/>
        </w:rPr>
        <w:t>augstskolas</w:t>
      </w:r>
      <w:r w:rsidRPr="007402CB">
        <w:rPr>
          <w:sz w:val="24"/>
          <w:szCs w:val="24"/>
        </w:rPr>
        <w:t xml:space="preserve"> varēja saņemt </w:t>
      </w:r>
      <w:r w:rsidRPr="007402CB">
        <w:rPr>
          <w:iCs/>
          <w:sz w:val="24"/>
          <w:szCs w:val="24"/>
          <w:lang w:eastAsia="en-US"/>
        </w:rPr>
        <w:t xml:space="preserve">darbības </w:t>
      </w:r>
      <w:r w:rsidRPr="007402CB">
        <w:rPr>
          <w:bCs/>
          <w:sz w:val="24"/>
          <w:szCs w:val="24"/>
        </w:rPr>
        <w:t xml:space="preserve">programmas „Infrastruktūra un pakalpojumi” papildinājuma </w:t>
      </w:r>
      <w:r w:rsidRPr="007402CB">
        <w:rPr>
          <w:sz w:val="24"/>
          <w:szCs w:val="24"/>
        </w:rPr>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Pr>
          <w:bCs/>
          <w:sz w:val="24"/>
          <w:szCs w:val="24"/>
        </w:rPr>
        <w:t xml:space="preserve"> 3.1.2.1.1.</w:t>
      </w:r>
      <w:r w:rsidRPr="007402CB">
        <w:rPr>
          <w:bCs/>
          <w:sz w:val="24"/>
          <w:szCs w:val="24"/>
        </w:rPr>
        <w:t xml:space="preserve">apakšaktivitātes „Augstākās izglītības iestāžu telpu un iekārtu modernizēšana studiju programmu kvalitātes uzlabošanai, tajā skaitā nodrošinot izglītības programmu </w:t>
      </w:r>
      <w:r w:rsidRPr="00CA1B61">
        <w:rPr>
          <w:bCs/>
          <w:sz w:val="24"/>
          <w:szCs w:val="24"/>
        </w:rPr>
        <w:t>apgūšanas iespējas arī personām</w:t>
      </w:r>
      <w:r>
        <w:rPr>
          <w:bCs/>
          <w:sz w:val="24"/>
          <w:szCs w:val="24"/>
        </w:rPr>
        <w:t xml:space="preserve"> ar funkcionāliem traucējumiem”</w:t>
      </w:r>
      <w:r w:rsidRPr="00CA1B61">
        <w:rPr>
          <w:bCs/>
          <w:sz w:val="24"/>
          <w:szCs w:val="24"/>
        </w:rPr>
        <w:t xml:space="preserve"> </w:t>
      </w:r>
      <w:r>
        <w:rPr>
          <w:bCs/>
          <w:sz w:val="24"/>
          <w:szCs w:val="24"/>
        </w:rPr>
        <w:t xml:space="preserve">(turpmāk </w:t>
      </w:r>
      <w:r w:rsidRPr="007402CB">
        <w:rPr>
          <w:sz w:val="24"/>
          <w:szCs w:val="24"/>
        </w:rPr>
        <w:t>–</w:t>
      </w:r>
      <w:r>
        <w:rPr>
          <w:bCs/>
          <w:sz w:val="24"/>
          <w:szCs w:val="24"/>
        </w:rPr>
        <w:t>3.1.2.1.1.apakšaktivitāte)</w:t>
      </w:r>
      <w:r w:rsidRPr="00CA1B61">
        <w:rPr>
          <w:rStyle w:val="FootnoteReference"/>
          <w:bCs/>
          <w:sz w:val="24"/>
          <w:szCs w:val="24"/>
        </w:rPr>
        <w:footnoteReference w:id="19"/>
      </w:r>
      <w:r w:rsidRPr="00CA1B61">
        <w:rPr>
          <w:bCs/>
          <w:sz w:val="24"/>
          <w:szCs w:val="24"/>
        </w:rPr>
        <w:t xml:space="preserve"> ietvaros, KPFI finansējumu – </w:t>
      </w:r>
      <w:r w:rsidRPr="00064BA9">
        <w:rPr>
          <w:sz w:val="24"/>
          <w:szCs w:val="24"/>
        </w:rPr>
        <w:t>projektu atklātu konkursu “Energoefektivitātes paaugstināšana augstākās izglītības iestāžu ēkās”</w:t>
      </w:r>
      <w:r w:rsidRPr="00064BA9">
        <w:rPr>
          <w:rStyle w:val="FootnoteReference"/>
          <w:bCs/>
          <w:sz w:val="24"/>
          <w:szCs w:val="24"/>
        </w:rPr>
        <w:footnoteReference w:id="20"/>
      </w:r>
      <w:r w:rsidRPr="00064BA9">
        <w:rPr>
          <w:sz w:val="24"/>
          <w:szCs w:val="24"/>
        </w:rPr>
        <w:t xml:space="preserve"> un </w:t>
      </w:r>
      <w:r w:rsidRPr="00064BA9">
        <w:rPr>
          <w:rStyle w:val="Strong"/>
          <w:b w:val="0"/>
          <w:sz w:val="24"/>
          <w:szCs w:val="24"/>
        </w:rPr>
        <w:t>„Kompleksi risinājumi siltumnīcefekta gāzu emisijas samazināšanai”</w:t>
      </w:r>
      <w:r w:rsidRPr="00064BA9">
        <w:rPr>
          <w:rStyle w:val="FootnoteReference"/>
          <w:bCs/>
          <w:sz w:val="24"/>
          <w:szCs w:val="24"/>
        </w:rPr>
        <w:footnoteReference w:id="21"/>
      </w:r>
      <w:r w:rsidRPr="00064BA9">
        <w:rPr>
          <w:rStyle w:val="Strong"/>
          <w:b w:val="0"/>
          <w:sz w:val="24"/>
          <w:szCs w:val="24"/>
        </w:rPr>
        <w:t xml:space="preserve"> ietvaros.</w:t>
      </w:r>
      <w:r w:rsidRPr="0058230C">
        <w:rPr>
          <w:rStyle w:val="Strong"/>
          <w:b w:val="0"/>
          <w:sz w:val="24"/>
          <w:szCs w:val="24"/>
        </w:rPr>
        <w:t xml:space="preserve"> </w:t>
      </w:r>
      <w:r w:rsidRPr="0058230C">
        <w:rPr>
          <w:sz w:val="24"/>
          <w:szCs w:val="24"/>
        </w:rPr>
        <w:t xml:space="preserve">Apkopojums par visiem ieguldījumiem </w:t>
      </w:r>
      <w:r>
        <w:rPr>
          <w:sz w:val="24"/>
          <w:szCs w:val="24"/>
        </w:rPr>
        <w:t>augstskolu</w:t>
      </w:r>
      <w:r w:rsidRPr="0058230C">
        <w:rPr>
          <w:sz w:val="24"/>
          <w:szCs w:val="24"/>
        </w:rPr>
        <w:t xml:space="preserve"> infrastruktūrā ir atspoguļots sākotnējā novērtējuma </w:t>
      </w:r>
      <w:r w:rsidRPr="00587ADD">
        <w:rPr>
          <w:sz w:val="24"/>
          <w:szCs w:val="24"/>
        </w:rPr>
        <w:t>2.pielikumā.</w:t>
      </w:r>
      <w:r w:rsidRPr="0058230C">
        <w:rPr>
          <w:sz w:val="24"/>
          <w:szCs w:val="24"/>
        </w:rPr>
        <w:t xml:space="preserve"> Informācija ir sniegta par tām </w:t>
      </w:r>
      <w:r>
        <w:rPr>
          <w:sz w:val="24"/>
          <w:szCs w:val="24"/>
        </w:rPr>
        <w:t>augstskolām</w:t>
      </w:r>
      <w:r w:rsidRPr="0058230C">
        <w:rPr>
          <w:sz w:val="24"/>
          <w:szCs w:val="24"/>
        </w:rPr>
        <w:t xml:space="preserve">, kas īsteno STEM </w:t>
      </w:r>
      <w:r>
        <w:rPr>
          <w:sz w:val="24"/>
          <w:szCs w:val="24"/>
        </w:rPr>
        <w:t>jomas</w:t>
      </w:r>
      <w:r w:rsidRPr="0058230C">
        <w:rPr>
          <w:sz w:val="24"/>
          <w:szCs w:val="24"/>
        </w:rPr>
        <w:t xml:space="preserve"> programmas.</w:t>
      </w:r>
    </w:p>
    <w:p w14:paraId="67349D56" w14:textId="77777777" w:rsidR="00E177B1" w:rsidRDefault="00F72FB0" w:rsidP="00F72FB0">
      <w:pPr>
        <w:pStyle w:val="abbreviationslist"/>
        <w:spacing w:before="0" w:after="0"/>
        <w:ind w:right="0" w:firstLine="720"/>
        <w:rPr>
          <w:rFonts w:eastAsia="Calibri"/>
          <w:bCs/>
          <w:iCs/>
          <w:color w:val="000000"/>
          <w:sz w:val="24"/>
          <w:szCs w:val="24"/>
        </w:rPr>
      </w:pPr>
      <w:r w:rsidRPr="00CC1A5C">
        <w:rPr>
          <w:sz w:val="24"/>
          <w:szCs w:val="24"/>
        </w:rPr>
        <w:t>2004.–2006.gada plānošanas periodā 1.4.5. aktivitātes „</w:t>
      </w:r>
      <w:r w:rsidRPr="00CC1A5C">
        <w:rPr>
          <w:rFonts w:eastAsia="Calibri"/>
          <w:bCs/>
          <w:iCs/>
          <w:color w:val="000000"/>
          <w:sz w:val="24"/>
          <w:szCs w:val="24"/>
        </w:rPr>
        <w:t xml:space="preserve">Augstākās izglītības iestāžu nodrošināšana ar mūsdienīgām apmācības iekārtām, tehniku un lieldatoru tīkliem, kā arī ēku renovācija (ieskaitot pielāgošanu personām ar īpašām vajadzībām)” ietvaros </w:t>
      </w:r>
      <w:r w:rsidRPr="00CC1A5C">
        <w:rPr>
          <w:sz w:val="24"/>
          <w:szCs w:val="24"/>
        </w:rPr>
        <w:t>tika īstenota nacionālā programma „</w:t>
      </w:r>
      <w:r w:rsidRPr="00CC1A5C">
        <w:rPr>
          <w:rFonts w:eastAsia="Calibri"/>
          <w:bCs/>
          <w:iCs/>
          <w:color w:val="000000"/>
          <w:sz w:val="24"/>
          <w:szCs w:val="24"/>
        </w:rPr>
        <w:t>Augstākās izglītības iestāžu telpu un iekārtu uzlabošana/modernizēšana” (ERAF). Nacionālās programmas ietvaros atbalsts tika sniegts  9 valsts augstskolām</w:t>
      </w:r>
      <w:r w:rsidR="00CC1A5C" w:rsidRPr="00CC1A5C">
        <w:rPr>
          <w:rFonts w:eastAsia="Calibri"/>
          <w:bCs/>
          <w:iCs/>
          <w:color w:val="000000"/>
          <w:sz w:val="24"/>
          <w:szCs w:val="24"/>
        </w:rPr>
        <w:t xml:space="preserve"> ar kopējo attiecināmo finansējumu 5 446 000 latu </w:t>
      </w:r>
      <w:r w:rsidR="009F6DBD">
        <w:rPr>
          <w:rFonts w:eastAsia="Calibri"/>
          <w:bCs/>
          <w:iCs/>
          <w:color w:val="000000"/>
          <w:sz w:val="24"/>
          <w:szCs w:val="24"/>
        </w:rPr>
        <w:t xml:space="preserve"> (</w:t>
      </w:r>
      <w:r w:rsidR="00BF2855">
        <w:rPr>
          <w:rFonts w:eastAsia="Calibri"/>
          <w:bCs/>
          <w:iCs/>
          <w:color w:val="000000"/>
          <w:sz w:val="24"/>
          <w:szCs w:val="24"/>
        </w:rPr>
        <w:t xml:space="preserve">7 748 961 </w:t>
      </w:r>
      <w:proofErr w:type="spellStart"/>
      <w:r w:rsidR="009F6DBD" w:rsidRPr="00F5532E">
        <w:rPr>
          <w:rFonts w:eastAsia="Calibri"/>
          <w:bCs/>
          <w:i/>
          <w:iCs/>
          <w:color w:val="000000"/>
          <w:sz w:val="24"/>
          <w:szCs w:val="24"/>
        </w:rPr>
        <w:t>euro</w:t>
      </w:r>
      <w:proofErr w:type="spellEnd"/>
      <w:r w:rsidR="00BF2855">
        <w:rPr>
          <w:rFonts w:eastAsia="Calibri"/>
          <w:bCs/>
          <w:iCs/>
          <w:color w:val="000000"/>
          <w:sz w:val="24"/>
          <w:szCs w:val="24"/>
        </w:rPr>
        <w:t>)</w:t>
      </w:r>
      <w:r w:rsidR="009F6DBD">
        <w:rPr>
          <w:rFonts w:eastAsia="Calibri"/>
          <w:bCs/>
          <w:iCs/>
          <w:color w:val="000000"/>
          <w:sz w:val="24"/>
          <w:szCs w:val="24"/>
        </w:rPr>
        <w:t xml:space="preserve"> </w:t>
      </w:r>
      <w:r w:rsidR="00CC1A5C" w:rsidRPr="00CC1A5C">
        <w:rPr>
          <w:rFonts w:eastAsia="Calibri"/>
          <w:bCs/>
          <w:iCs/>
          <w:color w:val="000000"/>
          <w:sz w:val="24"/>
          <w:szCs w:val="24"/>
        </w:rPr>
        <w:t>apmērā</w:t>
      </w:r>
      <w:r w:rsidRPr="00CC1A5C">
        <w:rPr>
          <w:rFonts w:eastAsia="Calibri"/>
          <w:bCs/>
          <w:iCs/>
          <w:color w:val="000000"/>
          <w:sz w:val="24"/>
          <w:szCs w:val="24"/>
        </w:rPr>
        <w:t>.</w:t>
      </w:r>
      <w:r w:rsidRPr="00CC1A5C">
        <w:rPr>
          <w:rStyle w:val="FootnoteReference"/>
          <w:rFonts w:eastAsia="Calibri"/>
          <w:bCs/>
          <w:iCs/>
          <w:color w:val="000000"/>
          <w:sz w:val="24"/>
          <w:szCs w:val="24"/>
        </w:rPr>
        <w:footnoteReference w:id="22"/>
      </w:r>
    </w:p>
    <w:p w14:paraId="6884D48A" w14:textId="77777777" w:rsidR="00F72FB0" w:rsidRPr="0060481D" w:rsidRDefault="00F72FB0" w:rsidP="00F72FB0">
      <w:pPr>
        <w:pStyle w:val="abbreviationslist"/>
        <w:spacing w:before="0" w:after="0"/>
        <w:ind w:right="0" w:firstLine="720"/>
        <w:rPr>
          <w:rFonts w:eastAsia="Calibri"/>
          <w:bCs/>
          <w:iCs/>
          <w:color w:val="000000"/>
          <w:sz w:val="24"/>
          <w:szCs w:val="24"/>
        </w:rPr>
      </w:pPr>
    </w:p>
    <w:p w14:paraId="4ADAAC57" w14:textId="77777777" w:rsidR="00127404" w:rsidRPr="00B06725" w:rsidRDefault="00127404" w:rsidP="00127404">
      <w:pPr>
        <w:pStyle w:val="abbreviationslist"/>
        <w:spacing w:before="0" w:after="0"/>
        <w:ind w:right="0" w:firstLine="720"/>
        <w:rPr>
          <w:b/>
          <w:iCs/>
          <w:sz w:val="24"/>
          <w:szCs w:val="24"/>
          <w:lang w:eastAsia="en-US"/>
        </w:rPr>
      </w:pPr>
    </w:p>
    <w:p w14:paraId="42126943" w14:textId="77777777" w:rsidR="00F72FB0" w:rsidRPr="001D51D3" w:rsidRDefault="00F72FB0" w:rsidP="00D93672">
      <w:pPr>
        <w:pStyle w:val="Heading2"/>
      </w:pPr>
      <w:bookmarkStart w:id="17" w:name="_Toc457815672"/>
      <w:r w:rsidRPr="001D51D3">
        <w:t xml:space="preserve">2.1. ERAF investīcijas </w:t>
      </w:r>
      <w:r>
        <w:t>augstskolu</w:t>
      </w:r>
      <w:r w:rsidRPr="001D51D3">
        <w:t xml:space="preserve"> infrastruktūrā</w:t>
      </w:r>
      <w:r>
        <w:t xml:space="preserve"> </w:t>
      </w:r>
      <w:r w:rsidRPr="001D51D3">
        <w:t>2007.-2013.gada plānošanas periodā</w:t>
      </w:r>
      <w:bookmarkEnd w:id="17"/>
    </w:p>
    <w:p w14:paraId="575CF925" w14:textId="77777777" w:rsidR="00F72FB0" w:rsidRPr="00B06725" w:rsidRDefault="00F72FB0" w:rsidP="00F72FB0">
      <w:pPr>
        <w:pStyle w:val="abbreviationslist"/>
        <w:spacing w:before="0" w:after="0"/>
        <w:ind w:right="0" w:firstLine="720"/>
        <w:rPr>
          <w:b/>
          <w:iCs/>
          <w:sz w:val="24"/>
          <w:szCs w:val="24"/>
          <w:lang w:eastAsia="en-US"/>
        </w:rPr>
      </w:pPr>
    </w:p>
    <w:p w14:paraId="24CED70F" w14:textId="77777777" w:rsidR="00F72FB0" w:rsidRPr="0008469B" w:rsidRDefault="00F72FB0" w:rsidP="00F72FB0">
      <w:pPr>
        <w:pStyle w:val="abbreviationslist"/>
        <w:spacing w:before="0" w:after="0"/>
        <w:ind w:right="0" w:firstLine="720"/>
        <w:rPr>
          <w:bCs/>
          <w:sz w:val="24"/>
          <w:szCs w:val="24"/>
        </w:rPr>
      </w:pPr>
      <w:r>
        <w:rPr>
          <w:bCs/>
          <w:sz w:val="24"/>
          <w:szCs w:val="24"/>
        </w:rPr>
        <w:t xml:space="preserve">2007.-2013.gada plānošanas periodā būtiskākie ieguldījumi augstskolu infrastruktūrā tika veikti </w:t>
      </w:r>
      <w:r w:rsidRPr="00B06725">
        <w:rPr>
          <w:bCs/>
          <w:sz w:val="24"/>
          <w:szCs w:val="24"/>
        </w:rPr>
        <w:t>3.1.2.1.1.</w:t>
      </w:r>
      <w:r w:rsidRPr="00B06725">
        <w:rPr>
          <w:sz w:val="24"/>
          <w:szCs w:val="24"/>
        </w:rPr>
        <w:t>apakšaktivitātes</w:t>
      </w:r>
      <w:r>
        <w:rPr>
          <w:sz w:val="24"/>
          <w:szCs w:val="24"/>
        </w:rPr>
        <w:t xml:space="preserve"> ietvaros.</w:t>
      </w:r>
      <w:r>
        <w:rPr>
          <w:bCs/>
          <w:sz w:val="24"/>
          <w:szCs w:val="24"/>
        </w:rPr>
        <w:t xml:space="preserve"> </w:t>
      </w:r>
      <w:r w:rsidRPr="00B06725">
        <w:rPr>
          <w:bCs/>
          <w:sz w:val="24"/>
          <w:szCs w:val="24"/>
        </w:rPr>
        <w:t>3.1.2.1.1.</w:t>
      </w:r>
      <w:r w:rsidRPr="00B06725">
        <w:rPr>
          <w:sz w:val="24"/>
          <w:szCs w:val="24"/>
        </w:rPr>
        <w:t xml:space="preserve">apakšaktivitātes </w:t>
      </w:r>
      <w:r w:rsidRPr="001D2B1F">
        <w:rPr>
          <w:b/>
          <w:sz w:val="24"/>
          <w:szCs w:val="24"/>
        </w:rPr>
        <w:t>mērķis</w:t>
      </w:r>
      <w:r w:rsidRPr="00B06725">
        <w:rPr>
          <w:sz w:val="24"/>
          <w:szCs w:val="24"/>
        </w:rPr>
        <w:t xml:space="preserve"> </w:t>
      </w:r>
      <w:r>
        <w:rPr>
          <w:sz w:val="24"/>
          <w:szCs w:val="24"/>
        </w:rPr>
        <w:t>ir</w:t>
      </w:r>
      <w:r w:rsidRPr="00B06725">
        <w:rPr>
          <w:sz w:val="24"/>
          <w:szCs w:val="24"/>
        </w:rPr>
        <w:t xml:space="preserve"> uzlabot augstākās izglītības kvalitāti un pieejamību, modernizējot augstākās izglītības institūciju infrastruktūru, tajā skaitā pielāgojot personām ar funkcionāliem traucējumiem, un nodrošinājumu ar iekārtām, aprīkojumu un tehnoloģijām.</w:t>
      </w:r>
      <w:r>
        <w:rPr>
          <w:sz w:val="24"/>
          <w:szCs w:val="24"/>
        </w:rPr>
        <w:t xml:space="preserve"> </w:t>
      </w:r>
    </w:p>
    <w:p w14:paraId="2E1D3364" w14:textId="77777777" w:rsidR="00F72FB0" w:rsidRDefault="00F72FB0" w:rsidP="00F72FB0">
      <w:pPr>
        <w:pStyle w:val="abbreviationslist"/>
        <w:spacing w:before="0" w:after="0"/>
        <w:ind w:right="0" w:firstLine="720"/>
        <w:rPr>
          <w:sz w:val="24"/>
          <w:szCs w:val="24"/>
        </w:rPr>
      </w:pPr>
      <w:r>
        <w:rPr>
          <w:sz w:val="24"/>
          <w:szCs w:val="24"/>
        </w:rPr>
        <w:t xml:space="preserve">Plānotais </w:t>
      </w:r>
      <w:r w:rsidRPr="001D2B1F">
        <w:rPr>
          <w:b/>
          <w:sz w:val="24"/>
          <w:szCs w:val="24"/>
        </w:rPr>
        <w:t>iznākuma rādītājs</w:t>
      </w:r>
      <w:r w:rsidRPr="00AB1F74">
        <w:rPr>
          <w:sz w:val="24"/>
          <w:szCs w:val="24"/>
        </w:rPr>
        <w:t xml:space="preserve"> – 31 augstākās izglītības institūcija, kurā līdz 2013.gada 31.decembrim modernizēta infrastruktūra un mācību aprīkojums.</w:t>
      </w:r>
      <w:r>
        <w:rPr>
          <w:sz w:val="24"/>
          <w:szCs w:val="24"/>
        </w:rPr>
        <w:t xml:space="preserve"> Jāatzīmē, ka </w:t>
      </w:r>
      <w:r w:rsidRPr="00B06725">
        <w:rPr>
          <w:bCs/>
          <w:sz w:val="24"/>
          <w:szCs w:val="24"/>
        </w:rPr>
        <w:t>3.1.2.1.1.</w:t>
      </w:r>
      <w:r w:rsidRPr="00B06725">
        <w:rPr>
          <w:sz w:val="24"/>
          <w:szCs w:val="24"/>
        </w:rPr>
        <w:t xml:space="preserve">apakšaktivitātes </w:t>
      </w:r>
      <w:r>
        <w:rPr>
          <w:sz w:val="24"/>
          <w:szCs w:val="24"/>
        </w:rPr>
        <w:t xml:space="preserve">īstenošanas nosacījumi tika izstrādāti kopīgi augstākās izglītības </w:t>
      </w:r>
      <w:r>
        <w:rPr>
          <w:sz w:val="24"/>
          <w:szCs w:val="24"/>
        </w:rPr>
        <w:lastRenderedPageBreak/>
        <w:t xml:space="preserve">institūcijām – augstskolām un koledžām, tai skaitā pieejamo finansējumu un uzraudzības rādītājus atsevišķi augstskolām un koledžām neizdalot. No kopējā sasniedzamā iznākuma rādītāja augstskolas veido 19 </w:t>
      </w:r>
      <w:r w:rsidRPr="00AB1F74">
        <w:rPr>
          <w:sz w:val="24"/>
          <w:szCs w:val="24"/>
        </w:rPr>
        <w:t>augstākās izglītības institūcija</w:t>
      </w:r>
      <w:r>
        <w:rPr>
          <w:sz w:val="24"/>
          <w:szCs w:val="24"/>
        </w:rPr>
        <w:t>s</w:t>
      </w:r>
      <w:r w:rsidRPr="00AB1F74">
        <w:rPr>
          <w:sz w:val="24"/>
          <w:szCs w:val="24"/>
        </w:rPr>
        <w:t>, kurā</w:t>
      </w:r>
      <w:r>
        <w:rPr>
          <w:sz w:val="24"/>
          <w:szCs w:val="24"/>
        </w:rPr>
        <w:t>s</w:t>
      </w:r>
      <w:r w:rsidRPr="00AB1F74">
        <w:rPr>
          <w:sz w:val="24"/>
          <w:szCs w:val="24"/>
        </w:rPr>
        <w:t xml:space="preserve"> modernizēta infrastruktūra un mācību aprīkojums</w:t>
      </w:r>
      <w:r>
        <w:rPr>
          <w:sz w:val="24"/>
          <w:szCs w:val="24"/>
        </w:rPr>
        <w:t xml:space="preserve"> (kopumā īstenoti 20 augstskolu projekti, RSU īstenojusi 2 projektus „</w:t>
      </w:r>
      <w:r w:rsidRPr="0066647B">
        <w:rPr>
          <w:sz w:val="24"/>
          <w:szCs w:val="24"/>
        </w:rPr>
        <w:t>Rīgas Stradiņa universitātes infrastruktūras modernizēšana veselības aprūpes un dabas zinātņu studiju programmu īstenošanas kvalitātes uzlabošanai</w:t>
      </w:r>
      <w:r>
        <w:rPr>
          <w:sz w:val="24"/>
          <w:szCs w:val="24"/>
        </w:rPr>
        <w:t>” un „</w:t>
      </w:r>
      <w:r w:rsidRPr="0066647B">
        <w:rPr>
          <w:sz w:val="24"/>
          <w:szCs w:val="24"/>
        </w:rPr>
        <w:t>Rīgas Stradiņa universitātes Liepājas filiāles (Liepājas medicīnas koledžas) studiju telpu rekonstrukcija un tehnoloģiju modernizācija</w:t>
      </w:r>
      <w:r>
        <w:rPr>
          <w:sz w:val="24"/>
          <w:szCs w:val="24"/>
        </w:rPr>
        <w:t xml:space="preserve">”, </w:t>
      </w:r>
      <w:r w:rsidRPr="00D804C7">
        <w:rPr>
          <w:sz w:val="24"/>
          <w:szCs w:val="24"/>
        </w:rPr>
        <w:t>jo Liepājas medicīnas koledža tika likvidēta, uz tās bāzes izveidojot RSU Liepājas filiāli.)</w:t>
      </w:r>
      <w:r>
        <w:rPr>
          <w:sz w:val="24"/>
          <w:szCs w:val="24"/>
        </w:rPr>
        <w:t xml:space="preserve"> No 20 augstskolu īstenotajiem projektiem 18 projektus ir īstenojušas augstskolas, kas 2015./2016.ak. gadā īsteno STEM jomas programmas. </w:t>
      </w:r>
      <w:r w:rsidRPr="008D400D">
        <w:rPr>
          <w:sz w:val="24"/>
          <w:szCs w:val="24"/>
        </w:rPr>
        <w:t>Rīgas Pedagoģijas un izglītības vadības akadēmija</w:t>
      </w:r>
      <w:r>
        <w:rPr>
          <w:sz w:val="24"/>
          <w:szCs w:val="24"/>
        </w:rPr>
        <w:t xml:space="preserve"> neīsteno STEM jomas programmas </w:t>
      </w:r>
      <w:r w:rsidRPr="0093232E">
        <w:rPr>
          <w:sz w:val="24"/>
          <w:szCs w:val="24"/>
        </w:rPr>
        <w:t>(</w:t>
      </w:r>
      <w:r w:rsidR="001079A9" w:rsidRPr="0093232E">
        <w:rPr>
          <w:sz w:val="24"/>
          <w:szCs w:val="24"/>
        </w:rPr>
        <w:t>3.1.2.1.1.apakšaktivitātes ietvaros modernizēja studiju programmu „Pedagogu izglītība”), savukārt SIA „Vadības un sociālā darba augstskola „Attīstība”” darbība ir pārtraukta</w:t>
      </w:r>
      <w:r w:rsidR="001079A9" w:rsidRPr="0093232E">
        <w:rPr>
          <w:rStyle w:val="FootnoteReference"/>
          <w:sz w:val="24"/>
          <w:szCs w:val="24"/>
        </w:rPr>
        <w:footnoteReference w:id="23"/>
      </w:r>
      <w:r w:rsidR="001079A9" w:rsidRPr="0093232E">
        <w:rPr>
          <w:sz w:val="24"/>
          <w:szCs w:val="24"/>
        </w:rPr>
        <w:t xml:space="preserve"> (3.1.2.1.1.apakšaktivitātes ietvaros modernizēja 2 studiju programmas „Sociālie pakalpojumi”).</w:t>
      </w:r>
    </w:p>
    <w:p w14:paraId="31494E1C" w14:textId="77777777" w:rsidR="00F72FB0" w:rsidRDefault="00F72FB0" w:rsidP="00F72FB0">
      <w:pPr>
        <w:pStyle w:val="abbreviationslist"/>
        <w:spacing w:before="0" w:after="0"/>
        <w:ind w:right="0" w:firstLine="720"/>
        <w:rPr>
          <w:sz w:val="24"/>
          <w:szCs w:val="24"/>
        </w:rPr>
      </w:pPr>
      <w:r>
        <w:rPr>
          <w:sz w:val="24"/>
          <w:szCs w:val="24"/>
        </w:rPr>
        <w:t xml:space="preserve">Plānotais </w:t>
      </w:r>
      <w:r>
        <w:rPr>
          <w:b/>
          <w:sz w:val="24"/>
          <w:szCs w:val="24"/>
        </w:rPr>
        <w:t>rezultāta</w:t>
      </w:r>
      <w:r w:rsidRPr="001D2B1F">
        <w:rPr>
          <w:b/>
          <w:sz w:val="24"/>
          <w:szCs w:val="24"/>
        </w:rPr>
        <w:t xml:space="preserve"> rādītājs</w:t>
      </w:r>
      <w:r w:rsidRPr="00AB1F74">
        <w:rPr>
          <w:sz w:val="24"/>
          <w:szCs w:val="24"/>
        </w:rPr>
        <w:t xml:space="preserve"> –</w:t>
      </w:r>
      <w:r>
        <w:rPr>
          <w:sz w:val="24"/>
          <w:szCs w:val="24"/>
        </w:rPr>
        <w:t xml:space="preserve"> a</w:t>
      </w:r>
      <w:r w:rsidRPr="00371FBA">
        <w:rPr>
          <w:sz w:val="24"/>
          <w:szCs w:val="24"/>
        </w:rPr>
        <w:t>ugstākajā izglītībā tautsaimniecības attīstībai prioritārajās jomās studējošo īpatsvars, kam nodrošināta moderna un mūsdienu prasībām atbilstoša izglītības infrastruktūra un mācību aprīkojums (% no kopējā studējošo skaita attiecīgajās studiju programmās)</w:t>
      </w:r>
      <w:r>
        <w:rPr>
          <w:sz w:val="24"/>
          <w:szCs w:val="24"/>
        </w:rPr>
        <w:t xml:space="preserve"> </w:t>
      </w:r>
      <w:r w:rsidRPr="00AB1F74">
        <w:rPr>
          <w:sz w:val="24"/>
          <w:szCs w:val="24"/>
        </w:rPr>
        <w:t>–</w:t>
      </w:r>
      <w:r>
        <w:rPr>
          <w:sz w:val="24"/>
          <w:szCs w:val="24"/>
        </w:rPr>
        <w:t xml:space="preserve"> </w:t>
      </w:r>
      <w:r w:rsidRPr="00371FBA">
        <w:rPr>
          <w:sz w:val="24"/>
          <w:szCs w:val="24"/>
        </w:rPr>
        <w:t>90</w:t>
      </w:r>
      <w:r>
        <w:rPr>
          <w:sz w:val="24"/>
          <w:szCs w:val="24"/>
        </w:rPr>
        <w:t xml:space="preserve"> </w:t>
      </w:r>
      <w:r w:rsidRPr="0053391E">
        <w:rPr>
          <w:sz w:val="24"/>
          <w:szCs w:val="24"/>
        </w:rPr>
        <w:t xml:space="preserve">%. </w:t>
      </w:r>
    </w:p>
    <w:p w14:paraId="64464649" w14:textId="77777777" w:rsidR="00F72FB0" w:rsidRDefault="00921352" w:rsidP="00587ADD">
      <w:pPr>
        <w:pStyle w:val="abbreviationslist"/>
        <w:ind w:firstLine="720"/>
        <w:rPr>
          <w:sz w:val="24"/>
          <w:szCs w:val="24"/>
        </w:rPr>
      </w:pPr>
      <w:r>
        <w:rPr>
          <w:sz w:val="24"/>
          <w:szCs w:val="24"/>
        </w:rPr>
        <w:t>R</w:t>
      </w:r>
      <w:r w:rsidR="00F72FB0" w:rsidRPr="00D804C7">
        <w:rPr>
          <w:sz w:val="24"/>
          <w:szCs w:val="24"/>
        </w:rPr>
        <w:t>ezultāta rādītāj</w:t>
      </w:r>
      <w:r>
        <w:rPr>
          <w:sz w:val="24"/>
          <w:szCs w:val="24"/>
        </w:rPr>
        <w:t>s pēc visu projektu pabeigšanas 2015.gadā ir sasniegts.</w:t>
      </w:r>
      <w:r w:rsidR="00F72FB0" w:rsidRPr="00D804C7">
        <w:rPr>
          <w:sz w:val="24"/>
          <w:szCs w:val="24"/>
        </w:rPr>
        <w:t xml:space="preserve"> </w:t>
      </w:r>
      <w:r>
        <w:rPr>
          <w:sz w:val="24"/>
          <w:szCs w:val="24"/>
        </w:rPr>
        <w:t>K</w:t>
      </w:r>
      <w:r w:rsidR="00F72FB0" w:rsidRPr="00D804C7">
        <w:rPr>
          <w:sz w:val="24"/>
          <w:szCs w:val="24"/>
        </w:rPr>
        <w:t xml:space="preserve">opējais </w:t>
      </w:r>
      <w:r>
        <w:rPr>
          <w:sz w:val="24"/>
          <w:szCs w:val="24"/>
        </w:rPr>
        <w:t xml:space="preserve">3.1.2.1.1.apakšaktivitātes ietvaros sasniegtais </w:t>
      </w:r>
      <w:r w:rsidR="00F72FB0" w:rsidRPr="00D804C7">
        <w:rPr>
          <w:sz w:val="24"/>
          <w:szCs w:val="24"/>
        </w:rPr>
        <w:t>rezultāta rādītājs ir</w:t>
      </w:r>
      <w:r>
        <w:rPr>
          <w:sz w:val="24"/>
          <w:szCs w:val="24"/>
        </w:rPr>
        <w:t xml:space="preserve"> 97,26%.</w:t>
      </w:r>
      <w:r w:rsidR="00F72FB0" w:rsidRPr="00D804C7">
        <w:rPr>
          <w:sz w:val="24"/>
          <w:szCs w:val="24"/>
        </w:rPr>
        <w:t xml:space="preserve"> Vienīgi jāpiebilst, ka vairākos gadījumos </w:t>
      </w:r>
      <w:r w:rsidR="00D804C7" w:rsidRPr="00D804C7">
        <w:rPr>
          <w:sz w:val="24"/>
          <w:szCs w:val="24"/>
        </w:rPr>
        <w:t>augstskolu</w:t>
      </w:r>
      <w:r w:rsidR="00F72FB0" w:rsidRPr="00D804C7">
        <w:rPr>
          <w:sz w:val="24"/>
          <w:szCs w:val="24"/>
        </w:rPr>
        <w:t xml:space="preserve"> infrastruktūra </w:t>
      </w:r>
      <w:r w:rsidR="00D804C7" w:rsidRPr="00D804C7">
        <w:rPr>
          <w:sz w:val="24"/>
          <w:szCs w:val="24"/>
        </w:rPr>
        <w:t>ne</w:t>
      </w:r>
      <w:r w:rsidR="00F72FB0" w:rsidRPr="00D804C7">
        <w:rPr>
          <w:sz w:val="24"/>
          <w:szCs w:val="24"/>
        </w:rPr>
        <w:t>tika modernizēta pilnībā</w:t>
      </w:r>
      <w:r w:rsidR="00776B58">
        <w:rPr>
          <w:sz w:val="24"/>
          <w:szCs w:val="24"/>
        </w:rPr>
        <w:t xml:space="preserve">. </w:t>
      </w:r>
      <w:r w:rsidR="00D804C7">
        <w:rPr>
          <w:sz w:val="24"/>
          <w:szCs w:val="24"/>
        </w:rPr>
        <w:t xml:space="preserve">Kopumā tiek pieņemts, ka tās studiju programmas, uz kurām 3.1.2.1.1.apakšaktivitātes ietvaros attiecās modernizācijas darbi, 2007.-2013.gada plānošanas periodā tika modernizētas 80 % apmērā. </w:t>
      </w:r>
      <w:r w:rsidR="00F72FB0" w:rsidRPr="00587ADD">
        <w:rPr>
          <w:sz w:val="24"/>
          <w:szCs w:val="24"/>
        </w:rPr>
        <w:t xml:space="preserve">Papildus jāuzsver, ka 8.1.1. SAM ietvaros atšķirībā no 3.1.2.1.1.apakšaktivitātes prioritārie virzieni ir sašaurināti, līdz ar to 8.1.1.SAM rezultāta rādītāja </w:t>
      </w:r>
      <w:r w:rsidR="006C7108" w:rsidRPr="004B5357">
        <w:rPr>
          <w:sz w:val="24"/>
          <w:szCs w:val="24"/>
        </w:rPr>
        <w:t>„modernizēto augstākās izglītības STEM, t.sk. medicīnas un radošās industrijas, studiju programmu īpatsvars to kopskaitā”</w:t>
      </w:r>
      <w:r w:rsidR="006C7108" w:rsidRPr="006C7108">
        <w:rPr>
          <w:sz w:val="24"/>
          <w:szCs w:val="24"/>
        </w:rPr>
        <w:t xml:space="preserve"> </w:t>
      </w:r>
      <w:r w:rsidR="00F72FB0" w:rsidRPr="00587ADD">
        <w:rPr>
          <w:sz w:val="24"/>
          <w:szCs w:val="24"/>
        </w:rPr>
        <w:t xml:space="preserve">bāzes vērtība 2015.gadā ir </w:t>
      </w:r>
      <w:r w:rsidR="00CC1A5C" w:rsidRPr="00587ADD">
        <w:rPr>
          <w:sz w:val="24"/>
          <w:szCs w:val="24"/>
        </w:rPr>
        <w:t xml:space="preserve">75 </w:t>
      </w:r>
      <w:r w:rsidR="00F72FB0" w:rsidRPr="00587ADD">
        <w:rPr>
          <w:sz w:val="24"/>
          <w:szCs w:val="24"/>
        </w:rPr>
        <w:t>%</w:t>
      </w:r>
      <w:r w:rsidR="00587ADD" w:rsidRPr="00587ADD">
        <w:rPr>
          <w:sz w:val="24"/>
          <w:szCs w:val="24"/>
        </w:rPr>
        <w:t xml:space="preserve"> (valsts augstskolās 80%, privātajās augstskolās </w:t>
      </w:r>
      <w:r w:rsidR="00CB3666">
        <w:rPr>
          <w:sz w:val="24"/>
          <w:szCs w:val="24"/>
        </w:rPr>
        <w:t>23</w:t>
      </w:r>
      <w:r w:rsidR="00587ADD" w:rsidRPr="00587ADD">
        <w:rPr>
          <w:sz w:val="24"/>
          <w:szCs w:val="24"/>
        </w:rPr>
        <w:t>%, vidēji kopā 75%)</w:t>
      </w:r>
      <w:r w:rsidR="00F72FB0" w:rsidRPr="00587ADD">
        <w:rPr>
          <w:sz w:val="24"/>
          <w:szCs w:val="24"/>
        </w:rPr>
        <w:t xml:space="preserve"> (sk. novērtējuma </w:t>
      </w:r>
      <w:r w:rsidR="00587ADD" w:rsidRPr="00587ADD">
        <w:rPr>
          <w:sz w:val="24"/>
          <w:szCs w:val="24"/>
        </w:rPr>
        <w:t xml:space="preserve">1.pielikuma 3.izklājlapu „STEM jomas studiju programmu īpatsvars, uz kurām attiecās modernizācijas darbi 3.1.2.1.1. </w:t>
      </w:r>
      <w:proofErr w:type="spellStart"/>
      <w:r w:rsidR="00587ADD" w:rsidRPr="00587ADD">
        <w:rPr>
          <w:sz w:val="24"/>
          <w:szCs w:val="24"/>
        </w:rPr>
        <w:t>apakšaktivitātes</w:t>
      </w:r>
      <w:proofErr w:type="spellEnd"/>
      <w:r w:rsidR="00587ADD" w:rsidRPr="00587ADD">
        <w:rPr>
          <w:sz w:val="24"/>
          <w:szCs w:val="24"/>
        </w:rPr>
        <w:t xml:space="preserve"> ietvaros”</w:t>
      </w:r>
      <w:r w:rsidR="00F72FB0" w:rsidRPr="00587ADD">
        <w:rPr>
          <w:sz w:val="24"/>
          <w:szCs w:val="24"/>
        </w:rPr>
        <w:t>).</w:t>
      </w:r>
    </w:p>
    <w:p w14:paraId="77034E9C" w14:textId="77777777" w:rsidR="00CC2DC4" w:rsidRDefault="00CC2DC4" w:rsidP="00F72FB0">
      <w:pPr>
        <w:pStyle w:val="abbreviationslist"/>
        <w:spacing w:before="0" w:after="0"/>
        <w:ind w:right="0" w:firstLine="720"/>
        <w:rPr>
          <w:sz w:val="24"/>
          <w:szCs w:val="24"/>
        </w:rPr>
      </w:pPr>
      <w:r w:rsidRPr="001D2B1F">
        <w:rPr>
          <w:b/>
          <w:sz w:val="24"/>
          <w:szCs w:val="24"/>
        </w:rPr>
        <w:t>Finansējuma saņēmēji</w:t>
      </w:r>
      <w:r w:rsidRPr="00B06725">
        <w:rPr>
          <w:sz w:val="24"/>
          <w:szCs w:val="24"/>
        </w:rPr>
        <w:t xml:space="preserve"> </w:t>
      </w:r>
      <w:r>
        <w:rPr>
          <w:sz w:val="24"/>
          <w:szCs w:val="24"/>
        </w:rPr>
        <w:t>varēja būt</w:t>
      </w:r>
      <w:r w:rsidRPr="00B06725">
        <w:rPr>
          <w:sz w:val="24"/>
          <w:szCs w:val="24"/>
        </w:rPr>
        <w:t xml:space="preserve"> </w:t>
      </w:r>
      <w:r>
        <w:rPr>
          <w:sz w:val="24"/>
          <w:szCs w:val="24"/>
        </w:rPr>
        <w:t>valsts un citu juridisko personu dibinātās</w:t>
      </w:r>
      <w:r w:rsidRPr="00B06725">
        <w:rPr>
          <w:sz w:val="24"/>
          <w:szCs w:val="24"/>
        </w:rPr>
        <w:t xml:space="preserve"> augstākās izglītības</w:t>
      </w:r>
      <w:r>
        <w:rPr>
          <w:sz w:val="24"/>
          <w:szCs w:val="24"/>
        </w:rPr>
        <w:t xml:space="preserve"> institūcijas </w:t>
      </w:r>
      <w:r w:rsidRPr="00AB1F74">
        <w:rPr>
          <w:sz w:val="24"/>
          <w:szCs w:val="24"/>
        </w:rPr>
        <w:t>–</w:t>
      </w:r>
      <w:r>
        <w:rPr>
          <w:sz w:val="24"/>
          <w:szCs w:val="24"/>
        </w:rPr>
        <w:t xml:space="preserve"> augstskolas un koledžas.</w:t>
      </w:r>
      <w:r w:rsidRPr="00B06725">
        <w:rPr>
          <w:sz w:val="24"/>
          <w:szCs w:val="24"/>
        </w:rPr>
        <w:t xml:space="preserve"> </w:t>
      </w:r>
      <w:r w:rsidRPr="00B06725">
        <w:rPr>
          <w:bCs/>
          <w:sz w:val="24"/>
          <w:szCs w:val="24"/>
        </w:rPr>
        <w:t>3.1.2.1.1.</w:t>
      </w:r>
      <w:r w:rsidRPr="00B06725">
        <w:rPr>
          <w:sz w:val="24"/>
          <w:szCs w:val="24"/>
        </w:rPr>
        <w:t>apakšaktivitātes</w:t>
      </w:r>
      <w:r w:rsidRPr="00D643EC">
        <w:rPr>
          <w:sz w:val="24"/>
          <w:szCs w:val="24"/>
        </w:rPr>
        <w:t xml:space="preserve"> </w:t>
      </w:r>
      <w:r>
        <w:rPr>
          <w:sz w:val="24"/>
          <w:szCs w:val="24"/>
        </w:rPr>
        <w:t xml:space="preserve">ietvaros </w:t>
      </w:r>
      <w:r w:rsidRPr="001D2B1F">
        <w:rPr>
          <w:b/>
          <w:sz w:val="24"/>
          <w:szCs w:val="24"/>
        </w:rPr>
        <w:t xml:space="preserve">kopējais </w:t>
      </w:r>
      <w:r w:rsidR="00776B58">
        <w:rPr>
          <w:b/>
          <w:sz w:val="24"/>
          <w:szCs w:val="24"/>
        </w:rPr>
        <w:t>pieš</w:t>
      </w:r>
      <w:r w:rsidR="00CC1A5C">
        <w:rPr>
          <w:b/>
          <w:sz w:val="24"/>
          <w:szCs w:val="24"/>
        </w:rPr>
        <w:t>ķ</w:t>
      </w:r>
      <w:r w:rsidR="00776B58">
        <w:rPr>
          <w:b/>
          <w:sz w:val="24"/>
          <w:szCs w:val="24"/>
        </w:rPr>
        <w:t xml:space="preserve">irtais </w:t>
      </w:r>
      <w:r w:rsidRPr="001D2B1F">
        <w:rPr>
          <w:b/>
          <w:sz w:val="24"/>
          <w:szCs w:val="24"/>
        </w:rPr>
        <w:t>finansējums</w:t>
      </w:r>
      <w:r w:rsidRPr="00D643EC">
        <w:rPr>
          <w:sz w:val="24"/>
          <w:szCs w:val="24"/>
        </w:rPr>
        <w:t xml:space="preserve"> bija </w:t>
      </w:r>
      <w:r>
        <w:rPr>
          <w:sz w:val="24"/>
          <w:szCs w:val="24"/>
        </w:rPr>
        <w:t> </w:t>
      </w:r>
      <w:r w:rsidRPr="00D643EC">
        <w:rPr>
          <w:sz w:val="24"/>
          <w:szCs w:val="24"/>
        </w:rPr>
        <w:t>14</w:t>
      </w:r>
      <w:r>
        <w:rPr>
          <w:sz w:val="24"/>
          <w:szCs w:val="24"/>
        </w:rPr>
        <w:t>0 815 959,40</w:t>
      </w:r>
      <w:r w:rsidRPr="00D643EC">
        <w:rPr>
          <w:sz w:val="24"/>
          <w:szCs w:val="24"/>
        </w:rPr>
        <w:t xml:space="preserve"> </w:t>
      </w:r>
      <w:proofErr w:type="spellStart"/>
      <w:r w:rsidRPr="00D643EC">
        <w:rPr>
          <w:i/>
          <w:iCs/>
          <w:sz w:val="24"/>
          <w:szCs w:val="24"/>
        </w:rPr>
        <w:t>euro</w:t>
      </w:r>
      <w:proofErr w:type="spellEnd"/>
      <w:r w:rsidRPr="00D643EC">
        <w:rPr>
          <w:sz w:val="24"/>
          <w:szCs w:val="24"/>
        </w:rPr>
        <w:t xml:space="preserve">, tajā skaitā </w:t>
      </w:r>
      <w:r>
        <w:rPr>
          <w:sz w:val="24"/>
          <w:szCs w:val="24"/>
        </w:rPr>
        <w:t>ERAF</w:t>
      </w:r>
      <w:r w:rsidRPr="00D643EC">
        <w:rPr>
          <w:sz w:val="24"/>
          <w:szCs w:val="24"/>
        </w:rPr>
        <w:t xml:space="preserve"> finansējums – 1</w:t>
      </w:r>
      <w:r>
        <w:rPr>
          <w:sz w:val="24"/>
          <w:szCs w:val="24"/>
        </w:rPr>
        <w:t>19 693 561,55</w:t>
      </w:r>
      <w:r w:rsidRPr="00D643EC">
        <w:rPr>
          <w:sz w:val="24"/>
          <w:szCs w:val="24"/>
        </w:rPr>
        <w:t xml:space="preserve"> </w:t>
      </w:r>
      <w:proofErr w:type="spellStart"/>
      <w:r w:rsidRPr="00D643EC">
        <w:rPr>
          <w:i/>
          <w:iCs/>
          <w:sz w:val="24"/>
          <w:szCs w:val="24"/>
        </w:rPr>
        <w:t>euro</w:t>
      </w:r>
      <w:proofErr w:type="spellEnd"/>
      <w:r w:rsidRPr="00D643EC">
        <w:rPr>
          <w:sz w:val="24"/>
          <w:szCs w:val="24"/>
        </w:rPr>
        <w:t xml:space="preserve"> un nacionālais līdzfinansējums – </w:t>
      </w:r>
      <w:r>
        <w:rPr>
          <w:sz w:val="24"/>
          <w:szCs w:val="24"/>
        </w:rPr>
        <w:t>21 122 </w:t>
      </w:r>
      <w:r w:rsidRPr="00D643EC">
        <w:rPr>
          <w:sz w:val="24"/>
          <w:szCs w:val="24"/>
        </w:rPr>
        <w:t>3</w:t>
      </w:r>
      <w:r>
        <w:rPr>
          <w:sz w:val="24"/>
          <w:szCs w:val="24"/>
        </w:rPr>
        <w:t>97,85</w:t>
      </w:r>
      <w:r w:rsidRPr="00D643EC">
        <w:rPr>
          <w:sz w:val="24"/>
          <w:szCs w:val="24"/>
        </w:rPr>
        <w:t xml:space="preserve"> </w:t>
      </w:r>
      <w:proofErr w:type="spellStart"/>
      <w:r w:rsidRPr="00D643EC">
        <w:rPr>
          <w:i/>
          <w:iCs/>
          <w:sz w:val="24"/>
          <w:szCs w:val="24"/>
        </w:rPr>
        <w:t>euro</w:t>
      </w:r>
      <w:proofErr w:type="spellEnd"/>
      <w:r w:rsidRPr="00D643EC">
        <w:rPr>
          <w:sz w:val="24"/>
          <w:szCs w:val="24"/>
        </w:rPr>
        <w:t xml:space="preserve">, ko veido </w:t>
      </w:r>
      <w:r>
        <w:rPr>
          <w:sz w:val="24"/>
          <w:szCs w:val="24"/>
        </w:rPr>
        <w:t>ERAF</w:t>
      </w:r>
      <w:r w:rsidRPr="00D643EC">
        <w:rPr>
          <w:sz w:val="24"/>
          <w:szCs w:val="24"/>
        </w:rPr>
        <w:t xml:space="preserve"> projektu līdzfinansēšanai paredzētais valsts budžeta finansējums</w:t>
      </w:r>
      <w:r>
        <w:rPr>
          <w:sz w:val="24"/>
          <w:szCs w:val="24"/>
        </w:rPr>
        <w:t xml:space="preserve"> </w:t>
      </w:r>
      <w:r w:rsidRPr="00F920B5">
        <w:rPr>
          <w:sz w:val="24"/>
          <w:szCs w:val="24"/>
        </w:rPr>
        <w:t>10</w:t>
      </w:r>
      <w:r>
        <w:rPr>
          <w:sz w:val="24"/>
          <w:szCs w:val="24"/>
        </w:rPr>
        <w:t> </w:t>
      </w:r>
      <w:r w:rsidRPr="00F920B5">
        <w:rPr>
          <w:sz w:val="24"/>
          <w:szCs w:val="24"/>
        </w:rPr>
        <w:t>154</w:t>
      </w:r>
      <w:r>
        <w:rPr>
          <w:sz w:val="24"/>
          <w:szCs w:val="24"/>
        </w:rPr>
        <w:t> </w:t>
      </w:r>
      <w:r w:rsidRPr="00F920B5">
        <w:rPr>
          <w:sz w:val="24"/>
          <w:szCs w:val="24"/>
        </w:rPr>
        <w:t>489,57</w:t>
      </w:r>
      <w:r w:rsidRPr="00F920B5">
        <w:rPr>
          <w:i/>
          <w:iCs/>
          <w:sz w:val="24"/>
          <w:szCs w:val="24"/>
        </w:rPr>
        <w:t xml:space="preserve"> </w:t>
      </w:r>
      <w:proofErr w:type="spellStart"/>
      <w:r w:rsidRPr="00D643EC">
        <w:rPr>
          <w:i/>
          <w:iCs/>
          <w:sz w:val="24"/>
          <w:szCs w:val="24"/>
        </w:rPr>
        <w:t>euro</w:t>
      </w:r>
      <w:proofErr w:type="spellEnd"/>
      <w:r w:rsidRPr="00D643EC">
        <w:rPr>
          <w:sz w:val="24"/>
          <w:szCs w:val="24"/>
        </w:rPr>
        <w:t>, un privātais līdzfinansējums – 10</w:t>
      </w:r>
      <w:r>
        <w:rPr>
          <w:sz w:val="24"/>
          <w:szCs w:val="24"/>
        </w:rPr>
        <w:t> </w:t>
      </w:r>
      <w:r w:rsidRPr="00D643EC">
        <w:rPr>
          <w:sz w:val="24"/>
          <w:szCs w:val="24"/>
        </w:rPr>
        <w:t>9</w:t>
      </w:r>
      <w:r>
        <w:rPr>
          <w:sz w:val="24"/>
          <w:szCs w:val="24"/>
        </w:rPr>
        <w:t>6</w:t>
      </w:r>
      <w:r w:rsidRPr="00D643EC">
        <w:rPr>
          <w:sz w:val="24"/>
          <w:szCs w:val="24"/>
        </w:rPr>
        <w:t>7</w:t>
      </w:r>
      <w:r>
        <w:rPr>
          <w:sz w:val="24"/>
          <w:szCs w:val="24"/>
        </w:rPr>
        <w:t> 908,28</w:t>
      </w:r>
      <w:r w:rsidRPr="00D643EC">
        <w:rPr>
          <w:sz w:val="24"/>
          <w:szCs w:val="24"/>
        </w:rPr>
        <w:t xml:space="preserve"> </w:t>
      </w:r>
      <w:proofErr w:type="spellStart"/>
      <w:r w:rsidRPr="00D643EC">
        <w:rPr>
          <w:i/>
          <w:iCs/>
          <w:sz w:val="24"/>
          <w:szCs w:val="24"/>
        </w:rPr>
        <w:t>euro</w:t>
      </w:r>
      <w:proofErr w:type="spellEnd"/>
      <w:r>
        <w:rPr>
          <w:sz w:val="24"/>
          <w:szCs w:val="24"/>
        </w:rPr>
        <w:t>.</w:t>
      </w:r>
      <w:r w:rsidRPr="00D643EC">
        <w:rPr>
          <w:sz w:val="24"/>
          <w:szCs w:val="24"/>
        </w:rPr>
        <w:t xml:space="preserve"> </w:t>
      </w:r>
      <w:r w:rsidRPr="00B06725">
        <w:rPr>
          <w:bCs/>
          <w:sz w:val="24"/>
          <w:szCs w:val="24"/>
        </w:rPr>
        <w:t>3.1.2.1.1.</w:t>
      </w:r>
      <w:r w:rsidRPr="00B06725">
        <w:rPr>
          <w:sz w:val="24"/>
          <w:szCs w:val="24"/>
        </w:rPr>
        <w:t>apakšaktivitātes</w:t>
      </w:r>
      <w:r w:rsidRPr="00D643EC">
        <w:rPr>
          <w:sz w:val="24"/>
          <w:szCs w:val="24"/>
        </w:rPr>
        <w:t xml:space="preserve"> </w:t>
      </w:r>
      <w:r>
        <w:rPr>
          <w:sz w:val="24"/>
          <w:szCs w:val="24"/>
        </w:rPr>
        <w:t xml:space="preserve">ietvaros ieguldījumi augstskolu infrastruktūrā veido ievērojamu pārsvaru, salīdzinot ar ieguldījumiem koledžu infrastruktūrā - ieguldījumi augstskolu infrastruktūrā no kopējā </w:t>
      </w:r>
      <w:r w:rsidRPr="00B06725">
        <w:rPr>
          <w:bCs/>
          <w:sz w:val="24"/>
          <w:szCs w:val="24"/>
        </w:rPr>
        <w:t>3.1.2.1.1.</w:t>
      </w:r>
      <w:r w:rsidRPr="00B06725">
        <w:rPr>
          <w:sz w:val="24"/>
          <w:szCs w:val="24"/>
        </w:rPr>
        <w:t>apakšaktivitātes</w:t>
      </w:r>
      <w:r>
        <w:rPr>
          <w:sz w:val="24"/>
          <w:szCs w:val="24"/>
        </w:rPr>
        <w:t xml:space="preserve"> ietvaros pieejamā finansējuma veido 96,4 %  (135 739 917,</w:t>
      </w:r>
      <w:r w:rsidR="00CC1A5C">
        <w:rPr>
          <w:sz w:val="24"/>
          <w:szCs w:val="24"/>
        </w:rPr>
        <w:t xml:space="preserve">70 </w:t>
      </w:r>
      <w:proofErr w:type="spellStart"/>
      <w:r w:rsidRPr="00D32B77">
        <w:rPr>
          <w:i/>
          <w:sz w:val="24"/>
          <w:szCs w:val="24"/>
        </w:rPr>
        <w:t>euro</w:t>
      </w:r>
      <w:proofErr w:type="spellEnd"/>
      <w:r>
        <w:rPr>
          <w:sz w:val="24"/>
          <w:szCs w:val="24"/>
        </w:rPr>
        <w:t xml:space="preserve"> no </w:t>
      </w:r>
      <w:r w:rsidRPr="00D643EC">
        <w:rPr>
          <w:sz w:val="24"/>
          <w:szCs w:val="24"/>
        </w:rPr>
        <w:t>14</w:t>
      </w:r>
      <w:r>
        <w:rPr>
          <w:sz w:val="24"/>
          <w:szCs w:val="24"/>
        </w:rPr>
        <w:t>0</w:t>
      </w:r>
      <w:r w:rsidRPr="00D643EC">
        <w:rPr>
          <w:sz w:val="24"/>
          <w:szCs w:val="24"/>
        </w:rPr>
        <w:t xml:space="preserve"> </w:t>
      </w:r>
      <w:r>
        <w:rPr>
          <w:sz w:val="24"/>
          <w:szCs w:val="24"/>
        </w:rPr>
        <w:t xml:space="preserve">815 959,40 </w:t>
      </w:r>
      <w:proofErr w:type="spellStart"/>
      <w:r w:rsidRPr="00D643EC">
        <w:rPr>
          <w:i/>
          <w:iCs/>
          <w:sz w:val="24"/>
          <w:szCs w:val="24"/>
        </w:rPr>
        <w:t>euro</w:t>
      </w:r>
      <w:proofErr w:type="spellEnd"/>
      <w:r>
        <w:rPr>
          <w:sz w:val="24"/>
          <w:szCs w:val="24"/>
        </w:rPr>
        <w:t>).</w:t>
      </w:r>
    </w:p>
    <w:p w14:paraId="54EBACAF" w14:textId="77777777" w:rsidR="00F72FB0" w:rsidRDefault="00F72FB0" w:rsidP="00F72FB0">
      <w:pPr>
        <w:pStyle w:val="abbreviationslist"/>
        <w:spacing w:before="0" w:after="0"/>
        <w:ind w:right="0" w:firstLine="720"/>
        <w:rPr>
          <w:i/>
          <w:sz w:val="24"/>
          <w:szCs w:val="24"/>
        </w:rPr>
      </w:pPr>
      <w:r w:rsidRPr="00AC5A89">
        <w:rPr>
          <w:b/>
          <w:sz w:val="24"/>
          <w:szCs w:val="24"/>
        </w:rPr>
        <w:t>Minimālais un maksimālais projekta finansējuma apjoms</w:t>
      </w:r>
      <w:r>
        <w:rPr>
          <w:b/>
          <w:sz w:val="24"/>
          <w:szCs w:val="24"/>
        </w:rPr>
        <w:t xml:space="preserve"> </w:t>
      </w:r>
      <w:r w:rsidRPr="00D643EC">
        <w:rPr>
          <w:sz w:val="24"/>
          <w:szCs w:val="24"/>
        </w:rPr>
        <w:t>–</w:t>
      </w:r>
      <w:r>
        <w:rPr>
          <w:sz w:val="24"/>
          <w:szCs w:val="24"/>
        </w:rPr>
        <w:t xml:space="preserve"> n</w:t>
      </w:r>
      <w:r w:rsidRPr="00AC5A89">
        <w:rPr>
          <w:sz w:val="24"/>
          <w:szCs w:val="24"/>
        </w:rPr>
        <w:t xml:space="preserve">o 100 000 </w:t>
      </w:r>
      <w:proofErr w:type="spellStart"/>
      <w:r w:rsidRPr="00AC5A89">
        <w:rPr>
          <w:i/>
          <w:sz w:val="24"/>
          <w:szCs w:val="24"/>
        </w:rPr>
        <w:t>euro</w:t>
      </w:r>
      <w:proofErr w:type="spellEnd"/>
      <w:r w:rsidRPr="00AC5A89">
        <w:rPr>
          <w:sz w:val="24"/>
          <w:szCs w:val="24"/>
        </w:rPr>
        <w:t xml:space="preserve"> līdz 38 000 000 </w:t>
      </w:r>
      <w:proofErr w:type="spellStart"/>
      <w:r w:rsidRPr="00AC5A89">
        <w:rPr>
          <w:i/>
          <w:sz w:val="24"/>
          <w:szCs w:val="24"/>
        </w:rPr>
        <w:t>euro</w:t>
      </w:r>
      <w:proofErr w:type="spellEnd"/>
      <w:r w:rsidRPr="00AC5A89">
        <w:rPr>
          <w:sz w:val="24"/>
          <w:szCs w:val="24"/>
        </w:rPr>
        <w:t>. Projekta maksimālo attiecināmo finansējumu no</w:t>
      </w:r>
      <w:r>
        <w:rPr>
          <w:sz w:val="24"/>
          <w:szCs w:val="24"/>
        </w:rPr>
        <w:t>teica</w:t>
      </w:r>
      <w:r w:rsidRPr="00AC5A89">
        <w:rPr>
          <w:sz w:val="24"/>
          <w:szCs w:val="24"/>
        </w:rPr>
        <w:t xml:space="preserve"> individuāli</w:t>
      </w:r>
      <w:r>
        <w:rPr>
          <w:sz w:val="24"/>
          <w:szCs w:val="24"/>
        </w:rPr>
        <w:t>,</w:t>
      </w:r>
      <w:r w:rsidRPr="00AC5A89">
        <w:rPr>
          <w:sz w:val="24"/>
          <w:szCs w:val="24"/>
        </w:rPr>
        <w:t xml:space="preserve"> katrai augstākās izglītības </w:t>
      </w:r>
      <w:r>
        <w:rPr>
          <w:sz w:val="24"/>
          <w:szCs w:val="24"/>
        </w:rPr>
        <w:t>institūcijai</w:t>
      </w:r>
      <w:r w:rsidRPr="00AC5A89">
        <w:rPr>
          <w:sz w:val="24"/>
          <w:szCs w:val="24"/>
        </w:rPr>
        <w:t xml:space="preserve"> aprēķinot pieejamo maksimālo</w:t>
      </w:r>
      <w:r>
        <w:rPr>
          <w:sz w:val="24"/>
          <w:szCs w:val="24"/>
        </w:rPr>
        <w:t xml:space="preserve"> finansējuma apjomu atbilstoši </w:t>
      </w:r>
      <w:r w:rsidRPr="00AC5A89">
        <w:rPr>
          <w:sz w:val="24"/>
          <w:szCs w:val="24"/>
        </w:rPr>
        <w:t>vērtēšanas rezultātā projekta iesniegumam piešķirtajam punktu skaitam un ņemot vērā noteikto finanšu resursu apjoma procentuālo sadalījumu starp reģioniem.</w:t>
      </w:r>
      <w:r>
        <w:rPr>
          <w:sz w:val="24"/>
          <w:szCs w:val="24"/>
        </w:rPr>
        <w:t xml:space="preserve"> Augstskolu īstenotajos projektos lielākā projekta summa ir</w:t>
      </w:r>
      <w:r w:rsidRPr="00941809">
        <w:t xml:space="preserve"> </w:t>
      </w:r>
      <w:r w:rsidR="00A86AD1" w:rsidRPr="00A86AD1">
        <w:rPr>
          <w:sz w:val="24"/>
          <w:szCs w:val="24"/>
        </w:rPr>
        <w:t>32 209 428</w:t>
      </w:r>
      <w:r w:rsidRPr="00A86AD1">
        <w:rPr>
          <w:sz w:val="24"/>
          <w:szCs w:val="24"/>
        </w:rPr>
        <w:t xml:space="preserve"> </w:t>
      </w:r>
      <w:proofErr w:type="spellStart"/>
      <w:r w:rsidRPr="00A86AD1">
        <w:rPr>
          <w:i/>
          <w:sz w:val="24"/>
          <w:szCs w:val="24"/>
        </w:rPr>
        <w:t>euro</w:t>
      </w:r>
      <w:proofErr w:type="spellEnd"/>
      <w:r w:rsidR="00A86AD1">
        <w:rPr>
          <w:i/>
          <w:sz w:val="24"/>
          <w:szCs w:val="24"/>
        </w:rPr>
        <w:t xml:space="preserve"> </w:t>
      </w:r>
      <w:r w:rsidR="00A86AD1" w:rsidRPr="00A86AD1">
        <w:rPr>
          <w:sz w:val="24"/>
          <w:szCs w:val="24"/>
        </w:rPr>
        <w:t>(LU)</w:t>
      </w:r>
      <w:r w:rsidRPr="00A86AD1">
        <w:rPr>
          <w:sz w:val="24"/>
          <w:szCs w:val="24"/>
        </w:rPr>
        <w:t>,</w:t>
      </w:r>
      <w:r>
        <w:rPr>
          <w:sz w:val="24"/>
          <w:szCs w:val="24"/>
        </w:rPr>
        <w:t xml:space="preserve"> savukārt vidējā 20 īstenoto projektu summa – </w:t>
      </w:r>
      <w:r w:rsidR="00CC1A5C">
        <w:rPr>
          <w:sz w:val="24"/>
          <w:szCs w:val="24"/>
        </w:rPr>
        <w:t>6 786 </w:t>
      </w:r>
      <w:r w:rsidR="00CC1A5C" w:rsidRPr="00587ADD">
        <w:rPr>
          <w:sz w:val="24"/>
          <w:szCs w:val="24"/>
        </w:rPr>
        <w:t xml:space="preserve">996 </w:t>
      </w:r>
      <w:proofErr w:type="spellStart"/>
      <w:r w:rsidRPr="00587ADD">
        <w:rPr>
          <w:i/>
          <w:sz w:val="24"/>
          <w:szCs w:val="24"/>
        </w:rPr>
        <w:t>euro</w:t>
      </w:r>
      <w:proofErr w:type="spellEnd"/>
      <w:r w:rsidRPr="00587ADD">
        <w:rPr>
          <w:i/>
          <w:sz w:val="24"/>
          <w:szCs w:val="24"/>
        </w:rPr>
        <w:t>.</w:t>
      </w:r>
      <w:r w:rsidRPr="00587ADD">
        <w:rPr>
          <w:rStyle w:val="FootnoteReference"/>
          <w:i/>
          <w:sz w:val="24"/>
          <w:szCs w:val="24"/>
        </w:rPr>
        <w:footnoteReference w:id="24"/>
      </w:r>
    </w:p>
    <w:p w14:paraId="704C92B5" w14:textId="77777777" w:rsidR="00F72FB0" w:rsidRPr="00127404" w:rsidRDefault="00F72FB0" w:rsidP="00F72FB0">
      <w:pPr>
        <w:ind w:firstLine="720"/>
      </w:pPr>
      <w:r w:rsidRPr="00D643EC">
        <w:t xml:space="preserve">Maksimāli pieļaujamais </w:t>
      </w:r>
      <w:r w:rsidRPr="00B83C53">
        <w:rPr>
          <w:b/>
        </w:rPr>
        <w:t>ERAF finansējuma apmērs</w:t>
      </w:r>
      <w:r w:rsidRPr="00D643EC">
        <w:t xml:space="preserve"> bija 85 % no kopējās projekta attiecināmo izmaksu summas.</w:t>
      </w:r>
      <w:r>
        <w:t xml:space="preserve"> </w:t>
      </w:r>
      <w:r w:rsidRPr="00EB3D70">
        <w:t xml:space="preserve">Savukārt </w:t>
      </w:r>
      <w:r w:rsidRPr="00EB3D70">
        <w:rPr>
          <w:szCs w:val="24"/>
          <w:lang w:eastAsia="lv-LV"/>
        </w:rPr>
        <w:t xml:space="preserve">projekta īstenošanai paredzētā nacionālā </w:t>
      </w:r>
      <w:r w:rsidRPr="00B83C53">
        <w:rPr>
          <w:b/>
          <w:szCs w:val="24"/>
          <w:lang w:eastAsia="lv-LV"/>
        </w:rPr>
        <w:t>līdzfinansējuma</w:t>
      </w:r>
      <w:r w:rsidRPr="00EB3D70">
        <w:rPr>
          <w:szCs w:val="24"/>
          <w:lang w:eastAsia="lv-LV"/>
        </w:rPr>
        <w:t xml:space="preserve"> nodrošināšanas kārtība un apmērs bija sekojošs:</w:t>
      </w:r>
    </w:p>
    <w:p w14:paraId="44A5217D" w14:textId="77777777" w:rsidR="00F72FB0" w:rsidRPr="00EB3D70" w:rsidRDefault="00F72FB0" w:rsidP="00F72FB0">
      <w:pPr>
        <w:numPr>
          <w:ilvl w:val="0"/>
          <w:numId w:val="8"/>
        </w:numPr>
        <w:ind w:left="714" w:hanging="357"/>
        <w:rPr>
          <w:szCs w:val="24"/>
          <w:lang w:eastAsia="lv-LV"/>
        </w:rPr>
      </w:pPr>
      <w:r w:rsidRPr="00EB3D70">
        <w:rPr>
          <w:szCs w:val="24"/>
          <w:lang w:eastAsia="lv-LV"/>
        </w:rPr>
        <w:lastRenderedPageBreak/>
        <w:t>valsts dibinātajām koledžām līdzfinansējums 15</w:t>
      </w:r>
      <w:r>
        <w:rPr>
          <w:szCs w:val="24"/>
          <w:lang w:eastAsia="lv-LV"/>
        </w:rPr>
        <w:t xml:space="preserve"> </w:t>
      </w:r>
      <w:r w:rsidRPr="00EB3D70">
        <w:rPr>
          <w:szCs w:val="24"/>
          <w:lang w:eastAsia="lv-LV"/>
        </w:rPr>
        <w:t>% apmērā no projekta attiecināmo izmaksu kopsummas, kuru nodrošina no valsts budžeta līdzekļiem;</w:t>
      </w:r>
    </w:p>
    <w:p w14:paraId="0E029C71" w14:textId="77777777" w:rsidR="00F72FB0" w:rsidRPr="00EB3D70" w:rsidRDefault="00F72FB0" w:rsidP="00F72FB0">
      <w:pPr>
        <w:numPr>
          <w:ilvl w:val="0"/>
          <w:numId w:val="8"/>
        </w:numPr>
        <w:ind w:left="714" w:hanging="357"/>
        <w:rPr>
          <w:szCs w:val="24"/>
          <w:lang w:eastAsia="lv-LV"/>
        </w:rPr>
      </w:pPr>
      <w:r w:rsidRPr="00EB3D70">
        <w:rPr>
          <w:szCs w:val="24"/>
          <w:lang w:eastAsia="lv-LV"/>
        </w:rPr>
        <w:t>valsts dibinātām aug</w:t>
      </w:r>
      <w:r>
        <w:rPr>
          <w:szCs w:val="24"/>
          <w:lang w:eastAsia="lv-LV"/>
        </w:rPr>
        <w:t xml:space="preserve">stskolām līdzfinansējumu 7,17 % </w:t>
      </w:r>
      <w:r w:rsidRPr="00EB3D70">
        <w:rPr>
          <w:szCs w:val="24"/>
          <w:lang w:eastAsia="lv-LV"/>
        </w:rPr>
        <w:t>apmērā no projekta attiecināmo izmaksu kopsummas nodrošina no Eiropas Savienības fondu projektu līdzfinansēšanai paredzētajiem valsts budžeta līdzekļiem. Pārējo līdzfinansējumu valsts dibinātām augstskolām 7,83</w:t>
      </w:r>
      <w:r>
        <w:rPr>
          <w:szCs w:val="24"/>
          <w:lang w:eastAsia="lv-LV"/>
        </w:rPr>
        <w:t xml:space="preserve"> </w:t>
      </w:r>
      <w:r w:rsidRPr="00EB3D70">
        <w:rPr>
          <w:szCs w:val="24"/>
          <w:lang w:eastAsia="lv-LV"/>
        </w:rPr>
        <w:t>% apmērā no projekta attiecināmo izmaksu kopsummas nodrošina valsts dibināta augstskola;</w:t>
      </w:r>
    </w:p>
    <w:p w14:paraId="15386156" w14:textId="77777777" w:rsidR="00F72FB0" w:rsidRPr="00EB3D70" w:rsidRDefault="00F72FB0" w:rsidP="00F72FB0">
      <w:pPr>
        <w:numPr>
          <w:ilvl w:val="0"/>
          <w:numId w:val="8"/>
        </w:numPr>
        <w:ind w:left="714" w:hanging="357"/>
        <w:rPr>
          <w:szCs w:val="24"/>
          <w:lang w:eastAsia="lv-LV"/>
        </w:rPr>
      </w:pPr>
      <w:r w:rsidRPr="00EB3D70">
        <w:rPr>
          <w:szCs w:val="24"/>
          <w:lang w:eastAsia="lv-LV"/>
        </w:rPr>
        <w:t>citu juridisko personu dibinātām augstākās izglītības iestādēm projekta īstenošanai līdzfinansējumu 15</w:t>
      </w:r>
      <w:r>
        <w:rPr>
          <w:szCs w:val="24"/>
          <w:lang w:eastAsia="lv-LV"/>
        </w:rPr>
        <w:t xml:space="preserve"> </w:t>
      </w:r>
      <w:r w:rsidRPr="00EB3D70">
        <w:rPr>
          <w:szCs w:val="24"/>
          <w:lang w:eastAsia="lv-LV"/>
        </w:rPr>
        <w:t>% apmērā no projekta attiecināmo izmaksu kopsummas nodrošina citu juridisko personu dibināta augstākās izglītības iestāde vai tās dibinātāji.</w:t>
      </w:r>
    </w:p>
    <w:p w14:paraId="2EFAE241" w14:textId="77777777" w:rsidR="00F72FB0" w:rsidRDefault="00F72FB0" w:rsidP="00F72FB0">
      <w:pPr>
        <w:pStyle w:val="tv2132"/>
        <w:spacing w:line="240" w:lineRule="auto"/>
        <w:ind w:firstLine="720"/>
        <w:jc w:val="both"/>
        <w:rPr>
          <w:color w:val="auto"/>
          <w:sz w:val="24"/>
          <w:szCs w:val="24"/>
        </w:rPr>
      </w:pPr>
    </w:p>
    <w:p w14:paraId="69C6B26D" w14:textId="77777777" w:rsidR="00F72FB0" w:rsidRPr="00D643EC" w:rsidRDefault="00F72FB0" w:rsidP="00F72FB0">
      <w:pPr>
        <w:pStyle w:val="tv2132"/>
        <w:spacing w:line="240" w:lineRule="auto"/>
        <w:ind w:firstLine="720"/>
        <w:jc w:val="both"/>
        <w:rPr>
          <w:color w:val="auto"/>
          <w:sz w:val="24"/>
          <w:szCs w:val="24"/>
        </w:rPr>
      </w:pPr>
      <w:r w:rsidRPr="00D643EC">
        <w:rPr>
          <w:color w:val="auto"/>
          <w:sz w:val="24"/>
          <w:szCs w:val="24"/>
        </w:rPr>
        <w:t>Atbalst</w:t>
      </w:r>
      <w:r>
        <w:rPr>
          <w:color w:val="auto"/>
          <w:sz w:val="24"/>
          <w:szCs w:val="24"/>
        </w:rPr>
        <w:t>u</w:t>
      </w:r>
      <w:r w:rsidRPr="00D643EC">
        <w:rPr>
          <w:color w:val="auto"/>
          <w:sz w:val="24"/>
          <w:szCs w:val="24"/>
        </w:rPr>
        <w:t xml:space="preserve"> </w:t>
      </w:r>
      <w:r>
        <w:rPr>
          <w:color w:val="auto"/>
          <w:sz w:val="24"/>
          <w:szCs w:val="24"/>
        </w:rPr>
        <w:t>varēja saņemt</w:t>
      </w:r>
      <w:r w:rsidRPr="00D643EC">
        <w:rPr>
          <w:color w:val="auto"/>
          <w:sz w:val="24"/>
          <w:szCs w:val="24"/>
        </w:rPr>
        <w:t xml:space="preserve"> </w:t>
      </w:r>
      <w:r>
        <w:rPr>
          <w:color w:val="auto"/>
          <w:sz w:val="24"/>
          <w:szCs w:val="24"/>
        </w:rPr>
        <w:t>tikai</w:t>
      </w:r>
      <w:r w:rsidRPr="00D643EC">
        <w:rPr>
          <w:color w:val="auto"/>
          <w:sz w:val="24"/>
          <w:szCs w:val="24"/>
        </w:rPr>
        <w:t xml:space="preserve"> </w:t>
      </w:r>
      <w:r w:rsidRPr="00D32B77">
        <w:rPr>
          <w:b/>
          <w:color w:val="auto"/>
          <w:sz w:val="24"/>
          <w:szCs w:val="24"/>
        </w:rPr>
        <w:t>prioritāro virzienu</w:t>
      </w:r>
      <w:r w:rsidRPr="00D643EC">
        <w:rPr>
          <w:color w:val="auto"/>
          <w:sz w:val="24"/>
          <w:szCs w:val="24"/>
        </w:rPr>
        <w:t xml:space="preserve"> pilna laika augstākās izglītības programmām</w:t>
      </w:r>
      <w:r>
        <w:rPr>
          <w:rStyle w:val="FootnoteReference"/>
          <w:color w:val="auto"/>
          <w:sz w:val="24"/>
          <w:szCs w:val="24"/>
        </w:rPr>
        <w:footnoteReference w:id="25"/>
      </w:r>
      <w:r>
        <w:rPr>
          <w:color w:val="auto"/>
          <w:sz w:val="24"/>
          <w:szCs w:val="24"/>
        </w:rPr>
        <w:t xml:space="preserve">, </w:t>
      </w:r>
      <w:r w:rsidRPr="00220907">
        <w:rPr>
          <w:color w:val="auto"/>
          <w:sz w:val="24"/>
          <w:szCs w:val="24"/>
        </w:rPr>
        <w:t>kuras jau tika īstenotas vai kuras tika plānots uzsākt īstenot:</w:t>
      </w:r>
    </w:p>
    <w:p w14:paraId="06B7DF23" w14:textId="77777777" w:rsidR="00F72FB0" w:rsidRPr="00D643EC" w:rsidRDefault="00F72FB0" w:rsidP="00F72FB0">
      <w:pPr>
        <w:pStyle w:val="tv2132"/>
        <w:numPr>
          <w:ilvl w:val="0"/>
          <w:numId w:val="4"/>
        </w:numPr>
        <w:spacing w:line="240" w:lineRule="auto"/>
        <w:ind w:left="714" w:hanging="357"/>
        <w:jc w:val="both"/>
        <w:rPr>
          <w:color w:val="auto"/>
          <w:sz w:val="24"/>
          <w:szCs w:val="24"/>
        </w:rPr>
      </w:pPr>
      <w:r w:rsidRPr="00D643EC">
        <w:rPr>
          <w:color w:val="auto"/>
          <w:sz w:val="24"/>
          <w:szCs w:val="24"/>
        </w:rPr>
        <w:t>augstākās izglītības tematiskajā grupā: dabaszinātnes, matemātika un informācijas tehnoloģijas vai inženierzinātnes, ražošana un būvniecība;</w:t>
      </w:r>
    </w:p>
    <w:p w14:paraId="56F7E588" w14:textId="77777777" w:rsidR="00F72FB0" w:rsidRPr="00D643EC" w:rsidRDefault="00F72FB0" w:rsidP="00F72FB0">
      <w:pPr>
        <w:pStyle w:val="tv2132"/>
        <w:numPr>
          <w:ilvl w:val="0"/>
          <w:numId w:val="4"/>
        </w:numPr>
        <w:spacing w:line="240" w:lineRule="auto"/>
        <w:ind w:left="714" w:hanging="357"/>
        <w:jc w:val="both"/>
        <w:rPr>
          <w:color w:val="auto"/>
          <w:sz w:val="24"/>
          <w:szCs w:val="24"/>
        </w:rPr>
      </w:pPr>
      <w:r w:rsidRPr="00D643EC">
        <w:rPr>
          <w:color w:val="auto"/>
          <w:sz w:val="24"/>
          <w:szCs w:val="24"/>
        </w:rPr>
        <w:t>augstākās izglītības tematiskajā jomā: veselības aprūpe (izņemot kosmetoloģijas izglītības programmu kopu), vides aizsardzība vai māksla (radošās industrijas) (izņemot dizaina izglītības programmu kopu);</w:t>
      </w:r>
    </w:p>
    <w:p w14:paraId="7F2D6580" w14:textId="77777777" w:rsidR="00F72FB0" w:rsidRDefault="00F72FB0" w:rsidP="00F72FB0">
      <w:pPr>
        <w:pStyle w:val="tv2132"/>
        <w:numPr>
          <w:ilvl w:val="0"/>
          <w:numId w:val="4"/>
        </w:numPr>
        <w:spacing w:line="240" w:lineRule="auto"/>
        <w:ind w:left="714" w:hanging="357"/>
        <w:jc w:val="both"/>
        <w:rPr>
          <w:color w:val="auto"/>
          <w:sz w:val="24"/>
          <w:szCs w:val="24"/>
        </w:rPr>
      </w:pPr>
      <w:r w:rsidRPr="00D643EC">
        <w:rPr>
          <w:color w:val="auto"/>
          <w:sz w:val="24"/>
          <w:szCs w:val="24"/>
        </w:rPr>
        <w:t>augstākās izglītības programmu grupā:</w:t>
      </w:r>
    </w:p>
    <w:p w14:paraId="0B9BCA34" w14:textId="77777777" w:rsidR="00F72FB0" w:rsidRDefault="00F72FB0" w:rsidP="00F72FB0">
      <w:pPr>
        <w:pStyle w:val="tv2132"/>
        <w:numPr>
          <w:ilvl w:val="1"/>
          <w:numId w:val="4"/>
        </w:numPr>
        <w:spacing w:line="240" w:lineRule="auto"/>
        <w:ind w:left="1418" w:hanging="567"/>
        <w:jc w:val="both"/>
        <w:rPr>
          <w:color w:val="auto"/>
          <w:sz w:val="24"/>
          <w:szCs w:val="24"/>
        </w:rPr>
      </w:pPr>
      <w:r w:rsidRPr="0005245B">
        <w:rPr>
          <w:color w:val="auto"/>
          <w:sz w:val="24"/>
          <w:szCs w:val="24"/>
        </w:rPr>
        <w:t xml:space="preserve">pedagogu izglītība, ja attiecīgajā grupā īsteno augstākās izglītības programmu kopu, kas ir saistīta ar prioritārajām izglītības tematiskajām grupām vai jomām, tai skaitā dabaszinātņu skolotājs, matemātikas skolotājs, informātikas skolotājs, speciālās izglītības skolotājs, </w:t>
      </w:r>
      <w:proofErr w:type="spellStart"/>
      <w:r w:rsidRPr="0005245B">
        <w:rPr>
          <w:color w:val="auto"/>
          <w:sz w:val="24"/>
          <w:szCs w:val="24"/>
        </w:rPr>
        <w:t>surdopedagogs</w:t>
      </w:r>
      <w:proofErr w:type="spellEnd"/>
      <w:r w:rsidRPr="0005245B">
        <w:rPr>
          <w:color w:val="auto"/>
          <w:sz w:val="24"/>
          <w:szCs w:val="24"/>
        </w:rPr>
        <w:t xml:space="preserve"> (</w:t>
      </w:r>
      <w:proofErr w:type="spellStart"/>
      <w:r w:rsidRPr="0005245B">
        <w:rPr>
          <w:color w:val="auto"/>
          <w:sz w:val="24"/>
          <w:szCs w:val="24"/>
        </w:rPr>
        <w:t>surdotulks</w:t>
      </w:r>
      <w:proofErr w:type="spellEnd"/>
      <w:r w:rsidRPr="0005245B">
        <w:rPr>
          <w:color w:val="auto"/>
          <w:sz w:val="24"/>
          <w:szCs w:val="24"/>
        </w:rPr>
        <w:t>);</w:t>
      </w:r>
    </w:p>
    <w:p w14:paraId="72A8D32D" w14:textId="77777777" w:rsidR="00F72FB0" w:rsidRDefault="00F72FB0" w:rsidP="00F72FB0">
      <w:pPr>
        <w:pStyle w:val="tv2132"/>
        <w:numPr>
          <w:ilvl w:val="1"/>
          <w:numId w:val="4"/>
        </w:numPr>
        <w:spacing w:line="240" w:lineRule="auto"/>
        <w:ind w:left="1418" w:hanging="567"/>
        <w:jc w:val="both"/>
        <w:rPr>
          <w:color w:val="auto"/>
          <w:sz w:val="24"/>
          <w:szCs w:val="24"/>
        </w:rPr>
      </w:pPr>
      <w:r w:rsidRPr="0005245B">
        <w:rPr>
          <w:color w:val="auto"/>
          <w:sz w:val="24"/>
          <w:szCs w:val="24"/>
        </w:rPr>
        <w:t>lauksaimniecība, mežsaimniecība, zivsaimniecība vai veterinārija;</w:t>
      </w:r>
    </w:p>
    <w:p w14:paraId="51BA5E95" w14:textId="77777777" w:rsidR="00F72FB0" w:rsidRPr="0005245B" w:rsidRDefault="00F72FB0" w:rsidP="00F72FB0">
      <w:pPr>
        <w:pStyle w:val="tv2132"/>
        <w:numPr>
          <w:ilvl w:val="1"/>
          <w:numId w:val="4"/>
        </w:numPr>
        <w:spacing w:line="240" w:lineRule="auto"/>
        <w:ind w:left="1418" w:hanging="567"/>
        <w:jc w:val="both"/>
        <w:rPr>
          <w:color w:val="auto"/>
          <w:sz w:val="24"/>
          <w:szCs w:val="24"/>
        </w:rPr>
      </w:pPr>
      <w:r w:rsidRPr="0005245B">
        <w:rPr>
          <w:color w:val="auto"/>
          <w:sz w:val="24"/>
          <w:szCs w:val="24"/>
        </w:rPr>
        <w:t>sociālie pakalpojumi, ja attiecīgajā grupā no 2007.gada 1.oktobra studē personas ar funkcionāliem traucējumiem;</w:t>
      </w:r>
    </w:p>
    <w:p w14:paraId="75CB5012" w14:textId="77777777" w:rsidR="00F72FB0" w:rsidRDefault="00F72FB0" w:rsidP="00F72FB0">
      <w:pPr>
        <w:ind w:left="714" w:hanging="357"/>
        <w:rPr>
          <w:szCs w:val="24"/>
        </w:rPr>
      </w:pPr>
      <w:r w:rsidRPr="00D643EC">
        <w:rPr>
          <w:szCs w:val="24"/>
        </w:rPr>
        <w:t>4. pirmā līmeņa profesionālās augstākās izglītības programmās, ja attiecīgajā programmā no 2007.gad</w:t>
      </w:r>
      <w:r>
        <w:rPr>
          <w:szCs w:val="24"/>
        </w:rPr>
        <w:t>a</w:t>
      </w:r>
      <w:r w:rsidRPr="00D643EC">
        <w:rPr>
          <w:szCs w:val="24"/>
        </w:rPr>
        <w:t xml:space="preserve"> 1.oktobra studē personas ar funkcionāliem traucējumiem.</w:t>
      </w:r>
    </w:p>
    <w:p w14:paraId="13CBA97E" w14:textId="77777777" w:rsidR="00F72FB0" w:rsidRDefault="00F72FB0" w:rsidP="00F72FB0">
      <w:pPr>
        <w:ind w:firstLine="720"/>
        <w:rPr>
          <w:szCs w:val="24"/>
        </w:rPr>
      </w:pPr>
    </w:p>
    <w:p w14:paraId="0732106F" w14:textId="77777777" w:rsidR="00F72FB0" w:rsidRPr="00D643EC" w:rsidRDefault="00F72FB0" w:rsidP="00F72FB0">
      <w:pPr>
        <w:ind w:firstLine="720"/>
        <w:rPr>
          <w:szCs w:val="24"/>
        </w:rPr>
      </w:pPr>
      <w:r w:rsidRPr="00D643EC">
        <w:rPr>
          <w:bCs/>
          <w:szCs w:val="24"/>
          <w:lang w:eastAsia="lv-LV"/>
        </w:rPr>
        <w:t>3.1.2.1.1.</w:t>
      </w:r>
      <w:r w:rsidRPr="00D643EC">
        <w:rPr>
          <w:szCs w:val="24"/>
        </w:rPr>
        <w:t>apakšaktivitāte</w:t>
      </w:r>
      <w:r>
        <w:rPr>
          <w:szCs w:val="24"/>
        </w:rPr>
        <w:t>s</w:t>
      </w:r>
      <w:r w:rsidRPr="00D643EC">
        <w:rPr>
          <w:szCs w:val="24"/>
        </w:rPr>
        <w:t xml:space="preserve"> </w:t>
      </w:r>
      <w:r w:rsidRPr="00D643EC">
        <w:t xml:space="preserve">ietvaros tika </w:t>
      </w:r>
      <w:r>
        <w:t xml:space="preserve">noteiktas </w:t>
      </w:r>
      <w:r w:rsidRPr="00D643EC">
        <w:t xml:space="preserve">šādas </w:t>
      </w:r>
      <w:r w:rsidRPr="001D2B1F">
        <w:rPr>
          <w:b/>
        </w:rPr>
        <w:t>atbalstāmās darbības</w:t>
      </w:r>
      <w:r w:rsidRPr="00D643EC">
        <w:t xml:space="preserve">: </w:t>
      </w:r>
    </w:p>
    <w:p w14:paraId="26AD14A5" w14:textId="77777777" w:rsidR="00F72FB0" w:rsidRPr="00D643EC" w:rsidRDefault="00F72FB0" w:rsidP="00F72FB0">
      <w:pPr>
        <w:pStyle w:val="tv213"/>
        <w:numPr>
          <w:ilvl w:val="0"/>
          <w:numId w:val="6"/>
        </w:numPr>
        <w:spacing w:before="0" w:beforeAutospacing="0" w:after="0" w:afterAutospacing="0"/>
        <w:ind w:left="714" w:hanging="357"/>
        <w:jc w:val="both"/>
        <w:rPr>
          <w:lang w:eastAsia="en-US"/>
        </w:rPr>
      </w:pPr>
      <w:r w:rsidRPr="00D643EC">
        <w:t>augstākās izglītības institūciju ēku, būvju, telpu un infrastruktūras rekonstrukcija un renovācija, ja nepieciešams, jaunu būvju būvniecība, iekārtu, aprīkojuma un tehnoloģiju nodrošināšana, lai modernizētu vai uzsāktu īstenot studiju programmas kādā no prioritārajiem virzieniem;</w:t>
      </w:r>
    </w:p>
    <w:p w14:paraId="58FDB8C2" w14:textId="77777777" w:rsidR="00F72FB0" w:rsidRPr="00D643EC" w:rsidRDefault="00F72FB0" w:rsidP="00F72FB0">
      <w:pPr>
        <w:pStyle w:val="tv213"/>
        <w:numPr>
          <w:ilvl w:val="0"/>
          <w:numId w:val="6"/>
        </w:numPr>
        <w:spacing w:before="0" w:beforeAutospacing="0" w:after="0" w:afterAutospacing="0"/>
        <w:ind w:left="714" w:hanging="357"/>
        <w:jc w:val="both"/>
        <w:rPr>
          <w:lang w:eastAsia="en-US"/>
        </w:rPr>
      </w:pPr>
      <w:r w:rsidRPr="00D643EC">
        <w:t>augstākās izglītības institūciju bibliotēku modernizēšana, ja augstākās izglītības institūcija modernizē vai uzsāk īstenot studiju programmas kādā no prioritārajiem virzieniem;</w:t>
      </w:r>
    </w:p>
    <w:p w14:paraId="18A5DADF" w14:textId="77777777" w:rsidR="00F72FB0" w:rsidRPr="00D643EC" w:rsidRDefault="00F72FB0" w:rsidP="00F72FB0">
      <w:pPr>
        <w:pStyle w:val="tv213"/>
        <w:numPr>
          <w:ilvl w:val="0"/>
          <w:numId w:val="6"/>
        </w:numPr>
        <w:spacing w:before="0" w:beforeAutospacing="0" w:after="0" w:afterAutospacing="0"/>
        <w:ind w:left="714" w:hanging="357"/>
        <w:jc w:val="both"/>
        <w:rPr>
          <w:lang w:eastAsia="en-US"/>
        </w:rPr>
      </w:pPr>
      <w:r w:rsidRPr="00D643EC">
        <w:t>augstākās izglītības institūcijas pielāgošana personām ar funkcionāliem traucējumiem, ja augstākās izglītības institūcija modernizē vai uzsāk īstenot studiju programmas kādā no prioritārajiem virzieniem.</w:t>
      </w:r>
    </w:p>
    <w:p w14:paraId="2DCA622C" w14:textId="77777777" w:rsidR="00F72FB0" w:rsidRDefault="00F72FB0" w:rsidP="00F72FB0">
      <w:pPr>
        <w:pStyle w:val="tv2132"/>
        <w:spacing w:line="240" w:lineRule="auto"/>
        <w:ind w:firstLine="720"/>
        <w:jc w:val="both"/>
      </w:pPr>
    </w:p>
    <w:p w14:paraId="4824FE90" w14:textId="77777777" w:rsidR="00F72FB0" w:rsidRDefault="00F72FB0" w:rsidP="00F72FB0">
      <w:pPr>
        <w:pStyle w:val="tv2132"/>
        <w:spacing w:line="240" w:lineRule="auto"/>
        <w:ind w:firstLine="720"/>
        <w:jc w:val="both"/>
        <w:rPr>
          <w:color w:val="auto"/>
          <w:sz w:val="24"/>
          <w:szCs w:val="24"/>
        </w:rPr>
      </w:pPr>
      <w:r w:rsidRPr="00911960">
        <w:rPr>
          <w:color w:val="auto"/>
          <w:sz w:val="24"/>
          <w:szCs w:val="24"/>
        </w:rPr>
        <w:t xml:space="preserve">Attiecībā uz investīciju veikšanu </w:t>
      </w:r>
      <w:r w:rsidRPr="00911960">
        <w:rPr>
          <w:b/>
          <w:color w:val="auto"/>
          <w:sz w:val="24"/>
          <w:szCs w:val="24"/>
        </w:rPr>
        <w:t>reģionālā aspektā</w:t>
      </w:r>
      <w:r w:rsidRPr="00911960">
        <w:rPr>
          <w:color w:val="auto"/>
          <w:sz w:val="24"/>
          <w:szCs w:val="24"/>
        </w:rPr>
        <w:t xml:space="preserve">, jāatzīmē, ka atbalsts tika sniegts konkurētspējīgām augstākās izglītības iestādēm (universitātēm, augstskolām, koledžām) visos plānošanas reģionos, kā arī, nosakot reģionam pieejamo finansējuma kvotu, ievērojot studējošo skaitu prioritārajās studiju jomās, teritoriju attīstības indeksu un modernizējamo vai jaunu studiju programmu atbilstību reģiona ekonomiskās attīstības tendencēm. Finansējuma </w:t>
      </w:r>
      <w:r w:rsidRPr="00911960">
        <w:rPr>
          <w:color w:val="auto"/>
          <w:sz w:val="24"/>
          <w:szCs w:val="24"/>
        </w:rPr>
        <w:lastRenderedPageBreak/>
        <w:t>reģionālais sadalījums (kvota) tika noteikta, ņemot vērā šādus faktorus – studējošo skaitu</w:t>
      </w:r>
      <w:r w:rsidRPr="00911960">
        <w:rPr>
          <w:color w:val="auto"/>
          <w:sz w:val="24"/>
          <w:szCs w:val="24"/>
          <w:vertAlign w:val="superscript"/>
        </w:rPr>
        <w:footnoteReference w:id="26"/>
      </w:r>
      <w:r w:rsidRPr="00911960">
        <w:rPr>
          <w:color w:val="auto"/>
          <w:sz w:val="24"/>
          <w:szCs w:val="24"/>
        </w:rPr>
        <w:t>, augstākās izglītības iestāžu absolventu skaitu</w:t>
      </w:r>
      <w:r w:rsidRPr="00911960">
        <w:rPr>
          <w:color w:val="auto"/>
          <w:sz w:val="24"/>
          <w:szCs w:val="24"/>
          <w:vertAlign w:val="superscript"/>
        </w:rPr>
        <w:footnoteReference w:id="27"/>
      </w:r>
      <w:r w:rsidRPr="00911960">
        <w:rPr>
          <w:color w:val="auto"/>
          <w:sz w:val="24"/>
          <w:szCs w:val="24"/>
        </w:rPr>
        <w:t>, akadēmiskā personāla skaitu</w:t>
      </w:r>
      <w:r w:rsidRPr="00911960">
        <w:rPr>
          <w:color w:val="auto"/>
          <w:sz w:val="24"/>
          <w:szCs w:val="24"/>
          <w:vertAlign w:val="superscript"/>
        </w:rPr>
        <w:footnoteReference w:id="28"/>
      </w:r>
      <w:r w:rsidRPr="00911960">
        <w:rPr>
          <w:color w:val="auto"/>
          <w:sz w:val="24"/>
          <w:szCs w:val="24"/>
        </w:rPr>
        <w:t xml:space="preserve">, reģionālās attīstības indeksu, kā arī augstskolas stratēģiskās attīstības indeksu teritoriālās attīstības veicināšanai. </w:t>
      </w:r>
      <w:r w:rsidRPr="00C77F01">
        <w:rPr>
          <w:color w:val="auto"/>
          <w:sz w:val="24"/>
          <w:szCs w:val="24"/>
        </w:rPr>
        <w:t>2.1.tabulā atspoguļots finansējuma procentuālais sadalījums pa reģioniem, ņemot vērā atbalstāmo augstākās izglītības institūciju skaitu 3.1.2.1.1.apakšaktivitātes ietvaros</w:t>
      </w:r>
      <w:r w:rsidRPr="00C77F01">
        <w:rPr>
          <w:rStyle w:val="FootnoteReference"/>
          <w:color w:val="auto"/>
          <w:sz w:val="24"/>
          <w:szCs w:val="24"/>
        </w:rPr>
        <w:footnoteReference w:id="29"/>
      </w:r>
      <w:r w:rsidRPr="00C77F01">
        <w:rPr>
          <w:color w:val="auto"/>
          <w:sz w:val="24"/>
          <w:szCs w:val="24"/>
        </w:rPr>
        <w:t>.</w:t>
      </w:r>
    </w:p>
    <w:p w14:paraId="4E46A637" w14:textId="77777777" w:rsidR="00C77F01" w:rsidRPr="00911960" w:rsidRDefault="00C77F01" w:rsidP="00C77F01">
      <w:pPr>
        <w:pStyle w:val="EE-normls"/>
        <w:jc w:val="right"/>
        <w:rPr>
          <w:rFonts w:ascii="Times New Roman" w:hAnsi="Times New Roman"/>
          <w:b w:val="0"/>
          <w:bCs w:val="0"/>
          <w:noProof w:val="0"/>
        </w:rPr>
      </w:pPr>
      <w:r w:rsidRPr="00911960">
        <w:rPr>
          <w:rFonts w:ascii="Times New Roman" w:hAnsi="Times New Roman"/>
          <w:b w:val="0"/>
          <w:bCs w:val="0"/>
          <w:noProof w:val="0"/>
        </w:rPr>
        <w:t>2.</w:t>
      </w:r>
      <w:r>
        <w:rPr>
          <w:rFonts w:ascii="Times New Roman" w:hAnsi="Times New Roman"/>
          <w:b w:val="0"/>
          <w:bCs w:val="0"/>
          <w:noProof w:val="0"/>
        </w:rPr>
        <w:t>1</w:t>
      </w:r>
      <w:r w:rsidRPr="00911960">
        <w:rPr>
          <w:rFonts w:ascii="Times New Roman" w:hAnsi="Times New Roman"/>
          <w:b w:val="0"/>
          <w:bCs w:val="0"/>
          <w:noProof w:val="0"/>
        </w:rPr>
        <w:t>.tabula</w:t>
      </w:r>
    </w:p>
    <w:p w14:paraId="076365E6" w14:textId="77777777" w:rsidR="00C77F01" w:rsidRPr="00EB15F2" w:rsidRDefault="00C77F01" w:rsidP="00C77F01">
      <w:pPr>
        <w:pStyle w:val="tv2132"/>
        <w:spacing w:line="240" w:lineRule="auto"/>
        <w:ind w:firstLine="720"/>
        <w:jc w:val="center"/>
        <w:rPr>
          <w:b/>
          <w:color w:val="auto"/>
          <w:sz w:val="24"/>
          <w:szCs w:val="24"/>
        </w:rPr>
      </w:pPr>
      <w:r w:rsidRPr="00EB15F2">
        <w:rPr>
          <w:b/>
          <w:color w:val="auto"/>
          <w:sz w:val="24"/>
          <w:szCs w:val="24"/>
        </w:rPr>
        <w:t>Finanšu resursu apjoma procentuālais sadalījums reģionos 3.1.2.1.1.apakšaktivitātes ietvaros</w:t>
      </w:r>
    </w:p>
    <w:tbl>
      <w:tblPr>
        <w:tblpPr w:leftFromText="180" w:rightFromText="180" w:vertAnchor="text" w:horzAnchor="page" w:tblpX="2835" w:tblpY="634"/>
        <w:tblW w:w="6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283"/>
        <w:gridCol w:w="3231"/>
      </w:tblGrid>
      <w:tr w:rsidR="00C77F01" w:rsidRPr="00911960" w14:paraId="0249B354" w14:textId="77777777" w:rsidTr="00C77F01">
        <w:trPr>
          <w:trHeight w:val="675"/>
        </w:trPr>
        <w:tc>
          <w:tcPr>
            <w:tcW w:w="2088" w:type="dxa"/>
            <w:vAlign w:val="center"/>
          </w:tcPr>
          <w:p w14:paraId="0B48DAD6" w14:textId="77777777" w:rsidR="00C77F01" w:rsidRPr="00911960" w:rsidRDefault="00C77F01" w:rsidP="00C77F01">
            <w:pPr>
              <w:spacing w:before="20" w:after="20"/>
              <w:jc w:val="center"/>
              <w:rPr>
                <w:b/>
                <w:szCs w:val="24"/>
              </w:rPr>
            </w:pPr>
            <w:r w:rsidRPr="00911960">
              <w:rPr>
                <w:szCs w:val="24"/>
              </w:rPr>
              <w:br w:type="page"/>
            </w:r>
            <w:r w:rsidRPr="00911960">
              <w:rPr>
                <w:b/>
                <w:szCs w:val="24"/>
              </w:rPr>
              <w:t>Reģions</w:t>
            </w:r>
          </w:p>
        </w:tc>
        <w:tc>
          <w:tcPr>
            <w:tcW w:w="1283" w:type="dxa"/>
            <w:vAlign w:val="center"/>
          </w:tcPr>
          <w:p w14:paraId="04FFF2A7" w14:textId="77777777" w:rsidR="00C77F01" w:rsidRPr="00911960" w:rsidRDefault="00C77F01" w:rsidP="00C77F01">
            <w:pPr>
              <w:spacing w:before="20" w:after="20"/>
              <w:jc w:val="center"/>
              <w:rPr>
                <w:b/>
                <w:szCs w:val="24"/>
              </w:rPr>
            </w:pPr>
            <w:r w:rsidRPr="00911960">
              <w:rPr>
                <w:b/>
                <w:szCs w:val="24"/>
              </w:rPr>
              <w:t>Institūciju</w:t>
            </w:r>
          </w:p>
          <w:p w14:paraId="6A0C98E7" w14:textId="77777777" w:rsidR="00C77F01" w:rsidRPr="00911960" w:rsidRDefault="00C77F01" w:rsidP="00C77F01">
            <w:pPr>
              <w:spacing w:before="20" w:after="20"/>
              <w:jc w:val="center"/>
              <w:rPr>
                <w:b/>
                <w:szCs w:val="24"/>
              </w:rPr>
            </w:pPr>
            <w:r w:rsidRPr="00911960">
              <w:rPr>
                <w:b/>
                <w:szCs w:val="24"/>
              </w:rPr>
              <w:t>skaits</w:t>
            </w:r>
          </w:p>
        </w:tc>
        <w:tc>
          <w:tcPr>
            <w:tcW w:w="3231" w:type="dxa"/>
            <w:vAlign w:val="center"/>
          </w:tcPr>
          <w:p w14:paraId="0052C484" w14:textId="77777777" w:rsidR="00C77F01" w:rsidRPr="00911960" w:rsidRDefault="00C77F01" w:rsidP="00C77F01">
            <w:pPr>
              <w:spacing w:before="20" w:after="20"/>
              <w:jc w:val="center"/>
              <w:rPr>
                <w:b/>
                <w:szCs w:val="24"/>
              </w:rPr>
            </w:pPr>
            <w:r w:rsidRPr="00911960">
              <w:rPr>
                <w:b/>
                <w:szCs w:val="24"/>
              </w:rPr>
              <w:t>Finanšu resursu apjoma procentuālais sadalījums reģionos</w:t>
            </w:r>
          </w:p>
        </w:tc>
      </w:tr>
      <w:tr w:rsidR="00C77F01" w:rsidRPr="00911960" w14:paraId="15109A4A" w14:textId="77777777" w:rsidTr="00C77F01">
        <w:trPr>
          <w:trHeight w:val="315"/>
        </w:trPr>
        <w:tc>
          <w:tcPr>
            <w:tcW w:w="2088" w:type="dxa"/>
            <w:noWrap/>
            <w:vAlign w:val="center"/>
          </w:tcPr>
          <w:p w14:paraId="607159E8" w14:textId="77777777" w:rsidR="00C77F01" w:rsidRPr="00911960" w:rsidRDefault="00C77F01" w:rsidP="00C77F01">
            <w:pPr>
              <w:spacing w:before="20" w:after="20"/>
              <w:rPr>
                <w:bCs/>
                <w:szCs w:val="24"/>
              </w:rPr>
            </w:pPr>
            <w:r w:rsidRPr="00911960">
              <w:rPr>
                <w:bCs/>
                <w:szCs w:val="24"/>
              </w:rPr>
              <w:t>Rīga</w:t>
            </w:r>
          </w:p>
        </w:tc>
        <w:tc>
          <w:tcPr>
            <w:tcW w:w="1283" w:type="dxa"/>
            <w:noWrap/>
            <w:vAlign w:val="center"/>
          </w:tcPr>
          <w:p w14:paraId="779310ED" w14:textId="77777777" w:rsidR="00C77F01" w:rsidRPr="00911960" w:rsidRDefault="00C77F01" w:rsidP="00C77F01">
            <w:pPr>
              <w:spacing w:before="20" w:after="20"/>
              <w:jc w:val="center"/>
              <w:rPr>
                <w:szCs w:val="24"/>
              </w:rPr>
            </w:pPr>
            <w:r w:rsidRPr="00911960">
              <w:rPr>
                <w:szCs w:val="24"/>
              </w:rPr>
              <w:t>20</w:t>
            </w:r>
          </w:p>
        </w:tc>
        <w:tc>
          <w:tcPr>
            <w:tcW w:w="3231" w:type="dxa"/>
            <w:vAlign w:val="center"/>
          </w:tcPr>
          <w:p w14:paraId="5FFD5772" w14:textId="77777777" w:rsidR="00C77F01" w:rsidRPr="00911960" w:rsidRDefault="00C77F01" w:rsidP="00C77F01">
            <w:pPr>
              <w:spacing w:before="20" w:after="20"/>
              <w:jc w:val="center"/>
              <w:rPr>
                <w:szCs w:val="24"/>
              </w:rPr>
            </w:pPr>
            <w:r w:rsidRPr="00911960">
              <w:rPr>
                <w:szCs w:val="24"/>
              </w:rPr>
              <w:t xml:space="preserve">56 % </w:t>
            </w:r>
          </w:p>
        </w:tc>
      </w:tr>
      <w:tr w:rsidR="00C77F01" w:rsidRPr="00911960" w14:paraId="05895DBC" w14:textId="77777777" w:rsidTr="00C77F01">
        <w:trPr>
          <w:trHeight w:val="315"/>
        </w:trPr>
        <w:tc>
          <w:tcPr>
            <w:tcW w:w="2088" w:type="dxa"/>
            <w:noWrap/>
            <w:vAlign w:val="center"/>
          </w:tcPr>
          <w:p w14:paraId="38FBD59C" w14:textId="77777777" w:rsidR="00C77F01" w:rsidRPr="00911960" w:rsidRDefault="00C77F01" w:rsidP="00C77F01">
            <w:pPr>
              <w:spacing w:before="20" w:after="20"/>
              <w:rPr>
                <w:bCs/>
                <w:szCs w:val="24"/>
              </w:rPr>
            </w:pPr>
            <w:r w:rsidRPr="00911960">
              <w:rPr>
                <w:bCs/>
                <w:szCs w:val="24"/>
              </w:rPr>
              <w:t>Reģioni (Kurzeme, Latgale, Vidzeme, Zemgale)</w:t>
            </w:r>
          </w:p>
        </w:tc>
        <w:tc>
          <w:tcPr>
            <w:tcW w:w="1283" w:type="dxa"/>
            <w:noWrap/>
            <w:vAlign w:val="center"/>
          </w:tcPr>
          <w:p w14:paraId="303E9B83" w14:textId="77777777" w:rsidR="00C77F01" w:rsidRPr="00911960" w:rsidRDefault="00C77F01" w:rsidP="00C77F01">
            <w:pPr>
              <w:spacing w:before="20" w:after="20"/>
              <w:jc w:val="center"/>
              <w:rPr>
                <w:bCs/>
                <w:szCs w:val="24"/>
              </w:rPr>
            </w:pPr>
            <w:r w:rsidRPr="00911960">
              <w:rPr>
                <w:bCs/>
                <w:szCs w:val="24"/>
              </w:rPr>
              <w:t>11</w:t>
            </w:r>
          </w:p>
        </w:tc>
        <w:tc>
          <w:tcPr>
            <w:tcW w:w="3231" w:type="dxa"/>
            <w:vAlign w:val="center"/>
          </w:tcPr>
          <w:p w14:paraId="6CE0C242" w14:textId="77777777" w:rsidR="00C77F01" w:rsidRPr="00911960" w:rsidRDefault="00C77F01" w:rsidP="00C77F01">
            <w:pPr>
              <w:spacing w:before="20" w:after="20"/>
              <w:jc w:val="center"/>
              <w:rPr>
                <w:szCs w:val="24"/>
              </w:rPr>
            </w:pPr>
            <w:r w:rsidRPr="00911960">
              <w:rPr>
                <w:szCs w:val="24"/>
              </w:rPr>
              <w:t>44 %</w:t>
            </w:r>
          </w:p>
        </w:tc>
      </w:tr>
      <w:tr w:rsidR="00C77F01" w:rsidRPr="00911960" w14:paraId="72A60F3E" w14:textId="77777777" w:rsidTr="00C77F01">
        <w:trPr>
          <w:trHeight w:val="327"/>
        </w:trPr>
        <w:tc>
          <w:tcPr>
            <w:tcW w:w="2088" w:type="dxa"/>
            <w:noWrap/>
            <w:vAlign w:val="center"/>
          </w:tcPr>
          <w:p w14:paraId="01DD9D3D" w14:textId="77777777" w:rsidR="00C77F01" w:rsidRPr="00911960" w:rsidRDefault="00C77F01" w:rsidP="00C77F01">
            <w:pPr>
              <w:spacing w:before="20" w:after="20"/>
              <w:rPr>
                <w:bCs/>
                <w:szCs w:val="24"/>
              </w:rPr>
            </w:pPr>
            <w:r w:rsidRPr="00911960">
              <w:rPr>
                <w:bCs/>
                <w:szCs w:val="24"/>
              </w:rPr>
              <w:t>Kopā</w:t>
            </w:r>
          </w:p>
        </w:tc>
        <w:tc>
          <w:tcPr>
            <w:tcW w:w="1283" w:type="dxa"/>
            <w:noWrap/>
            <w:vAlign w:val="center"/>
          </w:tcPr>
          <w:p w14:paraId="2DE5D985" w14:textId="77777777" w:rsidR="00C77F01" w:rsidRPr="00911960" w:rsidRDefault="00C77F01" w:rsidP="00C77F01">
            <w:pPr>
              <w:spacing w:before="20" w:after="20"/>
              <w:jc w:val="center"/>
              <w:rPr>
                <w:bCs/>
                <w:szCs w:val="24"/>
              </w:rPr>
            </w:pPr>
            <w:r w:rsidRPr="00911960">
              <w:rPr>
                <w:bCs/>
                <w:szCs w:val="24"/>
              </w:rPr>
              <w:t>31</w:t>
            </w:r>
          </w:p>
        </w:tc>
        <w:tc>
          <w:tcPr>
            <w:tcW w:w="3231" w:type="dxa"/>
            <w:noWrap/>
            <w:vAlign w:val="center"/>
          </w:tcPr>
          <w:p w14:paraId="65D68B2C" w14:textId="77777777" w:rsidR="00C77F01" w:rsidRPr="00911960" w:rsidRDefault="00C77F01" w:rsidP="00C77F01">
            <w:pPr>
              <w:spacing w:before="20" w:after="20"/>
              <w:jc w:val="center"/>
              <w:rPr>
                <w:bCs/>
                <w:szCs w:val="24"/>
              </w:rPr>
            </w:pPr>
            <w:r w:rsidRPr="00911960">
              <w:rPr>
                <w:bCs/>
                <w:szCs w:val="24"/>
              </w:rPr>
              <w:t>100 %</w:t>
            </w:r>
          </w:p>
        </w:tc>
      </w:tr>
    </w:tbl>
    <w:p w14:paraId="67A3ABD1" w14:textId="77777777" w:rsidR="00C77F01" w:rsidRDefault="00C77F01" w:rsidP="00C77F01">
      <w:pPr>
        <w:pStyle w:val="EE-normls"/>
        <w:ind w:firstLine="0"/>
      </w:pPr>
      <w:bookmarkStart w:id="18" w:name="_Toc157391418"/>
      <w:bookmarkStart w:id="19" w:name="_Toc157403794"/>
    </w:p>
    <w:p w14:paraId="0D035928" w14:textId="77777777" w:rsidR="00C77F01" w:rsidRDefault="00C77F01" w:rsidP="00C77F01">
      <w:pPr>
        <w:pStyle w:val="EE-normls"/>
        <w:ind w:firstLine="0"/>
      </w:pPr>
    </w:p>
    <w:p w14:paraId="547FFA0B" w14:textId="77777777" w:rsidR="00C77F01" w:rsidRPr="00911960" w:rsidRDefault="00C77F01" w:rsidP="00C77F01">
      <w:pPr>
        <w:pStyle w:val="EE-normls"/>
        <w:rPr>
          <w:rFonts w:ascii="Times New Roman" w:hAnsi="Times New Roman"/>
          <w:b w:val="0"/>
          <w:bCs w:val="0"/>
          <w:noProof w:val="0"/>
        </w:rPr>
      </w:pPr>
      <w:r w:rsidRPr="00911960">
        <w:rPr>
          <w:rFonts w:ascii="Times New Roman" w:hAnsi="Times New Roman"/>
          <w:b w:val="0"/>
          <w:bCs w:val="0"/>
          <w:noProof w:val="0"/>
        </w:rPr>
        <w:t>Vienlaikus arī uzraudzības rādītāji tika plānoti reģionālā griezumā sadalījumā pa plānošanas reģioniem</w:t>
      </w:r>
      <w:r>
        <w:rPr>
          <w:rFonts w:ascii="Times New Roman" w:hAnsi="Times New Roman"/>
          <w:b w:val="0"/>
          <w:bCs w:val="0"/>
          <w:noProof w:val="0"/>
        </w:rPr>
        <w:t xml:space="preserve"> (kopā augstskolām un koledžām)</w:t>
      </w:r>
      <w:r w:rsidRPr="00911960">
        <w:rPr>
          <w:rFonts w:ascii="Times New Roman" w:hAnsi="Times New Roman"/>
          <w:b w:val="0"/>
          <w:bCs w:val="0"/>
          <w:noProof w:val="0"/>
        </w:rPr>
        <w:t>. Uzraudzības rādītāju teritoriālais sadalījums redzams 2.2.tabulā.</w:t>
      </w:r>
      <w:r>
        <w:rPr>
          <w:rFonts w:ascii="Times New Roman" w:hAnsi="Times New Roman"/>
          <w:b w:val="0"/>
          <w:bCs w:val="0"/>
          <w:noProof w:val="0"/>
        </w:rPr>
        <w:t xml:space="preserve"> </w:t>
      </w:r>
    </w:p>
    <w:p w14:paraId="4CA85FC5" w14:textId="77777777" w:rsidR="00C77F01" w:rsidRPr="00911960" w:rsidRDefault="00C77F01" w:rsidP="00C77F01">
      <w:pPr>
        <w:pStyle w:val="EE-normls"/>
      </w:pPr>
    </w:p>
    <w:p w14:paraId="726EF85B" w14:textId="77777777" w:rsidR="00C77F01" w:rsidRDefault="00C77F01" w:rsidP="00C77F01">
      <w:pPr>
        <w:pStyle w:val="EE-normls"/>
        <w:jc w:val="right"/>
        <w:rPr>
          <w:rFonts w:ascii="Times New Roman" w:hAnsi="Times New Roman"/>
          <w:b w:val="0"/>
          <w:bCs w:val="0"/>
          <w:noProof w:val="0"/>
        </w:rPr>
      </w:pPr>
      <w:r w:rsidRPr="00911960">
        <w:rPr>
          <w:rFonts w:ascii="Times New Roman" w:hAnsi="Times New Roman"/>
          <w:b w:val="0"/>
          <w:bCs w:val="0"/>
          <w:noProof w:val="0"/>
        </w:rPr>
        <w:t>2.2.tabula</w:t>
      </w:r>
    </w:p>
    <w:p w14:paraId="263ABB90" w14:textId="77777777" w:rsidR="00C77F01" w:rsidRDefault="00C77F01" w:rsidP="00C77F01">
      <w:pPr>
        <w:pStyle w:val="EE-normls"/>
        <w:jc w:val="center"/>
        <w:rPr>
          <w:rFonts w:ascii="Times New Roman" w:hAnsi="Times New Roman"/>
          <w:bCs w:val="0"/>
          <w:noProof w:val="0"/>
        </w:rPr>
      </w:pPr>
      <w:r>
        <w:rPr>
          <w:rFonts w:ascii="Times New Roman" w:hAnsi="Times New Roman"/>
          <w:bCs w:val="0"/>
          <w:noProof w:val="0"/>
        </w:rPr>
        <w:t>Uzraudzības rādītāju teritoriālais sadalījums</w:t>
      </w:r>
    </w:p>
    <w:p w14:paraId="363A4A92" w14:textId="77777777" w:rsidR="00C77F01" w:rsidRPr="00911960" w:rsidRDefault="00C77F01" w:rsidP="00C77F01">
      <w:pPr>
        <w:pStyle w:val="EE-normls"/>
        <w:jc w:val="center"/>
        <w:rPr>
          <w:rFonts w:ascii="Times New Roman" w:hAnsi="Times New Roman"/>
          <w:b w:val="0"/>
          <w:bCs w:val="0"/>
          <w:noProof w:val="0"/>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1297"/>
        <w:gridCol w:w="1573"/>
        <w:gridCol w:w="1573"/>
        <w:gridCol w:w="1807"/>
      </w:tblGrid>
      <w:tr w:rsidR="00C77F01" w:rsidRPr="005672EE" w14:paraId="11F164D8" w14:textId="77777777" w:rsidTr="00C77F01">
        <w:trPr>
          <w:trHeight w:val="227"/>
          <w:tblHeader/>
          <w:jc w:val="center"/>
        </w:trPr>
        <w:tc>
          <w:tcPr>
            <w:tcW w:w="2905" w:type="dxa"/>
            <w:vAlign w:val="center"/>
          </w:tcPr>
          <w:bookmarkEnd w:id="18"/>
          <w:bookmarkEnd w:id="19"/>
          <w:p w14:paraId="754B92E9" w14:textId="77777777" w:rsidR="00C77F01" w:rsidRPr="005672EE" w:rsidRDefault="00C77F01" w:rsidP="00C77F01">
            <w:pPr>
              <w:spacing w:before="20" w:after="20"/>
              <w:jc w:val="center"/>
              <w:rPr>
                <w:b/>
                <w:sz w:val="22"/>
                <w:szCs w:val="22"/>
              </w:rPr>
            </w:pPr>
            <w:r w:rsidRPr="005672EE">
              <w:rPr>
                <w:b/>
                <w:sz w:val="22"/>
                <w:szCs w:val="22"/>
              </w:rPr>
              <w:t>Rādītāji</w:t>
            </w:r>
          </w:p>
        </w:tc>
        <w:tc>
          <w:tcPr>
            <w:tcW w:w="1302" w:type="dxa"/>
            <w:vAlign w:val="center"/>
          </w:tcPr>
          <w:p w14:paraId="6F4FE69C" w14:textId="77777777" w:rsidR="00C77F01" w:rsidRPr="005672EE" w:rsidRDefault="00C77F01" w:rsidP="00C77F01">
            <w:pPr>
              <w:spacing w:before="20" w:after="20"/>
              <w:jc w:val="center"/>
              <w:rPr>
                <w:b/>
                <w:sz w:val="22"/>
                <w:szCs w:val="22"/>
              </w:rPr>
            </w:pPr>
            <w:r w:rsidRPr="005672EE">
              <w:rPr>
                <w:b/>
                <w:sz w:val="22"/>
                <w:szCs w:val="22"/>
              </w:rPr>
              <w:t>Plānošanas reģions</w:t>
            </w:r>
          </w:p>
        </w:tc>
        <w:tc>
          <w:tcPr>
            <w:tcW w:w="1450" w:type="dxa"/>
            <w:vAlign w:val="center"/>
          </w:tcPr>
          <w:p w14:paraId="674ED326" w14:textId="77777777" w:rsidR="00C77F01" w:rsidRPr="005672EE" w:rsidRDefault="00C77F01" w:rsidP="00C77F01">
            <w:pPr>
              <w:spacing w:before="20" w:after="20"/>
              <w:jc w:val="center"/>
              <w:rPr>
                <w:b/>
                <w:sz w:val="22"/>
                <w:szCs w:val="22"/>
              </w:rPr>
            </w:pPr>
            <w:proofErr w:type="spellStart"/>
            <w:r w:rsidRPr="005672EE">
              <w:rPr>
                <w:b/>
                <w:sz w:val="22"/>
                <w:szCs w:val="22"/>
              </w:rPr>
              <w:t>Kvantifikācija</w:t>
            </w:r>
            <w:proofErr w:type="spellEnd"/>
            <w:r w:rsidRPr="005672EE">
              <w:rPr>
                <w:b/>
                <w:sz w:val="22"/>
                <w:szCs w:val="22"/>
              </w:rPr>
              <w:t xml:space="preserve"> 2004.gadā</w:t>
            </w:r>
          </w:p>
        </w:tc>
        <w:tc>
          <w:tcPr>
            <w:tcW w:w="1450" w:type="dxa"/>
            <w:vAlign w:val="center"/>
          </w:tcPr>
          <w:p w14:paraId="560748F9" w14:textId="77777777" w:rsidR="00C77F01" w:rsidRPr="005672EE" w:rsidRDefault="00C77F01" w:rsidP="00C77F01">
            <w:pPr>
              <w:spacing w:before="20" w:after="20"/>
              <w:jc w:val="center"/>
              <w:rPr>
                <w:b/>
                <w:sz w:val="22"/>
                <w:szCs w:val="22"/>
              </w:rPr>
            </w:pPr>
            <w:proofErr w:type="spellStart"/>
            <w:r w:rsidRPr="005672EE">
              <w:rPr>
                <w:b/>
                <w:sz w:val="22"/>
                <w:szCs w:val="22"/>
              </w:rPr>
              <w:t>Kvantifikācija</w:t>
            </w:r>
            <w:proofErr w:type="spellEnd"/>
            <w:r w:rsidRPr="005672EE">
              <w:rPr>
                <w:b/>
                <w:sz w:val="22"/>
                <w:szCs w:val="22"/>
              </w:rPr>
              <w:t xml:space="preserve"> 2009.gadā</w:t>
            </w:r>
          </w:p>
        </w:tc>
        <w:tc>
          <w:tcPr>
            <w:tcW w:w="1852" w:type="dxa"/>
            <w:vAlign w:val="center"/>
          </w:tcPr>
          <w:p w14:paraId="70874F12" w14:textId="77777777" w:rsidR="00C77F01" w:rsidRPr="005672EE" w:rsidRDefault="00C77F01" w:rsidP="00C77F01">
            <w:pPr>
              <w:spacing w:before="20" w:after="20"/>
              <w:jc w:val="center"/>
              <w:rPr>
                <w:b/>
                <w:sz w:val="22"/>
                <w:szCs w:val="22"/>
              </w:rPr>
            </w:pPr>
            <w:proofErr w:type="spellStart"/>
            <w:r w:rsidRPr="005672EE">
              <w:rPr>
                <w:b/>
                <w:sz w:val="22"/>
                <w:szCs w:val="22"/>
              </w:rPr>
              <w:t>Kvantifikācija</w:t>
            </w:r>
            <w:proofErr w:type="spellEnd"/>
            <w:r w:rsidRPr="005672EE">
              <w:rPr>
                <w:b/>
                <w:sz w:val="22"/>
                <w:szCs w:val="22"/>
              </w:rPr>
              <w:t xml:space="preserve"> 2013.gadā</w:t>
            </w:r>
          </w:p>
        </w:tc>
      </w:tr>
      <w:tr w:rsidR="00C77F01" w:rsidRPr="005672EE" w14:paraId="17F29E3D" w14:textId="77777777" w:rsidTr="00C77F01">
        <w:trPr>
          <w:trHeight w:val="227"/>
          <w:jc w:val="center"/>
        </w:trPr>
        <w:tc>
          <w:tcPr>
            <w:tcW w:w="8959" w:type="dxa"/>
            <w:gridSpan w:val="5"/>
            <w:vAlign w:val="center"/>
          </w:tcPr>
          <w:p w14:paraId="74B67D52" w14:textId="77777777" w:rsidR="00C77F01" w:rsidRPr="005672EE" w:rsidRDefault="00C77F01" w:rsidP="00C77F01">
            <w:pPr>
              <w:rPr>
                <w:b/>
                <w:sz w:val="22"/>
                <w:szCs w:val="22"/>
                <w:lang w:eastAsia="lv-LV"/>
              </w:rPr>
            </w:pPr>
            <w:r w:rsidRPr="005672EE">
              <w:rPr>
                <w:b/>
                <w:sz w:val="22"/>
                <w:szCs w:val="22"/>
                <w:lang w:eastAsia="lv-LV"/>
              </w:rPr>
              <w:t>Iz</w:t>
            </w:r>
            <w:r w:rsidRPr="005672EE">
              <w:rPr>
                <w:b/>
                <w:sz w:val="22"/>
                <w:szCs w:val="22"/>
              </w:rPr>
              <w:t>nāku</w:t>
            </w:r>
            <w:r w:rsidRPr="005672EE">
              <w:rPr>
                <w:b/>
                <w:sz w:val="22"/>
                <w:szCs w:val="22"/>
                <w:lang w:eastAsia="lv-LV"/>
              </w:rPr>
              <w:t>ma rādītāji</w:t>
            </w:r>
          </w:p>
        </w:tc>
      </w:tr>
      <w:tr w:rsidR="00C77F01" w:rsidRPr="005672EE" w14:paraId="7EFCBA43" w14:textId="77777777" w:rsidTr="00C77F01">
        <w:trPr>
          <w:cantSplit/>
          <w:trHeight w:val="227"/>
          <w:jc w:val="center"/>
        </w:trPr>
        <w:tc>
          <w:tcPr>
            <w:tcW w:w="2905" w:type="dxa"/>
            <w:vMerge w:val="restart"/>
          </w:tcPr>
          <w:p w14:paraId="51AD4FEB" w14:textId="77777777" w:rsidR="00C77F01" w:rsidRPr="005672EE" w:rsidRDefault="00C77F01" w:rsidP="00C77F01">
            <w:pPr>
              <w:spacing w:before="20" w:after="20"/>
              <w:rPr>
                <w:sz w:val="22"/>
                <w:szCs w:val="22"/>
              </w:rPr>
            </w:pPr>
            <w:r w:rsidRPr="005672EE">
              <w:rPr>
                <w:sz w:val="22"/>
                <w:szCs w:val="22"/>
              </w:rPr>
              <w:t>Augstākās izglītības iestāžu skaits, kurās modernizēta infrastruktūra un mācību aprīkojums</w:t>
            </w:r>
          </w:p>
        </w:tc>
        <w:tc>
          <w:tcPr>
            <w:tcW w:w="1302" w:type="dxa"/>
          </w:tcPr>
          <w:p w14:paraId="00DFC856" w14:textId="77777777" w:rsidR="00C77F01" w:rsidRPr="005672EE" w:rsidRDefault="00C77F01" w:rsidP="00C77F01">
            <w:pPr>
              <w:spacing w:before="20" w:after="20"/>
              <w:jc w:val="center"/>
              <w:rPr>
                <w:sz w:val="22"/>
                <w:szCs w:val="22"/>
              </w:rPr>
            </w:pPr>
            <w:r w:rsidRPr="005672EE">
              <w:rPr>
                <w:sz w:val="22"/>
                <w:szCs w:val="22"/>
              </w:rPr>
              <w:t>Rīga</w:t>
            </w:r>
          </w:p>
        </w:tc>
        <w:tc>
          <w:tcPr>
            <w:tcW w:w="1450" w:type="dxa"/>
          </w:tcPr>
          <w:p w14:paraId="2415362E" w14:textId="77777777" w:rsidR="00C77F01" w:rsidRPr="005672EE" w:rsidRDefault="00C77F01" w:rsidP="00C77F01">
            <w:pPr>
              <w:spacing w:before="20" w:after="20"/>
              <w:jc w:val="center"/>
              <w:rPr>
                <w:sz w:val="22"/>
                <w:szCs w:val="22"/>
              </w:rPr>
            </w:pPr>
            <w:r w:rsidRPr="005672EE">
              <w:rPr>
                <w:sz w:val="22"/>
                <w:szCs w:val="22"/>
              </w:rPr>
              <w:t>0</w:t>
            </w:r>
          </w:p>
        </w:tc>
        <w:tc>
          <w:tcPr>
            <w:tcW w:w="1450" w:type="dxa"/>
          </w:tcPr>
          <w:p w14:paraId="5CCC3942" w14:textId="77777777" w:rsidR="00C77F01" w:rsidRPr="005672EE" w:rsidRDefault="00C77F01" w:rsidP="00C77F01">
            <w:pPr>
              <w:spacing w:before="20" w:after="20"/>
              <w:jc w:val="center"/>
              <w:rPr>
                <w:sz w:val="22"/>
                <w:szCs w:val="22"/>
              </w:rPr>
            </w:pPr>
            <w:r w:rsidRPr="005672EE">
              <w:rPr>
                <w:sz w:val="22"/>
                <w:szCs w:val="22"/>
              </w:rPr>
              <w:t>0</w:t>
            </w:r>
          </w:p>
        </w:tc>
        <w:tc>
          <w:tcPr>
            <w:tcW w:w="1852" w:type="dxa"/>
          </w:tcPr>
          <w:p w14:paraId="21BD8750" w14:textId="77777777" w:rsidR="00C77F01" w:rsidRPr="005672EE" w:rsidRDefault="00C77F01" w:rsidP="00C77F01">
            <w:pPr>
              <w:spacing w:before="20" w:after="20"/>
              <w:jc w:val="center"/>
              <w:rPr>
                <w:sz w:val="22"/>
                <w:szCs w:val="22"/>
              </w:rPr>
            </w:pPr>
            <w:r w:rsidRPr="005672EE">
              <w:rPr>
                <w:sz w:val="22"/>
                <w:szCs w:val="22"/>
              </w:rPr>
              <w:t>20</w:t>
            </w:r>
          </w:p>
        </w:tc>
      </w:tr>
      <w:tr w:rsidR="00C77F01" w:rsidRPr="005672EE" w14:paraId="2BD38D78" w14:textId="77777777" w:rsidTr="00C77F01">
        <w:trPr>
          <w:cantSplit/>
          <w:trHeight w:val="227"/>
          <w:jc w:val="center"/>
        </w:trPr>
        <w:tc>
          <w:tcPr>
            <w:tcW w:w="0" w:type="auto"/>
            <w:vMerge/>
            <w:vAlign w:val="center"/>
          </w:tcPr>
          <w:p w14:paraId="40829101" w14:textId="77777777" w:rsidR="00C77F01" w:rsidRPr="005672EE" w:rsidRDefault="00C77F01" w:rsidP="00C77F01">
            <w:pPr>
              <w:rPr>
                <w:sz w:val="22"/>
                <w:szCs w:val="22"/>
              </w:rPr>
            </w:pPr>
          </w:p>
        </w:tc>
        <w:tc>
          <w:tcPr>
            <w:tcW w:w="1302" w:type="dxa"/>
          </w:tcPr>
          <w:p w14:paraId="6C01A628" w14:textId="77777777" w:rsidR="00C77F01" w:rsidRPr="005672EE" w:rsidRDefault="00C77F01" w:rsidP="00C77F01">
            <w:pPr>
              <w:spacing w:before="20" w:after="20"/>
              <w:jc w:val="center"/>
              <w:rPr>
                <w:sz w:val="22"/>
                <w:szCs w:val="22"/>
              </w:rPr>
            </w:pPr>
            <w:r w:rsidRPr="005672EE">
              <w:rPr>
                <w:sz w:val="22"/>
                <w:szCs w:val="22"/>
              </w:rPr>
              <w:t>Vidzeme</w:t>
            </w:r>
          </w:p>
        </w:tc>
        <w:tc>
          <w:tcPr>
            <w:tcW w:w="1450" w:type="dxa"/>
          </w:tcPr>
          <w:p w14:paraId="165041B9" w14:textId="77777777" w:rsidR="00C77F01" w:rsidRPr="005672EE" w:rsidRDefault="00C77F01" w:rsidP="00C77F01">
            <w:pPr>
              <w:spacing w:before="20" w:after="20"/>
              <w:jc w:val="center"/>
              <w:rPr>
                <w:sz w:val="22"/>
                <w:szCs w:val="22"/>
              </w:rPr>
            </w:pPr>
            <w:r w:rsidRPr="005672EE">
              <w:rPr>
                <w:sz w:val="22"/>
                <w:szCs w:val="22"/>
              </w:rPr>
              <w:t>0</w:t>
            </w:r>
          </w:p>
        </w:tc>
        <w:tc>
          <w:tcPr>
            <w:tcW w:w="1450" w:type="dxa"/>
          </w:tcPr>
          <w:p w14:paraId="1FF60CFB" w14:textId="77777777" w:rsidR="00C77F01" w:rsidRPr="005672EE" w:rsidRDefault="00C77F01" w:rsidP="00C77F01">
            <w:pPr>
              <w:spacing w:before="20" w:after="20"/>
              <w:jc w:val="center"/>
              <w:rPr>
                <w:sz w:val="22"/>
                <w:szCs w:val="22"/>
              </w:rPr>
            </w:pPr>
            <w:r w:rsidRPr="005672EE">
              <w:rPr>
                <w:sz w:val="22"/>
                <w:szCs w:val="22"/>
              </w:rPr>
              <w:t>0</w:t>
            </w:r>
          </w:p>
        </w:tc>
        <w:tc>
          <w:tcPr>
            <w:tcW w:w="1852" w:type="dxa"/>
          </w:tcPr>
          <w:p w14:paraId="3D5CCA8E" w14:textId="77777777" w:rsidR="00C77F01" w:rsidRPr="005672EE" w:rsidRDefault="00C77F01" w:rsidP="00C77F01">
            <w:pPr>
              <w:spacing w:before="20" w:after="20"/>
              <w:jc w:val="center"/>
              <w:rPr>
                <w:sz w:val="22"/>
                <w:szCs w:val="22"/>
              </w:rPr>
            </w:pPr>
            <w:r w:rsidRPr="005672EE">
              <w:rPr>
                <w:sz w:val="22"/>
                <w:szCs w:val="22"/>
              </w:rPr>
              <w:t>1</w:t>
            </w:r>
          </w:p>
        </w:tc>
      </w:tr>
      <w:tr w:rsidR="00C77F01" w:rsidRPr="005672EE" w14:paraId="620D52CA" w14:textId="77777777" w:rsidTr="00C77F01">
        <w:trPr>
          <w:cantSplit/>
          <w:trHeight w:val="227"/>
          <w:jc w:val="center"/>
        </w:trPr>
        <w:tc>
          <w:tcPr>
            <w:tcW w:w="0" w:type="auto"/>
            <w:vMerge/>
            <w:vAlign w:val="center"/>
          </w:tcPr>
          <w:p w14:paraId="6DE6ECF0" w14:textId="77777777" w:rsidR="00C77F01" w:rsidRPr="005672EE" w:rsidRDefault="00C77F01" w:rsidP="00C77F01">
            <w:pPr>
              <w:rPr>
                <w:sz w:val="22"/>
                <w:szCs w:val="22"/>
              </w:rPr>
            </w:pPr>
          </w:p>
        </w:tc>
        <w:tc>
          <w:tcPr>
            <w:tcW w:w="1302" w:type="dxa"/>
          </w:tcPr>
          <w:p w14:paraId="4F1CA3CE" w14:textId="77777777" w:rsidR="00C77F01" w:rsidRPr="005672EE" w:rsidRDefault="00C77F01" w:rsidP="00C77F01">
            <w:pPr>
              <w:spacing w:before="20" w:after="20"/>
              <w:jc w:val="center"/>
              <w:rPr>
                <w:sz w:val="22"/>
                <w:szCs w:val="22"/>
              </w:rPr>
            </w:pPr>
            <w:r w:rsidRPr="005672EE">
              <w:rPr>
                <w:sz w:val="22"/>
                <w:szCs w:val="22"/>
              </w:rPr>
              <w:t>Kurzeme</w:t>
            </w:r>
          </w:p>
        </w:tc>
        <w:tc>
          <w:tcPr>
            <w:tcW w:w="1450" w:type="dxa"/>
          </w:tcPr>
          <w:p w14:paraId="18C4EFFA" w14:textId="77777777" w:rsidR="00C77F01" w:rsidRPr="005672EE" w:rsidRDefault="00C77F01" w:rsidP="00C77F01">
            <w:pPr>
              <w:spacing w:before="20" w:after="20"/>
              <w:jc w:val="center"/>
              <w:rPr>
                <w:sz w:val="22"/>
                <w:szCs w:val="22"/>
              </w:rPr>
            </w:pPr>
            <w:r w:rsidRPr="005672EE">
              <w:rPr>
                <w:sz w:val="22"/>
                <w:szCs w:val="22"/>
              </w:rPr>
              <w:t>0</w:t>
            </w:r>
          </w:p>
        </w:tc>
        <w:tc>
          <w:tcPr>
            <w:tcW w:w="1450" w:type="dxa"/>
          </w:tcPr>
          <w:p w14:paraId="56371100" w14:textId="77777777" w:rsidR="00C77F01" w:rsidRPr="005672EE" w:rsidRDefault="00C77F01" w:rsidP="00C77F01">
            <w:pPr>
              <w:spacing w:before="20" w:after="20"/>
              <w:jc w:val="center"/>
              <w:rPr>
                <w:sz w:val="22"/>
                <w:szCs w:val="22"/>
              </w:rPr>
            </w:pPr>
            <w:r w:rsidRPr="005672EE">
              <w:rPr>
                <w:sz w:val="22"/>
                <w:szCs w:val="22"/>
              </w:rPr>
              <w:t>0</w:t>
            </w:r>
          </w:p>
        </w:tc>
        <w:tc>
          <w:tcPr>
            <w:tcW w:w="1852" w:type="dxa"/>
          </w:tcPr>
          <w:p w14:paraId="19941C45" w14:textId="77777777" w:rsidR="00C77F01" w:rsidRPr="005672EE" w:rsidRDefault="00C77F01" w:rsidP="00C77F01">
            <w:pPr>
              <w:spacing w:before="20" w:after="20"/>
              <w:jc w:val="center"/>
              <w:rPr>
                <w:sz w:val="22"/>
                <w:szCs w:val="22"/>
              </w:rPr>
            </w:pPr>
            <w:r w:rsidRPr="005672EE">
              <w:rPr>
                <w:sz w:val="22"/>
                <w:szCs w:val="22"/>
              </w:rPr>
              <w:t>4</w:t>
            </w:r>
          </w:p>
        </w:tc>
      </w:tr>
      <w:tr w:rsidR="00C77F01" w:rsidRPr="005672EE" w14:paraId="5734460D" w14:textId="77777777" w:rsidTr="00C77F01">
        <w:trPr>
          <w:cantSplit/>
          <w:trHeight w:val="227"/>
          <w:jc w:val="center"/>
        </w:trPr>
        <w:tc>
          <w:tcPr>
            <w:tcW w:w="0" w:type="auto"/>
            <w:vMerge/>
            <w:vAlign w:val="center"/>
          </w:tcPr>
          <w:p w14:paraId="342DF36A" w14:textId="77777777" w:rsidR="00C77F01" w:rsidRPr="005672EE" w:rsidRDefault="00C77F01" w:rsidP="00C77F01">
            <w:pPr>
              <w:rPr>
                <w:sz w:val="22"/>
                <w:szCs w:val="22"/>
              </w:rPr>
            </w:pPr>
          </w:p>
        </w:tc>
        <w:tc>
          <w:tcPr>
            <w:tcW w:w="1302" w:type="dxa"/>
          </w:tcPr>
          <w:p w14:paraId="61DFEFCA" w14:textId="77777777" w:rsidR="00C77F01" w:rsidRPr="005672EE" w:rsidRDefault="00C77F01" w:rsidP="00C77F01">
            <w:pPr>
              <w:spacing w:before="20" w:after="20"/>
              <w:jc w:val="center"/>
              <w:rPr>
                <w:sz w:val="22"/>
                <w:szCs w:val="22"/>
              </w:rPr>
            </w:pPr>
            <w:r w:rsidRPr="005672EE">
              <w:rPr>
                <w:sz w:val="22"/>
                <w:szCs w:val="22"/>
              </w:rPr>
              <w:t>Zemgale</w:t>
            </w:r>
          </w:p>
        </w:tc>
        <w:tc>
          <w:tcPr>
            <w:tcW w:w="1450" w:type="dxa"/>
          </w:tcPr>
          <w:p w14:paraId="66FF00C2" w14:textId="77777777" w:rsidR="00C77F01" w:rsidRPr="005672EE" w:rsidRDefault="00C77F01" w:rsidP="00C77F01">
            <w:pPr>
              <w:spacing w:before="20" w:after="20"/>
              <w:jc w:val="center"/>
              <w:rPr>
                <w:sz w:val="22"/>
                <w:szCs w:val="22"/>
              </w:rPr>
            </w:pPr>
            <w:r w:rsidRPr="005672EE">
              <w:rPr>
                <w:sz w:val="22"/>
                <w:szCs w:val="22"/>
              </w:rPr>
              <w:t>0</w:t>
            </w:r>
          </w:p>
        </w:tc>
        <w:tc>
          <w:tcPr>
            <w:tcW w:w="1450" w:type="dxa"/>
          </w:tcPr>
          <w:p w14:paraId="5FCCED4A" w14:textId="77777777" w:rsidR="00C77F01" w:rsidRPr="005672EE" w:rsidRDefault="00C77F01" w:rsidP="00C77F01">
            <w:pPr>
              <w:spacing w:before="20" w:after="20"/>
              <w:jc w:val="center"/>
              <w:rPr>
                <w:sz w:val="22"/>
                <w:szCs w:val="22"/>
              </w:rPr>
            </w:pPr>
            <w:r w:rsidRPr="005672EE">
              <w:rPr>
                <w:sz w:val="22"/>
                <w:szCs w:val="22"/>
              </w:rPr>
              <w:t>0</w:t>
            </w:r>
          </w:p>
        </w:tc>
        <w:tc>
          <w:tcPr>
            <w:tcW w:w="1852" w:type="dxa"/>
          </w:tcPr>
          <w:p w14:paraId="53B80F6A" w14:textId="77777777" w:rsidR="00C77F01" w:rsidRPr="005672EE" w:rsidRDefault="00C77F01" w:rsidP="00C77F01">
            <w:pPr>
              <w:spacing w:before="20" w:after="20"/>
              <w:jc w:val="center"/>
              <w:rPr>
                <w:sz w:val="22"/>
                <w:szCs w:val="22"/>
              </w:rPr>
            </w:pPr>
            <w:r w:rsidRPr="005672EE">
              <w:rPr>
                <w:sz w:val="22"/>
                <w:szCs w:val="22"/>
              </w:rPr>
              <w:t>2</w:t>
            </w:r>
          </w:p>
        </w:tc>
      </w:tr>
      <w:tr w:rsidR="00C77F01" w:rsidRPr="005672EE" w14:paraId="493066BD" w14:textId="77777777" w:rsidTr="00C77F01">
        <w:trPr>
          <w:cantSplit/>
          <w:trHeight w:val="227"/>
          <w:jc w:val="center"/>
        </w:trPr>
        <w:tc>
          <w:tcPr>
            <w:tcW w:w="0" w:type="auto"/>
            <w:vMerge/>
            <w:vAlign w:val="center"/>
          </w:tcPr>
          <w:p w14:paraId="0B7033D2" w14:textId="77777777" w:rsidR="00C77F01" w:rsidRPr="005672EE" w:rsidRDefault="00C77F01" w:rsidP="00C77F01">
            <w:pPr>
              <w:rPr>
                <w:sz w:val="22"/>
                <w:szCs w:val="22"/>
              </w:rPr>
            </w:pPr>
          </w:p>
        </w:tc>
        <w:tc>
          <w:tcPr>
            <w:tcW w:w="1302" w:type="dxa"/>
          </w:tcPr>
          <w:p w14:paraId="6A80C39F" w14:textId="77777777" w:rsidR="00C77F01" w:rsidRPr="005672EE" w:rsidRDefault="00C77F01" w:rsidP="00C77F01">
            <w:pPr>
              <w:spacing w:before="20" w:after="20"/>
              <w:jc w:val="center"/>
              <w:rPr>
                <w:sz w:val="22"/>
                <w:szCs w:val="22"/>
              </w:rPr>
            </w:pPr>
            <w:r w:rsidRPr="005672EE">
              <w:rPr>
                <w:sz w:val="22"/>
                <w:szCs w:val="22"/>
              </w:rPr>
              <w:t>Latgale</w:t>
            </w:r>
          </w:p>
        </w:tc>
        <w:tc>
          <w:tcPr>
            <w:tcW w:w="1450" w:type="dxa"/>
          </w:tcPr>
          <w:p w14:paraId="68DD9DC6" w14:textId="77777777" w:rsidR="00C77F01" w:rsidRPr="005672EE" w:rsidRDefault="00C77F01" w:rsidP="00C77F01">
            <w:pPr>
              <w:spacing w:before="20" w:after="20"/>
              <w:jc w:val="center"/>
              <w:rPr>
                <w:sz w:val="22"/>
                <w:szCs w:val="22"/>
              </w:rPr>
            </w:pPr>
            <w:r w:rsidRPr="005672EE">
              <w:rPr>
                <w:sz w:val="22"/>
                <w:szCs w:val="22"/>
              </w:rPr>
              <w:t>0</w:t>
            </w:r>
          </w:p>
        </w:tc>
        <w:tc>
          <w:tcPr>
            <w:tcW w:w="1450" w:type="dxa"/>
          </w:tcPr>
          <w:p w14:paraId="18FAAE2B" w14:textId="77777777" w:rsidR="00C77F01" w:rsidRPr="005672EE" w:rsidRDefault="00C77F01" w:rsidP="00C77F01">
            <w:pPr>
              <w:spacing w:before="20" w:after="20"/>
              <w:jc w:val="center"/>
              <w:rPr>
                <w:sz w:val="22"/>
                <w:szCs w:val="22"/>
              </w:rPr>
            </w:pPr>
            <w:r w:rsidRPr="005672EE">
              <w:rPr>
                <w:sz w:val="22"/>
                <w:szCs w:val="22"/>
              </w:rPr>
              <w:t>0</w:t>
            </w:r>
          </w:p>
        </w:tc>
        <w:tc>
          <w:tcPr>
            <w:tcW w:w="1852" w:type="dxa"/>
          </w:tcPr>
          <w:p w14:paraId="63F8570D" w14:textId="77777777" w:rsidR="00C77F01" w:rsidRPr="005672EE" w:rsidRDefault="00C77F01" w:rsidP="00C77F01">
            <w:pPr>
              <w:spacing w:before="20" w:after="20"/>
              <w:jc w:val="center"/>
              <w:rPr>
                <w:sz w:val="22"/>
                <w:szCs w:val="22"/>
              </w:rPr>
            </w:pPr>
            <w:r w:rsidRPr="005672EE">
              <w:rPr>
                <w:sz w:val="22"/>
                <w:szCs w:val="22"/>
              </w:rPr>
              <w:t>4</w:t>
            </w:r>
          </w:p>
        </w:tc>
      </w:tr>
      <w:tr w:rsidR="00C77F01" w:rsidRPr="005672EE" w14:paraId="60B4A023" w14:textId="77777777" w:rsidTr="00C77F01">
        <w:trPr>
          <w:trHeight w:val="227"/>
          <w:jc w:val="center"/>
        </w:trPr>
        <w:tc>
          <w:tcPr>
            <w:tcW w:w="8959" w:type="dxa"/>
            <w:gridSpan w:val="5"/>
            <w:vAlign w:val="center"/>
          </w:tcPr>
          <w:p w14:paraId="60E23268" w14:textId="77777777" w:rsidR="00C77F01" w:rsidRPr="005672EE" w:rsidRDefault="00C77F01" w:rsidP="00C77F01">
            <w:pPr>
              <w:rPr>
                <w:b/>
                <w:sz w:val="22"/>
                <w:szCs w:val="22"/>
                <w:lang w:eastAsia="lv-LV"/>
              </w:rPr>
            </w:pPr>
            <w:r w:rsidRPr="005672EE">
              <w:rPr>
                <w:b/>
                <w:sz w:val="22"/>
                <w:szCs w:val="22"/>
                <w:lang w:eastAsia="lv-LV"/>
              </w:rPr>
              <w:t>Re</w:t>
            </w:r>
            <w:r w:rsidRPr="005672EE">
              <w:rPr>
                <w:b/>
                <w:sz w:val="22"/>
                <w:szCs w:val="22"/>
              </w:rPr>
              <w:t>zultā</w:t>
            </w:r>
            <w:r w:rsidRPr="005672EE">
              <w:rPr>
                <w:b/>
                <w:sz w:val="22"/>
                <w:szCs w:val="22"/>
                <w:lang w:eastAsia="lv-LV"/>
              </w:rPr>
              <w:t>ta rādītāji</w:t>
            </w:r>
          </w:p>
        </w:tc>
      </w:tr>
      <w:tr w:rsidR="00C77F01" w:rsidRPr="005672EE" w14:paraId="31EF9D37" w14:textId="77777777" w:rsidTr="00C77F01">
        <w:trPr>
          <w:cantSplit/>
          <w:trHeight w:val="227"/>
          <w:jc w:val="center"/>
        </w:trPr>
        <w:tc>
          <w:tcPr>
            <w:tcW w:w="2905" w:type="dxa"/>
            <w:vMerge w:val="restart"/>
          </w:tcPr>
          <w:p w14:paraId="0C704F30" w14:textId="77777777" w:rsidR="00C77F01" w:rsidRPr="005672EE" w:rsidRDefault="00C77F01" w:rsidP="00C77F01">
            <w:pPr>
              <w:spacing w:before="20" w:after="20"/>
              <w:rPr>
                <w:sz w:val="22"/>
                <w:szCs w:val="22"/>
              </w:rPr>
            </w:pPr>
            <w:r w:rsidRPr="005672EE">
              <w:rPr>
                <w:bCs/>
                <w:sz w:val="22"/>
                <w:szCs w:val="22"/>
              </w:rPr>
              <w:t>Augstākajā izglītībā tautsaimniecības attīstībai prioritārajās jomās studējošo īpatsvars, kam nodrošināta moderna un mūsdienu prasībām atbilstoša izglītības infrastruktūra un mācību aprīkojums (% no kopējā studējošo skaita attiecīgajās studiju programmās)</w:t>
            </w:r>
          </w:p>
        </w:tc>
        <w:tc>
          <w:tcPr>
            <w:tcW w:w="1302" w:type="dxa"/>
          </w:tcPr>
          <w:p w14:paraId="4B9A8A33" w14:textId="77777777" w:rsidR="00C77F01" w:rsidRPr="005672EE" w:rsidRDefault="00C77F01" w:rsidP="00C77F01">
            <w:pPr>
              <w:spacing w:before="20" w:after="20"/>
              <w:jc w:val="center"/>
              <w:rPr>
                <w:sz w:val="22"/>
                <w:szCs w:val="22"/>
              </w:rPr>
            </w:pPr>
            <w:r w:rsidRPr="005672EE">
              <w:rPr>
                <w:sz w:val="22"/>
                <w:szCs w:val="22"/>
              </w:rPr>
              <w:t>Rīga</w:t>
            </w:r>
          </w:p>
        </w:tc>
        <w:tc>
          <w:tcPr>
            <w:tcW w:w="1450" w:type="dxa"/>
          </w:tcPr>
          <w:p w14:paraId="02B4B55A" w14:textId="77777777" w:rsidR="00C77F01" w:rsidRPr="005672EE" w:rsidRDefault="00C77F01" w:rsidP="00C77F01">
            <w:pPr>
              <w:spacing w:before="20" w:after="20"/>
              <w:jc w:val="center"/>
              <w:rPr>
                <w:sz w:val="22"/>
                <w:szCs w:val="22"/>
              </w:rPr>
            </w:pPr>
            <w:r w:rsidRPr="005672EE">
              <w:rPr>
                <w:sz w:val="22"/>
                <w:szCs w:val="22"/>
              </w:rPr>
              <w:t>10 %</w:t>
            </w:r>
          </w:p>
        </w:tc>
        <w:tc>
          <w:tcPr>
            <w:tcW w:w="1450" w:type="dxa"/>
          </w:tcPr>
          <w:p w14:paraId="699DE39B" w14:textId="77777777" w:rsidR="00C77F01" w:rsidRPr="005672EE" w:rsidRDefault="00C77F01" w:rsidP="00C77F01">
            <w:pPr>
              <w:spacing w:before="20" w:after="20"/>
              <w:jc w:val="center"/>
              <w:rPr>
                <w:sz w:val="22"/>
                <w:szCs w:val="22"/>
              </w:rPr>
            </w:pPr>
            <w:r w:rsidRPr="005672EE">
              <w:rPr>
                <w:sz w:val="22"/>
                <w:szCs w:val="22"/>
              </w:rPr>
              <w:t>40 %</w:t>
            </w:r>
          </w:p>
        </w:tc>
        <w:tc>
          <w:tcPr>
            <w:tcW w:w="1852" w:type="dxa"/>
          </w:tcPr>
          <w:p w14:paraId="6931AE10" w14:textId="77777777" w:rsidR="00C77F01" w:rsidRPr="005672EE" w:rsidRDefault="00C77F01" w:rsidP="00C77F01">
            <w:pPr>
              <w:spacing w:before="20" w:after="20"/>
              <w:jc w:val="center"/>
              <w:rPr>
                <w:sz w:val="22"/>
                <w:szCs w:val="22"/>
              </w:rPr>
            </w:pPr>
            <w:r w:rsidRPr="005672EE">
              <w:rPr>
                <w:sz w:val="22"/>
                <w:szCs w:val="22"/>
              </w:rPr>
              <w:t>90 %</w:t>
            </w:r>
          </w:p>
        </w:tc>
      </w:tr>
      <w:tr w:rsidR="00C77F01" w:rsidRPr="005672EE" w14:paraId="2A5F66FB" w14:textId="77777777" w:rsidTr="00C77F01">
        <w:trPr>
          <w:cantSplit/>
          <w:trHeight w:val="227"/>
          <w:jc w:val="center"/>
        </w:trPr>
        <w:tc>
          <w:tcPr>
            <w:tcW w:w="0" w:type="auto"/>
            <w:vMerge/>
            <w:vAlign w:val="center"/>
          </w:tcPr>
          <w:p w14:paraId="506F150E" w14:textId="77777777" w:rsidR="00C77F01" w:rsidRPr="005672EE" w:rsidRDefault="00C77F01" w:rsidP="00C77F01">
            <w:pPr>
              <w:rPr>
                <w:sz w:val="22"/>
                <w:szCs w:val="22"/>
              </w:rPr>
            </w:pPr>
          </w:p>
        </w:tc>
        <w:tc>
          <w:tcPr>
            <w:tcW w:w="1302" w:type="dxa"/>
          </w:tcPr>
          <w:p w14:paraId="50879E44" w14:textId="77777777" w:rsidR="00C77F01" w:rsidRPr="005672EE" w:rsidRDefault="00C77F01" w:rsidP="00C77F01">
            <w:pPr>
              <w:spacing w:before="20" w:after="20"/>
              <w:jc w:val="center"/>
              <w:rPr>
                <w:sz w:val="22"/>
                <w:szCs w:val="22"/>
              </w:rPr>
            </w:pPr>
            <w:r w:rsidRPr="005672EE">
              <w:rPr>
                <w:sz w:val="22"/>
                <w:szCs w:val="22"/>
              </w:rPr>
              <w:t>Vidzeme</w:t>
            </w:r>
          </w:p>
        </w:tc>
        <w:tc>
          <w:tcPr>
            <w:tcW w:w="1450" w:type="dxa"/>
          </w:tcPr>
          <w:p w14:paraId="7DCF6AEB" w14:textId="77777777" w:rsidR="00C77F01" w:rsidRPr="005672EE" w:rsidRDefault="00C77F01" w:rsidP="00C77F01">
            <w:pPr>
              <w:spacing w:before="20" w:after="20"/>
              <w:jc w:val="center"/>
              <w:rPr>
                <w:sz w:val="22"/>
                <w:szCs w:val="22"/>
              </w:rPr>
            </w:pPr>
            <w:r w:rsidRPr="005672EE">
              <w:rPr>
                <w:sz w:val="22"/>
                <w:szCs w:val="22"/>
              </w:rPr>
              <w:t>10 %</w:t>
            </w:r>
          </w:p>
        </w:tc>
        <w:tc>
          <w:tcPr>
            <w:tcW w:w="1450" w:type="dxa"/>
          </w:tcPr>
          <w:p w14:paraId="1945BFDF" w14:textId="77777777" w:rsidR="00C77F01" w:rsidRPr="005672EE" w:rsidRDefault="00C77F01" w:rsidP="00C77F01">
            <w:pPr>
              <w:spacing w:before="20" w:after="20"/>
              <w:jc w:val="center"/>
              <w:rPr>
                <w:sz w:val="22"/>
                <w:szCs w:val="22"/>
              </w:rPr>
            </w:pPr>
            <w:r w:rsidRPr="005672EE">
              <w:rPr>
                <w:sz w:val="22"/>
                <w:szCs w:val="22"/>
              </w:rPr>
              <w:t>40 %</w:t>
            </w:r>
          </w:p>
        </w:tc>
        <w:tc>
          <w:tcPr>
            <w:tcW w:w="1852" w:type="dxa"/>
          </w:tcPr>
          <w:p w14:paraId="23DE834A" w14:textId="77777777" w:rsidR="00C77F01" w:rsidRPr="005672EE" w:rsidRDefault="00C77F01" w:rsidP="00C77F01">
            <w:pPr>
              <w:spacing w:before="20" w:after="20"/>
              <w:jc w:val="center"/>
              <w:rPr>
                <w:sz w:val="22"/>
                <w:szCs w:val="22"/>
              </w:rPr>
            </w:pPr>
            <w:r w:rsidRPr="005672EE">
              <w:rPr>
                <w:sz w:val="22"/>
                <w:szCs w:val="22"/>
              </w:rPr>
              <w:t>90 %</w:t>
            </w:r>
          </w:p>
        </w:tc>
      </w:tr>
      <w:tr w:rsidR="00C77F01" w:rsidRPr="005672EE" w14:paraId="421E95D1" w14:textId="77777777" w:rsidTr="00C77F01">
        <w:trPr>
          <w:cantSplit/>
          <w:trHeight w:val="227"/>
          <w:jc w:val="center"/>
        </w:trPr>
        <w:tc>
          <w:tcPr>
            <w:tcW w:w="0" w:type="auto"/>
            <w:vMerge/>
            <w:vAlign w:val="center"/>
          </w:tcPr>
          <w:p w14:paraId="28FE6E65" w14:textId="77777777" w:rsidR="00C77F01" w:rsidRPr="005672EE" w:rsidRDefault="00C77F01" w:rsidP="00C77F01">
            <w:pPr>
              <w:rPr>
                <w:sz w:val="22"/>
                <w:szCs w:val="22"/>
              </w:rPr>
            </w:pPr>
          </w:p>
        </w:tc>
        <w:tc>
          <w:tcPr>
            <w:tcW w:w="1302" w:type="dxa"/>
          </w:tcPr>
          <w:p w14:paraId="43DDEFE8" w14:textId="77777777" w:rsidR="00C77F01" w:rsidRPr="005672EE" w:rsidRDefault="00C77F01" w:rsidP="00C77F01">
            <w:pPr>
              <w:spacing w:before="20" w:after="20"/>
              <w:jc w:val="center"/>
              <w:rPr>
                <w:sz w:val="22"/>
                <w:szCs w:val="22"/>
              </w:rPr>
            </w:pPr>
            <w:r w:rsidRPr="005672EE">
              <w:rPr>
                <w:sz w:val="22"/>
                <w:szCs w:val="22"/>
              </w:rPr>
              <w:t>Kurzeme</w:t>
            </w:r>
          </w:p>
        </w:tc>
        <w:tc>
          <w:tcPr>
            <w:tcW w:w="1450" w:type="dxa"/>
          </w:tcPr>
          <w:p w14:paraId="3449819B" w14:textId="77777777" w:rsidR="00C77F01" w:rsidRPr="005672EE" w:rsidRDefault="00C77F01" w:rsidP="00C77F01">
            <w:pPr>
              <w:spacing w:before="20" w:after="20"/>
              <w:jc w:val="center"/>
              <w:rPr>
                <w:sz w:val="22"/>
                <w:szCs w:val="22"/>
              </w:rPr>
            </w:pPr>
            <w:r w:rsidRPr="005672EE">
              <w:rPr>
                <w:sz w:val="22"/>
                <w:szCs w:val="22"/>
              </w:rPr>
              <w:t>10 %</w:t>
            </w:r>
          </w:p>
        </w:tc>
        <w:tc>
          <w:tcPr>
            <w:tcW w:w="1450" w:type="dxa"/>
          </w:tcPr>
          <w:p w14:paraId="02FDE77C" w14:textId="77777777" w:rsidR="00C77F01" w:rsidRPr="005672EE" w:rsidRDefault="00C77F01" w:rsidP="00C77F01">
            <w:pPr>
              <w:spacing w:before="20" w:after="20"/>
              <w:jc w:val="center"/>
              <w:rPr>
                <w:sz w:val="22"/>
                <w:szCs w:val="22"/>
              </w:rPr>
            </w:pPr>
            <w:r w:rsidRPr="005672EE">
              <w:rPr>
                <w:sz w:val="22"/>
                <w:szCs w:val="22"/>
              </w:rPr>
              <w:t>40 %</w:t>
            </w:r>
          </w:p>
        </w:tc>
        <w:tc>
          <w:tcPr>
            <w:tcW w:w="1852" w:type="dxa"/>
          </w:tcPr>
          <w:p w14:paraId="61A64128" w14:textId="77777777" w:rsidR="00C77F01" w:rsidRPr="005672EE" w:rsidRDefault="00C77F01" w:rsidP="00C77F01">
            <w:pPr>
              <w:spacing w:before="20" w:after="20"/>
              <w:jc w:val="center"/>
              <w:rPr>
                <w:sz w:val="22"/>
                <w:szCs w:val="22"/>
              </w:rPr>
            </w:pPr>
            <w:r w:rsidRPr="005672EE">
              <w:rPr>
                <w:sz w:val="22"/>
                <w:szCs w:val="22"/>
              </w:rPr>
              <w:t>90 %</w:t>
            </w:r>
          </w:p>
        </w:tc>
      </w:tr>
      <w:tr w:rsidR="00C77F01" w:rsidRPr="005672EE" w14:paraId="0F42CD8E" w14:textId="77777777" w:rsidTr="00C77F01">
        <w:trPr>
          <w:cantSplit/>
          <w:trHeight w:val="227"/>
          <w:jc w:val="center"/>
        </w:trPr>
        <w:tc>
          <w:tcPr>
            <w:tcW w:w="0" w:type="auto"/>
            <w:vMerge/>
            <w:vAlign w:val="center"/>
          </w:tcPr>
          <w:p w14:paraId="2A664E31" w14:textId="77777777" w:rsidR="00C77F01" w:rsidRPr="005672EE" w:rsidRDefault="00C77F01" w:rsidP="00C77F01">
            <w:pPr>
              <w:rPr>
                <w:sz w:val="22"/>
                <w:szCs w:val="22"/>
              </w:rPr>
            </w:pPr>
          </w:p>
        </w:tc>
        <w:tc>
          <w:tcPr>
            <w:tcW w:w="1302" w:type="dxa"/>
          </w:tcPr>
          <w:p w14:paraId="31D26A6B" w14:textId="77777777" w:rsidR="00C77F01" w:rsidRPr="005672EE" w:rsidRDefault="00C77F01" w:rsidP="00C77F01">
            <w:pPr>
              <w:spacing w:before="20" w:after="20"/>
              <w:jc w:val="center"/>
              <w:rPr>
                <w:sz w:val="22"/>
                <w:szCs w:val="22"/>
              </w:rPr>
            </w:pPr>
            <w:r w:rsidRPr="005672EE">
              <w:rPr>
                <w:sz w:val="22"/>
                <w:szCs w:val="22"/>
              </w:rPr>
              <w:t>Zemgale</w:t>
            </w:r>
          </w:p>
        </w:tc>
        <w:tc>
          <w:tcPr>
            <w:tcW w:w="1450" w:type="dxa"/>
          </w:tcPr>
          <w:p w14:paraId="704962AF" w14:textId="77777777" w:rsidR="00C77F01" w:rsidRPr="005672EE" w:rsidRDefault="00C77F01" w:rsidP="00C77F01">
            <w:pPr>
              <w:spacing w:before="20" w:after="20"/>
              <w:jc w:val="center"/>
              <w:rPr>
                <w:sz w:val="22"/>
                <w:szCs w:val="22"/>
              </w:rPr>
            </w:pPr>
            <w:r w:rsidRPr="005672EE">
              <w:rPr>
                <w:sz w:val="22"/>
                <w:szCs w:val="22"/>
              </w:rPr>
              <w:t>10 %</w:t>
            </w:r>
          </w:p>
        </w:tc>
        <w:tc>
          <w:tcPr>
            <w:tcW w:w="1450" w:type="dxa"/>
          </w:tcPr>
          <w:p w14:paraId="4A5BCF48" w14:textId="77777777" w:rsidR="00C77F01" w:rsidRPr="005672EE" w:rsidRDefault="00C77F01" w:rsidP="00C77F01">
            <w:pPr>
              <w:spacing w:before="20" w:after="20"/>
              <w:jc w:val="center"/>
              <w:rPr>
                <w:sz w:val="22"/>
                <w:szCs w:val="22"/>
              </w:rPr>
            </w:pPr>
            <w:r w:rsidRPr="005672EE">
              <w:rPr>
                <w:sz w:val="22"/>
                <w:szCs w:val="22"/>
              </w:rPr>
              <w:t>40 %</w:t>
            </w:r>
          </w:p>
        </w:tc>
        <w:tc>
          <w:tcPr>
            <w:tcW w:w="1852" w:type="dxa"/>
          </w:tcPr>
          <w:p w14:paraId="3F2BD2CD" w14:textId="77777777" w:rsidR="00C77F01" w:rsidRPr="005672EE" w:rsidRDefault="00C77F01" w:rsidP="00C77F01">
            <w:pPr>
              <w:spacing w:before="20" w:after="20"/>
              <w:jc w:val="center"/>
              <w:rPr>
                <w:sz w:val="22"/>
                <w:szCs w:val="22"/>
              </w:rPr>
            </w:pPr>
            <w:r w:rsidRPr="005672EE">
              <w:rPr>
                <w:sz w:val="22"/>
                <w:szCs w:val="22"/>
              </w:rPr>
              <w:t>90 %</w:t>
            </w:r>
          </w:p>
        </w:tc>
      </w:tr>
      <w:tr w:rsidR="00C77F01" w:rsidRPr="005672EE" w14:paraId="7AF3ADA0" w14:textId="77777777" w:rsidTr="00C77F01">
        <w:trPr>
          <w:cantSplit/>
          <w:trHeight w:val="227"/>
          <w:jc w:val="center"/>
        </w:trPr>
        <w:tc>
          <w:tcPr>
            <w:tcW w:w="0" w:type="auto"/>
            <w:vMerge/>
            <w:vAlign w:val="center"/>
          </w:tcPr>
          <w:p w14:paraId="10D47437" w14:textId="77777777" w:rsidR="00C77F01" w:rsidRPr="005672EE" w:rsidRDefault="00C77F01" w:rsidP="00C77F01">
            <w:pPr>
              <w:rPr>
                <w:sz w:val="22"/>
                <w:szCs w:val="22"/>
              </w:rPr>
            </w:pPr>
          </w:p>
        </w:tc>
        <w:tc>
          <w:tcPr>
            <w:tcW w:w="1302" w:type="dxa"/>
          </w:tcPr>
          <w:p w14:paraId="417B1B3A" w14:textId="77777777" w:rsidR="00C77F01" w:rsidRPr="005672EE" w:rsidRDefault="00C77F01" w:rsidP="00C77F01">
            <w:pPr>
              <w:spacing w:before="20" w:after="20"/>
              <w:jc w:val="center"/>
              <w:rPr>
                <w:sz w:val="22"/>
                <w:szCs w:val="22"/>
              </w:rPr>
            </w:pPr>
            <w:r w:rsidRPr="005672EE">
              <w:rPr>
                <w:sz w:val="22"/>
                <w:szCs w:val="22"/>
              </w:rPr>
              <w:t>Latgale</w:t>
            </w:r>
          </w:p>
        </w:tc>
        <w:tc>
          <w:tcPr>
            <w:tcW w:w="1450" w:type="dxa"/>
          </w:tcPr>
          <w:p w14:paraId="2AD05138" w14:textId="77777777" w:rsidR="00C77F01" w:rsidRPr="005672EE" w:rsidRDefault="00C77F01" w:rsidP="00C77F01">
            <w:pPr>
              <w:spacing w:before="20" w:after="20"/>
              <w:jc w:val="center"/>
              <w:rPr>
                <w:sz w:val="22"/>
                <w:szCs w:val="22"/>
              </w:rPr>
            </w:pPr>
            <w:r w:rsidRPr="005672EE">
              <w:rPr>
                <w:sz w:val="22"/>
                <w:szCs w:val="22"/>
              </w:rPr>
              <w:t>10 %</w:t>
            </w:r>
          </w:p>
        </w:tc>
        <w:tc>
          <w:tcPr>
            <w:tcW w:w="1450" w:type="dxa"/>
          </w:tcPr>
          <w:p w14:paraId="14C8A052" w14:textId="77777777" w:rsidR="00C77F01" w:rsidRPr="005672EE" w:rsidRDefault="00C77F01" w:rsidP="00C77F01">
            <w:pPr>
              <w:spacing w:before="20" w:after="20"/>
              <w:jc w:val="center"/>
              <w:rPr>
                <w:sz w:val="22"/>
                <w:szCs w:val="22"/>
              </w:rPr>
            </w:pPr>
            <w:r w:rsidRPr="005672EE">
              <w:rPr>
                <w:sz w:val="22"/>
                <w:szCs w:val="22"/>
              </w:rPr>
              <w:t>40 %</w:t>
            </w:r>
          </w:p>
        </w:tc>
        <w:tc>
          <w:tcPr>
            <w:tcW w:w="1852" w:type="dxa"/>
          </w:tcPr>
          <w:p w14:paraId="6FBB2E7F" w14:textId="77777777" w:rsidR="00C77F01" w:rsidRPr="005672EE" w:rsidRDefault="00C77F01" w:rsidP="00C77F01">
            <w:pPr>
              <w:spacing w:before="20" w:after="20"/>
              <w:jc w:val="center"/>
              <w:rPr>
                <w:sz w:val="22"/>
                <w:szCs w:val="22"/>
              </w:rPr>
            </w:pPr>
            <w:r w:rsidRPr="005672EE">
              <w:rPr>
                <w:sz w:val="22"/>
                <w:szCs w:val="22"/>
              </w:rPr>
              <w:t>90 %</w:t>
            </w:r>
          </w:p>
        </w:tc>
      </w:tr>
    </w:tbl>
    <w:p w14:paraId="7158DE1D" w14:textId="77777777" w:rsidR="00C77F01" w:rsidRDefault="00C77F01" w:rsidP="00C77F01">
      <w:pPr>
        <w:pStyle w:val="tv2132"/>
        <w:spacing w:line="240" w:lineRule="auto"/>
        <w:ind w:firstLine="720"/>
        <w:jc w:val="both"/>
        <w:rPr>
          <w:color w:val="auto"/>
          <w:sz w:val="24"/>
          <w:szCs w:val="24"/>
        </w:rPr>
      </w:pPr>
    </w:p>
    <w:p w14:paraId="794DFCA3" w14:textId="77777777" w:rsidR="000D4F04" w:rsidRDefault="00C77F01" w:rsidP="00C77F01">
      <w:pPr>
        <w:pStyle w:val="tv2132"/>
        <w:spacing w:line="240" w:lineRule="auto"/>
        <w:ind w:firstLine="720"/>
        <w:jc w:val="both"/>
        <w:rPr>
          <w:color w:val="auto"/>
          <w:sz w:val="24"/>
          <w:szCs w:val="24"/>
        </w:rPr>
      </w:pPr>
      <w:r w:rsidRPr="000D4F04">
        <w:rPr>
          <w:color w:val="auto"/>
          <w:sz w:val="24"/>
          <w:szCs w:val="24"/>
        </w:rPr>
        <w:lastRenderedPageBreak/>
        <w:t xml:space="preserve">Attiecībā uz iznākuma rādītāja sasniegšanu reģionālā griezumā jāatzīmē, ka augstskolu īstenotie projekti sniedz sekojošu ieguldījumu: Kurzeme – 3, Latgale – 2, Vidzeme– 1, </w:t>
      </w:r>
      <w:r w:rsidR="000D4F04" w:rsidRPr="000D4F04">
        <w:rPr>
          <w:color w:val="auto"/>
          <w:sz w:val="24"/>
          <w:szCs w:val="24"/>
        </w:rPr>
        <w:t xml:space="preserve">Zemgale – 1, </w:t>
      </w:r>
      <w:r w:rsidRPr="000D4F04">
        <w:rPr>
          <w:color w:val="auto"/>
          <w:sz w:val="24"/>
          <w:szCs w:val="24"/>
        </w:rPr>
        <w:t>Rīga – 1</w:t>
      </w:r>
      <w:r w:rsidR="000D4F04" w:rsidRPr="000D4F04">
        <w:rPr>
          <w:color w:val="auto"/>
          <w:sz w:val="24"/>
          <w:szCs w:val="24"/>
        </w:rPr>
        <w:t>3</w:t>
      </w:r>
      <w:r w:rsidRPr="000D4F04">
        <w:rPr>
          <w:color w:val="auto"/>
          <w:sz w:val="24"/>
          <w:szCs w:val="24"/>
        </w:rPr>
        <w:t xml:space="preserve"> augstākās izglītības institūcijas, kurās modernizēta infrastruktūra un mācību aprīkojums.</w:t>
      </w:r>
      <w:r w:rsidRPr="000D4F04">
        <w:rPr>
          <w:rStyle w:val="FootnoteReference"/>
          <w:color w:val="auto"/>
          <w:sz w:val="24"/>
          <w:szCs w:val="24"/>
        </w:rPr>
        <w:footnoteReference w:id="30"/>
      </w:r>
      <w:r w:rsidRPr="000D4F04">
        <w:rPr>
          <w:color w:val="auto"/>
          <w:sz w:val="24"/>
          <w:szCs w:val="24"/>
        </w:rPr>
        <w:t xml:space="preserve"> </w:t>
      </w:r>
    </w:p>
    <w:p w14:paraId="3FE1EE07" w14:textId="77777777" w:rsidR="00C77F01" w:rsidRDefault="00C77F01" w:rsidP="00C77F01">
      <w:pPr>
        <w:pStyle w:val="tv2132"/>
        <w:spacing w:line="240" w:lineRule="auto"/>
        <w:ind w:firstLine="720"/>
        <w:jc w:val="both"/>
        <w:rPr>
          <w:color w:val="auto"/>
          <w:sz w:val="24"/>
          <w:szCs w:val="24"/>
        </w:rPr>
      </w:pPr>
      <w:r w:rsidRPr="00D643EC">
        <w:rPr>
          <w:color w:val="auto"/>
          <w:sz w:val="24"/>
          <w:szCs w:val="24"/>
        </w:rPr>
        <w:t>Neskatoties uz to, ka projek</w:t>
      </w:r>
      <w:r>
        <w:rPr>
          <w:color w:val="auto"/>
          <w:sz w:val="24"/>
          <w:szCs w:val="24"/>
        </w:rPr>
        <w:t>tu iesniegumu atlase 3.1.2.1.1.</w:t>
      </w:r>
      <w:r w:rsidRPr="00D643EC">
        <w:rPr>
          <w:color w:val="auto"/>
          <w:sz w:val="24"/>
          <w:szCs w:val="24"/>
        </w:rPr>
        <w:t>apakšaktivitātes ietvaros tika organizēta ierobežot</w:t>
      </w:r>
      <w:r>
        <w:rPr>
          <w:color w:val="auto"/>
          <w:sz w:val="24"/>
          <w:szCs w:val="24"/>
        </w:rPr>
        <w:t>as projektu iesniegumu atlases</w:t>
      </w:r>
      <w:r w:rsidRPr="00D643EC">
        <w:rPr>
          <w:color w:val="auto"/>
          <w:sz w:val="24"/>
          <w:szCs w:val="24"/>
        </w:rPr>
        <w:t xml:space="preserve"> veidā, lai </w:t>
      </w:r>
      <w:r>
        <w:rPr>
          <w:color w:val="auto"/>
          <w:sz w:val="24"/>
          <w:szCs w:val="24"/>
        </w:rPr>
        <w:t>projekta iesniegumu saskaņā ar projektu iesniegumu vērtēšanas kritērijiem varētu apstiprināt</w:t>
      </w:r>
      <w:r w:rsidRPr="00D643EC">
        <w:rPr>
          <w:color w:val="auto"/>
          <w:sz w:val="24"/>
          <w:szCs w:val="24"/>
        </w:rPr>
        <w:t>,</w:t>
      </w:r>
      <w:r>
        <w:rPr>
          <w:color w:val="auto"/>
          <w:sz w:val="24"/>
          <w:szCs w:val="24"/>
        </w:rPr>
        <w:t xml:space="preserve"> projektu iesniedzējiem – augstskolām un koledžām, bija jāizpilda konkrēti nosacījumi. No 15 kvalitātes kritērijiem 8 kritēriji bija izslēdzoši, t.i., bija noteiktas minimālās prasības, kas jāizpilda, un līdz ar to minimālais punktu skaits, kas jāsasniedz, lai projektu apstiprinātu. Izslēdzošie kvalitātes kritēriji veidoja 50% no nepieciešamā kopējā punktu skaita, lai projektu apstiprinātu. Pārējie 7 kvalitātes kritēriji nebija izslēdzoši un ar tiem varēja iegūt atlikušos nepieciešamos 50% no nepieciešamā kopējā punktu skaita.</w:t>
      </w:r>
      <w:r>
        <w:rPr>
          <w:rStyle w:val="FootnoteReference"/>
          <w:color w:val="auto"/>
          <w:sz w:val="24"/>
          <w:szCs w:val="24"/>
        </w:rPr>
        <w:footnoteReference w:id="31"/>
      </w:r>
    </w:p>
    <w:p w14:paraId="59756346" w14:textId="77777777" w:rsidR="00C77F01" w:rsidRPr="00782832" w:rsidRDefault="00C77F01" w:rsidP="00C77F01">
      <w:pPr>
        <w:pStyle w:val="tv2132"/>
        <w:spacing w:line="240" w:lineRule="auto"/>
        <w:ind w:firstLine="720"/>
        <w:jc w:val="both"/>
        <w:rPr>
          <w:color w:val="auto"/>
          <w:sz w:val="24"/>
          <w:szCs w:val="24"/>
        </w:rPr>
      </w:pPr>
      <w:r w:rsidRPr="00D643EC">
        <w:rPr>
          <w:color w:val="auto"/>
          <w:sz w:val="24"/>
          <w:szCs w:val="24"/>
        </w:rPr>
        <w:t xml:space="preserve">Lai nodrošinātu nozares efektīvu izaugsmi, augstākās izglītības institūcijām bija jāizstrādā </w:t>
      </w:r>
      <w:r w:rsidRPr="0024209B">
        <w:rPr>
          <w:b/>
          <w:color w:val="auto"/>
          <w:sz w:val="24"/>
          <w:szCs w:val="24"/>
        </w:rPr>
        <w:t>augstākās izglītības institūcijas darbības un attīstības ilgtermiņa stratēģijas 2009.–2015.gadam.</w:t>
      </w:r>
      <w:r>
        <w:rPr>
          <w:color w:val="auto"/>
          <w:sz w:val="24"/>
          <w:szCs w:val="24"/>
        </w:rPr>
        <w:t xml:space="preserve"> Ar projektu iesniegumu vērtēšanas kritērijiem tika izvirzīts nosacījums, ka plānotajam ERAF </w:t>
      </w:r>
      <w:r w:rsidRPr="00782832">
        <w:rPr>
          <w:color w:val="auto"/>
          <w:sz w:val="24"/>
          <w:szCs w:val="24"/>
        </w:rPr>
        <w:t xml:space="preserve">ieguldījumam augstākās izglītības institūcijas infrastruktūras modernizācijā </w:t>
      </w:r>
      <w:r>
        <w:rPr>
          <w:color w:val="auto"/>
          <w:sz w:val="24"/>
          <w:szCs w:val="24"/>
        </w:rPr>
        <w:t>jā</w:t>
      </w:r>
      <w:r w:rsidRPr="00782832">
        <w:rPr>
          <w:color w:val="auto"/>
          <w:sz w:val="24"/>
          <w:szCs w:val="24"/>
        </w:rPr>
        <w:t>atbilst izstrādātajai augstākās izglītības institūcijas darbības un attīstības ilgtermiņa stratēģijai 2009.–2015.gadam.</w:t>
      </w:r>
    </w:p>
    <w:p w14:paraId="076E6161" w14:textId="77777777" w:rsidR="00C77F01" w:rsidRPr="0024017D" w:rsidRDefault="00C77F01" w:rsidP="00C77F01">
      <w:pPr>
        <w:pStyle w:val="tv2132"/>
        <w:spacing w:line="240" w:lineRule="auto"/>
        <w:ind w:firstLine="720"/>
        <w:jc w:val="both"/>
        <w:rPr>
          <w:color w:val="auto"/>
          <w:sz w:val="24"/>
          <w:szCs w:val="24"/>
        </w:rPr>
      </w:pPr>
      <w:r w:rsidRPr="0024017D">
        <w:rPr>
          <w:color w:val="auto"/>
          <w:sz w:val="24"/>
          <w:szCs w:val="24"/>
        </w:rPr>
        <w:t xml:space="preserve"> </w:t>
      </w:r>
      <w:r>
        <w:rPr>
          <w:color w:val="auto"/>
          <w:sz w:val="24"/>
          <w:szCs w:val="24"/>
        </w:rPr>
        <w:t>A</w:t>
      </w:r>
      <w:r w:rsidRPr="00782832">
        <w:rPr>
          <w:color w:val="auto"/>
          <w:sz w:val="24"/>
          <w:szCs w:val="24"/>
        </w:rPr>
        <w:t>ugstākās izglītības institūcijas darbības un attīstības ilgtermiņa</w:t>
      </w:r>
      <w:r w:rsidRPr="0024017D">
        <w:rPr>
          <w:color w:val="auto"/>
          <w:sz w:val="24"/>
          <w:szCs w:val="24"/>
        </w:rPr>
        <w:t xml:space="preserve"> </w:t>
      </w:r>
      <w:r>
        <w:rPr>
          <w:color w:val="auto"/>
          <w:sz w:val="24"/>
          <w:szCs w:val="24"/>
        </w:rPr>
        <w:t>s</w:t>
      </w:r>
      <w:r w:rsidRPr="0024017D">
        <w:rPr>
          <w:color w:val="auto"/>
          <w:sz w:val="24"/>
          <w:szCs w:val="24"/>
        </w:rPr>
        <w:t xml:space="preserve">tratēģijā </w:t>
      </w:r>
      <w:r w:rsidRPr="00942049">
        <w:rPr>
          <w:color w:val="auto"/>
          <w:sz w:val="24"/>
          <w:szCs w:val="24"/>
        </w:rPr>
        <w:t>bija jāparedz situācijas analīze, ietverot sekojošus aspektus</w:t>
      </w:r>
      <w:r w:rsidRPr="0024017D">
        <w:rPr>
          <w:color w:val="auto"/>
          <w:sz w:val="24"/>
          <w:szCs w:val="24"/>
        </w:rPr>
        <w:t>:</w:t>
      </w:r>
    </w:p>
    <w:p w14:paraId="309A7DC3" w14:textId="77777777" w:rsidR="00C77F01" w:rsidRPr="0024017D" w:rsidRDefault="00C77F01" w:rsidP="00C77F01">
      <w:pPr>
        <w:pStyle w:val="tv2132"/>
        <w:numPr>
          <w:ilvl w:val="0"/>
          <w:numId w:val="9"/>
        </w:numPr>
        <w:spacing w:line="240" w:lineRule="auto"/>
        <w:jc w:val="both"/>
        <w:rPr>
          <w:color w:val="auto"/>
          <w:sz w:val="24"/>
          <w:szCs w:val="24"/>
        </w:rPr>
      </w:pPr>
      <w:r w:rsidRPr="0024017D">
        <w:rPr>
          <w:color w:val="auto"/>
          <w:sz w:val="24"/>
          <w:szCs w:val="24"/>
        </w:rPr>
        <w:t>analizētas tautsaimniecības un darba tirgus galvenās attīstības tendences saistībā ar augstākās izglītības institūcijā īstenotajiem studiju virzieniem un zinātnisko darbu;</w:t>
      </w:r>
    </w:p>
    <w:p w14:paraId="31D76C2B" w14:textId="77777777" w:rsidR="00C77F01" w:rsidRPr="0024017D" w:rsidRDefault="00C77F01" w:rsidP="00C77F01">
      <w:pPr>
        <w:pStyle w:val="tv2132"/>
        <w:numPr>
          <w:ilvl w:val="0"/>
          <w:numId w:val="9"/>
        </w:numPr>
        <w:spacing w:line="240" w:lineRule="auto"/>
        <w:jc w:val="both"/>
        <w:rPr>
          <w:color w:val="auto"/>
          <w:sz w:val="24"/>
          <w:szCs w:val="24"/>
        </w:rPr>
      </w:pPr>
      <w:r w:rsidRPr="0024017D">
        <w:rPr>
          <w:color w:val="auto"/>
          <w:sz w:val="24"/>
          <w:szCs w:val="24"/>
        </w:rPr>
        <w:t>izvērtēta augstākās izglītības institūcijas pašreizējā darbības efektivitāte, raksturojot konkrētus parametrus un to raksturlielumus: studējošo skaits un studiju programmu efektivitāte (grādu un kvalifikāciju ieguvušo skaita un imatrikulēto personu skaita attiecība), akadēmiskā personāla kvalifikācija, materiāltehniskais nodrošinājums, telpu un iekārtu izmantošanas intensitāte, galvenie ERAF un Eiropas Sociālā fonda (turpmāk – ESF) projektu ieguvumi 2004.–2006.gada plānošanas periodā (attiecināms, ja projekta iesniedzējs ir saņēmis 2004.–2006.gada plānošanas perioda Eiropas Savienības struktūrfondu atbalstu);</w:t>
      </w:r>
    </w:p>
    <w:p w14:paraId="305D8EA8" w14:textId="77777777" w:rsidR="00C77F01" w:rsidRPr="0024017D" w:rsidRDefault="00C77F01" w:rsidP="00C77F01">
      <w:pPr>
        <w:pStyle w:val="tv2132"/>
        <w:numPr>
          <w:ilvl w:val="0"/>
          <w:numId w:val="9"/>
        </w:numPr>
        <w:spacing w:line="240" w:lineRule="auto"/>
        <w:jc w:val="both"/>
        <w:rPr>
          <w:color w:val="auto"/>
          <w:sz w:val="24"/>
          <w:szCs w:val="24"/>
        </w:rPr>
      </w:pPr>
      <w:r w:rsidRPr="0024017D">
        <w:rPr>
          <w:color w:val="auto"/>
          <w:sz w:val="24"/>
          <w:szCs w:val="24"/>
        </w:rPr>
        <w:t>izvērtēta augstākās izglītības institūcijas pašreizējā iekšzemes un starptautiskā konkurētspēja (studējošo skaita pieauguma dinamika, ārvalstu studējošo un ārvalstu akadēmiskā personāla piesaiste, starptautiskās sadarbības veidi);</w:t>
      </w:r>
    </w:p>
    <w:p w14:paraId="10367F21" w14:textId="77777777" w:rsidR="00C77F01" w:rsidRDefault="00C77F01" w:rsidP="00C77F01">
      <w:pPr>
        <w:pStyle w:val="tv2132"/>
        <w:numPr>
          <w:ilvl w:val="0"/>
          <w:numId w:val="9"/>
        </w:numPr>
        <w:spacing w:line="240" w:lineRule="auto"/>
        <w:jc w:val="both"/>
        <w:rPr>
          <w:color w:val="auto"/>
          <w:sz w:val="24"/>
          <w:szCs w:val="24"/>
        </w:rPr>
      </w:pPr>
      <w:r w:rsidRPr="0024017D">
        <w:rPr>
          <w:color w:val="auto"/>
          <w:sz w:val="24"/>
          <w:szCs w:val="24"/>
        </w:rPr>
        <w:t>raksturots augstākās izglītības institūcijas līdzšinējais ieguldījums Latvijas Nacionālajā attīstības plānā 2007.–2013.gadam un Lisabonas stratē</w:t>
      </w:r>
      <w:r>
        <w:rPr>
          <w:color w:val="auto"/>
          <w:sz w:val="24"/>
          <w:szCs w:val="24"/>
        </w:rPr>
        <w:t>ģijā noteikto mērķu sasniegšanā;</w:t>
      </w:r>
    </w:p>
    <w:p w14:paraId="15B7BC07" w14:textId="77777777" w:rsidR="00C77F01" w:rsidRDefault="00C77F01" w:rsidP="00C77F01">
      <w:pPr>
        <w:pStyle w:val="tv2132"/>
        <w:numPr>
          <w:ilvl w:val="0"/>
          <w:numId w:val="9"/>
        </w:numPr>
        <w:spacing w:line="240" w:lineRule="auto"/>
        <w:jc w:val="both"/>
        <w:rPr>
          <w:color w:val="auto"/>
          <w:sz w:val="24"/>
          <w:szCs w:val="24"/>
        </w:rPr>
      </w:pPr>
      <w:r w:rsidRPr="00942049">
        <w:rPr>
          <w:color w:val="auto"/>
          <w:sz w:val="24"/>
          <w:szCs w:val="24"/>
        </w:rPr>
        <w:t>noteiktas stiprās un vājās puses, draudi un iespējas;</w:t>
      </w:r>
    </w:p>
    <w:p w14:paraId="44B5245F" w14:textId="77777777" w:rsidR="00C77F01" w:rsidRDefault="00C77F01" w:rsidP="00C77F01">
      <w:pPr>
        <w:pStyle w:val="tv2132"/>
        <w:numPr>
          <w:ilvl w:val="0"/>
          <w:numId w:val="9"/>
        </w:numPr>
        <w:spacing w:line="240" w:lineRule="auto"/>
        <w:jc w:val="both"/>
        <w:rPr>
          <w:color w:val="auto"/>
          <w:sz w:val="24"/>
          <w:szCs w:val="24"/>
        </w:rPr>
      </w:pPr>
      <w:r w:rsidRPr="00942049">
        <w:rPr>
          <w:color w:val="auto"/>
          <w:sz w:val="24"/>
          <w:szCs w:val="24"/>
        </w:rPr>
        <w:t>noteiktas galvenās attīstības vajadzības un darbības virzieni, ņemot vērā tehnoloģiju un inovāciju attīstības virzienus un izvērtējot draudus, tajā skaitā demogrāfisko prognozi;</w:t>
      </w:r>
    </w:p>
    <w:p w14:paraId="74412374" w14:textId="77777777" w:rsidR="00C77F01" w:rsidRDefault="00C77F01" w:rsidP="00C77F01">
      <w:pPr>
        <w:pStyle w:val="tv2132"/>
        <w:numPr>
          <w:ilvl w:val="0"/>
          <w:numId w:val="9"/>
        </w:numPr>
        <w:spacing w:line="240" w:lineRule="auto"/>
        <w:jc w:val="both"/>
        <w:rPr>
          <w:color w:val="auto"/>
          <w:sz w:val="24"/>
          <w:szCs w:val="24"/>
        </w:rPr>
      </w:pPr>
      <w:r w:rsidRPr="00942049">
        <w:rPr>
          <w:color w:val="auto"/>
          <w:sz w:val="24"/>
          <w:szCs w:val="24"/>
        </w:rPr>
        <w:t>plānoti pamatoti skaitliski izmērāmi darbības rezultāti (studējošo skaita īpatsvara pieaugums prioritārajās studiju jomās, akadēmiskā personāla ar grādu īpatsvara pieaugums, rezultatīvā rādītāja – studiju programmu efektivitāte (grādu un kvalifikāciju ieguvušo skaita un imatrikulēto personu skaita attiecība), to pieaugums, jaunu starpdisciplināru programmu īstenošanai nepieciešamās infrastruktūras izveide);</w:t>
      </w:r>
    </w:p>
    <w:p w14:paraId="01FA1C45" w14:textId="77777777" w:rsidR="00C77F01" w:rsidRDefault="00C77F01" w:rsidP="00C77F01">
      <w:pPr>
        <w:pStyle w:val="tv2132"/>
        <w:numPr>
          <w:ilvl w:val="0"/>
          <w:numId w:val="9"/>
        </w:numPr>
        <w:spacing w:line="240" w:lineRule="auto"/>
        <w:ind w:left="714" w:hanging="357"/>
        <w:jc w:val="both"/>
        <w:rPr>
          <w:color w:val="auto"/>
          <w:sz w:val="24"/>
          <w:szCs w:val="24"/>
        </w:rPr>
      </w:pPr>
      <w:r w:rsidRPr="00942049">
        <w:rPr>
          <w:color w:val="auto"/>
          <w:sz w:val="24"/>
          <w:szCs w:val="24"/>
        </w:rPr>
        <w:lastRenderedPageBreak/>
        <w:t xml:space="preserve">pamatota ERAF plānoto ieguldījumu efektivitāte ekonomikas konkurētspējas (iedzīvotāju ekonomiskās aktivitātes, tajā skaitā </w:t>
      </w:r>
      <w:proofErr w:type="spellStart"/>
      <w:r w:rsidRPr="00942049">
        <w:rPr>
          <w:color w:val="auto"/>
          <w:sz w:val="24"/>
          <w:szCs w:val="24"/>
        </w:rPr>
        <w:t>pašnodarbinātības</w:t>
      </w:r>
      <w:proofErr w:type="spellEnd"/>
      <w:r w:rsidRPr="00942049">
        <w:rPr>
          <w:color w:val="auto"/>
          <w:sz w:val="24"/>
          <w:szCs w:val="24"/>
        </w:rPr>
        <w:t>, produktivitātes un eksportspējas) palielināšanā.</w:t>
      </w:r>
    </w:p>
    <w:p w14:paraId="731B31BE" w14:textId="77777777" w:rsidR="00C77F01" w:rsidRPr="00942049" w:rsidRDefault="00C77F01" w:rsidP="00C77F01">
      <w:pPr>
        <w:pStyle w:val="tv2132"/>
        <w:spacing w:line="240" w:lineRule="auto"/>
        <w:ind w:firstLine="720"/>
        <w:jc w:val="both"/>
        <w:rPr>
          <w:color w:val="auto"/>
          <w:sz w:val="24"/>
          <w:szCs w:val="24"/>
        </w:rPr>
      </w:pPr>
      <w:r>
        <w:rPr>
          <w:color w:val="auto"/>
          <w:sz w:val="24"/>
          <w:szCs w:val="24"/>
        </w:rPr>
        <w:t xml:space="preserve">Projektu iesniegumu vērtēšanas kritēriji paredzēja izstrādātās </w:t>
      </w:r>
      <w:r w:rsidRPr="00782832">
        <w:rPr>
          <w:color w:val="auto"/>
          <w:sz w:val="24"/>
          <w:szCs w:val="24"/>
        </w:rPr>
        <w:t>augstākās izglītības institūcijas darbības un attīstības ilgtermiņa</w:t>
      </w:r>
      <w:r>
        <w:rPr>
          <w:color w:val="auto"/>
          <w:sz w:val="24"/>
          <w:szCs w:val="24"/>
        </w:rPr>
        <w:t xml:space="preserve"> stratēģijas kvalitātes </w:t>
      </w:r>
      <w:proofErr w:type="spellStart"/>
      <w:r>
        <w:rPr>
          <w:color w:val="auto"/>
          <w:sz w:val="24"/>
          <w:szCs w:val="24"/>
        </w:rPr>
        <w:t>izvērtējumu</w:t>
      </w:r>
      <w:proofErr w:type="spellEnd"/>
      <w:r>
        <w:rPr>
          <w:color w:val="auto"/>
          <w:sz w:val="24"/>
          <w:szCs w:val="24"/>
        </w:rPr>
        <w:t xml:space="preserve">, kā minimālo prasību projekta iesnieguma apstiprināšanai izvirzot, ka </w:t>
      </w:r>
      <w:r w:rsidRPr="00546FA4">
        <w:rPr>
          <w:color w:val="auto"/>
          <w:sz w:val="24"/>
          <w:szCs w:val="24"/>
        </w:rPr>
        <w:t xml:space="preserve">stratēģijā plānotajā attīstībā daļēji ņemti vērā </w:t>
      </w:r>
      <w:r>
        <w:rPr>
          <w:color w:val="auto"/>
          <w:sz w:val="24"/>
          <w:szCs w:val="24"/>
        </w:rPr>
        <w:t>iepriekš</w:t>
      </w:r>
      <w:r w:rsidRPr="00546FA4">
        <w:rPr>
          <w:color w:val="auto"/>
          <w:sz w:val="24"/>
          <w:szCs w:val="24"/>
        </w:rPr>
        <w:t xml:space="preserve"> minētie parametri un sniegts daļējs pamatojums </w:t>
      </w:r>
      <w:r>
        <w:rPr>
          <w:color w:val="auto"/>
          <w:sz w:val="24"/>
          <w:szCs w:val="24"/>
        </w:rPr>
        <w:t xml:space="preserve">augstākās izglītības </w:t>
      </w:r>
      <w:r w:rsidRPr="00546FA4">
        <w:rPr>
          <w:color w:val="auto"/>
          <w:sz w:val="24"/>
          <w:szCs w:val="24"/>
        </w:rPr>
        <w:t>institūcijas darbībai turpmākajos astoņos gados</w:t>
      </w:r>
      <w:r>
        <w:rPr>
          <w:color w:val="auto"/>
          <w:sz w:val="24"/>
          <w:szCs w:val="24"/>
        </w:rPr>
        <w:t xml:space="preserve">. </w:t>
      </w:r>
    </w:p>
    <w:p w14:paraId="75504C72" w14:textId="77777777" w:rsidR="00C77F01" w:rsidRDefault="00C77F01" w:rsidP="00C77F01">
      <w:pPr>
        <w:pStyle w:val="tv2132"/>
        <w:spacing w:line="240" w:lineRule="auto"/>
        <w:ind w:firstLine="720"/>
        <w:jc w:val="both"/>
        <w:rPr>
          <w:color w:val="auto"/>
          <w:sz w:val="24"/>
          <w:szCs w:val="24"/>
        </w:rPr>
      </w:pPr>
      <w:r>
        <w:rPr>
          <w:color w:val="auto"/>
          <w:sz w:val="24"/>
          <w:szCs w:val="24"/>
        </w:rPr>
        <w:t xml:space="preserve">Tika vērtēta arī projektā plānoto aktivitāšu gatavība uzsākšanai. Jāatzīmē, ka minimālo punktu skaitu varēja saņemt un līdz ar to apstiprināt projekta iesniegumu projektam arī ar zemu gatavības pakāpi uzsākšanai </w:t>
      </w:r>
      <w:r w:rsidRPr="00942049">
        <w:rPr>
          <w:color w:val="auto"/>
          <w:sz w:val="24"/>
          <w:szCs w:val="24"/>
        </w:rPr>
        <w:t>–</w:t>
      </w:r>
      <w:r>
        <w:rPr>
          <w:color w:val="auto"/>
          <w:sz w:val="24"/>
          <w:szCs w:val="24"/>
        </w:rPr>
        <w:t xml:space="preserve"> t.i., </w:t>
      </w:r>
      <w:r w:rsidRPr="00E102B3">
        <w:rPr>
          <w:color w:val="auto"/>
          <w:sz w:val="24"/>
          <w:szCs w:val="24"/>
        </w:rPr>
        <w:t>sagatavots un pamatots iepērkamā aprīkojuma un veicamo būvdarbu saraksts, iepirkuma dokumentācija nav sagatavota.</w:t>
      </w:r>
      <w:r w:rsidRPr="00D643EC">
        <w:rPr>
          <w:color w:val="auto"/>
          <w:sz w:val="24"/>
          <w:szCs w:val="24"/>
        </w:rPr>
        <w:t xml:space="preserve"> </w:t>
      </w:r>
    </w:p>
    <w:p w14:paraId="24919D17" w14:textId="77777777" w:rsidR="00C77F01" w:rsidRDefault="00C77F01" w:rsidP="00C77F01">
      <w:pPr>
        <w:pStyle w:val="tv2132"/>
        <w:spacing w:line="240" w:lineRule="auto"/>
        <w:ind w:firstLine="720"/>
        <w:jc w:val="both"/>
        <w:rPr>
          <w:color w:val="auto"/>
          <w:sz w:val="24"/>
          <w:szCs w:val="24"/>
        </w:rPr>
      </w:pPr>
      <w:r>
        <w:rPr>
          <w:color w:val="auto"/>
          <w:sz w:val="24"/>
          <w:szCs w:val="24"/>
        </w:rPr>
        <w:t xml:space="preserve">Ar izslēdzošajiem kvalitātes kritērijiem tika vērtēts arī </w:t>
      </w:r>
      <w:r w:rsidRPr="00FB2BED">
        <w:rPr>
          <w:color w:val="auto"/>
          <w:sz w:val="24"/>
          <w:szCs w:val="24"/>
        </w:rPr>
        <w:t xml:space="preserve">projekta īstenošanas risku (būvniecības un preču piegādes iepirkumu un realizācijas riski, iespējamais izmaksu sadārdzinājums) </w:t>
      </w:r>
      <w:proofErr w:type="spellStart"/>
      <w:r w:rsidRPr="00FB2BED">
        <w:rPr>
          <w:color w:val="auto"/>
          <w:sz w:val="24"/>
          <w:szCs w:val="24"/>
        </w:rPr>
        <w:t>izvērtējums</w:t>
      </w:r>
      <w:proofErr w:type="spellEnd"/>
      <w:r w:rsidRPr="00FB2BED">
        <w:rPr>
          <w:color w:val="auto"/>
          <w:sz w:val="24"/>
          <w:szCs w:val="24"/>
        </w:rPr>
        <w:t xml:space="preserve"> un aprēķinātā projekta ekono</w:t>
      </w:r>
      <w:r w:rsidRPr="00FB2BED">
        <w:rPr>
          <w:color w:val="auto"/>
          <w:sz w:val="24"/>
          <w:szCs w:val="24"/>
        </w:rPr>
        <w:softHyphen/>
        <w:t>miskā ienesīguma norma.</w:t>
      </w:r>
      <w:r>
        <w:rPr>
          <w:color w:val="auto"/>
          <w:sz w:val="24"/>
          <w:szCs w:val="24"/>
        </w:rPr>
        <w:t xml:space="preserve"> P</w:t>
      </w:r>
      <w:r w:rsidRPr="00D643EC">
        <w:rPr>
          <w:color w:val="auto"/>
          <w:sz w:val="24"/>
          <w:szCs w:val="24"/>
        </w:rPr>
        <w:t>rojektu iesniedzējiem bija nozīmīgi izpildīt arī kvalitātes kritēriju</w:t>
      </w:r>
      <w:r>
        <w:rPr>
          <w:color w:val="auto"/>
          <w:sz w:val="24"/>
          <w:szCs w:val="24"/>
        </w:rPr>
        <w:t>s</w:t>
      </w:r>
      <w:r w:rsidRPr="00D643EC">
        <w:rPr>
          <w:color w:val="auto"/>
          <w:sz w:val="24"/>
          <w:szCs w:val="24"/>
        </w:rPr>
        <w:t xml:space="preserve"> saistībā ar</w:t>
      </w:r>
      <w:r>
        <w:rPr>
          <w:color w:val="auto"/>
          <w:sz w:val="24"/>
          <w:szCs w:val="24"/>
        </w:rPr>
        <w:t>:</w:t>
      </w:r>
    </w:p>
    <w:p w14:paraId="01442F96" w14:textId="77777777" w:rsidR="00C77F01" w:rsidRDefault="00C77F01" w:rsidP="00C77F01">
      <w:pPr>
        <w:pStyle w:val="tv2132"/>
        <w:numPr>
          <w:ilvl w:val="0"/>
          <w:numId w:val="10"/>
        </w:numPr>
        <w:spacing w:line="240" w:lineRule="auto"/>
        <w:ind w:left="714" w:hanging="357"/>
        <w:jc w:val="both"/>
        <w:rPr>
          <w:color w:val="auto"/>
          <w:sz w:val="24"/>
          <w:szCs w:val="24"/>
        </w:rPr>
      </w:pPr>
      <w:r w:rsidRPr="00E102B3">
        <w:rPr>
          <w:color w:val="auto"/>
          <w:sz w:val="24"/>
          <w:szCs w:val="24"/>
        </w:rPr>
        <w:t>projekta ietekme uz augstākās izglītības iestādes telpiskās infrastruktūras optimizāciju (saskaņā ar augstākās izglītības institūcijas finansēšanu kārtību), sekmējot ieguldījumu koncentrāciju, intensīvāku telpu un iekārtu izmantošanu, mazinot sadrumstalotību modernizējamo objektu izvēlē un novēršot nepamatotu atkārtošanos iekārtu iegādē</w:t>
      </w:r>
      <w:r>
        <w:rPr>
          <w:color w:val="auto"/>
          <w:sz w:val="24"/>
          <w:szCs w:val="24"/>
        </w:rPr>
        <w:t xml:space="preserve">. Lielāks punktu skaits tika paredzēts, ja tiek plānota optimizācija vienā vai vairākās (maksimālais punktu skaits) augstākās izglītības institūcijās, paredzot vienota studiju kompleksa izveidi. Savukārt kā minimālā prasība tika noteikta, ka </w:t>
      </w:r>
      <w:r w:rsidRPr="0024209B">
        <w:rPr>
          <w:color w:val="auto"/>
          <w:sz w:val="24"/>
          <w:szCs w:val="24"/>
        </w:rPr>
        <w:t>optimizācija netiek plānota, bet projektā ir sniegts pamatojums, kā tiks nodrošināta telpu un iekārtu izmantošana, mazinot sadrumstalotību modernizējamo objektu izvēlē un nepamatotu atkārtošanos iekārtu iegādē</w:t>
      </w:r>
      <w:r>
        <w:rPr>
          <w:color w:val="auto"/>
          <w:sz w:val="24"/>
          <w:szCs w:val="24"/>
        </w:rPr>
        <w:t>;</w:t>
      </w:r>
    </w:p>
    <w:p w14:paraId="2FE231C2" w14:textId="77777777" w:rsidR="00C77F01" w:rsidRDefault="00C77F01" w:rsidP="00C77F01">
      <w:pPr>
        <w:pStyle w:val="tv2132"/>
        <w:numPr>
          <w:ilvl w:val="0"/>
          <w:numId w:val="10"/>
        </w:numPr>
        <w:spacing w:line="240" w:lineRule="auto"/>
        <w:ind w:left="714" w:hanging="357"/>
        <w:jc w:val="both"/>
        <w:rPr>
          <w:color w:val="auto"/>
          <w:sz w:val="24"/>
          <w:szCs w:val="24"/>
        </w:rPr>
      </w:pPr>
      <w:r w:rsidRPr="00D643EC">
        <w:rPr>
          <w:color w:val="auto"/>
          <w:sz w:val="24"/>
          <w:szCs w:val="24"/>
        </w:rPr>
        <w:t>projekta ietekmi uz augstākās izglītības institūcijas cilvēkresursu izvietojuma teritoriāli telpisko organizāciju, normatīvajos aktos par augstākās izglītības institūcijas finansēšanu noteiktajās robežās sekmējot lielāka studentu skaita pieeju modernizētajiem infrastruktūras objektiem un modernizētajām studiju vietām</w:t>
      </w:r>
      <w:r>
        <w:rPr>
          <w:color w:val="auto"/>
          <w:sz w:val="24"/>
          <w:szCs w:val="24"/>
        </w:rPr>
        <w:t>. S</w:t>
      </w:r>
      <w:r w:rsidRPr="00D643EC">
        <w:rPr>
          <w:color w:val="auto"/>
          <w:sz w:val="24"/>
          <w:szCs w:val="24"/>
        </w:rPr>
        <w:t xml:space="preserve">alīdzinot ar esošo situāciju, modernizētajos objektos </w:t>
      </w:r>
      <w:r>
        <w:rPr>
          <w:color w:val="auto"/>
          <w:sz w:val="24"/>
          <w:szCs w:val="24"/>
        </w:rPr>
        <w:t xml:space="preserve">bija jābūt </w:t>
      </w:r>
      <w:r w:rsidRPr="00D643EC">
        <w:rPr>
          <w:color w:val="auto"/>
          <w:sz w:val="24"/>
          <w:szCs w:val="24"/>
        </w:rPr>
        <w:t>plānota</w:t>
      </w:r>
      <w:r>
        <w:rPr>
          <w:color w:val="auto"/>
          <w:sz w:val="24"/>
          <w:szCs w:val="24"/>
        </w:rPr>
        <w:t xml:space="preserve">i vismaz </w:t>
      </w:r>
      <w:r w:rsidRPr="0024209B">
        <w:rPr>
          <w:color w:val="auto"/>
          <w:sz w:val="24"/>
          <w:szCs w:val="24"/>
        </w:rPr>
        <w:t>ēku un telpu noslodzes efektivitātei. Maksimālo punktu skaitu varēja iegūt, ja modernizētajos objektos tika plānota studiju vietu skaita optimizācija</w:t>
      </w:r>
      <w:r>
        <w:rPr>
          <w:color w:val="auto"/>
          <w:sz w:val="24"/>
          <w:szCs w:val="24"/>
        </w:rPr>
        <w:t>;</w:t>
      </w:r>
    </w:p>
    <w:p w14:paraId="139BB606" w14:textId="77777777" w:rsidR="00C77F01" w:rsidRDefault="00C77F01" w:rsidP="00C77F01">
      <w:pPr>
        <w:pStyle w:val="tv2132"/>
        <w:numPr>
          <w:ilvl w:val="0"/>
          <w:numId w:val="10"/>
        </w:numPr>
        <w:spacing w:line="240" w:lineRule="auto"/>
        <w:ind w:left="714" w:hanging="357"/>
        <w:jc w:val="both"/>
        <w:rPr>
          <w:color w:val="auto"/>
          <w:sz w:val="24"/>
          <w:szCs w:val="24"/>
        </w:rPr>
      </w:pPr>
      <w:r w:rsidRPr="00FB2BED">
        <w:rPr>
          <w:color w:val="auto"/>
          <w:sz w:val="24"/>
          <w:szCs w:val="24"/>
        </w:rPr>
        <w:t>augstākās izglītības institūcijas īstenoto prioritāro programmu efektivitāte –</w:t>
      </w:r>
      <w:r>
        <w:rPr>
          <w:color w:val="auto"/>
          <w:sz w:val="24"/>
          <w:szCs w:val="24"/>
        </w:rPr>
        <w:t xml:space="preserve"> </w:t>
      </w:r>
      <w:r w:rsidRPr="00FB2BED">
        <w:rPr>
          <w:color w:val="auto"/>
          <w:sz w:val="24"/>
          <w:szCs w:val="24"/>
        </w:rPr>
        <w:t>noteiktajās prioritārajās augstākās izglītības tematiskajās grupās, tematiskajās jomās un programmu grupās 2006./2007.akadēmiskajā gadā iegūto akadēmisko grādu vai profesionālo kvalifikāciju skaits (akadēmisko grādu (bakalaura grāds, maģistra grāds, doktora grāds) vai profesionālo kvalifikāciju ieguvušo personu skaits kopā, ieskaitot pēc rezidentūras pabeigšanas noteiktā medicīnas specialitātē speciālista sertifikātu ieguvušo personu skaitu) attiecībā pret imatrikulēto personu skaitu minētajās augstākās izglītības tematiskajās grupās, tematiskajās jomās un programmu grupās</w:t>
      </w:r>
      <w:r>
        <w:rPr>
          <w:color w:val="auto"/>
          <w:sz w:val="24"/>
          <w:szCs w:val="24"/>
        </w:rPr>
        <w:t xml:space="preserve">. Minimālā prasība, kas jāizpilda, lai projekta iesniegumu apstiprinātu </w:t>
      </w:r>
      <w:r w:rsidRPr="00942049">
        <w:rPr>
          <w:color w:val="auto"/>
          <w:sz w:val="24"/>
          <w:szCs w:val="24"/>
        </w:rPr>
        <w:t>–</w:t>
      </w:r>
      <w:r>
        <w:rPr>
          <w:color w:val="auto"/>
          <w:sz w:val="24"/>
          <w:szCs w:val="24"/>
        </w:rPr>
        <w:t xml:space="preserve"> </w:t>
      </w:r>
      <w:r w:rsidRPr="007C2800">
        <w:rPr>
          <w:color w:val="auto"/>
          <w:sz w:val="24"/>
          <w:szCs w:val="24"/>
        </w:rPr>
        <w:t>no 16 % līdz 24</w:t>
      </w:r>
      <w:r>
        <w:rPr>
          <w:color w:val="auto"/>
          <w:sz w:val="24"/>
          <w:szCs w:val="24"/>
        </w:rPr>
        <w:t> </w:t>
      </w:r>
      <w:r w:rsidRPr="007C2800">
        <w:rPr>
          <w:color w:val="auto"/>
          <w:sz w:val="24"/>
          <w:szCs w:val="24"/>
        </w:rPr>
        <w:t xml:space="preserve"> % (neieskaitot).</w:t>
      </w:r>
      <w:r>
        <w:rPr>
          <w:color w:val="auto"/>
          <w:sz w:val="24"/>
          <w:szCs w:val="24"/>
        </w:rPr>
        <w:t xml:space="preserve"> Visvairāk punktus varēja iegūt, ja rādītājā tika sasniegti 80 % un vairāk;</w:t>
      </w:r>
    </w:p>
    <w:p w14:paraId="57A2BB4A" w14:textId="77777777" w:rsidR="00C77F01" w:rsidRDefault="00C77F01" w:rsidP="00C77F01">
      <w:pPr>
        <w:pStyle w:val="tv2132"/>
        <w:numPr>
          <w:ilvl w:val="0"/>
          <w:numId w:val="10"/>
        </w:numPr>
        <w:spacing w:line="240" w:lineRule="auto"/>
        <w:ind w:left="714" w:hanging="357"/>
        <w:jc w:val="both"/>
        <w:rPr>
          <w:color w:val="auto"/>
          <w:sz w:val="24"/>
          <w:szCs w:val="24"/>
        </w:rPr>
      </w:pPr>
      <w:r w:rsidRPr="007C2800">
        <w:rPr>
          <w:color w:val="auto"/>
          <w:sz w:val="24"/>
          <w:szCs w:val="24"/>
        </w:rPr>
        <w:t>projektā paredzētas specifiskas aktivitātes vienlīdzīgu iespēju principa nodrošināšanai, īpaši uzlabojot vides pieejamību personām ar funkcionāliem traucējumiem. Lai projekta iesniegumu apstiprinātu, bija jāp</w:t>
      </w:r>
      <w:r>
        <w:rPr>
          <w:color w:val="auto"/>
          <w:sz w:val="24"/>
          <w:szCs w:val="24"/>
        </w:rPr>
        <w:t>a</w:t>
      </w:r>
      <w:r w:rsidRPr="007C2800">
        <w:rPr>
          <w:color w:val="auto"/>
          <w:sz w:val="24"/>
          <w:szCs w:val="24"/>
        </w:rPr>
        <w:t xml:space="preserve">redz vismaz </w:t>
      </w:r>
      <w:r>
        <w:rPr>
          <w:color w:val="auto"/>
          <w:sz w:val="24"/>
          <w:szCs w:val="24"/>
        </w:rPr>
        <w:t xml:space="preserve">viena </w:t>
      </w:r>
      <w:r w:rsidRPr="00616164">
        <w:rPr>
          <w:color w:val="auto"/>
          <w:sz w:val="24"/>
          <w:szCs w:val="24"/>
        </w:rPr>
        <w:t>specifiska aktivitāte vienlīdzīgu iespēju principa nodrošināšanai.</w:t>
      </w:r>
    </w:p>
    <w:p w14:paraId="18F7E36F" w14:textId="77777777" w:rsidR="00C77F01" w:rsidRDefault="00C77F01" w:rsidP="00C77F01">
      <w:pPr>
        <w:pStyle w:val="tv2132"/>
        <w:spacing w:line="240" w:lineRule="auto"/>
        <w:ind w:firstLine="714"/>
        <w:jc w:val="both"/>
        <w:rPr>
          <w:color w:val="auto"/>
          <w:sz w:val="24"/>
          <w:szCs w:val="24"/>
        </w:rPr>
      </w:pPr>
    </w:p>
    <w:p w14:paraId="78DCD783" w14:textId="77777777" w:rsidR="00C77F01" w:rsidRDefault="00C77F01" w:rsidP="00C77F01">
      <w:pPr>
        <w:pStyle w:val="tv2132"/>
        <w:spacing w:line="240" w:lineRule="auto"/>
        <w:ind w:firstLine="714"/>
        <w:jc w:val="both"/>
        <w:rPr>
          <w:color w:val="auto"/>
          <w:sz w:val="24"/>
          <w:szCs w:val="24"/>
        </w:rPr>
      </w:pPr>
      <w:r>
        <w:rPr>
          <w:color w:val="auto"/>
          <w:sz w:val="24"/>
          <w:szCs w:val="24"/>
        </w:rPr>
        <w:t>Papildus iepriekš minētajiem kvalitātes kritērijiem, tika vērtēti arī citi kvalitātes kritēriji, bet tie nebija izslēdzoši. Ar šiem kvalitātes kritērijiem varēja iegūt nepieciešamos papildu punktus:</w:t>
      </w:r>
    </w:p>
    <w:p w14:paraId="4B44B3A7" w14:textId="77777777" w:rsidR="00C77F01" w:rsidRDefault="00C77F01" w:rsidP="00C77F01">
      <w:pPr>
        <w:pStyle w:val="tv2132"/>
        <w:numPr>
          <w:ilvl w:val="0"/>
          <w:numId w:val="11"/>
        </w:numPr>
        <w:spacing w:line="240" w:lineRule="auto"/>
        <w:ind w:left="714" w:hanging="357"/>
        <w:jc w:val="both"/>
        <w:rPr>
          <w:color w:val="auto"/>
          <w:sz w:val="24"/>
          <w:szCs w:val="24"/>
        </w:rPr>
      </w:pPr>
      <w:r w:rsidRPr="009A6331">
        <w:rPr>
          <w:color w:val="auto"/>
          <w:sz w:val="24"/>
          <w:szCs w:val="24"/>
        </w:rPr>
        <w:lastRenderedPageBreak/>
        <w:t>augstākās izglītības institūcijas ieguldījums nepieciešamo kvalificēto speciālistu sagatavošanā –</w:t>
      </w:r>
      <w:r>
        <w:rPr>
          <w:color w:val="auto"/>
          <w:sz w:val="24"/>
          <w:szCs w:val="24"/>
        </w:rPr>
        <w:t xml:space="preserve"> </w:t>
      </w:r>
      <w:r w:rsidRPr="009A6331">
        <w:rPr>
          <w:color w:val="auto"/>
          <w:sz w:val="24"/>
          <w:szCs w:val="24"/>
        </w:rPr>
        <w:t xml:space="preserve">noteiktajos prioritārajos virzienos augstākās izglītības tematiskajās grupās, tematiskajās jomās un programmu grupās pilna laika studiju programmās (pilna laika </w:t>
      </w:r>
      <w:proofErr w:type="spellStart"/>
      <w:r w:rsidRPr="009A6331">
        <w:rPr>
          <w:color w:val="auto"/>
          <w:sz w:val="24"/>
          <w:szCs w:val="24"/>
        </w:rPr>
        <w:t>pamatstudijās</w:t>
      </w:r>
      <w:proofErr w:type="spellEnd"/>
      <w:r w:rsidRPr="009A6331">
        <w:rPr>
          <w:color w:val="auto"/>
          <w:sz w:val="24"/>
          <w:szCs w:val="24"/>
        </w:rPr>
        <w:t>, pilna laika maģistrantūrā, ieskaitot medicīnas rezidentus, un pilna laika doktorantūrā kopā) studējošo skaits 2007./2008.akadēmiskajā gadā</w:t>
      </w:r>
      <w:r>
        <w:rPr>
          <w:color w:val="auto"/>
          <w:sz w:val="24"/>
          <w:szCs w:val="24"/>
        </w:rPr>
        <w:t>;</w:t>
      </w:r>
    </w:p>
    <w:p w14:paraId="25ACD946" w14:textId="77777777" w:rsidR="00C77F01" w:rsidRPr="007C2800" w:rsidRDefault="00C77F01" w:rsidP="00C77F01">
      <w:pPr>
        <w:pStyle w:val="tv2132"/>
        <w:numPr>
          <w:ilvl w:val="0"/>
          <w:numId w:val="11"/>
        </w:numPr>
        <w:spacing w:line="240" w:lineRule="auto"/>
        <w:ind w:left="714" w:hanging="357"/>
        <w:jc w:val="both"/>
        <w:rPr>
          <w:color w:val="auto"/>
          <w:sz w:val="24"/>
          <w:szCs w:val="24"/>
        </w:rPr>
      </w:pPr>
      <w:r w:rsidRPr="007C2800">
        <w:rPr>
          <w:color w:val="auto"/>
          <w:sz w:val="24"/>
          <w:szCs w:val="24"/>
        </w:rPr>
        <w:t>augstākās izglītības institūcijas akadēmiskā personāla kvalifikācija – akadēmiskā personāla ar zinātnisko grādu īpatsvars no kopējā akadēmiskā personāla skaita 2007./2008.akadēmiskajā gadā;</w:t>
      </w:r>
    </w:p>
    <w:p w14:paraId="73181078" w14:textId="77777777" w:rsidR="00C77F01" w:rsidRPr="007C2800" w:rsidRDefault="00C77F01" w:rsidP="00C77F01">
      <w:pPr>
        <w:pStyle w:val="tv2132"/>
        <w:numPr>
          <w:ilvl w:val="0"/>
          <w:numId w:val="11"/>
        </w:numPr>
        <w:spacing w:line="240" w:lineRule="auto"/>
        <w:ind w:left="714" w:hanging="357"/>
        <w:jc w:val="both"/>
        <w:rPr>
          <w:color w:val="auto"/>
          <w:sz w:val="24"/>
          <w:szCs w:val="24"/>
        </w:rPr>
      </w:pPr>
      <w:r w:rsidRPr="00616164">
        <w:rPr>
          <w:color w:val="auto"/>
          <w:sz w:val="24"/>
          <w:szCs w:val="24"/>
        </w:rPr>
        <w:t>augstākās izglītības institūcijas īstenotā starptautiskā sadarbība, ko raksturo šādi sadarbības veidi – starptautiskās sadarbības līgumi, starptautiskie projekti, akadēmiskā personāla apmaiņa vai studējošo apmaiņa;</w:t>
      </w:r>
    </w:p>
    <w:p w14:paraId="7D3CB4B7" w14:textId="77777777" w:rsidR="00C77F01" w:rsidRPr="007C2800" w:rsidRDefault="00C77F01" w:rsidP="00C77F01">
      <w:pPr>
        <w:pStyle w:val="tv2132"/>
        <w:numPr>
          <w:ilvl w:val="0"/>
          <w:numId w:val="11"/>
        </w:numPr>
        <w:spacing w:line="240" w:lineRule="auto"/>
        <w:ind w:left="714" w:hanging="357"/>
        <w:jc w:val="both"/>
        <w:rPr>
          <w:color w:val="auto"/>
          <w:sz w:val="24"/>
          <w:szCs w:val="24"/>
        </w:rPr>
      </w:pPr>
      <w:r w:rsidRPr="00616164">
        <w:rPr>
          <w:color w:val="auto"/>
          <w:sz w:val="24"/>
          <w:szCs w:val="24"/>
        </w:rPr>
        <w:t>augstākās izglītības institūcijas konkurētspēja starptautiskajā akadēmiskajā vidē, ko raksturo šādi rādītāji – uz konkursa pamata piesaistītais ārvalstu akadēmiskais personāls, ārvalstu studējošo piesaiste vai studiju programmu īstenošana svešvalodās;</w:t>
      </w:r>
    </w:p>
    <w:p w14:paraId="1CEDCAB1" w14:textId="77777777" w:rsidR="00C77F01" w:rsidRDefault="00C77F01" w:rsidP="00C77F01">
      <w:pPr>
        <w:pStyle w:val="tv2132"/>
        <w:numPr>
          <w:ilvl w:val="0"/>
          <w:numId w:val="11"/>
        </w:numPr>
        <w:spacing w:line="240" w:lineRule="auto"/>
        <w:ind w:left="714" w:hanging="357"/>
        <w:jc w:val="both"/>
        <w:rPr>
          <w:color w:val="auto"/>
          <w:sz w:val="24"/>
          <w:szCs w:val="24"/>
        </w:rPr>
      </w:pPr>
      <w:r w:rsidRPr="00616164">
        <w:rPr>
          <w:color w:val="auto"/>
          <w:sz w:val="24"/>
          <w:szCs w:val="24"/>
        </w:rPr>
        <w:t>projekta ietekme uz teritoriju līdzsvarotas attīstības horizontālo prioritāti – punkti tik</w:t>
      </w:r>
      <w:r>
        <w:rPr>
          <w:color w:val="auto"/>
          <w:sz w:val="24"/>
          <w:szCs w:val="24"/>
        </w:rPr>
        <w:t>a</w:t>
      </w:r>
      <w:r w:rsidRPr="00616164">
        <w:rPr>
          <w:color w:val="auto"/>
          <w:sz w:val="24"/>
          <w:szCs w:val="24"/>
        </w:rPr>
        <w:t xml:space="preserve"> piešķirti pēc plānošanas reģiona, kurā plānots īstenot projektu, teritorijas attīstības indeksa</w:t>
      </w:r>
      <w:r>
        <w:rPr>
          <w:color w:val="auto"/>
          <w:sz w:val="24"/>
          <w:szCs w:val="24"/>
        </w:rPr>
        <w:t>;</w:t>
      </w:r>
    </w:p>
    <w:p w14:paraId="6985A5AA" w14:textId="77777777" w:rsidR="00C77F01" w:rsidRDefault="00C77F01" w:rsidP="00C77F01">
      <w:pPr>
        <w:pStyle w:val="tv2132"/>
        <w:numPr>
          <w:ilvl w:val="0"/>
          <w:numId w:val="11"/>
        </w:numPr>
        <w:spacing w:line="240" w:lineRule="auto"/>
        <w:ind w:left="714" w:hanging="357"/>
        <w:jc w:val="both"/>
        <w:rPr>
          <w:color w:val="auto"/>
          <w:sz w:val="24"/>
          <w:szCs w:val="24"/>
        </w:rPr>
      </w:pPr>
      <w:r w:rsidRPr="00616164">
        <w:rPr>
          <w:color w:val="auto"/>
          <w:sz w:val="24"/>
          <w:szCs w:val="24"/>
        </w:rPr>
        <w:t>ārpus Rīgas plānošanas reģiona esošas augstākās izglītības institūcijas stratēģiskās attīstības indekss teritoriālās attīstības un jaunu studiju virzienu attīstības veicināšanai</w:t>
      </w:r>
      <w:r>
        <w:rPr>
          <w:color w:val="auto"/>
          <w:sz w:val="24"/>
          <w:szCs w:val="24"/>
        </w:rPr>
        <w:t>;</w:t>
      </w:r>
    </w:p>
    <w:p w14:paraId="473161E5" w14:textId="77777777" w:rsidR="00C77F01" w:rsidRDefault="00C77F01" w:rsidP="00C77F01">
      <w:pPr>
        <w:pStyle w:val="tv2132"/>
        <w:numPr>
          <w:ilvl w:val="0"/>
          <w:numId w:val="11"/>
        </w:numPr>
        <w:spacing w:line="240" w:lineRule="auto"/>
        <w:ind w:left="714" w:hanging="357"/>
        <w:jc w:val="both"/>
        <w:rPr>
          <w:color w:val="auto"/>
          <w:sz w:val="24"/>
          <w:szCs w:val="24"/>
        </w:rPr>
      </w:pPr>
      <w:r w:rsidRPr="00616164">
        <w:rPr>
          <w:color w:val="auto"/>
          <w:sz w:val="24"/>
          <w:szCs w:val="24"/>
        </w:rPr>
        <w:t>projekta ietekme uz informācijas sabiedrības horizontālo prioritāti.</w:t>
      </w:r>
    </w:p>
    <w:p w14:paraId="4C8560B0" w14:textId="77777777" w:rsidR="00C77F01" w:rsidRDefault="00C77F01" w:rsidP="00C77F01">
      <w:pPr>
        <w:pStyle w:val="abbreviationslist"/>
        <w:spacing w:before="0" w:after="0"/>
        <w:ind w:right="0" w:firstLine="720"/>
        <w:rPr>
          <w:sz w:val="24"/>
          <w:szCs w:val="24"/>
        </w:rPr>
      </w:pPr>
      <w:r>
        <w:rPr>
          <w:bCs/>
          <w:sz w:val="24"/>
          <w:szCs w:val="24"/>
        </w:rPr>
        <w:t xml:space="preserve">Attiecībā uz augstskolu </w:t>
      </w:r>
      <w:r>
        <w:rPr>
          <w:sz w:val="24"/>
          <w:szCs w:val="24"/>
        </w:rPr>
        <w:t>infrastruktūras pieejamības uzlabošanu, infrastruktūru</w:t>
      </w:r>
      <w:r w:rsidRPr="00B06725">
        <w:rPr>
          <w:sz w:val="24"/>
          <w:szCs w:val="24"/>
        </w:rPr>
        <w:t xml:space="preserve"> pielāgojot </w:t>
      </w:r>
      <w:r w:rsidRPr="00844A86">
        <w:rPr>
          <w:b/>
          <w:sz w:val="24"/>
          <w:szCs w:val="24"/>
        </w:rPr>
        <w:t xml:space="preserve">personām </w:t>
      </w:r>
      <w:r w:rsidRPr="00047C8B">
        <w:rPr>
          <w:b/>
          <w:sz w:val="24"/>
          <w:szCs w:val="24"/>
        </w:rPr>
        <w:t>ar funkcionāliem traucējumiem</w:t>
      </w:r>
      <w:r w:rsidRPr="00047C8B">
        <w:rPr>
          <w:sz w:val="24"/>
          <w:szCs w:val="24"/>
        </w:rPr>
        <w:t>,</w:t>
      </w:r>
      <w:r w:rsidRPr="00B06725">
        <w:rPr>
          <w:sz w:val="24"/>
          <w:szCs w:val="24"/>
        </w:rPr>
        <w:t xml:space="preserve"> </w:t>
      </w:r>
      <w:r>
        <w:rPr>
          <w:sz w:val="24"/>
          <w:szCs w:val="24"/>
        </w:rPr>
        <w:t>j</w:t>
      </w:r>
      <w:r w:rsidRPr="00220907">
        <w:rPr>
          <w:sz w:val="24"/>
          <w:szCs w:val="24"/>
        </w:rPr>
        <w:t xml:space="preserve">āatzīmē, ka ar projektu iesniegumu vērtēšanas kritērijiem tika noteikts, ka projektā ir </w:t>
      </w:r>
      <w:r>
        <w:rPr>
          <w:sz w:val="24"/>
          <w:szCs w:val="24"/>
        </w:rPr>
        <w:t>jā</w:t>
      </w:r>
      <w:r w:rsidRPr="00220907">
        <w:rPr>
          <w:sz w:val="24"/>
          <w:szCs w:val="24"/>
        </w:rPr>
        <w:t xml:space="preserve">paredz </w:t>
      </w:r>
      <w:r>
        <w:rPr>
          <w:sz w:val="24"/>
          <w:szCs w:val="24"/>
        </w:rPr>
        <w:t xml:space="preserve">vismaz </w:t>
      </w:r>
      <w:r w:rsidRPr="00220907">
        <w:rPr>
          <w:sz w:val="24"/>
          <w:szCs w:val="24"/>
        </w:rPr>
        <w:t>viena</w:t>
      </w:r>
      <w:r>
        <w:rPr>
          <w:sz w:val="24"/>
          <w:szCs w:val="24"/>
        </w:rPr>
        <w:t xml:space="preserve"> specifiska</w:t>
      </w:r>
      <w:r w:rsidRPr="00220907">
        <w:rPr>
          <w:sz w:val="24"/>
          <w:szCs w:val="24"/>
        </w:rPr>
        <w:t xml:space="preserve"> aktivitāte vienlīdzīgu iespēju principa nodrošināšanai, īpaši uzlabojot vides pieejamību personām ar funkcionāliem traucējumiem</w:t>
      </w:r>
      <w:r>
        <w:rPr>
          <w:sz w:val="24"/>
          <w:szCs w:val="24"/>
        </w:rPr>
        <w:t>. A</w:t>
      </w:r>
      <w:r w:rsidRPr="00220907">
        <w:rPr>
          <w:sz w:val="24"/>
          <w:szCs w:val="24"/>
        </w:rPr>
        <w:t>tbalstu varēja saņemt pirmā līmeņa profesionālās augstākās izglītības programm</w:t>
      </w:r>
      <w:r w:rsidR="004A6D56">
        <w:rPr>
          <w:sz w:val="24"/>
          <w:szCs w:val="24"/>
        </w:rPr>
        <w:t>u</w:t>
      </w:r>
      <w:r w:rsidRPr="00220907">
        <w:rPr>
          <w:sz w:val="24"/>
          <w:szCs w:val="24"/>
        </w:rPr>
        <w:t xml:space="preserve"> (pilna laika)</w:t>
      </w:r>
      <w:r w:rsidR="004A6D56">
        <w:rPr>
          <w:sz w:val="24"/>
          <w:szCs w:val="24"/>
        </w:rPr>
        <w:t xml:space="preserve"> infrastruktūras uzlabošanai</w:t>
      </w:r>
      <w:r w:rsidRPr="00220907">
        <w:rPr>
          <w:sz w:val="24"/>
          <w:szCs w:val="24"/>
        </w:rPr>
        <w:t>, ja attiecīgajā programmā no 2007.gad</w:t>
      </w:r>
      <w:r>
        <w:rPr>
          <w:sz w:val="24"/>
          <w:szCs w:val="24"/>
        </w:rPr>
        <w:t>a</w:t>
      </w:r>
      <w:r w:rsidRPr="00220907">
        <w:rPr>
          <w:sz w:val="24"/>
          <w:szCs w:val="24"/>
        </w:rPr>
        <w:t xml:space="preserve"> 1.oktobra studē personas ar funkcionāliem traucējumiem</w:t>
      </w:r>
      <w:r>
        <w:rPr>
          <w:sz w:val="24"/>
          <w:szCs w:val="24"/>
        </w:rPr>
        <w:t xml:space="preserve"> </w:t>
      </w:r>
      <w:r w:rsidRPr="00942049">
        <w:rPr>
          <w:sz w:val="24"/>
          <w:szCs w:val="24"/>
        </w:rPr>
        <w:t>–</w:t>
      </w:r>
      <w:r>
        <w:rPr>
          <w:sz w:val="24"/>
          <w:szCs w:val="24"/>
        </w:rPr>
        <w:t xml:space="preserve"> t.i., gadījumā, kad augstākās izglītības institūcija neīstenoja studiju programmu prioritārajā virzienā, tā varēja pretendēt uz atbalstu, ja kādā no pilna laika studiju programmām </w:t>
      </w:r>
      <w:r w:rsidRPr="00220907">
        <w:rPr>
          <w:sz w:val="24"/>
          <w:szCs w:val="24"/>
        </w:rPr>
        <w:t>no 2007.gad</w:t>
      </w:r>
      <w:r>
        <w:rPr>
          <w:sz w:val="24"/>
          <w:szCs w:val="24"/>
        </w:rPr>
        <w:t>a</w:t>
      </w:r>
      <w:r w:rsidRPr="00220907">
        <w:rPr>
          <w:sz w:val="24"/>
          <w:szCs w:val="24"/>
        </w:rPr>
        <w:t xml:space="preserve"> 1.oktobra studē</w:t>
      </w:r>
      <w:r>
        <w:rPr>
          <w:sz w:val="24"/>
          <w:szCs w:val="24"/>
        </w:rPr>
        <w:t>ja</w:t>
      </w:r>
      <w:r w:rsidRPr="00220907">
        <w:rPr>
          <w:sz w:val="24"/>
          <w:szCs w:val="24"/>
        </w:rPr>
        <w:t xml:space="preserve"> personas ar funkcionāliem traucējumiem</w:t>
      </w:r>
      <w:r w:rsidRPr="00543F35">
        <w:rPr>
          <w:rStyle w:val="FootnoteReference"/>
          <w:sz w:val="24"/>
          <w:szCs w:val="24"/>
        </w:rPr>
        <w:footnoteReference w:id="32"/>
      </w:r>
      <w:r w:rsidRPr="00543F35">
        <w:rPr>
          <w:sz w:val="24"/>
          <w:szCs w:val="24"/>
        </w:rPr>
        <w:t>.</w:t>
      </w:r>
      <w:r>
        <w:rPr>
          <w:sz w:val="24"/>
          <w:szCs w:val="24"/>
        </w:rPr>
        <w:t xml:space="preserve"> </w:t>
      </w:r>
      <w:r w:rsidRPr="00B75187">
        <w:rPr>
          <w:sz w:val="24"/>
          <w:szCs w:val="24"/>
        </w:rPr>
        <w:t xml:space="preserve">Saskaņā ar VIAA sniegtajiem datiem 3.1.2.1.1.apakšaktivitātes ietvaros </w:t>
      </w:r>
      <w:r w:rsidRPr="00133762">
        <w:rPr>
          <w:sz w:val="24"/>
          <w:szCs w:val="24"/>
        </w:rPr>
        <w:t>1</w:t>
      </w:r>
      <w:r w:rsidR="005D1700" w:rsidRPr="00133762">
        <w:rPr>
          <w:sz w:val="24"/>
          <w:szCs w:val="24"/>
        </w:rPr>
        <w:t>8</w:t>
      </w:r>
      <w:r w:rsidRPr="00133762">
        <w:rPr>
          <w:sz w:val="24"/>
          <w:szCs w:val="24"/>
        </w:rPr>
        <w:t xml:space="preserve"> augstskolas</w:t>
      </w:r>
      <w:r w:rsidRPr="00B75187">
        <w:rPr>
          <w:sz w:val="24"/>
          <w:szCs w:val="24"/>
        </w:rPr>
        <w:t xml:space="preserve"> ir pielāgotas personām ar funkcionāliem traucējumiem.</w:t>
      </w:r>
    </w:p>
    <w:p w14:paraId="33DB1941" w14:textId="77777777" w:rsidR="00C77F01" w:rsidRPr="00A02FDC" w:rsidRDefault="00C77F01" w:rsidP="00C77F01">
      <w:pPr>
        <w:pStyle w:val="tv2132"/>
        <w:spacing w:line="240" w:lineRule="auto"/>
        <w:ind w:firstLine="720"/>
        <w:jc w:val="both"/>
        <w:rPr>
          <w:color w:val="auto"/>
          <w:sz w:val="24"/>
          <w:szCs w:val="24"/>
        </w:rPr>
      </w:pPr>
      <w:r w:rsidRPr="0005245B">
        <w:rPr>
          <w:color w:val="auto"/>
          <w:sz w:val="24"/>
          <w:szCs w:val="24"/>
        </w:rPr>
        <w:t xml:space="preserve">3.1.2.1.1.apakšaktivitāte tika īstenota </w:t>
      </w:r>
      <w:r w:rsidRPr="00AC5A89">
        <w:rPr>
          <w:b/>
          <w:color w:val="auto"/>
          <w:sz w:val="24"/>
          <w:szCs w:val="24"/>
        </w:rPr>
        <w:t>ierobežotas projektu iesniegumu atlases veidā</w:t>
      </w:r>
      <w:r>
        <w:rPr>
          <w:b/>
          <w:color w:val="auto"/>
          <w:sz w:val="24"/>
          <w:szCs w:val="24"/>
        </w:rPr>
        <w:t xml:space="preserve"> </w:t>
      </w:r>
      <w:r w:rsidRPr="00220907">
        <w:rPr>
          <w:color w:val="auto"/>
          <w:sz w:val="24"/>
          <w:szCs w:val="24"/>
        </w:rPr>
        <w:t>vienā projektu iesniegumu atlases kārtā.</w:t>
      </w:r>
      <w:r>
        <w:rPr>
          <w:color w:val="auto"/>
          <w:sz w:val="24"/>
          <w:szCs w:val="24"/>
        </w:rPr>
        <w:t xml:space="preserve"> A</w:t>
      </w:r>
      <w:r w:rsidRPr="00911960">
        <w:rPr>
          <w:color w:val="auto"/>
          <w:sz w:val="24"/>
          <w:szCs w:val="24"/>
        </w:rPr>
        <w:t xml:space="preserve">tbildīgā iestāde </w:t>
      </w:r>
      <w:r>
        <w:rPr>
          <w:color w:val="auto"/>
          <w:sz w:val="24"/>
          <w:szCs w:val="24"/>
        </w:rPr>
        <w:t xml:space="preserve">vispirms </w:t>
      </w:r>
      <w:r w:rsidRPr="00911960">
        <w:rPr>
          <w:color w:val="auto"/>
          <w:sz w:val="24"/>
          <w:szCs w:val="24"/>
        </w:rPr>
        <w:t>sagatavo</w:t>
      </w:r>
      <w:r>
        <w:rPr>
          <w:color w:val="auto"/>
          <w:sz w:val="24"/>
          <w:szCs w:val="24"/>
        </w:rPr>
        <w:t>ja</w:t>
      </w:r>
      <w:r w:rsidRPr="00911960">
        <w:rPr>
          <w:color w:val="auto"/>
          <w:sz w:val="24"/>
          <w:szCs w:val="24"/>
        </w:rPr>
        <w:t xml:space="preserve"> sarakstu, kurā </w:t>
      </w:r>
      <w:r>
        <w:rPr>
          <w:color w:val="auto"/>
          <w:sz w:val="24"/>
          <w:szCs w:val="24"/>
        </w:rPr>
        <w:t xml:space="preserve">tika </w:t>
      </w:r>
      <w:r w:rsidRPr="00911960">
        <w:rPr>
          <w:color w:val="auto"/>
          <w:sz w:val="24"/>
          <w:szCs w:val="24"/>
        </w:rPr>
        <w:t>norādītas augstākās izglītības institūcijas, kuras paredzēts uzaicināt iesniegt projekta iesniegumu, ņemot vērā atbilstības kritēriju</w:t>
      </w:r>
      <w:r>
        <w:rPr>
          <w:color w:val="auto"/>
          <w:sz w:val="24"/>
          <w:szCs w:val="24"/>
        </w:rPr>
        <w:t xml:space="preserve">, ka </w:t>
      </w:r>
      <w:r w:rsidRPr="00911960">
        <w:rPr>
          <w:color w:val="auto"/>
          <w:sz w:val="24"/>
          <w:szCs w:val="24"/>
        </w:rPr>
        <w:t>projekta iesnieguma iesniedzējs īsteno vismaz vienu pilna laika augstākās izglītības programmu kādā no prioritārajiem virzieniem.</w:t>
      </w:r>
      <w:r>
        <w:rPr>
          <w:color w:val="auto"/>
          <w:sz w:val="24"/>
          <w:szCs w:val="24"/>
        </w:rPr>
        <w:t xml:space="preserve"> Projektu iesniegumi tika pieņemti</w:t>
      </w:r>
      <w:r>
        <w:rPr>
          <w:rFonts w:ascii="Helvetica" w:hAnsi="Helvetica"/>
          <w:color w:val="4D4D4D"/>
          <w:sz w:val="19"/>
          <w:szCs w:val="19"/>
        </w:rPr>
        <w:t xml:space="preserve"> </w:t>
      </w:r>
      <w:r w:rsidRPr="00A02FDC">
        <w:rPr>
          <w:bCs/>
          <w:color w:val="auto"/>
          <w:sz w:val="24"/>
          <w:szCs w:val="24"/>
        </w:rPr>
        <w:t>no 2009.gada 28.maija līdz 2009.gada 21.augustam.</w:t>
      </w:r>
    </w:p>
    <w:p w14:paraId="776499DE" w14:textId="77777777" w:rsidR="00C77F01" w:rsidRPr="00FC5DA6" w:rsidRDefault="00C77F01" w:rsidP="00C77F01">
      <w:pPr>
        <w:pStyle w:val="abbreviationslist"/>
        <w:spacing w:before="0" w:after="0"/>
        <w:ind w:right="0" w:firstLine="720"/>
        <w:rPr>
          <w:bCs/>
          <w:sz w:val="24"/>
          <w:szCs w:val="24"/>
        </w:rPr>
      </w:pPr>
      <w:r w:rsidRPr="001760C7">
        <w:rPr>
          <w:bCs/>
          <w:sz w:val="24"/>
          <w:szCs w:val="24"/>
        </w:rPr>
        <w:t xml:space="preserve">Projektus </w:t>
      </w:r>
      <w:r w:rsidR="001760C7" w:rsidRPr="001760C7">
        <w:rPr>
          <w:bCs/>
          <w:sz w:val="24"/>
          <w:szCs w:val="24"/>
        </w:rPr>
        <w:t>augstskolas</w:t>
      </w:r>
      <w:r w:rsidRPr="001760C7">
        <w:rPr>
          <w:bCs/>
          <w:sz w:val="24"/>
          <w:szCs w:val="24"/>
        </w:rPr>
        <w:t xml:space="preserve"> uzsāka īstenot 20</w:t>
      </w:r>
      <w:r w:rsidR="001760C7" w:rsidRPr="001760C7">
        <w:rPr>
          <w:bCs/>
          <w:sz w:val="24"/>
          <w:szCs w:val="24"/>
        </w:rPr>
        <w:t>09</w:t>
      </w:r>
      <w:r w:rsidRPr="001760C7">
        <w:rPr>
          <w:bCs/>
          <w:sz w:val="24"/>
          <w:szCs w:val="24"/>
        </w:rPr>
        <w:t>.gadā un īstenoja līdz 201</w:t>
      </w:r>
      <w:r w:rsidR="001760C7" w:rsidRPr="001760C7">
        <w:rPr>
          <w:bCs/>
          <w:sz w:val="24"/>
          <w:szCs w:val="24"/>
        </w:rPr>
        <w:t>5</w:t>
      </w:r>
      <w:r w:rsidRPr="001760C7">
        <w:rPr>
          <w:bCs/>
          <w:sz w:val="24"/>
          <w:szCs w:val="24"/>
        </w:rPr>
        <w:t xml:space="preserve">.gada beigām. Īsākais projekta īstenošanas termiņš </w:t>
      </w:r>
      <w:r w:rsidR="00133762">
        <w:rPr>
          <w:bCs/>
          <w:sz w:val="24"/>
          <w:szCs w:val="24"/>
        </w:rPr>
        <w:t>bija</w:t>
      </w:r>
      <w:r w:rsidR="00133762" w:rsidRPr="001760C7">
        <w:rPr>
          <w:bCs/>
          <w:sz w:val="24"/>
          <w:szCs w:val="24"/>
        </w:rPr>
        <w:t xml:space="preserve"> </w:t>
      </w:r>
      <w:r w:rsidR="001760C7" w:rsidRPr="001760C7">
        <w:rPr>
          <w:bCs/>
          <w:sz w:val="24"/>
          <w:szCs w:val="24"/>
        </w:rPr>
        <w:t>12</w:t>
      </w:r>
      <w:r w:rsidRPr="001760C7">
        <w:rPr>
          <w:bCs/>
          <w:sz w:val="24"/>
          <w:szCs w:val="24"/>
        </w:rPr>
        <w:t xml:space="preserve"> mēneši, ilgākais</w:t>
      </w:r>
      <w:r w:rsidR="005D1700">
        <w:rPr>
          <w:bCs/>
          <w:sz w:val="24"/>
          <w:szCs w:val="24"/>
        </w:rPr>
        <w:t xml:space="preserve"> –</w:t>
      </w:r>
      <w:r w:rsidRPr="001760C7">
        <w:rPr>
          <w:bCs/>
          <w:sz w:val="24"/>
          <w:szCs w:val="24"/>
        </w:rPr>
        <w:t xml:space="preserve"> </w:t>
      </w:r>
      <w:r w:rsidR="001760C7" w:rsidRPr="001760C7">
        <w:rPr>
          <w:bCs/>
          <w:sz w:val="24"/>
          <w:szCs w:val="24"/>
        </w:rPr>
        <w:t>72</w:t>
      </w:r>
      <w:r w:rsidRPr="001760C7">
        <w:rPr>
          <w:bCs/>
          <w:sz w:val="24"/>
          <w:szCs w:val="24"/>
        </w:rPr>
        <w:t xml:space="preserve"> mēneši, vidēji – </w:t>
      </w:r>
      <w:r w:rsidR="001760C7" w:rsidRPr="001760C7">
        <w:rPr>
          <w:bCs/>
          <w:sz w:val="24"/>
          <w:szCs w:val="24"/>
        </w:rPr>
        <w:t>42</w:t>
      </w:r>
      <w:r w:rsidRPr="001760C7">
        <w:rPr>
          <w:bCs/>
          <w:sz w:val="24"/>
          <w:szCs w:val="24"/>
        </w:rPr>
        <w:t xml:space="preserve"> mēneši. </w:t>
      </w:r>
    </w:p>
    <w:p w14:paraId="696FCFE2" w14:textId="77777777" w:rsidR="00192DE2" w:rsidRDefault="005D1700" w:rsidP="00192DE2">
      <w:pPr>
        <w:pStyle w:val="abbreviationslist"/>
        <w:spacing w:before="0" w:after="0"/>
        <w:ind w:right="0" w:firstLine="720"/>
        <w:rPr>
          <w:color w:val="333333"/>
          <w:sz w:val="24"/>
          <w:szCs w:val="24"/>
        </w:rPr>
      </w:pPr>
      <w:r>
        <w:rPr>
          <w:bCs/>
          <w:sz w:val="24"/>
          <w:szCs w:val="24"/>
        </w:rPr>
        <w:t>17</w:t>
      </w:r>
      <w:r w:rsidRPr="003D5C42">
        <w:rPr>
          <w:bCs/>
          <w:sz w:val="24"/>
          <w:szCs w:val="24"/>
        </w:rPr>
        <w:t xml:space="preserve"> </w:t>
      </w:r>
      <w:r w:rsidR="00BC0C4C">
        <w:rPr>
          <w:bCs/>
          <w:sz w:val="24"/>
          <w:szCs w:val="24"/>
        </w:rPr>
        <w:t xml:space="preserve">no </w:t>
      </w:r>
      <w:r>
        <w:rPr>
          <w:bCs/>
          <w:sz w:val="24"/>
          <w:szCs w:val="24"/>
        </w:rPr>
        <w:t xml:space="preserve">19 </w:t>
      </w:r>
      <w:r w:rsidR="00C77F01" w:rsidRPr="003D5C42">
        <w:rPr>
          <w:bCs/>
          <w:sz w:val="24"/>
          <w:szCs w:val="24"/>
        </w:rPr>
        <w:t>projektus realizējoš</w:t>
      </w:r>
      <w:r w:rsidR="00BC0C4C">
        <w:rPr>
          <w:bCs/>
          <w:sz w:val="24"/>
          <w:szCs w:val="24"/>
        </w:rPr>
        <w:t>ajām</w:t>
      </w:r>
      <w:r w:rsidR="00C77F01" w:rsidRPr="003D5C42">
        <w:rPr>
          <w:bCs/>
          <w:sz w:val="24"/>
          <w:szCs w:val="24"/>
        </w:rPr>
        <w:t xml:space="preserve"> </w:t>
      </w:r>
      <w:r w:rsidR="00BC0C4C">
        <w:rPr>
          <w:bCs/>
          <w:sz w:val="24"/>
          <w:szCs w:val="24"/>
        </w:rPr>
        <w:t>augstskolām 2015./2016.ak.g.</w:t>
      </w:r>
      <w:r w:rsidR="00C77F01" w:rsidRPr="003D5C42">
        <w:rPr>
          <w:bCs/>
          <w:sz w:val="24"/>
          <w:szCs w:val="24"/>
        </w:rPr>
        <w:t xml:space="preserve"> īsteno STEM</w:t>
      </w:r>
      <w:r w:rsidR="00C77F01">
        <w:rPr>
          <w:bCs/>
          <w:sz w:val="24"/>
          <w:szCs w:val="24"/>
        </w:rPr>
        <w:t xml:space="preserve"> </w:t>
      </w:r>
      <w:r w:rsidR="00BC0C4C">
        <w:rPr>
          <w:bCs/>
          <w:sz w:val="24"/>
          <w:szCs w:val="24"/>
        </w:rPr>
        <w:t>jomas</w:t>
      </w:r>
      <w:r w:rsidR="00C77F01" w:rsidRPr="003D5C42">
        <w:rPr>
          <w:bCs/>
          <w:sz w:val="24"/>
          <w:szCs w:val="24"/>
        </w:rPr>
        <w:t xml:space="preserve"> studiju programmas. No kopumā valstī šobrīd esošajām </w:t>
      </w:r>
      <w:r w:rsidR="00BC0C4C">
        <w:rPr>
          <w:bCs/>
          <w:sz w:val="24"/>
          <w:szCs w:val="24"/>
        </w:rPr>
        <w:t>22</w:t>
      </w:r>
      <w:r w:rsidR="00C77F01" w:rsidRPr="003D5C42">
        <w:rPr>
          <w:bCs/>
          <w:sz w:val="24"/>
          <w:szCs w:val="24"/>
        </w:rPr>
        <w:t xml:space="preserve"> </w:t>
      </w:r>
      <w:r w:rsidR="00BC0C4C">
        <w:rPr>
          <w:bCs/>
          <w:sz w:val="24"/>
          <w:szCs w:val="24"/>
        </w:rPr>
        <w:t>augstskolām</w:t>
      </w:r>
      <w:r w:rsidR="00C77F01" w:rsidRPr="003D5C42">
        <w:rPr>
          <w:bCs/>
          <w:sz w:val="24"/>
          <w:szCs w:val="24"/>
        </w:rPr>
        <w:t xml:space="preserve">, kas īsteno STEM </w:t>
      </w:r>
      <w:r w:rsidR="00BC0C4C">
        <w:rPr>
          <w:bCs/>
          <w:sz w:val="24"/>
          <w:szCs w:val="24"/>
        </w:rPr>
        <w:t>jomas</w:t>
      </w:r>
      <w:r w:rsidR="00C77F01" w:rsidRPr="003D5C42">
        <w:rPr>
          <w:bCs/>
          <w:sz w:val="24"/>
          <w:szCs w:val="24"/>
        </w:rPr>
        <w:t xml:space="preserve"> studiju programm</w:t>
      </w:r>
      <w:r w:rsidR="00C77F01" w:rsidRPr="001350B8">
        <w:rPr>
          <w:bCs/>
          <w:sz w:val="24"/>
          <w:szCs w:val="24"/>
        </w:rPr>
        <w:t xml:space="preserve">as, ERAF finansējumu 3.1.2.1.1.apakšaktivitātes ietvaros </w:t>
      </w:r>
      <w:r w:rsidR="00192DE2" w:rsidRPr="00832CF3">
        <w:rPr>
          <w:bCs/>
          <w:sz w:val="24"/>
          <w:szCs w:val="24"/>
        </w:rPr>
        <w:t xml:space="preserve">nesaņēma 5 privātās augstskolas, kas 2015./2016.ak.g. īsteno STEM studiju programmas </w:t>
      </w:r>
      <w:r w:rsidR="00192DE2" w:rsidRPr="00832CF3">
        <w:rPr>
          <w:sz w:val="24"/>
          <w:szCs w:val="24"/>
        </w:rPr>
        <w:t>–</w:t>
      </w:r>
      <w:r w:rsidR="00192DE2" w:rsidRPr="00832CF3">
        <w:rPr>
          <w:bCs/>
          <w:sz w:val="24"/>
          <w:szCs w:val="24"/>
        </w:rPr>
        <w:t xml:space="preserve"> Ekonomikas un </w:t>
      </w:r>
      <w:r w:rsidR="00192DE2" w:rsidRPr="00832CF3">
        <w:rPr>
          <w:bCs/>
          <w:sz w:val="24"/>
          <w:szCs w:val="24"/>
        </w:rPr>
        <w:lastRenderedPageBreak/>
        <w:t>kultūras augstskola, Lutera akadēmija, Latvijas Kristīgā akadēmija, Rīgas Aeronavigācijas institūts un Biznesa, m</w:t>
      </w:r>
      <w:r w:rsidR="00192DE2" w:rsidRPr="00832CF3">
        <w:rPr>
          <w:rFonts w:hint="eastAsia"/>
          <w:bCs/>
          <w:sz w:val="24"/>
          <w:szCs w:val="24"/>
        </w:rPr>
        <w:t>ā</w:t>
      </w:r>
      <w:r w:rsidR="00192DE2" w:rsidRPr="00832CF3">
        <w:rPr>
          <w:bCs/>
          <w:sz w:val="24"/>
          <w:szCs w:val="24"/>
        </w:rPr>
        <w:t>kslas un tehnolo</w:t>
      </w:r>
      <w:r w:rsidR="00192DE2" w:rsidRPr="00832CF3">
        <w:rPr>
          <w:rFonts w:hint="eastAsia"/>
          <w:bCs/>
          <w:sz w:val="24"/>
          <w:szCs w:val="24"/>
        </w:rPr>
        <w:t>ģ</w:t>
      </w:r>
      <w:r w:rsidR="00192DE2" w:rsidRPr="00832CF3">
        <w:rPr>
          <w:bCs/>
          <w:sz w:val="24"/>
          <w:szCs w:val="24"/>
        </w:rPr>
        <w:t>iju augstskola "RISEBA</w:t>
      </w:r>
      <w:r w:rsidR="00192DE2" w:rsidRPr="00832CF3">
        <w:rPr>
          <w:rFonts w:hint="eastAsia"/>
          <w:bCs/>
          <w:sz w:val="24"/>
          <w:szCs w:val="24"/>
        </w:rPr>
        <w:t>”</w:t>
      </w:r>
      <w:r w:rsidR="00192DE2" w:rsidRPr="00832CF3">
        <w:rPr>
          <w:bCs/>
          <w:sz w:val="24"/>
          <w:szCs w:val="24"/>
        </w:rPr>
        <w:t>.</w:t>
      </w:r>
      <w:r w:rsidR="00192DE2">
        <w:rPr>
          <w:color w:val="333333"/>
          <w:sz w:val="24"/>
          <w:szCs w:val="24"/>
        </w:rPr>
        <w:t xml:space="preserve"> </w:t>
      </w:r>
    </w:p>
    <w:p w14:paraId="01870339" w14:textId="77777777" w:rsidR="00C77F01" w:rsidRDefault="00192DE2" w:rsidP="00192DE2">
      <w:pPr>
        <w:pStyle w:val="abbreviationslist"/>
        <w:spacing w:before="0" w:after="0"/>
        <w:ind w:right="0" w:firstLine="720"/>
        <w:rPr>
          <w:bCs/>
          <w:sz w:val="24"/>
          <w:szCs w:val="24"/>
        </w:rPr>
      </w:pPr>
      <w:r w:rsidRPr="00832CF3">
        <w:rPr>
          <w:bCs/>
          <w:sz w:val="24"/>
          <w:szCs w:val="24"/>
        </w:rPr>
        <w:t>Latvijas Kristīgā akadēmija</w:t>
      </w:r>
      <w:r w:rsidR="009B7314">
        <w:rPr>
          <w:bCs/>
          <w:sz w:val="24"/>
          <w:szCs w:val="24"/>
        </w:rPr>
        <w:t>, Ekonomikas un kultūras augstskola</w:t>
      </w:r>
      <w:r w:rsidRPr="00832CF3">
        <w:rPr>
          <w:bCs/>
          <w:sz w:val="24"/>
          <w:szCs w:val="24"/>
        </w:rPr>
        <w:t xml:space="preserve"> </w:t>
      </w:r>
      <w:r w:rsidR="00A4259C" w:rsidRPr="00133762">
        <w:rPr>
          <w:bCs/>
          <w:sz w:val="24"/>
          <w:szCs w:val="24"/>
        </w:rPr>
        <w:t>un Rīgas Aeronavigācijas institūts</w:t>
      </w:r>
      <w:r w:rsidR="00A4259C">
        <w:rPr>
          <w:bCs/>
          <w:sz w:val="24"/>
          <w:szCs w:val="24"/>
        </w:rPr>
        <w:t xml:space="preserve"> </w:t>
      </w:r>
      <w:r w:rsidRPr="00832CF3">
        <w:rPr>
          <w:bCs/>
          <w:sz w:val="24"/>
          <w:szCs w:val="24"/>
        </w:rPr>
        <w:t xml:space="preserve">netika </w:t>
      </w:r>
      <w:r w:rsidR="00A4259C" w:rsidRPr="00832CF3">
        <w:rPr>
          <w:bCs/>
          <w:sz w:val="24"/>
          <w:szCs w:val="24"/>
        </w:rPr>
        <w:t>uzaicināt</w:t>
      </w:r>
      <w:r w:rsidR="00A4259C">
        <w:rPr>
          <w:bCs/>
          <w:sz w:val="24"/>
          <w:szCs w:val="24"/>
        </w:rPr>
        <w:t>i</w:t>
      </w:r>
      <w:r w:rsidR="00A4259C" w:rsidRPr="00832CF3">
        <w:rPr>
          <w:bCs/>
          <w:sz w:val="24"/>
          <w:szCs w:val="24"/>
        </w:rPr>
        <w:t xml:space="preserve"> </w:t>
      </w:r>
      <w:r w:rsidRPr="00832CF3">
        <w:rPr>
          <w:bCs/>
          <w:sz w:val="24"/>
          <w:szCs w:val="24"/>
        </w:rPr>
        <w:t xml:space="preserve">iesniegt projekta iesniegumu 3.1.2.1.1.apakšaktivitātes ietvaros, jo neatbilda </w:t>
      </w:r>
      <w:r w:rsidRPr="00832CF3">
        <w:rPr>
          <w:sz w:val="24"/>
          <w:szCs w:val="24"/>
        </w:rPr>
        <w:t xml:space="preserve">ERAF finansējuma piešķiršanas nosacījumam – projekta minimālā attiecināmo izmaksu kopsumma ir ne mazāka par </w:t>
      </w:r>
      <w:r w:rsidR="009F6DBD" w:rsidRPr="00AE1DC3">
        <w:rPr>
          <w:sz w:val="24"/>
          <w:szCs w:val="24"/>
        </w:rPr>
        <w:t>100 </w:t>
      </w:r>
      <w:r w:rsidR="009F6DBD" w:rsidRPr="000C7ACC">
        <w:rPr>
          <w:sz w:val="24"/>
          <w:szCs w:val="24"/>
        </w:rPr>
        <w:t>000</w:t>
      </w:r>
      <w:r w:rsidR="00502A3E" w:rsidRPr="00502A3E">
        <w:rPr>
          <w:i/>
          <w:sz w:val="24"/>
          <w:szCs w:val="24"/>
        </w:rPr>
        <w:t xml:space="preserve"> </w:t>
      </w:r>
      <w:proofErr w:type="spellStart"/>
      <w:r w:rsidR="00502A3E" w:rsidRPr="00502A3E">
        <w:rPr>
          <w:i/>
          <w:sz w:val="24"/>
          <w:szCs w:val="24"/>
        </w:rPr>
        <w:t>euro</w:t>
      </w:r>
      <w:proofErr w:type="spellEnd"/>
      <w:r w:rsidRPr="00832CF3">
        <w:rPr>
          <w:sz w:val="24"/>
          <w:szCs w:val="24"/>
        </w:rPr>
        <w:t xml:space="preserve">. </w:t>
      </w:r>
      <w:r w:rsidRPr="00A4259C">
        <w:rPr>
          <w:sz w:val="24"/>
          <w:szCs w:val="24"/>
        </w:rPr>
        <w:t xml:space="preserve">Savukārt </w:t>
      </w:r>
      <w:r w:rsidR="00832CF3" w:rsidRPr="00A4259C">
        <w:rPr>
          <w:sz w:val="24"/>
          <w:szCs w:val="24"/>
        </w:rPr>
        <w:t xml:space="preserve">pārējās </w:t>
      </w:r>
      <w:r w:rsidR="009B7314">
        <w:rPr>
          <w:sz w:val="24"/>
          <w:szCs w:val="24"/>
        </w:rPr>
        <w:t xml:space="preserve">2 </w:t>
      </w:r>
      <w:r w:rsidRPr="00A4259C">
        <w:rPr>
          <w:bCs/>
          <w:sz w:val="24"/>
          <w:szCs w:val="24"/>
        </w:rPr>
        <w:t xml:space="preserve">privātās </w:t>
      </w:r>
      <w:r w:rsidR="00832CF3" w:rsidRPr="00A4259C">
        <w:rPr>
          <w:bCs/>
          <w:sz w:val="24"/>
          <w:szCs w:val="24"/>
        </w:rPr>
        <w:t>augstskolas</w:t>
      </w:r>
      <w:r w:rsidRPr="00A4259C">
        <w:rPr>
          <w:bCs/>
          <w:sz w:val="24"/>
          <w:szCs w:val="24"/>
        </w:rPr>
        <w:t xml:space="preserve"> </w:t>
      </w:r>
      <w:r w:rsidR="00832CF3" w:rsidRPr="00A4259C">
        <w:rPr>
          <w:bCs/>
          <w:sz w:val="24"/>
          <w:szCs w:val="24"/>
        </w:rPr>
        <w:t>2007./2008.ak.g.</w:t>
      </w:r>
      <w:r w:rsidR="00133762">
        <w:rPr>
          <w:bCs/>
          <w:sz w:val="24"/>
          <w:szCs w:val="24"/>
        </w:rPr>
        <w:t xml:space="preserve"> </w:t>
      </w:r>
      <w:r w:rsidRPr="00A4259C">
        <w:rPr>
          <w:bCs/>
          <w:sz w:val="24"/>
          <w:szCs w:val="24"/>
        </w:rPr>
        <w:t>gadā neīstenoja studiju programmas prioritārajos virzienos.</w:t>
      </w:r>
    </w:p>
    <w:p w14:paraId="33934752" w14:textId="77777777" w:rsidR="00BA2886" w:rsidRDefault="00C77F01">
      <w:pPr>
        <w:ind w:firstLine="720"/>
      </w:pPr>
      <w:r>
        <w:t xml:space="preserve">Izvērtējot 2007.–2013.gada plānošanas periodā 3.1.2.1.1.apakšaktivitātes ietvaros veikto ieguldījumu </w:t>
      </w:r>
      <w:r w:rsidR="00133762">
        <w:t>augstskolu</w:t>
      </w:r>
      <w:r>
        <w:t xml:space="preserve"> infrastruktūrā ietekmi uz ieguldījumu mērķu sasniegšanu, tālāk </w:t>
      </w:r>
      <w:r w:rsidR="00DF1607">
        <w:t xml:space="preserve">ir salīdzināts, kā ir mainījies studējošo skaits pa STEM jomas izglītības tematiskajām grupām un jomām tām </w:t>
      </w:r>
      <w:r w:rsidR="00133762">
        <w:t>augstskolām</w:t>
      </w:r>
      <w:r>
        <w:t>,</w:t>
      </w:r>
      <w:r w:rsidRPr="00D7650F">
        <w:rPr>
          <w:b/>
        </w:rPr>
        <w:t xml:space="preserve"> </w:t>
      </w:r>
      <w:r w:rsidRPr="00C831BF">
        <w:rPr>
          <w:b/>
        </w:rPr>
        <w:t>kas saņēma</w:t>
      </w:r>
      <w:r>
        <w:rPr>
          <w:b/>
        </w:rPr>
        <w:t xml:space="preserve"> un kas nesaņēma</w:t>
      </w:r>
      <w:r>
        <w:t xml:space="preserve"> finansiālu atbalstu 3.1.2.1.1. </w:t>
      </w:r>
      <w:proofErr w:type="spellStart"/>
      <w:r>
        <w:t>apakšaktivitātes</w:t>
      </w:r>
      <w:proofErr w:type="spellEnd"/>
      <w:r>
        <w:t xml:space="preserve"> ietvaros</w:t>
      </w:r>
      <w:r w:rsidR="00DF1607">
        <w:t xml:space="preserve"> (</w:t>
      </w:r>
      <w:r>
        <w:t>salīdzināts tikai pilna laika studējošo skaits, ņemot vērā to, ka 3.1.2.1.1.apakšaktivitātes ietvaros atbalstu varēja saņemt tikai prioritāro virzienu pilna laika augstākās izglītības programmām)</w:t>
      </w:r>
      <w:r w:rsidR="00DF1607">
        <w:t>.</w:t>
      </w:r>
    </w:p>
    <w:p w14:paraId="3423F5AC" w14:textId="77777777" w:rsidR="00BA2886" w:rsidRDefault="00BA2886">
      <w:pPr>
        <w:pStyle w:val="ListParagraph"/>
        <w:contextualSpacing/>
        <w:rPr>
          <w:highlight w:val="cyan"/>
        </w:rPr>
      </w:pPr>
    </w:p>
    <w:p w14:paraId="6294A781" w14:textId="77777777" w:rsidR="00C77F01" w:rsidRDefault="00C77F01" w:rsidP="00C77F01">
      <w:pPr>
        <w:jc w:val="right"/>
      </w:pPr>
      <w:r>
        <w:t>2.1.attēls</w:t>
      </w:r>
    </w:p>
    <w:p w14:paraId="7BEAE427" w14:textId="77777777" w:rsidR="004044F0" w:rsidRDefault="00DF1607" w:rsidP="004044F0">
      <w:pPr>
        <w:jc w:val="center"/>
        <w:rPr>
          <w:b/>
        </w:rPr>
      </w:pPr>
      <w:r>
        <w:rPr>
          <w:b/>
        </w:rPr>
        <w:t>Pilna laika s</w:t>
      </w:r>
      <w:r w:rsidR="004044F0" w:rsidRPr="008E714D">
        <w:rPr>
          <w:b/>
        </w:rPr>
        <w:t xml:space="preserve">tudējošo skaita izmaiņas </w:t>
      </w:r>
      <w:r w:rsidR="004044F0">
        <w:rPr>
          <w:b/>
        </w:rPr>
        <w:t xml:space="preserve">sadalījumā </w:t>
      </w:r>
      <w:r w:rsidR="004044F0" w:rsidRPr="008E714D">
        <w:rPr>
          <w:b/>
        </w:rPr>
        <w:t xml:space="preserve">pa STEM jomas izglītības tematiskajām grupām un jomām </w:t>
      </w:r>
      <w:r w:rsidR="004044F0">
        <w:rPr>
          <w:b/>
        </w:rPr>
        <w:t>augstskolās</w:t>
      </w:r>
      <w:r w:rsidR="004044F0" w:rsidRPr="008E714D">
        <w:rPr>
          <w:b/>
        </w:rPr>
        <w:t xml:space="preserve">, </w:t>
      </w:r>
      <w:r w:rsidR="004044F0" w:rsidRPr="008E714D">
        <w:rPr>
          <w:b/>
          <w:u w:val="single"/>
        </w:rPr>
        <w:t>kas saņēma</w:t>
      </w:r>
      <w:r w:rsidR="004044F0" w:rsidRPr="008E714D">
        <w:rPr>
          <w:b/>
        </w:rPr>
        <w:t xml:space="preserve"> finansiālu atbalstu 3.1.2.1.1. </w:t>
      </w:r>
      <w:proofErr w:type="spellStart"/>
      <w:r w:rsidR="004044F0" w:rsidRPr="008E714D">
        <w:rPr>
          <w:b/>
        </w:rPr>
        <w:t>apakšaktivitātes</w:t>
      </w:r>
      <w:proofErr w:type="spellEnd"/>
      <w:r w:rsidR="004044F0" w:rsidRPr="008E714D">
        <w:rPr>
          <w:b/>
        </w:rPr>
        <w:t xml:space="preserve"> ietvaros</w:t>
      </w:r>
    </w:p>
    <w:p w14:paraId="7D3F9E0E" w14:textId="77777777" w:rsidR="004044F0" w:rsidRDefault="004044F0" w:rsidP="00C77F01">
      <w:pPr>
        <w:jc w:val="right"/>
      </w:pPr>
    </w:p>
    <w:p w14:paraId="0C9F82E3" w14:textId="77777777" w:rsidR="003A7E25" w:rsidRDefault="00BA2886" w:rsidP="00C77F01">
      <w:pPr>
        <w:jc w:val="center"/>
        <w:rPr>
          <w:b/>
        </w:rPr>
      </w:pPr>
      <w:r>
        <w:rPr>
          <w:noProof/>
          <w:lang w:eastAsia="lv-LV"/>
        </w:rPr>
        <w:drawing>
          <wp:inline distT="0" distB="0" distL="0" distR="0" wp14:anchorId="3D653F8C" wp14:editId="7043BEF7">
            <wp:extent cx="5400675" cy="32099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E6D056C" w14:textId="77777777" w:rsidR="003A7E25" w:rsidRDefault="003A7E25" w:rsidP="00C77F01">
      <w:pPr>
        <w:jc w:val="center"/>
        <w:rPr>
          <w:b/>
        </w:rPr>
      </w:pPr>
    </w:p>
    <w:p w14:paraId="1775DA9A" w14:textId="77777777" w:rsidR="00C77F01" w:rsidRPr="008E714D" w:rsidRDefault="00C77F01" w:rsidP="00C77F01">
      <w:pPr>
        <w:jc w:val="center"/>
        <w:rPr>
          <w:b/>
        </w:rPr>
      </w:pPr>
    </w:p>
    <w:p w14:paraId="1F4FFBAC" w14:textId="77777777" w:rsidR="00BA2886" w:rsidRDefault="00BA2886">
      <w:pPr>
        <w:jc w:val="center"/>
      </w:pPr>
    </w:p>
    <w:p w14:paraId="5A76B206" w14:textId="77777777" w:rsidR="00C77F01" w:rsidRDefault="00C77F01" w:rsidP="00C77F01">
      <w:pPr>
        <w:ind w:firstLine="720"/>
      </w:pPr>
      <w:r w:rsidRPr="004044F0">
        <w:t xml:space="preserve">Laika posmā no 2007./2008.ak.gada līdz 2015./2016.ak.gadam </w:t>
      </w:r>
      <w:r w:rsidR="00DF1607">
        <w:t xml:space="preserve">pilna laika </w:t>
      </w:r>
      <w:r w:rsidRPr="004044F0">
        <w:t xml:space="preserve">studējošo skaits STEM jomas studiju programmās tajās </w:t>
      </w:r>
      <w:r w:rsidR="001079A9" w:rsidRPr="001079A9">
        <w:t>augstskolās</w:t>
      </w:r>
      <w:r w:rsidRPr="004044F0">
        <w:t xml:space="preserve">, kas saņēma finansiālu atbalstu 3.1.2.1.1. </w:t>
      </w:r>
      <w:proofErr w:type="spellStart"/>
      <w:r w:rsidRPr="004044F0">
        <w:t>apakšaktivitātes</w:t>
      </w:r>
      <w:proofErr w:type="spellEnd"/>
      <w:r w:rsidRPr="004044F0">
        <w:t xml:space="preserve"> ietvaros, ir palielinājies par </w:t>
      </w:r>
      <w:r w:rsidR="004044F0">
        <w:t>4828</w:t>
      </w:r>
      <w:r w:rsidRPr="004044F0">
        <w:t xml:space="preserve"> studentiem jeb </w:t>
      </w:r>
      <w:r w:rsidR="004044F0">
        <w:t>22</w:t>
      </w:r>
      <w:r w:rsidRPr="004044F0">
        <w:t xml:space="preserve"> %. Tas liecina par to, ka ES fondu 2007.–2013.gada plānošanas periodā veiktajiem ieguldījumiem </w:t>
      </w:r>
      <w:r w:rsidR="004044F0">
        <w:t>augstskolu</w:t>
      </w:r>
      <w:r w:rsidRPr="004044F0">
        <w:t xml:space="preserve"> infrastruktūrā ir bijusi pozitīva ietekme uz STEM jomas studējošo skaita pieaugumu. </w:t>
      </w:r>
    </w:p>
    <w:p w14:paraId="16988765" w14:textId="77777777" w:rsidR="00C77F01" w:rsidRPr="00AB13A3" w:rsidRDefault="00C77F01" w:rsidP="00C77F01">
      <w:pPr>
        <w:ind w:firstLine="720"/>
      </w:pPr>
      <w:r w:rsidRPr="00AB13A3">
        <w:t xml:space="preserve">Izvērtējot </w:t>
      </w:r>
      <w:r w:rsidR="00DF1607">
        <w:t xml:space="preserve">pilna laika </w:t>
      </w:r>
      <w:r w:rsidRPr="00AB13A3">
        <w:t xml:space="preserve">studējošo skaita izmaiņas izglītības tematiskajās grupās un jomās </w:t>
      </w:r>
      <w:r w:rsidR="001079A9" w:rsidRPr="001079A9">
        <w:t>augstskolās</w:t>
      </w:r>
      <w:r w:rsidR="00E4711B">
        <w:t>,</w:t>
      </w:r>
      <w:r w:rsidRPr="00AB13A3">
        <w:t xml:space="preserve"> kas saņēma atbalstu 3.1.2.1.1. </w:t>
      </w:r>
      <w:proofErr w:type="spellStart"/>
      <w:r w:rsidRPr="00AB13A3">
        <w:t>apakšaktivitātes</w:t>
      </w:r>
      <w:proofErr w:type="spellEnd"/>
      <w:r w:rsidRPr="00AB13A3">
        <w:t xml:space="preserve"> ietvaros, redzams, ka </w:t>
      </w:r>
      <w:r w:rsidR="00AB13A3">
        <w:t>5</w:t>
      </w:r>
      <w:r w:rsidRPr="00AB13A3">
        <w:t xml:space="preserve"> no </w:t>
      </w:r>
      <w:r w:rsidR="00AB13A3">
        <w:t>6</w:t>
      </w:r>
      <w:r w:rsidRPr="00AB13A3">
        <w:t xml:space="preserve"> STEM jomas izglītības tematiskajām grupām un jomām studējošo skaits ir palielinājies. Kā redzams 2.1.attēlā, vislielākais studējošo skaita pieaugu</w:t>
      </w:r>
      <w:r w:rsidRPr="009573A0">
        <w:t xml:space="preserve">ms ir vērojams izglītības tematiskajā jomā </w:t>
      </w:r>
      <w:r w:rsidRPr="009573A0">
        <w:rPr>
          <w:i/>
        </w:rPr>
        <w:t>Veselības aprūpe</w:t>
      </w:r>
      <w:r w:rsidRPr="009573A0">
        <w:t xml:space="preserve">, kur šajā laika periodā studējošo skaits ir palielinājies par </w:t>
      </w:r>
      <w:r w:rsidR="00AB13A3">
        <w:t>3109</w:t>
      </w:r>
      <w:r w:rsidRPr="00AB13A3">
        <w:t xml:space="preserve"> studentiem </w:t>
      </w:r>
      <w:r w:rsidRPr="00AB13A3">
        <w:lastRenderedPageBreak/>
        <w:t xml:space="preserve">jeb </w:t>
      </w:r>
      <w:r w:rsidR="00AB13A3">
        <w:t>76</w:t>
      </w:r>
      <w:r w:rsidRPr="00AB13A3">
        <w:t xml:space="preserve"> %. Savukārt izglītības tematiskajā </w:t>
      </w:r>
      <w:r w:rsidR="00AB13A3">
        <w:t>jomā</w:t>
      </w:r>
      <w:r w:rsidRPr="00AB13A3">
        <w:t xml:space="preserve"> </w:t>
      </w:r>
      <w:r w:rsidR="00AB13A3">
        <w:rPr>
          <w:i/>
        </w:rPr>
        <w:t>Vides aizsardzība</w:t>
      </w:r>
      <w:r w:rsidRPr="00AB13A3">
        <w:t xml:space="preserve"> studējošo skaits ir samazinājies par </w:t>
      </w:r>
      <w:r w:rsidR="00AB13A3">
        <w:t>320</w:t>
      </w:r>
      <w:r w:rsidRPr="00AB13A3">
        <w:t xml:space="preserve"> studentiem jeb </w:t>
      </w:r>
      <w:r w:rsidR="00AB13A3">
        <w:t>32</w:t>
      </w:r>
      <w:r w:rsidRPr="00AB13A3">
        <w:t xml:space="preserve"> %. </w:t>
      </w:r>
      <w:r w:rsidR="00AB13A3">
        <w:t xml:space="preserve">Jāatzīmē, ka </w:t>
      </w:r>
      <w:r w:rsidRPr="00AB13A3">
        <w:t xml:space="preserve"> </w:t>
      </w:r>
      <w:r w:rsidR="00DF1607" w:rsidRPr="00B56107">
        <w:t xml:space="preserve">pēc būtības studējošo skaita samazinājums vides aizsardzības jomā </w:t>
      </w:r>
      <w:r w:rsidR="00DF1607">
        <w:t xml:space="preserve">šajā laika periodā </w:t>
      </w:r>
      <w:r w:rsidR="00DF1607" w:rsidRPr="00B56107">
        <w:t xml:space="preserve">ir </w:t>
      </w:r>
      <w:r w:rsidR="00DF1607">
        <w:t xml:space="preserve">bijis </w:t>
      </w:r>
      <w:r w:rsidR="00DF1607" w:rsidRPr="00B56107">
        <w:t xml:space="preserve">ievērojami mazāks, jo Rēzeknes Tehnoloģiju akadēmija šīs jomas programmas, kurās kopā studē 111 studenti, ir pārreģistrējusi </w:t>
      </w:r>
      <w:r w:rsidR="00DF1607">
        <w:t xml:space="preserve">no izglītības </w:t>
      </w:r>
      <w:r w:rsidR="00DF1607" w:rsidRPr="00AB13A3">
        <w:t>tematisk</w:t>
      </w:r>
      <w:r w:rsidR="00DF1607">
        <w:t>ās</w:t>
      </w:r>
      <w:r w:rsidR="00DF1607" w:rsidRPr="00AB13A3">
        <w:t xml:space="preserve"> </w:t>
      </w:r>
      <w:r w:rsidR="00DF1607">
        <w:t>jomas</w:t>
      </w:r>
      <w:r w:rsidR="00DF1607" w:rsidRPr="00AB13A3">
        <w:t xml:space="preserve"> </w:t>
      </w:r>
      <w:r w:rsidR="00DF1607">
        <w:rPr>
          <w:i/>
        </w:rPr>
        <w:t>Vides aizsardzība</w:t>
      </w:r>
      <w:r w:rsidR="00DF1607" w:rsidRPr="00AB13A3">
        <w:t xml:space="preserve"> </w:t>
      </w:r>
      <w:r w:rsidR="00DF1607" w:rsidRPr="00B56107">
        <w:t xml:space="preserve">uz izglītības tematisko grupu </w:t>
      </w:r>
      <w:r w:rsidR="00DF1607" w:rsidRPr="00B56107">
        <w:rPr>
          <w:i/>
        </w:rPr>
        <w:t>Inženierzinātnes, ražošana un būvniecība</w:t>
      </w:r>
      <w:r w:rsidRPr="00AB13A3">
        <w:t xml:space="preserve">. </w:t>
      </w:r>
      <w:r w:rsidR="00DF1607">
        <w:t>Ņemot vērā minētās izmaiņas, reāli studējošo skait</w:t>
      </w:r>
      <w:r w:rsidR="009573A0">
        <w:t>s</w:t>
      </w:r>
      <w:r w:rsidR="00DF1607">
        <w:t xml:space="preserve"> </w:t>
      </w:r>
      <w:r w:rsidR="001079A9" w:rsidRPr="001079A9">
        <w:rPr>
          <w:i/>
        </w:rPr>
        <w:t>Vides aizsardzības</w:t>
      </w:r>
      <w:r w:rsidR="00DF1607">
        <w:t xml:space="preserve"> jomā ir </w:t>
      </w:r>
      <w:r w:rsidR="009573A0">
        <w:t>samazinājies</w:t>
      </w:r>
      <w:r w:rsidR="00DF1607">
        <w:t xml:space="preserve"> par 22 %. </w:t>
      </w:r>
    </w:p>
    <w:p w14:paraId="748EE0CA" w14:textId="77777777" w:rsidR="00C77F01" w:rsidRDefault="00C77F01" w:rsidP="00C77F01">
      <w:pPr>
        <w:ind w:firstLine="720"/>
      </w:pPr>
      <w:r w:rsidRPr="00133762">
        <w:t xml:space="preserve">No </w:t>
      </w:r>
      <w:r w:rsidR="00133762" w:rsidRPr="00133762">
        <w:t>visām augstskolām</w:t>
      </w:r>
      <w:r w:rsidRPr="00133762">
        <w:t xml:space="preserve">, kas </w:t>
      </w:r>
      <w:r w:rsidR="00133762" w:rsidRPr="00133762">
        <w:t xml:space="preserve">2015./2016.ak.g. </w:t>
      </w:r>
      <w:r w:rsidRPr="00133762">
        <w:t>īsteno STEM jomas studiju programmas, 3.1.2.1.1. </w:t>
      </w:r>
      <w:proofErr w:type="spellStart"/>
      <w:r w:rsidRPr="00133762">
        <w:t>apakšaktivitātes</w:t>
      </w:r>
      <w:proofErr w:type="spellEnd"/>
      <w:r w:rsidRPr="00133762">
        <w:t xml:space="preserve"> ietvaros finansiālu atbalstu </w:t>
      </w:r>
      <w:r w:rsidR="00133762" w:rsidRPr="00133762">
        <w:t xml:space="preserve">saņēma visas valsts augstskolas un 3 privātās augstskolas, </w:t>
      </w:r>
      <w:r w:rsidR="00133762">
        <w:t xml:space="preserve">bet </w:t>
      </w:r>
      <w:r w:rsidR="00133762" w:rsidRPr="00133762">
        <w:t>atbalstu nesaņēma 5 privātās augstskolas</w:t>
      </w:r>
      <w:r w:rsidR="00133762">
        <w:t xml:space="preserve"> (EKA, LA, </w:t>
      </w:r>
      <w:proofErr w:type="spellStart"/>
      <w:r w:rsidR="00133762">
        <w:t>LKrA</w:t>
      </w:r>
      <w:proofErr w:type="spellEnd"/>
      <w:r w:rsidR="00133762">
        <w:t xml:space="preserve">, RAI un RISEBA). No iepriekš minētajām 5 privātajām augstskolām </w:t>
      </w:r>
      <w:r w:rsidR="00A8213E">
        <w:t>3</w:t>
      </w:r>
      <w:r w:rsidR="00133762">
        <w:t xml:space="preserve"> augstskolas (</w:t>
      </w:r>
      <w:r w:rsidR="009B7314">
        <w:t xml:space="preserve">EKA, </w:t>
      </w:r>
      <w:proofErr w:type="spellStart"/>
      <w:r w:rsidR="00133762">
        <w:t>LKrA</w:t>
      </w:r>
      <w:proofErr w:type="spellEnd"/>
      <w:r w:rsidR="00133762">
        <w:t xml:space="preserve"> un RAI) 2007./2008.ak. g. īstenoja STEM jomas studiju programmas</w:t>
      </w:r>
      <w:r w:rsidR="009573A0">
        <w:t xml:space="preserve"> (katra īstenoja 1 studiju programmu)</w:t>
      </w:r>
      <w:r w:rsidR="00133762">
        <w:t xml:space="preserve">. </w:t>
      </w:r>
      <w:r w:rsidRPr="00133762">
        <w:t xml:space="preserve">Studējošo skaita </w:t>
      </w:r>
      <w:r w:rsidR="009573A0">
        <w:t xml:space="preserve">(pilna un nepilna laika) </w:t>
      </w:r>
      <w:r w:rsidRPr="00133762">
        <w:t xml:space="preserve">izmaiņas šo </w:t>
      </w:r>
      <w:r w:rsidR="009B7314">
        <w:t xml:space="preserve">3 </w:t>
      </w:r>
      <w:r w:rsidR="00133762" w:rsidRPr="00133762">
        <w:t>augstskolu</w:t>
      </w:r>
      <w:r w:rsidRPr="00133762">
        <w:t xml:space="preserve"> STEM jomas </w:t>
      </w:r>
      <w:r w:rsidR="00133762" w:rsidRPr="00133762">
        <w:t xml:space="preserve">studiju </w:t>
      </w:r>
      <w:r w:rsidRPr="00133762">
        <w:t>programmās</w:t>
      </w:r>
      <w:r w:rsidR="009573A0">
        <w:t xml:space="preserve"> </w:t>
      </w:r>
      <w:r w:rsidRPr="00133762">
        <w:t>skatīt 2.2. attēlā.</w:t>
      </w:r>
      <w:r>
        <w:t xml:space="preserve"> </w:t>
      </w:r>
    </w:p>
    <w:p w14:paraId="2852A0F1" w14:textId="77777777" w:rsidR="00C77F01" w:rsidRDefault="00C77F01" w:rsidP="00C77F01">
      <w:pPr>
        <w:jc w:val="right"/>
      </w:pPr>
    </w:p>
    <w:p w14:paraId="04F50543" w14:textId="77777777" w:rsidR="00C77F01" w:rsidRDefault="00C77F01" w:rsidP="00C77F01">
      <w:pPr>
        <w:jc w:val="right"/>
      </w:pPr>
      <w:r w:rsidRPr="00424BE9">
        <w:t>2.2. attēls</w:t>
      </w:r>
    </w:p>
    <w:p w14:paraId="46D7884C" w14:textId="77777777" w:rsidR="00C77F01" w:rsidRDefault="00C77F01" w:rsidP="00C77F01">
      <w:pPr>
        <w:jc w:val="center"/>
        <w:rPr>
          <w:b/>
        </w:rPr>
      </w:pPr>
      <w:r w:rsidRPr="008E714D">
        <w:rPr>
          <w:b/>
        </w:rPr>
        <w:t xml:space="preserve">Studējošo skaita izmaiņas STEM jomas studiju programmās </w:t>
      </w:r>
      <w:r w:rsidR="009B7314">
        <w:rPr>
          <w:b/>
        </w:rPr>
        <w:t>augstskolās</w:t>
      </w:r>
      <w:r w:rsidRPr="008E714D">
        <w:rPr>
          <w:b/>
        </w:rPr>
        <w:t xml:space="preserve">, </w:t>
      </w:r>
      <w:r w:rsidRPr="008E714D">
        <w:rPr>
          <w:b/>
          <w:u w:val="single"/>
        </w:rPr>
        <w:t>kas nesaņēma</w:t>
      </w:r>
      <w:r w:rsidRPr="008E714D">
        <w:rPr>
          <w:b/>
        </w:rPr>
        <w:t xml:space="preserve"> finansiālu atbalstu 3.1.2.1.1. </w:t>
      </w:r>
      <w:proofErr w:type="spellStart"/>
      <w:r w:rsidRPr="008E714D">
        <w:rPr>
          <w:b/>
        </w:rPr>
        <w:t>apakšaktivitātes</w:t>
      </w:r>
      <w:proofErr w:type="spellEnd"/>
      <w:r w:rsidRPr="008E714D">
        <w:rPr>
          <w:b/>
        </w:rPr>
        <w:t xml:space="preserve"> ietvaros</w:t>
      </w:r>
    </w:p>
    <w:p w14:paraId="5594A4D9" w14:textId="77777777" w:rsidR="009573A0" w:rsidRDefault="009573A0" w:rsidP="00C77F01">
      <w:pPr>
        <w:jc w:val="center"/>
        <w:rPr>
          <w:b/>
        </w:rPr>
      </w:pPr>
    </w:p>
    <w:p w14:paraId="4284FF7C" w14:textId="77777777" w:rsidR="009573A0" w:rsidRDefault="00BA2886" w:rsidP="00C77F01">
      <w:pPr>
        <w:jc w:val="center"/>
      </w:pPr>
      <w:r>
        <w:rPr>
          <w:noProof/>
          <w:lang w:eastAsia="lv-LV"/>
        </w:rPr>
        <w:drawing>
          <wp:inline distT="0" distB="0" distL="0" distR="0" wp14:anchorId="7201F327" wp14:editId="4FDA0EE3">
            <wp:extent cx="4524375" cy="27908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34A0C0C" w14:textId="77777777" w:rsidR="00C77F01" w:rsidRDefault="00C77F01" w:rsidP="00C77F01">
      <w:pPr>
        <w:jc w:val="center"/>
      </w:pPr>
    </w:p>
    <w:p w14:paraId="4ABCCD39" w14:textId="77777777" w:rsidR="00C77F01" w:rsidRPr="00424BE9" w:rsidRDefault="00C77F01" w:rsidP="00C77F01">
      <w:pPr>
        <w:rPr>
          <w:i/>
          <w:szCs w:val="24"/>
        </w:rPr>
      </w:pPr>
      <w:r w:rsidRPr="00424BE9">
        <w:rPr>
          <w:i/>
          <w:szCs w:val="24"/>
        </w:rPr>
        <w:t>Avots: IZM dati</w:t>
      </w:r>
    </w:p>
    <w:p w14:paraId="4819EBA2" w14:textId="77777777" w:rsidR="00C77F01" w:rsidRDefault="00C77F01" w:rsidP="00C77F01">
      <w:pPr>
        <w:ind w:firstLine="720"/>
        <w:rPr>
          <w:szCs w:val="24"/>
        </w:rPr>
      </w:pPr>
    </w:p>
    <w:p w14:paraId="25719439" w14:textId="77777777" w:rsidR="00410D96" w:rsidRPr="0093232E" w:rsidRDefault="001079A9" w:rsidP="00C77F01">
      <w:pPr>
        <w:ind w:firstLine="720"/>
        <w:rPr>
          <w:szCs w:val="24"/>
        </w:rPr>
      </w:pPr>
      <w:r w:rsidRPr="0093232E">
        <w:rPr>
          <w:szCs w:val="24"/>
        </w:rPr>
        <w:t xml:space="preserve">2.2.attēlā atspoguļotie dati rāda, ka </w:t>
      </w:r>
      <w:r w:rsidR="009573A0" w:rsidRPr="0093232E">
        <w:rPr>
          <w:szCs w:val="24"/>
        </w:rPr>
        <w:t xml:space="preserve">2 no 3 programmām studējošo skaits ir samazinājies, bet 1 programmā palicis nemainīgs. Jāatzīmē, ka studējošo skaitā ir ņemti vērā gan pilna laika, gan nepilna laika studējošie, </w:t>
      </w:r>
      <w:r w:rsidR="00B036BF" w:rsidRPr="0093232E">
        <w:rPr>
          <w:szCs w:val="24"/>
        </w:rPr>
        <w:t>jo</w:t>
      </w:r>
      <w:r w:rsidR="009573A0" w:rsidRPr="0093232E">
        <w:rPr>
          <w:szCs w:val="24"/>
        </w:rPr>
        <w:t xml:space="preserve"> </w:t>
      </w:r>
      <w:r w:rsidR="00133BF1" w:rsidRPr="0093232E">
        <w:rPr>
          <w:szCs w:val="24"/>
        </w:rPr>
        <w:t xml:space="preserve">EKA un RAI 2.2. attēlā iekļautās  studiju </w:t>
      </w:r>
      <w:r w:rsidR="009573A0" w:rsidRPr="0093232E">
        <w:rPr>
          <w:szCs w:val="24"/>
        </w:rPr>
        <w:t>programm</w:t>
      </w:r>
      <w:r w:rsidR="00133BF1" w:rsidRPr="0093232E">
        <w:rPr>
          <w:szCs w:val="24"/>
        </w:rPr>
        <w:t>as</w:t>
      </w:r>
      <w:r w:rsidR="009573A0" w:rsidRPr="0093232E">
        <w:rPr>
          <w:szCs w:val="24"/>
        </w:rPr>
        <w:t xml:space="preserve"> </w:t>
      </w:r>
      <w:r w:rsidR="00133BF1" w:rsidRPr="0093232E">
        <w:rPr>
          <w:szCs w:val="24"/>
        </w:rPr>
        <w:t xml:space="preserve">2015./2016. </w:t>
      </w:r>
      <w:proofErr w:type="spellStart"/>
      <w:r w:rsidR="00133BF1" w:rsidRPr="0093232E">
        <w:rPr>
          <w:szCs w:val="24"/>
        </w:rPr>
        <w:t>ak.gadā</w:t>
      </w:r>
      <w:proofErr w:type="spellEnd"/>
      <w:r w:rsidR="00133BF1" w:rsidRPr="0093232E">
        <w:rPr>
          <w:szCs w:val="24"/>
        </w:rPr>
        <w:t xml:space="preserve"> tika īstenotas tikai nepilna laika studijās.  Līdz ar to var secināt, ka kopumā </w:t>
      </w:r>
      <w:r w:rsidRPr="0093232E">
        <w:rPr>
          <w:szCs w:val="24"/>
          <w:u w:val="single"/>
        </w:rPr>
        <w:t>studējošo skaits minētajās</w:t>
      </w:r>
      <w:r w:rsidR="00B036BF" w:rsidRPr="0093232E">
        <w:rPr>
          <w:szCs w:val="24"/>
        </w:rPr>
        <w:t xml:space="preserve"> </w:t>
      </w:r>
      <w:r w:rsidR="00133BF1" w:rsidRPr="0093232E">
        <w:rPr>
          <w:szCs w:val="24"/>
        </w:rPr>
        <w:t xml:space="preserve">STEM jomas studiju programmās laika periodā no 2007./2008. </w:t>
      </w:r>
      <w:proofErr w:type="spellStart"/>
      <w:r w:rsidR="00133BF1" w:rsidRPr="0093232E">
        <w:rPr>
          <w:szCs w:val="24"/>
        </w:rPr>
        <w:t>ak.gada</w:t>
      </w:r>
      <w:proofErr w:type="spellEnd"/>
      <w:r w:rsidR="00133BF1" w:rsidRPr="0093232E">
        <w:rPr>
          <w:szCs w:val="24"/>
        </w:rPr>
        <w:t xml:space="preserve"> līdz 2015./2016.ak. gadam tajās augstskolās, kas nesaņēma atbalstu  3.1.2.1.1.apakšaktivitātes ietvaros, ir samazinājies. Vienlaikus jāatzīmē, ka </w:t>
      </w:r>
      <w:r w:rsidR="00035D98" w:rsidRPr="0093232E">
        <w:rPr>
          <w:szCs w:val="24"/>
        </w:rPr>
        <w:t xml:space="preserve">EKA un RAI </w:t>
      </w:r>
      <w:r w:rsidR="00133BF1" w:rsidRPr="0093232E">
        <w:rPr>
          <w:szCs w:val="24"/>
        </w:rPr>
        <w:t>šajā laika periodā ir uzsāku</w:t>
      </w:r>
      <w:r w:rsidR="00035D98" w:rsidRPr="0093232E">
        <w:rPr>
          <w:szCs w:val="24"/>
        </w:rPr>
        <w:t>šas</w:t>
      </w:r>
      <w:r w:rsidR="00133BF1" w:rsidRPr="0093232E">
        <w:rPr>
          <w:szCs w:val="24"/>
        </w:rPr>
        <w:t xml:space="preserve"> īstenot </w:t>
      </w:r>
      <w:r w:rsidR="00035D98" w:rsidRPr="0093232E">
        <w:rPr>
          <w:szCs w:val="24"/>
        </w:rPr>
        <w:t xml:space="preserve">arī </w:t>
      </w:r>
      <w:r w:rsidR="00133BF1" w:rsidRPr="0093232E">
        <w:rPr>
          <w:szCs w:val="24"/>
        </w:rPr>
        <w:t>jaun</w:t>
      </w:r>
      <w:r w:rsidR="00035D98" w:rsidRPr="0093232E">
        <w:rPr>
          <w:szCs w:val="24"/>
        </w:rPr>
        <w:t>as</w:t>
      </w:r>
      <w:r w:rsidR="00133BF1" w:rsidRPr="0093232E">
        <w:rPr>
          <w:szCs w:val="24"/>
        </w:rPr>
        <w:t xml:space="preserve"> STEM jomas studiju programm</w:t>
      </w:r>
      <w:r w:rsidR="00035D98" w:rsidRPr="0093232E">
        <w:rPr>
          <w:szCs w:val="24"/>
        </w:rPr>
        <w:t>as</w:t>
      </w:r>
      <w:r w:rsidR="00B036BF" w:rsidRPr="0093232E">
        <w:rPr>
          <w:szCs w:val="24"/>
        </w:rPr>
        <w:t>,</w:t>
      </w:r>
      <w:r w:rsidR="00410D96" w:rsidRPr="0093232E">
        <w:rPr>
          <w:szCs w:val="24"/>
        </w:rPr>
        <w:t xml:space="preserve"> -</w:t>
      </w:r>
      <w:r w:rsidR="00B036BF" w:rsidRPr="0093232E">
        <w:rPr>
          <w:szCs w:val="24"/>
        </w:rPr>
        <w:t xml:space="preserve"> EKA – 1 studiju programmu, bet RAI</w:t>
      </w:r>
      <w:r w:rsidR="00802F70" w:rsidRPr="0093232E">
        <w:rPr>
          <w:szCs w:val="24"/>
        </w:rPr>
        <w:t xml:space="preserve"> </w:t>
      </w:r>
      <w:r w:rsidR="00B036BF" w:rsidRPr="0093232E">
        <w:rPr>
          <w:szCs w:val="24"/>
        </w:rPr>
        <w:t xml:space="preserve">- 3 studiju programmas (konkrētās programmas skatīt  1.pielikumā), kurās kopējais studējošo skaits 2015,.2016. </w:t>
      </w:r>
      <w:proofErr w:type="spellStart"/>
      <w:r w:rsidR="00B036BF" w:rsidRPr="0093232E">
        <w:rPr>
          <w:szCs w:val="24"/>
        </w:rPr>
        <w:t>ak.gadā</w:t>
      </w:r>
      <w:proofErr w:type="spellEnd"/>
      <w:r w:rsidR="00B036BF" w:rsidRPr="0093232E">
        <w:rPr>
          <w:szCs w:val="24"/>
        </w:rPr>
        <w:t xml:space="preserve"> bija 69 studējošie. </w:t>
      </w:r>
      <w:r w:rsidR="00410D96" w:rsidRPr="0093232E">
        <w:rPr>
          <w:szCs w:val="24"/>
        </w:rPr>
        <w:t xml:space="preserve">Tātad kopējais studējošo skaits STEM jomas studiju programmās laika posmā no 2007./2008. </w:t>
      </w:r>
      <w:proofErr w:type="spellStart"/>
      <w:r w:rsidR="00410D96" w:rsidRPr="0093232E">
        <w:rPr>
          <w:szCs w:val="24"/>
        </w:rPr>
        <w:t>ak.gada</w:t>
      </w:r>
      <w:proofErr w:type="spellEnd"/>
      <w:r w:rsidR="00410D96" w:rsidRPr="0093232E">
        <w:rPr>
          <w:szCs w:val="24"/>
        </w:rPr>
        <w:t xml:space="preserve"> līdz 2015./2016.ak gadam tajās augstskolās, kas nesaņēma atbalstu 3.1.2.1.1.apakšaktivitātes ietvaros, ir nedaudz pieaudzis (no </w:t>
      </w:r>
      <w:r w:rsidR="009E3DC3" w:rsidRPr="0093232E">
        <w:rPr>
          <w:szCs w:val="24"/>
        </w:rPr>
        <w:t>186 uz 221)</w:t>
      </w:r>
      <w:r w:rsidR="00410D96" w:rsidRPr="0093232E">
        <w:rPr>
          <w:szCs w:val="24"/>
        </w:rPr>
        <w:t xml:space="preserve">. </w:t>
      </w:r>
    </w:p>
    <w:p w14:paraId="1150178A" w14:textId="77777777" w:rsidR="00C77F01" w:rsidRPr="0093232E" w:rsidRDefault="00410D96" w:rsidP="00C77F01">
      <w:pPr>
        <w:ind w:firstLine="720"/>
        <w:rPr>
          <w:szCs w:val="24"/>
        </w:rPr>
      </w:pPr>
      <w:r w:rsidRPr="0093232E">
        <w:rPr>
          <w:szCs w:val="24"/>
        </w:rPr>
        <w:t xml:space="preserve"> </w:t>
      </w:r>
    </w:p>
    <w:p w14:paraId="48A3D1E3" w14:textId="77777777" w:rsidR="00C77F01" w:rsidRPr="0093232E" w:rsidRDefault="00C77F01" w:rsidP="00C77F01">
      <w:pPr>
        <w:tabs>
          <w:tab w:val="left" w:pos="0"/>
        </w:tabs>
        <w:ind w:firstLine="567"/>
        <w:rPr>
          <w:bCs/>
          <w:szCs w:val="24"/>
        </w:rPr>
      </w:pPr>
      <w:r w:rsidRPr="0093232E">
        <w:rPr>
          <w:bCs/>
          <w:szCs w:val="24"/>
        </w:rPr>
        <w:lastRenderedPageBreak/>
        <w:t xml:space="preserve">Apkopojums par 3.1.2.1.1.apakšaktivitātes ietvaros īstenotajiem </w:t>
      </w:r>
      <w:r w:rsidR="00BC0C4C" w:rsidRPr="0093232E">
        <w:rPr>
          <w:bCs/>
          <w:szCs w:val="24"/>
        </w:rPr>
        <w:t>augstskolu</w:t>
      </w:r>
      <w:r w:rsidRPr="0093232E">
        <w:rPr>
          <w:bCs/>
          <w:szCs w:val="24"/>
        </w:rPr>
        <w:t xml:space="preserve"> projektiem, tai skaitā par studiju programm</w:t>
      </w:r>
      <w:r w:rsidR="00BC0C4C" w:rsidRPr="0093232E">
        <w:rPr>
          <w:bCs/>
          <w:szCs w:val="24"/>
        </w:rPr>
        <w:t>u skaitu</w:t>
      </w:r>
      <w:r w:rsidRPr="0093232E">
        <w:rPr>
          <w:bCs/>
          <w:szCs w:val="24"/>
        </w:rPr>
        <w:t xml:space="preserve">, kurās veikti ieguldījumi, un ieguldījumu kopsavilkums, ir pieejams novērtējuma </w:t>
      </w:r>
      <w:r w:rsidR="00BC0C4C" w:rsidRPr="0093232E">
        <w:rPr>
          <w:bCs/>
          <w:szCs w:val="24"/>
        </w:rPr>
        <w:t>2</w:t>
      </w:r>
      <w:r w:rsidRPr="0093232E">
        <w:rPr>
          <w:bCs/>
          <w:szCs w:val="24"/>
        </w:rPr>
        <w:t xml:space="preserve">.pielikuma </w:t>
      </w:r>
      <w:r w:rsidRPr="0093232E">
        <w:rPr>
          <w:szCs w:val="24"/>
        </w:rPr>
        <w:t xml:space="preserve">2.sadaļā „3.1.2.1.1.apakšaktivitātes ietvaros īstenotie </w:t>
      </w:r>
      <w:r w:rsidR="00BC0C4C" w:rsidRPr="0093232E">
        <w:rPr>
          <w:szCs w:val="24"/>
        </w:rPr>
        <w:t>augstskolu</w:t>
      </w:r>
      <w:r w:rsidRPr="0093232E">
        <w:rPr>
          <w:szCs w:val="24"/>
        </w:rPr>
        <w:t xml:space="preserve"> projekti” (2.izklājlapa)</w:t>
      </w:r>
      <w:r w:rsidR="00BC0C4C" w:rsidRPr="0093232E">
        <w:rPr>
          <w:szCs w:val="24"/>
        </w:rPr>
        <w:t xml:space="preserve">, savukārt studiju programmas, kurās veikti ieguldījumi 3.1.2.1.1.apakšaktivitātes ietvaros, norādītas </w:t>
      </w:r>
      <w:r w:rsidR="00BC0C4C" w:rsidRPr="0093232E">
        <w:rPr>
          <w:bCs/>
          <w:szCs w:val="24"/>
        </w:rPr>
        <w:t>novērtējuma 1.pielikumā</w:t>
      </w:r>
      <w:r w:rsidRPr="0093232E">
        <w:rPr>
          <w:bCs/>
          <w:szCs w:val="24"/>
        </w:rPr>
        <w:t>.</w:t>
      </w:r>
    </w:p>
    <w:p w14:paraId="4FB7D99D" w14:textId="77777777" w:rsidR="00C77F01" w:rsidRPr="00F82230" w:rsidRDefault="00C77F01" w:rsidP="00C77F01">
      <w:pPr>
        <w:tabs>
          <w:tab w:val="left" w:pos="0"/>
        </w:tabs>
        <w:ind w:firstLine="567"/>
        <w:rPr>
          <w:szCs w:val="24"/>
          <w:lang w:eastAsia="lv-LV"/>
        </w:rPr>
      </w:pPr>
      <w:proofErr w:type="spellStart"/>
      <w:r w:rsidRPr="0093232E">
        <w:rPr>
          <w:szCs w:val="24"/>
        </w:rPr>
        <w:t>Izvērtējumi</w:t>
      </w:r>
      <w:proofErr w:type="spellEnd"/>
      <w:r w:rsidRPr="0093232E">
        <w:rPr>
          <w:szCs w:val="24"/>
        </w:rPr>
        <w:t xml:space="preserve"> vai auditu ziņojumi par 2007. – 2013. gada plānošanas perioda 3</w:t>
      </w:r>
      <w:r w:rsidRPr="0093232E">
        <w:rPr>
          <w:bCs/>
          <w:szCs w:val="24"/>
        </w:rPr>
        <w:t>.1.2.1.1.apakš</w:t>
      </w:r>
      <w:r w:rsidRPr="0093232E">
        <w:rPr>
          <w:szCs w:val="24"/>
        </w:rPr>
        <w:t xml:space="preserve">aktivitāti nav veikti. </w:t>
      </w:r>
      <w:r w:rsidRPr="0093232E">
        <w:rPr>
          <w:szCs w:val="24"/>
          <w:lang w:eastAsia="lv-LV"/>
        </w:rPr>
        <w:t>3.1.2.1.1.apakšaktivitātes ietvaros īstenoto augstskolu projektu realizēšana turpinājās līdz 2015.gada 31.decembrim.</w:t>
      </w:r>
      <w:r>
        <w:rPr>
          <w:szCs w:val="24"/>
          <w:lang w:eastAsia="lv-LV"/>
        </w:rPr>
        <w:t xml:space="preserve"> </w:t>
      </w:r>
    </w:p>
    <w:p w14:paraId="5B24484E" w14:textId="77777777" w:rsidR="005E03A5" w:rsidRPr="005E03A5" w:rsidRDefault="005E03A5" w:rsidP="005E03A5">
      <w:pPr>
        <w:pStyle w:val="Default"/>
        <w:ind w:firstLine="720"/>
        <w:jc w:val="both"/>
        <w:rPr>
          <w:bCs/>
        </w:rPr>
      </w:pPr>
    </w:p>
    <w:p w14:paraId="19F6C43C" w14:textId="77777777" w:rsidR="00F7350F" w:rsidRDefault="00F7350F" w:rsidP="00320C44">
      <w:pPr>
        <w:ind w:firstLine="720"/>
        <w:rPr>
          <w:b/>
          <w:szCs w:val="24"/>
        </w:rPr>
      </w:pPr>
    </w:p>
    <w:p w14:paraId="2AD2FADB" w14:textId="77777777" w:rsidR="00F07509" w:rsidRDefault="00F07509" w:rsidP="00D93672">
      <w:pPr>
        <w:pStyle w:val="Heading2"/>
      </w:pPr>
      <w:bookmarkStart w:id="20" w:name="_Toc457815673"/>
      <w:r w:rsidRPr="00780CC0">
        <w:t xml:space="preserve">2.2. KPFI investīcijas </w:t>
      </w:r>
      <w:r w:rsidR="00DB1C5F" w:rsidRPr="00780CC0">
        <w:t>augstskolu</w:t>
      </w:r>
      <w:r w:rsidRPr="00780CC0">
        <w:t xml:space="preserve"> infrastruktūrā 2007.-2013.gada plānošanas periodā</w:t>
      </w:r>
      <w:bookmarkEnd w:id="20"/>
    </w:p>
    <w:p w14:paraId="7AEE5ADA" w14:textId="77777777" w:rsidR="001D51D3" w:rsidRPr="001D51D3" w:rsidRDefault="001D51D3" w:rsidP="001D51D3"/>
    <w:p w14:paraId="25205F59" w14:textId="77777777" w:rsidR="003F6FB5" w:rsidRPr="00193141" w:rsidRDefault="003F6FB5" w:rsidP="003F6FB5">
      <w:pPr>
        <w:ind w:firstLine="720"/>
        <w:rPr>
          <w:szCs w:val="24"/>
          <w:lang w:eastAsia="lv-LV"/>
        </w:rPr>
      </w:pPr>
      <w:r w:rsidRPr="00193141">
        <w:rPr>
          <w:bCs/>
          <w:szCs w:val="24"/>
          <w:lang w:eastAsia="lv-LV"/>
        </w:rPr>
        <w:t xml:space="preserve">KPFI ir Latvijas Republikas valsts budžeta programma. </w:t>
      </w:r>
      <w:r w:rsidRPr="00193141">
        <w:rPr>
          <w:szCs w:val="24"/>
          <w:lang w:eastAsia="lv-LV"/>
        </w:rPr>
        <w:t>KPFI mērķis ir veicināt globālo klimata pārmaiņu novēršanu, pielāgošanos klimata pārmaiņu radītajām sekām un sekmēt siltumnīcefekta gāzu emisijas samazināšanu (piemēram, īstenojot pasākumus ēku energoefektivitātes uzlabošanai gan sabiedriskajā, gan privātajā sektorā, tehnoloģiju, kurās izmanto atjaunojamos energoresursus attīstīšanu un ieviešanu, kā arī īstenojot integrētus risinājumus siltumnīcefekta gāzu emisijas samazināšanai).</w:t>
      </w:r>
      <w:r>
        <w:rPr>
          <w:rStyle w:val="FootnoteReference"/>
          <w:szCs w:val="24"/>
          <w:lang w:eastAsia="lv-LV"/>
        </w:rPr>
        <w:footnoteReference w:id="33"/>
      </w:r>
    </w:p>
    <w:p w14:paraId="65F6A070" w14:textId="77777777" w:rsidR="003F6FB5" w:rsidRDefault="003F6FB5" w:rsidP="003F6FB5">
      <w:pPr>
        <w:ind w:firstLine="720"/>
        <w:rPr>
          <w:szCs w:val="24"/>
          <w:lang w:eastAsia="lv-LV"/>
        </w:rPr>
      </w:pPr>
      <w:r w:rsidRPr="00F45C6D">
        <w:rPr>
          <w:szCs w:val="24"/>
          <w:lang w:eastAsia="lv-LV"/>
        </w:rPr>
        <w:t>Vides aizsardzības un reģionālās attīstības ministrija ir KPFI budžeta programmas izpildītāja</w:t>
      </w:r>
      <w:r>
        <w:rPr>
          <w:szCs w:val="24"/>
          <w:lang w:eastAsia="lv-LV"/>
        </w:rPr>
        <w:t xml:space="preserve"> un pilda atbildīgās iestādes funkcijas tālāk minēto projektu atklāto konkursu ietvaros (novērtējuma 2.2.1. un 2.2.2.sadaļa).</w:t>
      </w:r>
    </w:p>
    <w:p w14:paraId="4175D0FD" w14:textId="77777777" w:rsidR="003F6FB5" w:rsidRPr="00A94D09" w:rsidRDefault="003F6FB5" w:rsidP="003F6FB5">
      <w:pPr>
        <w:pStyle w:val="Heading3"/>
        <w:ind w:firstLine="720"/>
      </w:pPr>
      <w:bookmarkStart w:id="21" w:name="_Toc457815674"/>
      <w:r w:rsidRPr="0009371C">
        <w:t>2.2.1. Projektu atklātais konkurss “Energoefektivitātes paaugstināšana augstākās izglītības iestāžu ēkās”</w:t>
      </w:r>
      <w:bookmarkEnd w:id="21"/>
      <w:r w:rsidRPr="00A94D09">
        <w:t xml:space="preserve"> </w:t>
      </w:r>
    </w:p>
    <w:p w14:paraId="5FDF4DC1" w14:textId="77777777" w:rsidR="003F6FB5" w:rsidRDefault="003F6FB5" w:rsidP="003F6FB5">
      <w:pPr>
        <w:ind w:firstLine="720"/>
        <w:rPr>
          <w:b/>
          <w:szCs w:val="24"/>
        </w:rPr>
      </w:pPr>
      <w:bookmarkStart w:id="22" w:name="325015"/>
      <w:bookmarkEnd w:id="22"/>
    </w:p>
    <w:p w14:paraId="14B6C8C5" w14:textId="77777777" w:rsidR="003F6FB5" w:rsidRDefault="003F6FB5" w:rsidP="003F6FB5">
      <w:pPr>
        <w:ind w:firstLine="720"/>
        <w:rPr>
          <w:szCs w:val="24"/>
          <w:lang w:eastAsia="lv-LV"/>
        </w:rPr>
      </w:pPr>
      <w:r w:rsidRPr="00C1026A">
        <w:rPr>
          <w:szCs w:val="24"/>
          <w:lang w:eastAsia="lv-LV"/>
        </w:rPr>
        <w:t xml:space="preserve">Konkursa “Energoefektivitātes paaugstināšana augstākās izglītības iestāžu ēkās” ietvaros projektus īstenoja 5 augstskolas – Latvijas Sporta pedagoģijas akadēmija, </w:t>
      </w:r>
      <w:r w:rsidR="00C1026A" w:rsidRPr="00C1026A">
        <w:rPr>
          <w:szCs w:val="24"/>
          <w:lang w:eastAsia="lv-LV"/>
        </w:rPr>
        <w:t>Rīgas Stradiņa universitāte</w:t>
      </w:r>
      <w:r w:rsidRPr="00C1026A">
        <w:rPr>
          <w:szCs w:val="24"/>
          <w:lang w:eastAsia="lv-LV"/>
        </w:rPr>
        <w:t xml:space="preserve">, </w:t>
      </w:r>
      <w:r w:rsidR="00C1026A" w:rsidRPr="00C1026A">
        <w:rPr>
          <w:szCs w:val="24"/>
          <w:lang w:eastAsia="lv-LV"/>
        </w:rPr>
        <w:t>Rēzeknes Tehnoloģiju akadēmija</w:t>
      </w:r>
      <w:r w:rsidRPr="00C1026A">
        <w:rPr>
          <w:szCs w:val="24"/>
          <w:lang w:eastAsia="lv-LV"/>
        </w:rPr>
        <w:t xml:space="preserve">, </w:t>
      </w:r>
      <w:r w:rsidR="00C1026A" w:rsidRPr="00C1026A">
        <w:rPr>
          <w:szCs w:val="24"/>
          <w:lang w:eastAsia="lv-LV"/>
        </w:rPr>
        <w:t>Rīgas Tehniskā universitāte</w:t>
      </w:r>
      <w:r w:rsidRPr="00C1026A">
        <w:rPr>
          <w:szCs w:val="24"/>
          <w:lang w:eastAsia="lv-LV"/>
        </w:rPr>
        <w:t xml:space="preserve"> un Rīgas </w:t>
      </w:r>
      <w:r w:rsidR="00C1026A" w:rsidRPr="00C1026A">
        <w:rPr>
          <w:szCs w:val="24"/>
          <w:lang w:eastAsia="lv-LV"/>
        </w:rPr>
        <w:t>Aeronavigācijas institūts</w:t>
      </w:r>
      <w:r w:rsidRPr="00C1026A">
        <w:rPr>
          <w:szCs w:val="24"/>
          <w:lang w:eastAsia="lv-LV"/>
        </w:rPr>
        <w:t>.</w:t>
      </w:r>
      <w:r w:rsidRPr="00C1026A">
        <w:rPr>
          <w:rStyle w:val="FootnoteReference"/>
          <w:szCs w:val="24"/>
          <w:lang w:eastAsia="lv-LV"/>
        </w:rPr>
        <w:footnoteReference w:id="34"/>
      </w:r>
      <w:r w:rsidRPr="00C1026A">
        <w:rPr>
          <w:szCs w:val="24"/>
          <w:lang w:eastAsia="lv-LV"/>
        </w:rPr>
        <w:t xml:space="preserve"> P</w:t>
      </w:r>
      <w:r w:rsidR="00C1026A" w:rsidRPr="00C1026A">
        <w:rPr>
          <w:szCs w:val="24"/>
          <w:lang w:eastAsia="lv-LV"/>
        </w:rPr>
        <w:t>rojekti ir uzsākti 2010.gada 3.</w:t>
      </w:r>
      <w:r w:rsidRPr="00C1026A">
        <w:rPr>
          <w:szCs w:val="24"/>
          <w:lang w:eastAsia="lv-LV"/>
        </w:rPr>
        <w:t xml:space="preserve">ceturksnī un īstenoti līdz 2013.gada </w:t>
      </w:r>
      <w:r w:rsidR="00C1026A" w:rsidRPr="00C1026A">
        <w:rPr>
          <w:szCs w:val="24"/>
          <w:lang w:eastAsia="lv-LV"/>
        </w:rPr>
        <w:t>2</w:t>
      </w:r>
      <w:r w:rsidRPr="00C1026A">
        <w:rPr>
          <w:szCs w:val="24"/>
          <w:lang w:eastAsia="lv-LV"/>
        </w:rPr>
        <w:t xml:space="preserve">.ceturksnim. </w:t>
      </w:r>
      <w:r w:rsidR="00C1026A" w:rsidRPr="00C1026A">
        <w:rPr>
          <w:szCs w:val="24"/>
          <w:lang w:eastAsia="lv-LV"/>
        </w:rPr>
        <w:t>Augstskolu</w:t>
      </w:r>
      <w:r w:rsidRPr="00C1026A">
        <w:rPr>
          <w:szCs w:val="24"/>
          <w:lang w:eastAsia="lv-LV"/>
        </w:rPr>
        <w:t xml:space="preserve"> projekti šī konkursa ietvaros īstenoti </w:t>
      </w:r>
      <w:r w:rsidR="00C1026A">
        <w:rPr>
          <w:szCs w:val="24"/>
          <w:lang w:eastAsia="lv-LV"/>
        </w:rPr>
        <w:t>6</w:t>
      </w:r>
      <w:r w:rsidRPr="00C1026A">
        <w:rPr>
          <w:szCs w:val="24"/>
          <w:lang w:eastAsia="lv-LV"/>
        </w:rPr>
        <w:t>,</w:t>
      </w:r>
      <w:r w:rsidR="00C1026A">
        <w:rPr>
          <w:szCs w:val="24"/>
          <w:lang w:eastAsia="lv-LV"/>
        </w:rPr>
        <w:t>45</w:t>
      </w:r>
      <w:r w:rsidR="00C1026A" w:rsidRPr="00C1026A">
        <w:rPr>
          <w:szCs w:val="24"/>
          <w:lang w:eastAsia="lv-LV"/>
        </w:rPr>
        <w:t xml:space="preserve"> </w:t>
      </w:r>
      <w:r w:rsidRPr="00C1026A">
        <w:rPr>
          <w:szCs w:val="24"/>
          <w:lang w:eastAsia="lv-LV"/>
        </w:rPr>
        <w:t xml:space="preserve">milj. </w:t>
      </w:r>
      <w:proofErr w:type="spellStart"/>
      <w:r w:rsidRPr="00C1026A">
        <w:rPr>
          <w:i/>
          <w:szCs w:val="24"/>
          <w:lang w:eastAsia="lv-LV"/>
        </w:rPr>
        <w:t>euro</w:t>
      </w:r>
      <w:proofErr w:type="spellEnd"/>
      <w:r w:rsidRPr="00C1026A">
        <w:rPr>
          <w:szCs w:val="24"/>
          <w:lang w:eastAsia="lv-LV"/>
        </w:rPr>
        <w:t xml:space="preserve"> apmērā. Projektu ietvaros veikti energoefektivitātes paaugstināšanas pasākumi </w:t>
      </w:r>
      <w:r w:rsidR="00C1026A">
        <w:rPr>
          <w:szCs w:val="24"/>
          <w:lang w:eastAsia="lv-LV"/>
        </w:rPr>
        <w:t>augstskolas</w:t>
      </w:r>
      <w:r w:rsidR="00C1026A" w:rsidRPr="00C1026A">
        <w:rPr>
          <w:szCs w:val="24"/>
          <w:lang w:eastAsia="lv-LV"/>
        </w:rPr>
        <w:t xml:space="preserve"> </w:t>
      </w:r>
      <w:r w:rsidR="00C1026A">
        <w:rPr>
          <w:szCs w:val="24"/>
          <w:lang w:eastAsia="lv-LV"/>
        </w:rPr>
        <w:t xml:space="preserve">mācību </w:t>
      </w:r>
      <w:r w:rsidRPr="00C1026A">
        <w:rPr>
          <w:szCs w:val="24"/>
          <w:lang w:eastAsia="lv-LV"/>
        </w:rPr>
        <w:t xml:space="preserve">ēkās </w:t>
      </w:r>
      <w:r w:rsidR="00C1026A">
        <w:rPr>
          <w:szCs w:val="24"/>
          <w:lang w:eastAsia="lv-LV"/>
        </w:rPr>
        <w:t xml:space="preserve">4 projektos </w:t>
      </w:r>
      <w:r w:rsidRPr="00C1026A">
        <w:rPr>
          <w:szCs w:val="24"/>
          <w:lang w:eastAsia="lv-LV"/>
        </w:rPr>
        <w:t>(</w:t>
      </w:r>
      <w:r w:rsidR="00C1026A">
        <w:rPr>
          <w:szCs w:val="24"/>
          <w:lang w:eastAsia="lv-LV"/>
        </w:rPr>
        <w:t>LSPA, RAI, RSU, RTA</w:t>
      </w:r>
      <w:r w:rsidRPr="00C1026A">
        <w:rPr>
          <w:szCs w:val="24"/>
          <w:lang w:eastAsia="lv-LV"/>
        </w:rPr>
        <w:t>)</w:t>
      </w:r>
      <w:r w:rsidR="00C1026A">
        <w:rPr>
          <w:szCs w:val="24"/>
          <w:lang w:eastAsia="lv-LV"/>
        </w:rPr>
        <w:t>,</w:t>
      </w:r>
      <w:r w:rsidRPr="00C1026A">
        <w:rPr>
          <w:szCs w:val="24"/>
          <w:lang w:eastAsia="lv-LV"/>
        </w:rPr>
        <w:t xml:space="preserve"> dienesta viesnīcās </w:t>
      </w:r>
      <w:r w:rsidR="00C1026A">
        <w:rPr>
          <w:szCs w:val="24"/>
          <w:lang w:eastAsia="lv-LV"/>
        </w:rPr>
        <w:t xml:space="preserve">3 projektos </w:t>
      </w:r>
      <w:r w:rsidRPr="00C1026A">
        <w:rPr>
          <w:szCs w:val="24"/>
          <w:lang w:eastAsia="lv-LV"/>
        </w:rPr>
        <w:t>(</w:t>
      </w:r>
      <w:r w:rsidR="00C1026A">
        <w:rPr>
          <w:szCs w:val="24"/>
          <w:lang w:eastAsia="lv-LV"/>
        </w:rPr>
        <w:t>RSU, RTA, RTU</w:t>
      </w:r>
      <w:r w:rsidRPr="00C1026A">
        <w:rPr>
          <w:szCs w:val="24"/>
          <w:lang w:eastAsia="lv-LV"/>
        </w:rPr>
        <w:t xml:space="preserve">), </w:t>
      </w:r>
      <w:r w:rsidR="00C1026A">
        <w:rPr>
          <w:szCs w:val="24"/>
          <w:lang w:eastAsia="lv-LV"/>
        </w:rPr>
        <w:t xml:space="preserve">sporta ēkās </w:t>
      </w:r>
      <w:r w:rsidRPr="00C1026A">
        <w:rPr>
          <w:szCs w:val="24"/>
          <w:lang w:eastAsia="lv-LV"/>
        </w:rPr>
        <w:t xml:space="preserve">2 projektos </w:t>
      </w:r>
      <w:r w:rsidR="00C1026A">
        <w:rPr>
          <w:szCs w:val="24"/>
          <w:lang w:eastAsia="lv-LV"/>
        </w:rPr>
        <w:t>(LSPA, RSU)</w:t>
      </w:r>
      <w:r w:rsidR="00780CC0">
        <w:rPr>
          <w:szCs w:val="24"/>
          <w:lang w:eastAsia="lv-LV"/>
        </w:rPr>
        <w:t xml:space="preserve"> un</w:t>
      </w:r>
      <w:r w:rsidR="00C1026A">
        <w:rPr>
          <w:szCs w:val="24"/>
          <w:lang w:eastAsia="lv-LV"/>
        </w:rPr>
        <w:t xml:space="preserve"> zinātnes centrā 1 projektā (RSU)</w:t>
      </w:r>
      <w:r w:rsidRPr="00C1026A">
        <w:rPr>
          <w:szCs w:val="24"/>
          <w:lang w:eastAsia="lv-LV"/>
        </w:rPr>
        <w:t>.</w:t>
      </w:r>
    </w:p>
    <w:p w14:paraId="4340F75F" w14:textId="77777777" w:rsidR="003F6FB5" w:rsidRDefault="003F6FB5" w:rsidP="003F6FB5">
      <w:pPr>
        <w:pStyle w:val="Heading3"/>
        <w:ind w:firstLine="720"/>
      </w:pPr>
      <w:bookmarkStart w:id="23" w:name="_Toc457815675"/>
      <w:r w:rsidRPr="0009371C">
        <w:t>2.2.2. Projektu atklātais konkurss “Kompleksi risinājumi siltumnīcefekta gāzu emisijas samazināšanai”</w:t>
      </w:r>
      <w:bookmarkEnd w:id="23"/>
    </w:p>
    <w:p w14:paraId="2E5ECE21" w14:textId="77777777" w:rsidR="003F6FB5" w:rsidRDefault="003F6FB5" w:rsidP="003F6FB5">
      <w:pPr>
        <w:ind w:firstLine="720"/>
        <w:rPr>
          <w:b/>
          <w:szCs w:val="24"/>
        </w:rPr>
      </w:pPr>
    </w:p>
    <w:p w14:paraId="0616A0EF" w14:textId="77777777" w:rsidR="003F6FB5" w:rsidRDefault="003F6FB5" w:rsidP="003F6FB5">
      <w:pPr>
        <w:pStyle w:val="Default"/>
        <w:ind w:firstLine="714"/>
        <w:jc w:val="both"/>
      </w:pPr>
      <w:r w:rsidRPr="00015E01">
        <w:t xml:space="preserve">Konkursa “Kompleksi risinājumi siltumnīcefekta gāzu emisijas samazināšanai” ietvaros projektus īstenoja 3 </w:t>
      </w:r>
      <w:r w:rsidR="00015E01" w:rsidRPr="00015E01">
        <w:t>augstskolas</w:t>
      </w:r>
      <w:r w:rsidRPr="00015E01">
        <w:t xml:space="preserve"> – </w:t>
      </w:r>
      <w:r w:rsidR="00015E01" w:rsidRPr="00015E01">
        <w:t>Liepājas Universitāte</w:t>
      </w:r>
      <w:r w:rsidRPr="00015E01">
        <w:t xml:space="preserve"> (konkursa </w:t>
      </w:r>
      <w:r w:rsidR="00015E01" w:rsidRPr="00015E01">
        <w:t>3</w:t>
      </w:r>
      <w:r w:rsidRPr="00015E01">
        <w:t xml:space="preserve">.kārtas ietvaros), </w:t>
      </w:r>
      <w:r w:rsidR="00015E01" w:rsidRPr="00015E01">
        <w:t xml:space="preserve">Latvijas Sporta pedagoģijas akadēmija </w:t>
      </w:r>
      <w:r w:rsidRPr="00015E01">
        <w:t xml:space="preserve">(konkursa 4.kārtas ietvaros) un </w:t>
      </w:r>
      <w:r w:rsidR="00015E01" w:rsidRPr="00015E01">
        <w:t>Rēzeknes Tehnoloģiju akadēmija</w:t>
      </w:r>
      <w:r w:rsidRPr="00015E01">
        <w:t xml:space="preserve"> (konkursa </w:t>
      </w:r>
      <w:r w:rsidR="00015E01" w:rsidRPr="00015E01">
        <w:t>3</w:t>
      </w:r>
      <w:r w:rsidRPr="00015E01">
        <w:t xml:space="preserve">.kārtas ietvaros). </w:t>
      </w:r>
      <w:r w:rsidR="00015E01" w:rsidRPr="00015E01">
        <w:t>Augstskolu</w:t>
      </w:r>
      <w:r w:rsidRPr="00015E01">
        <w:t xml:space="preserve"> projekti šī konkursa ietvaros īstenoti 1,</w:t>
      </w:r>
      <w:r w:rsidR="00015E01">
        <w:t>19</w:t>
      </w:r>
      <w:r w:rsidR="00015E01" w:rsidRPr="00015E01">
        <w:t xml:space="preserve"> </w:t>
      </w:r>
      <w:r w:rsidRPr="00015E01">
        <w:t xml:space="preserve">milj. </w:t>
      </w:r>
      <w:proofErr w:type="spellStart"/>
      <w:r w:rsidRPr="00015E01">
        <w:rPr>
          <w:i/>
        </w:rPr>
        <w:t>euro</w:t>
      </w:r>
      <w:proofErr w:type="spellEnd"/>
      <w:r w:rsidRPr="00015E01">
        <w:t xml:space="preserve"> apmērā.</w:t>
      </w:r>
      <w:r w:rsidRPr="00015E01">
        <w:rPr>
          <w:rStyle w:val="FootnoteReference"/>
        </w:rPr>
        <w:footnoteReference w:id="35"/>
      </w:r>
      <w:r w:rsidRPr="00015E01">
        <w:t xml:space="preserve"> Projektu ietvaros energoefektivitātes pasākumi veikti dienesta viesnīcā (</w:t>
      </w:r>
      <w:proofErr w:type="spellStart"/>
      <w:r w:rsidR="00015E01">
        <w:t>LiepU</w:t>
      </w:r>
      <w:proofErr w:type="spellEnd"/>
      <w:r w:rsidRPr="00015E01">
        <w:t>)</w:t>
      </w:r>
      <w:r w:rsidR="00015E01">
        <w:t>,</w:t>
      </w:r>
      <w:r w:rsidRPr="00015E01">
        <w:t xml:space="preserve"> ēkas korpusā </w:t>
      </w:r>
      <w:r w:rsidR="00015E01">
        <w:t xml:space="preserve">(LSPA) vai augstskolas katlu mājā </w:t>
      </w:r>
      <w:r w:rsidRPr="00015E01">
        <w:t>(</w:t>
      </w:r>
      <w:r w:rsidR="00015E01" w:rsidRPr="00015E01">
        <w:t>RT</w:t>
      </w:r>
      <w:r w:rsidR="00015E01">
        <w:t>A</w:t>
      </w:r>
      <w:r w:rsidRPr="00015E01">
        <w:t>).</w:t>
      </w:r>
    </w:p>
    <w:p w14:paraId="2D28953E" w14:textId="77777777" w:rsidR="003F6FB5" w:rsidRDefault="003F6FB5" w:rsidP="003F6FB5">
      <w:pPr>
        <w:pStyle w:val="Default"/>
        <w:ind w:firstLine="714"/>
        <w:jc w:val="both"/>
      </w:pPr>
    </w:p>
    <w:p w14:paraId="08F229A5" w14:textId="77777777" w:rsidR="003F6FB5" w:rsidRDefault="003F6FB5" w:rsidP="003F6FB5">
      <w:pPr>
        <w:pStyle w:val="Default"/>
        <w:ind w:firstLine="714"/>
        <w:jc w:val="both"/>
        <w:rPr>
          <w:bCs/>
        </w:rPr>
      </w:pPr>
      <w:r w:rsidRPr="00780CC0">
        <w:t xml:space="preserve">Kopumā secināms, ka ar KPFI finansējumu īstenoti </w:t>
      </w:r>
      <w:r w:rsidR="00015E01" w:rsidRPr="00780CC0">
        <w:t>8</w:t>
      </w:r>
      <w:r w:rsidRPr="00780CC0">
        <w:t xml:space="preserve"> projekti </w:t>
      </w:r>
      <w:r w:rsidR="00015E01" w:rsidRPr="00780CC0">
        <w:t>7,64</w:t>
      </w:r>
      <w:r w:rsidRPr="00780CC0">
        <w:t xml:space="preserve"> milj. </w:t>
      </w:r>
      <w:proofErr w:type="spellStart"/>
      <w:r w:rsidRPr="00780CC0">
        <w:rPr>
          <w:i/>
        </w:rPr>
        <w:t>euro</w:t>
      </w:r>
      <w:proofErr w:type="spellEnd"/>
      <w:r w:rsidRPr="00780CC0">
        <w:t xml:space="preserve"> apmērā, atbalstu sniedzot </w:t>
      </w:r>
      <w:r w:rsidR="00015E01" w:rsidRPr="00780CC0">
        <w:t>6</w:t>
      </w:r>
      <w:r w:rsidRPr="00780CC0">
        <w:t xml:space="preserve"> </w:t>
      </w:r>
      <w:r w:rsidR="00015E01" w:rsidRPr="00780CC0">
        <w:t xml:space="preserve">augstskolām </w:t>
      </w:r>
      <w:r w:rsidRPr="00780CC0">
        <w:t>(</w:t>
      </w:r>
      <w:r w:rsidR="00015E01" w:rsidRPr="00780CC0">
        <w:t>LSPA un RTA</w:t>
      </w:r>
      <w:r w:rsidRPr="00780CC0">
        <w:t xml:space="preserve"> īstenojusi 2 projektus). </w:t>
      </w:r>
      <w:r w:rsidRPr="00780CC0">
        <w:rPr>
          <w:bCs/>
        </w:rPr>
        <w:t xml:space="preserve">No šobrīd esošām </w:t>
      </w:r>
      <w:r w:rsidR="00780CC0" w:rsidRPr="00780CC0">
        <w:rPr>
          <w:bCs/>
        </w:rPr>
        <w:t>22</w:t>
      </w:r>
      <w:r w:rsidRPr="00780CC0">
        <w:rPr>
          <w:bCs/>
        </w:rPr>
        <w:t xml:space="preserve"> </w:t>
      </w:r>
      <w:r w:rsidR="00780CC0" w:rsidRPr="00780CC0">
        <w:rPr>
          <w:bCs/>
        </w:rPr>
        <w:t>augstskolām</w:t>
      </w:r>
      <w:r w:rsidRPr="00780CC0">
        <w:rPr>
          <w:bCs/>
        </w:rPr>
        <w:t xml:space="preserve">, kas īsteno STEM </w:t>
      </w:r>
      <w:r w:rsidR="00780CC0" w:rsidRPr="00780CC0">
        <w:rPr>
          <w:bCs/>
        </w:rPr>
        <w:t>jomas</w:t>
      </w:r>
      <w:r w:rsidRPr="00780CC0">
        <w:rPr>
          <w:bCs/>
        </w:rPr>
        <w:t xml:space="preserve"> studiju programmas, KPFI finansējumu 2007.-2013.gada plānošanas periodā nav saņēmušas </w:t>
      </w:r>
      <w:r w:rsidR="00780CC0" w:rsidRPr="00780CC0">
        <w:rPr>
          <w:bCs/>
        </w:rPr>
        <w:t>9</w:t>
      </w:r>
      <w:r w:rsidRPr="00780CC0">
        <w:rPr>
          <w:bCs/>
        </w:rPr>
        <w:t xml:space="preserve"> valsts </w:t>
      </w:r>
      <w:r w:rsidR="00780CC0" w:rsidRPr="00780CC0">
        <w:rPr>
          <w:bCs/>
        </w:rPr>
        <w:t xml:space="preserve">augstskolas un 7 privātās augstskolas. Secināms, ka </w:t>
      </w:r>
      <w:r w:rsidR="00780CC0" w:rsidRPr="00780CC0">
        <w:rPr>
          <w:bCs/>
        </w:rPr>
        <w:lastRenderedPageBreak/>
        <w:t xml:space="preserve">KPFI atbalsts sniegts tikai 27 </w:t>
      </w:r>
      <w:r w:rsidRPr="00780CC0">
        <w:rPr>
          <w:bCs/>
        </w:rPr>
        <w:t xml:space="preserve">% </w:t>
      </w:r>
      <w:r w:rsidR="00780CC0" w:rsidRPr="00780CC0">
        <w:rPr>
          <w:bCs/>
        </w:rPr>
        <w:t>augstskolu</w:t>
      </w:r>
      <w:r w:rsidRPr="00780CC0">
        <w:rPr>
          <w:bCs/>
        </w:rPr>
        <w:t xml:space="preserve">, kas īsteno STEM </w:t>
      </w:r>
      <w:r w:rsidR="00780CC0" w:rsidRPr="00780CC0">
        <w:rPr>
          <w:bCs/>
        </w:rPr>
        <w:t>jomas studiju programmas</w:t>
      </w:r>
      <w:r w:rsidRPr="00780CC0">
        <w:rPr>
          <w:bCs/>
        </w:rPr>
        <w:t xml:space="preserve">. Lielākoties ar KPFI atbalstu veikti energoefektivitātes pasākumi </w:t>
      </w:r>
      <w:r w:rsidR="00780CC0" w:rsidRPr="00780CC0">
        <w:rPr>
          <w:bCs/>
        </w:rPr>
        <w:t>augstskolu mācību ēkās</w:t>
      </w:r>
      <w:r w:rsidR="00E545A0">
        <w:rPr>
          <w:bCs/>
        </w:rPr>
        <w:t xml:space="preserve"> (</w:t>
      </w:r>
      <w:r w:rsidR="00780CC0" w:rsidRPr="00780CC0">
        <w:rPr>
          <w:bCs/>
        </w:rPr>
        <w:t>6 projektos no 8),</w:t>
      </w:r>
      <w:r w:rsidRPr="00780CC0">
        <w:rPr>
          <w:bCs/>
        </w:rPr>
        <w:t xml:space="preserve"> dienesta viesnīcu ēkās (</w:t>
      </w:r>
      <w:r w:rsidR="00780CC0" w:rsidRPr="00780CC0">
        <w:rPr>
          <w:bCs/>
        </w:rPr>
        <w:t>4</w:t>
      </w:r>
      <w:r w:rsidRPr="00780CC0">
        <w:rPr>
          <w:bCs/>
        </w:rPr>
        <w:t xml:space="preserve"> projektos no </w:t>
      </w:r>
      <w:r w:rsidR="00780CC0" w:rsidRPr="00780CC0">
        <w:rPr>
          <w:bCs/>
        </w:rPr>
        <w:t>8), sporta ēkās (2 projektos no 8).</w:t>
      </w:r>
      <w:r w:rsidRPr="00780CC0">
        <w:rPr>
          <w:bCs/>
        </w:rPr>
        <w:t xml:space="preserve"> Jāatzīmē, ka KPFI ieguldījumi nav attiecināmi pret konkrētām studiju programmām, tie ir vērsti uz </w:t>
      </w:r>
      <w:r w:rsidR="00780CC0" w:rsidRPr="00780CC0">
        <w:rPr>
          <w:bCs/>
        </w:rPr>
        <w:t>augstskolu</w:t>
      </w:r>
      <w:r w:rsidRPr="00780CC0">
        <w:rPr>
          <w:bCs/>
        </w:rPr>
        <w:t xml:space="preserve"> ēkām kopumā.</w:t>
      </w:r>
    </w:p>
    <w:p w14:paraId="4D34424F" w14:textId="77777777" w:rsidR="003F6FB5" w:rsidRDefault="003F6FB5" w:rsidP="003F6FB5">
      <w:pPr>
        <w:pStyle w:val="Default"/>
        <w:ind w:firstLine="714"/>
        <w:jc w:val="both"/>
        <w:rPr>
          <w:bCs/>
        </w:rPr>
      </w:pPr>
      <w:r w:rsidRPr="008E30EE">
        <w:t xml:space="preserve">Apkopojums par KPFI ieguldījumiem </w:t>
      </w:r>
      <w:r>
        <w:t>augstskolu</w:t>
      </w:r>
      <w:r w:rsidRPr="008E30EE">
        <w:t xml:space="preserve"> infrastruktūrā ir sniegts novērtējuma </w:t>
      </w:r>
      <w:r w:rsidR="00780CC0">
        <w:t>2</w:t>
      </w:r>
      <w:r w:rsidRPr="008E30EE">
        <w:t xml:space="preserve">.pielikuma </w:t>
      </w:r>
      <w:r>
        <w:t>3</w:t>
      </w:r>
      <w:r w:rsidRPr="008E30EE">
        <w:t>.sadaļā „</w:t>
      </w:r>
      <w:r w:rsidRPr="00C43701">
        <w:t xml:space="preserve">KPFI atbalstītie </w:t>
      </w:r>
      <w:r>
        <w:t>augstskolu</w:t>
      </w:r>
      <w:r w:rsidRPr="00C43701">
        <w:t xml:space="preserve"> projekti</w:t>
      </w:r>
      <w:r w:rsidRPr="008E30EE">
        <w:t>” (</w:t>
      </w:r>
      <w:r>
        <w:t>3</w:t>
      </w:r>
      <w:r w:rsidRPr="008E30EE">
        <w:t>.izklājlapa).</w:t>
      </w:r>
    </w:p>
    <w:p w14:paraId="68E0A059" w14:textId="77777777" w:rsidR="00305412" w:rsidRPr="008178E9" w:rsidRDefault="00305412" w:rsidP="00CA038A">
      <w:pPr>
        <w:pStyle w:val="Default"/>
        <w:ind w:firstLine="714"/>
        <w:jc w:val="both"/>
      </w:pPr>
    </w:p>
    <w:p w14:paraId="0C745365" w14:textId="77777777" w:rsidR="00ED32CE" w:rsidRDefault="00D53983" w:rsidP="00D93672">
      <w:pPr>
        <w:pStyle w:val="Heading2"/>
      </w:pPr>
      <w:bookmarkStart w:id="24" w:name="_Toc457815676"/>
      <w:r w:rsidRPr="0009371C">
        <w:t xml:space="preserve">2.3. </w:t>
      </w:r>
      <w:hyperlink r:id="rId35" w:tgtFrame="_self" w:history="1">
        <w:r w:rsidR="0011311F" w:rsidRPr="0009371C">
          <w:t>Eiropas teritoriālās sadarbības programm</w:t>
        </w:r>
      </w:hyperlink>
      <w:r w:rsidR="0011311F" w:rsidRPr="0009371C">
        <w:t xml:space="preserve">u </w:t>
      </w:r>
      <w:r w:rsidRPr="0009371C">
        <w:t xml:space="preserve">investīcijas </w:t>
      </w:r>
      <w:r w:rsidR="0011311F" w:rsidRPr="0009371C">
        <w:t>augstskolu</w:t>
      </w:r>
      <w:r w:rsidRPr="0009371C">
        <w:t xml:space="preserve"> infrastruktūrā 2007.-2013.gada plānošanas periodā</w:t>
      </w:r>
      <w:bookmarkEnd w:id="24"/>
    </w:p>
    <w:p w14:paraId="65B01418" w14:textId="77777777" w:rsidR="003573C0" w:rsidRDefault="003573C0" w:rsidP="003573C0">
      <w:pPr>
        <w:pStyle w:val="Default"/>
        <w:ind w:firstLine="720"/>
        <w:jc w:val="both"/>
      </w:pPr>
    </w:p>
    <w:p w14:paraId="2EFFC4B8" w14:textId="77777777" w:rsidR="00E545A0" w:rsidRDefault="004B5357" w:rsidP="003573C0">
      <w:pPr>
        <w:pStyle w:val="Default"/>
        <w:ind w:firstLine="720"/>
        <w:jc w:val="both"/>
        <w:rPr>
          <w:rStyle w:val="Strong"/>
          <w:b w:val="0"/>
        </w:rPr>
      </w:pPr>
      <w:r w:rsidRPr="0058230C">
        <w:rPr>
          <w:rStyle w:val="Strong"/>
          <w:b w:val="0"/>
        </w:rPr>
        <w:t xml:space="preserve">Pārskata periodā </w:t>
      </w:r>
      <w:r w:rsidR="00EE6CE9">
        <w:rPr>
          <w:rStyle w:val="Strong"/>
          <w:b w:val="0"/>
        </w:rPr>
        <w:t>augstskolām</w:t>
      </w:r>
      <w:r w:rsidRPr="0058230C">
        <w:rPr>
          <w:rStyle w:val="Strong"/>
          <w:b w:val="0"/>
        </w:rPr>
        <w:t xml:space="preserve"> bija pieejamas </w:t>
      </w:r>
      <w:hyperlink r:id="rId36" w:tgtFrame="_self" w:history="1">
        <w:r w:rsidRPr="0058230C">
          <w:rPr>
            <w:rStyle w:val="Strong"/>
            <w:b w:val="0"/>
            <w:bCs w:val="0"/>
          </w:rPr>
          <w:t xml:space="preserve">Eiropas Savienības struktūrfondu 3. mērķa „Eiropas teritoriālā sadarbība” </w:t>
        </w:r>
        <w:r w:rsidR="004F7A4A">
          <w:rPr>
            <w:rStyle w:val="Strong"/>
            <w:b w:val="0"/>
            <w:bCs w:val="0"/>
          </w:rPr>
          <w:t xml:space="preserve">(turpmāk – ETS) </w:t>
        </w:r>
        <w:r w:rsidRPr="0058230C">
          <w:rPr>
            <w:rStyle w:val="Strong"/>
            <w:b w:val="0"/>
            <w:bCs w:val="0"/>
          </w:rPr>
          <w:t>programm</w:t>
        </w:r>
      </w:hyperlink>
      <w:r w:rsidRPr="0058230C">
        <w:rPr>
          <w:rStyle w:val="Strong"/>
          <w:b w:val="0"/>
        </w:rPr>
        <w:t>as</w:t>
      </w:r>
      <w:r w:rsidR="00E545A0" w:rsidRPr="0058230C">
        <w:rPr>
          <w:rStyle w:val="FootnoteReference"/>
          <w:bCs/>
        </w:rPr>
        <w:footnoteReference w:id="36"/>
      </w:r>
      <w:r w:rsidR="00C1462E">
        <w:rPr>
          <w:rStyle w:val="Strong"/>
          <w:b w:val="0"/>
        </w:rPr>
        <w:t xml:space="preserve">. </w:t>
      </w:r>
      <w:r w:rsidR="00B678CA">
        <w:rPr>
          <w:rStyle w:val="Strong"/>
          <w:b w:val="0"/>
        </w:rPr>
        <w:t>Saskaņā ar VARAM sniegto informāciju</w:t>
      </w:r>
      <w:r w:rsidR="00BD74E9">
        <w:rPr>
          <w:rStyle w:val="FootnoteReference"/>
          <w:bCs/>
        </w:rPr>
        <w:footnoteReference w:id="37"/>
      </w:r>
      <w:r w:rsidR="00B678CA">
        <w:rPr>
          <w:rStyle w:val="Strong"/>
          <w:b w:val="0"/>
        </w:rPr>
        <w:t xml:space="preserve"> i</w:t>
      </w:r>
      <w:r w:rsidR="00C1462E">
        <w:rPr>
          <w:rStyle w:val="Strong"/>
          <w:b w:val="0"/>
        </w:rPr>
        <w:t xml:space="preserve">eguldījumi augstskolu infrastruktūrā </w:t>
      </w:r>
      <w:r w:rsidR="00B678CA">
        <w:rPr>
          <w:rStyle w:val="Strong"/>
          <w:b w:val="0"/>
        </w:rPr>
        <w:t xml:space="preserve">pārsvarā </w:t>
      </w:r>
      <w:r w:rsidR="00C1462E">
        <w:rPr>
          <w:rStyle w:val="Strong"/>
          <w:b w:val="0"/>
        </w:rPr>
        <w:t>tika veikti</w:t>
      </w:r>
      <w:r w:rsidR="005B28C5">
        <w:rPr>
          <w:rStyle w:val="Strong"/>
          <w:b w:val="0"/>
        </w:rPr>
        <w:t xml:space="preserve"> sekojošu sadarbības programmu ietvaros</w:t>
      </w:r>
      <w:r w:rsidR="00B678CA">
        <w:rPr>
          <w:rStyle w:val="Strong"/>
          <w:b w:val="0"/>
        </w:rPr>
        <w:t>:</w:t>
      </w:r>
      <w:r w:rsidR="00C1462E">
        <w:rPr>
          <w:rStyle w:val="Strong"/>
          <w:b w:val="0"/>
        </w:rPr>
        <w:t xml:space="preserve"> </w:t>
      </w:r>
    </w:p>
    <w:p w14:paraId="252AA52E" w14:textId="77777777" w:rsidR="00E545A0" w:rsidRPr="00EE6CE9" w:rsidRDefault="000D15A0" w:rsidP="00B47005">
      <w:pPr>
        <w:pStyle w:val="Default"/>
        <w:numPr>
          <w:ilvl w:val="0"/>
          <w:numId w:val="27"/>
        </w:numPr>
        <w:ind w:left="1071" w:hanging="357"/>
        <w:jc w:val="both"/>
        <w:rPr>
          <w:rStyle w:val="Strong"/>
          <w:b w:val="0"/>
          <w:bCs w:val="0"/>
        </w:rPr>
      </w:pPr>
      <w:r w:rsidRPr="00EE6CE9">
        <w:rPr>
          <w:rStyle w:val="Strong"/>
          <w:b w:val="0"/>
          <w:bCs w:val="0"/>
        </w:rPr>
        <w:t>Igaunijas – Latvijas pārrobežu sadarbības programma;</w:t>
      </w:r>
    </w:p>
    <w:p w14:paraId="700FA37C" w14:textId="77777777" w:rsidR="004B5357" w:rsidRPr="00EE6CE9" w:rsidRDefault="000D15A0" w:rsidP="00B47005">
      <w:pPr>
        <w:pStyle w:val="Default"/>
        <w:numPr>
          <w:ilvl w:val="0"/>
          <w:numId w:val="27"/>
        </w:numPr>
        <w:ind w:left="1071" w:hanging="357"/>
        <w:jc w:val="both"/>
        <w:rPr>
          <w:rStyle w:val="Strong"/>
          <w:b w:val="0"/>
          <w:bCs w:val="0"/>
        </w:rPr>
      </w:pPr>
      <w:r w:rsidRPr="00EE6CE9">
        <w:rPr>
          <w:rStyle w:val="Strong"/>
          <w:b w:val="0"/>
          <w:bCs w:val="0"/>
        </w:rPr>
        <w:t>Latvijas - Lietuvas pārrobežu sadarbības programma;</w:t>
      </w:r>
    </w:p>
    <w:p w14:paraId="22FFBAB8" w14:textId="77777777" w:rsidR="00E545A0" w:rsidRPr="00EE6CE9" w:rsidRDefault="000D15A0" w:rsidP="00B47005">
      <w:pPr>
        <w:pStyle w:val="Default"/>
        <w:numPr>
          <w:ilvl w:val="0"/>
          <w:numId w:val="27"/>
        </w:numPr>
        <w:ind w:left="1071" w:hanging="357"/>
        <w:jc w:val="both"/>
        <w:rPr>
          <w:rStyle w:val="Strong"/>
          <w:b w:val="0"/>
          <w:bCs w:val="0"/>
        </w:rPr>
      </w:pPr>
      <w:r w:rsidRPr="00EE6CE9">
        <w:rPr>
          <w:rStyle w:val="Strong"/>
          <w:b w:val="0"/>
          <w:bCs w:val="0"/>
        </w:rPr>
        <w:t>Latvijas – Igaunijas – Krievijas pārrobežu sadarbības programma;</w:t>
      </w:r>
    </w:p>
    <w:p w14:paraId="47AAE342" w14:textId="77777777" w:rsidR="00E545A0" w:rsidRPr="00EE6CE9" w:rsidRDefault="000D15A0" w:rsidP="00B47005">
      <w:pPr>
        <w:pStyle w:val="Default"/>
        <w:numPr>
          <w:ilvl w:val="0"/>
          <w:numId w:val="27"/>
        </w:numPr>
        <w:ind w:left="1071" w:hanging="357"/>
        <w:jc w:val="both"/>
        <w:rPr>
          <w:rStyle w:val="Strong"/>
          <w:b w:val="0"/>
          <w:bCs w:val="0"/>
        </w:rPr>
      </w:pPr>
      <w:r w:rsidRPr="00EE6CE9">
        <w:rPr>
          <w:rStyle w:val="Strong"/>
          <w:b w:val="0"/>
          <w:bCs w:val="0"/>
        </w:rPr>
        <w:t>Latvijas – Lietuvas – Baltkrievijas pārrobežu sadarbības programma</w:t>
      </w:r>
      <w:r w:rsidR="00E4711B">
        <w:rPr>
          <w:rStyle w:val="Strong"/>
          <w:b w:val="0"/>
          <w:bCs w:val="0"/>
        </w:rPr>
        <w:t>.</w:t>
      </w:r>
    </w:p>
    <w:p w14:paraId="01DD4095" w14:textId="77777777" w:rsidR="00506A15" w:rsidRDefault="00506A15" w:rsidP="004F7A4A">
      <w:pPr>
        <w:ind w:firstLine="714"/>
      </w:pPr>
      <w:r>
        <w:rPr>
          <w:rStyle w:val="Strong"/>
          <w:b w:val="0"/>
          <w:bCs w:val="0"/>
        </w:rPr>
        <w:t>Iepriekš minēto 4 ETS programmu ietvaros projektus, kas cita starpā sniedz ieguldījumus arī augstskolu infrastruktūrā, ir īstenojušas 7 augstskolas</w:t>
      </w:r>
      <w:r w:rsidR="004F7A4A">
        <w:rPr>
          <w:rStyle w:val="Strong"/>
          <w:b w:val="0"/>
          <w:bCs w:val="0"/>
        </w:rPr>
        <w:t xml:space="preserve"> </w:t>
      </w:r>
      <w:r w:rsidR="004F7A4A" w:rsidRPr="004F7A4A">
        <w:rPr>
          <w:rStyle w:val="Strong"/>
          <w:b w:val="0"/>
          <w:bCs w:val="0"/>
        </w:rPr>
        <w:t>–</w:t>
      </w:r>
      <w:r w:rsidR="00BC690C">
        <w:rPr>
          <w:rStyle w:val="Strong"/>
          <w:b w:val="0"/>
          <w:bCs w:val="0"/>
        </w:rPr>
        <w:t xml:space="preserve"> </w:t>
      </w:r>
      <w:r w:rsidR="004F7A4A">
        <w:rPr>
          <w:rStyle w:val="Strong"/>
          <w:b w:val="0"/>
          <w:bCs w:val="0"/>
        </w:rPr>
        <w:t>Daugavpils Universitāte</w:t>
      </w:r>
      <w:r w:rsidRPr="004F7A4A">
        <w:rPr>
          <w:rStyle w:val="Strong"/>
          <w:b w:val="0"/>
        </w:rPr>
        <w:t>, Liep</w:t>
      </w:r>
      <w:r w:rsidR="004F7A4A">
        <w:rPr>
          <w:rStyle w:val="Strong"/>
          <w:b w:val="0"/>
        </w:rPr>
        <w:t xml:space="preserve">ājas </w:t>
      </w:r>
      <w:r w:rsidRPr="004F7A4A">
        <w:rPr>
          <w:rStyle w:val="Strong"/>
          <w:b w:val="0"/>
        </w:rPr>
        <w:t>U</w:t>
      </w:r>
      <w:r w:rsidR="004F7A4A">
        <w:rPr>
          <w:rStyle w:val="Strong"/>
          <w:b w:val="0"/>
        </w:rPr>
        <w:t>niversitāte</w:t>
      </w:r>
      <w:r w:rsidRPr="004F7A4A">
        <w:rPr>
          <w:rStyle w:val="Strong"/>
          <w:b w:val="0"/>
        </w:rPr>
        <w:t xml:space="preserve">, </w:t>
      </w:r>
      <w:r w:rsidR="004F7A4A">
        <w:rPr>
          <w:rStyle w:val="Strong"/>
          <w:b w:val="0"/>
          <w:bCs w:val="0"/>
        </w:rPr>
        <w:t>Latvijas Lauksaimniecības universitāte</w:t>
      </w:r>
      <w:r w:rsidRPr="004F7A4A">
        <w:rPr>
          <w:rStyle w:val="Strong"/>
          <w:b w:val="0"/>
        </w:rPr>
        <w:t xml:space="preserve">, </w:t>
      </w:r>
      <w:r w:rsidR="004F7A4A">
        <w:rPr>
          <w:rStyle w:val="Strong"/>
          <w:b w:val="0"/>
          <w:bCs w:val="0"/>
        </w:rPr>
        <w:t>Latvijas Universitāte</w:t>
      </w:r>
      <w:r w:rsidRPr="004F7A4A">
        <w:rPr>
          <w:rStyle w:val="Strong"/>
          <w:b w:val="0"/>
        </w:rPr>
        <w:t xml:space="preserve">, </w:t>
      </w:r>
      <w:r w:rsidR="004F7A4A">
        <w:rPr>
          <w:rStyle w:val="Strong"/>
          <w:b w:val="0"/>
        </w:rPr>
        <w:t>Rēzeknes Tehnoloģiju akadēmija</w:t>
      </w:r>
      <w:r w:rsidRPr="004F7A4A">
        <w:rPr>
          <w:rStyle w:val="Strong"/>
          <w:b w:val="0"/>
        </w:rPr>
        <w:t xml:space="preserve">, </w:t>
      </w:r>
      <w:r w:rsidR="004F7A4A">
        <w:rPr>
          <w:rStyle w:val="Strong"/>
          <w:b w:val="0"/>
        </w:rPr>
        <w:t>Rīgas Tehniskā universitāte</w:t>
      </w:r>
      <w:r w:rsidR="004F7A4A" w:rsidRPr="004F7A4A">
        <w:rPr>
          <w:rStyle w:val="Strong"/>
          <w:b w:val="0"/>
        </w:rPr>
        <w:t xml:space="preserve"> </w:t>
      </w:r>
      <w:r w:rsidRPr="004F7A4A">
        <w:rPr>
          <w:rStyle w:val="Strong"/>
          <w:b w:val="0"/>
        </w:rPr>
        <w:t xml:space="preserve">un </w:t>
      </w:r>
      <w:r w:rsidR="004F7A4A">
        <w:rPr>
          <w:rStyle w:val="Strong"/>
          <w:b w:val="0"/>
        </w:rPr>
        <w:t>Ventspils Augstskola</w:t>
      </w:r>
      <w:r w:rsidRPr="004F7A4A">
        <w:rPr>
          <w:rStyle w:val="Strong"/>
          <w:b w:val="0"/>
        </w:rPr>
        <w:t>.</w:t>
      </w:r>
      <w:r w:rsidRPr="004F7A4A">
        <w:rPr>
          <w:rStyle w:val="Strong"/>
        </w:rPr>
        <w:t xml:space="preserve"> </w:t>
      </w:r>
      <w:r>
        <w:rPr>
          <w:rStyle w:val="Strong"/>
          <w:b w:val="0"/>
          <w:bCs w:val="0"/>
        </w:rPr>
        <w:t>Visvairāk projektu</w:t>
      </w:r>
      <w:r w:rsidR="004F7A4A">
        <w:rPr>
          <w:rStyle w:val="Strong"/>
          <w:b w:val="0"/>
          <w:bCs w:val="0"/>
        </w:rPr>
        <w:t xml:space="preserve">, kas paredz ieguldījumus arī augstskolu infrastruktūrā, </w:t>
      </w:r>
      <w:r>
        <w:rPr>
          <w:rStyle w:val="Strong"/>
          <w:b w:val="0"/>
          <w:bCs w:val="0"/>
        </w:rPr>
        <w:t xml:space="preserve">ir īstenojusi Ventspils Augstskola, ar ERAF ieguldīju kopsummu augstskolu infrastruktūrā 0,66 milj. </w:t>
      </w:r>
      <w:proofErr w:type="spellStart"/>
      <w:r w:rsidRPr="00BD74E9">
        <w:rPr>
          <w:rStyle w:val="Strong"/>
          <w:b w:val="0"/>
          <w:bCs w:val="0"/>
          <w:i/>
        </w:rPr>
        <w:t>euro</w:t>
      </w:r>
      <w:proofErr w:type="spellEnd"/>
      <w:r>
        <w:rPr>
          <w:rStyle w:val="Strong"/>
          <w:b w:val="0"/>
          <w:bCs w:val="0"/>
          <w:i/>
        </w:rPr>
        <w:t xml:space="preserve">. </w:t>
      </w:r>
      <w:r w:rsidRPr="00506A15">
        <w:rPr>
          <w:rStyle w:val="Strong"/>
          <w:b w:val="0"/>
          <w:bCs w:val="0"/>
        </w:rPr>
        <w:t xml:space="preserve">7 projektus ir īstenojusi </w:t>
      </w:r>
      <w:r w:rsidR="00BD74E9">
        <w:rPr>
          <w:rStyle w:val="Strong"/>
          <w:b w:val="0"/>
          <w:bCs w:val="0"/>
        </w:rPr>
        <w:t xml:space="preserve">Daugavpils Universitāte, ar ERAF ieguldīju kopsummu </w:t>
      </w:r>
      <w:r w:rsidR="0016135B">
        <w:rPr>
          <w:rStyle w:val="Strong"/>
          <w:b w:val="0"/>
          <w:bCs w:val="0"/>
        </w:rPr>
        <w:t xml:space="preserve">augstskolu infrastruktūrā </w:t>
      </w:r>
      <w:r w:rsidR="00BD74E9">
        <w:rPr>
          <w:rStyle w:val="Strong"/>
          <w:b w:val="0"/>
          <w:bCs w:val="0"/>
        </w:rPr>
        <w:t xml:space="preserve">0,29 milj. </w:t>
      </w:r>
      <w:proofErr w:type="spellStart"/>
      <w:r w:rsidR="00BD74E9" w:rsidRPr="00BD74E9">
        <w:rPr>
          <w:rStyle w:val="Strong"/>
          <w:b w:val="0"/>
          <w:bCs w:val="0"/>
          <w:i/>
        </w:rPr>
        <w:t>euro</w:t>
      </w:r>
      <w:proofErr w:type="spellEnd"/>
      <w:r w:rsidR="00BD74E9">
        <w:rPr>
          <w:rStyle w:val="Strong"/>
          <w:b w:val="0"/>
          <w:bCs w:val="0"/>
        </w:rPr>
        <w:t xml:space="preserve">. </w:t>
      </w:r>
      <w:r>
        <w:rPr>
          <w:rStyle w:val="Strong"/>
          <w:b w:val="0"/>
          <w:bCs w:val="0"/>
        </w:rPr>
        <w:t xml:space="preserve">Tāpat 7 projektus ir īstenojusi </w:t>
      </w:r>
      <w:r w:rsidR="00BD74E9">
        <w:rPr>
          <w:rStyle w:val="Strong"/>
          <w:b w:val="0"/>
          <w:bCs w:val="0"/>
        </w:rPr>
        <w:t>Latvijas Lauksaimniecības universitāte, ERAF ieguldīju kopsumm</w:t>
      </w:r>
      <w:r>
        <w:rPr>
          <w:rStyle w:val="Strong"/>
          <w:b w:val="0"/>
          <w:bCs w:val="0"/>
        </w:rPr>
        <w:t>a -</w:t>
      </w:r>
      <w:r w:rsidR="00BD74E9">
        <w:rPr>
          <w:rStyle w:val="Strong"/>
          <w:b w:val="0"/>
          <w:bCs w:val="0"/>
        </w:rPr>
        <w:t xml:space="preserve"> 0,16</w:t>
      </w:r>
      <w:r>
        <w:rPr>
          <w:rStyle w:val="Strong"/>
          <w:b w:val="0"/>
          <w:bCs w:val="0"/>
        </w:rPr>
        <w:t xml:space="preserve"> </w:t>
      </w:r>
      <w:r w:rsidR="00BD74E9">
        <w:rPr>
          <w:rStyle w:val="Strong"/>
          <w:b w:val="0"/>
          <w:bCs w:val="0"/>
        </w:rPr>
        <w:t xml:space="preserve">milj. </w:t>
      </w:r>
      <w:proofErr w:type="spellStart"/>
      <w:r w:rsidR="00BD74E9" w:rsidRPr="00BD74E9">
        <w:rPr>
          <w:rStyle w:val="Strong"/>
          <w:b w:val="0"/>
          <w:bCs w:val="0"/>
          <w:i/>
        </w:rPr>
        <w:t>euro</w:t>
      </w:r>
      <w:proofErr w:type="spellEnd"/>
      <w:r w:rsidR="00BD74E9">
        <w:rPr>
          <w:rStyle w:val="Strong"/>
          <w:b w:val="0"/>
          <w:bCs w:val="0"/>
        </w:rPr>
        <w:t>.</w:t>
      </w:r>
      <w:r w:rsidRPr="00506A15">
        <w:t xml:space="preserve"> </w:t>
      </w:r>
      <w:r>
        <w:t xml:space="preserve">Apkopojums par </w:t>
      </w:r>
      <w:r w:rsidR="004F7A4A">
        <w:t xml:space="preserve">visiem </w:t>
      </w:r>
      <w:r>
        <w:t>ETS atbalstītajiem augstskolu projektiem, kas cita starpā paredz ieguldījumus arī augstskolu infrastruktūrā, ir sniegts novērtējuma 2.pielikuma 4.sadaļā „</w:t>
      </w:r>
      <w:r w:rsidRPr="00506A15">
        <w:t>ETS atbalstītie aug</w:t>
      </w:r>
      <w:r>
        <w:t>s</w:t>
      </w:r>
      <w:r w:rsidRPr="00506A15">
        <w:t>tskolu projekti</w:t>
      </w:r>
      <w:r>
        <w:t>” (4.izklājlapa).</w:t>
      </w:r>
      <w:r w:rsidR="004F7A4A" w:rsidRPr="004F7A4A">
        <w:rPr>
          <w:rStyle w:val="Strong"/>
          <w:b w:val="0"/>
          <w:bCs w:val="0"/>
        </w:rPr>
        <w:t xml:space="preserve"> </w:t>
      </w:r>
      <w:r w:rsidR="004F7A4A">
        <w:rPr>
          <w:rStyle w:val="Strong"/>
          <w:b w:val="0"/>
          <w:bCs w:val="0"/>
        </w:rPr>
        <w:t>Jāatzīmē, ka pārskatā periodā ir bijuši arī citi augstskolu īstenoti projekti, bet tie nav devuši ieguldījumus augstskolu infrastruktūrā.</w:t>
      </w:r>
    </w:p>
    <w:p w14:paraId="2003534C" w14:textId="77777777" w:rsidR="004F7A4A" w:rsidRDefault="004F7A4A" w:rsidP="004F7A4A">
      <w:pPr>
        <w:pStyle w:val="Default"/>
        <w:ind w:firstLine="720"/>
        <w:jc w:val="both"/>
        <w:rPr>
          <w:rStyle w:val="Strong"/>
          <w:b w:val="0"/>
          <w:bCs w:val="0"/>
        </w:rPr>
      </w:pPr>
      <w:r w:rsidRPr="00EE6CE9">
        <w:rPr>
          <w:rStyle w:val="Strong"/>
          <w:b w:val="0"/>
        </w:rPr>
        <w:t xml:space="preserve">Kopējie ERAF ieguldījumi ETS programmu ietvaros augstskolu infrastruktūrā veido 1,45 milj. </w:t>
      </w:r>
      <w:proofErr w:type="spellStart"/>
      <w:r w:rsidRPr="00EE6CE9">
        <w:rPr>
          <w:rStyle w:val="Strong"/>
          <w:b w:val="0"/>
          <w:i/>
        </w:rPr>
        <w:t>euro</w:t>
      </w:r>
      <w:proofErr w:type="spellEnd"/>
      <w:r w:rsidRPr="00EE6CE9">
        <w:rPr>
          <w:rStyle w:val="Strong"/>
          <w:b w:val="0"/>
        </w:rPr>
        <w:t xml:space="preserve">. Lielākie ieguldījumi ir bijuši </w:t>
      </w:r>
      <w:r w:rsidRPr="00EE6CE9">
        <w:rPr>
          <w:rStyle w:val="Strong"/>
          <w:b w:val="0"/>
          <w:bCs w:val="0"/>
        </w:rPr>
        <w:t>Latvijas - Lietuvas pārrobežu sadarbības programmas ietvaros</w:t>
      </w:r>
      <w:r w:rsidR="00E4711B">
        <w:rPr>
          <w:rStyle w:val="Strong"/>
          <w:b w:val="0"/>
          <w:bCs w:val="0"/>
        </w:rPr>
        <w:t xml:space="preserve"> </w:t>
      </w:r>
      <w:r w:rsidR="00E4711B" w:rsidRPr="00EE6CE9">
        <w:rPr>
          <w:rStyle w:val="Strong"/>
          <w:b w:val="0"/>
          <w:bCs w:val="0"/>
        </w:rPr>
        <w:t>–</w:t>
      </w:r>
      <w:r w:rsidRPr="00EE6CE9">
        <w:rPr>
          <w:rStyle w:val="Strong"/>
          <w:b w:val="0"/>
          <w:bCs w:val="0"/>
        </w:rPr>
        <w:t xml:space="preserve"> 1,26 milj. </w:t>
      </w:r>
      <w:proofErr w:type="spellStart"/>
      <w:r w:rsidRPr="00EE6CE9">
        <w:rPr>
          <w:rStyle w:val="Strong"/>
          <w:b w:val="0"/>
          <w:bCs w:val="0"/>
          <w:i/>
        </w:rPr>
        <w:t>euro</w:t>
      </w:r>
      <w:proofErr w:type="spellEnd"/>
      <w:r w:rsidRPr="00EE6CE9">
        <w:rPr>
          <w:rStyle w:val="Strong"/>
          <w:b w:val="0"/>
          <w:bCs w:val="0"/>
        </w:rPr>
        <w:t xml:space="preserve">, pārējo </w:t>
      </w:r>
      <w:r>
        <w:rPr>
          <w:rStyle w:val="Strong"/>
          <w:b w:val="0"/>
          <w:bCs w:val="0"/>
        </w:rPr>
        <w:t>3 ETS</w:t>
      </w:r>
      <w:r w:rsidRPr="00EE6CE9">
        <w:rPr>
          <w:rStyle w:val="Strong"/>
          <w:b w:val="0"/>
          <w:bCs w:val="0"/>
        </w:rPr>
        <w:t xml:space="preserve"> programm</w:t>
      </w:r>
      <w:r>
        <w:rPr>
          <w:rStyle w:val="Strong"/>
          <w:b w:val="0"/>
          <w:bCs w:val="0"/>
        </w:rPr>
        <w:t>u</w:t>
      </w:r>
      <w:r w:rsidRPr="00EE6CE9">
        <w:rPr>
          <w:rStyle w:val="Strong"/>
          <w:b w:val="0"/>
          <w:bCs w:val="0"/>
        </w:rPr>
        <w:t xml:space="preserve"> ietvaros kopējie ieguldījumi sasniedz 0,19 milj. </w:t>
      </w:r>
      <w:proofErr w:type="spellStart"/>
      <w:r w:rsidRPr="00EE6CE9">
        <w:rPr>
          <w:rStyle w:val="Strong"/>
          <w:b w:val="0"/>
          <w:bCs w:val="0"/>
          <w:i/>
        </w:rPr>
        <w:t>euro</w:t>
      </w:r>
      <w:proofErr w:type="spellEnd"/>
      <w:r w:rsidRPr="00EE6CE9">
        <w:rPr>
          <w:rStyle w:val="Strong"/>
          <w:b w:val="0"/>
          <w:bCs w:val="0"/>
        </w:rPr>
        <w:t>.</w:t>
      </w:r>
      <w:r>
        <w:rPr>
          <w:rStyle w:val="Strong"/>
          <w:b w:val="0"/>
          <w:bCs w:val="0"/>
        </w:rPr>
        <w:t xml:space="preserve"> </w:t>
      </w:r>
    </w:p>
    <w:p w14:paraId="3A9F42CF" w14:textId="77777777" w:rsidR="004E1841" w:rsidRDefault="004E1841" w:rsidP="004E1841">
      <w:pPr>
        <w:pStyle w:val="Default"/>
        <w:ind w:firstLine="720"/>
        <w:jc w:val="both"/>
        <w:rPr>
          <w:rStyle w:val="Strong"/>
          <w:b w:val="0"/>
          <w:bCs w:val="0"/>
        </w:rPr>
      </w:pPr>
      <w:r w:rsidRPr="004C593E">
        <w:rPr>
          <w:rStyle w:val="Strong"/>
          <w:b w:val="0"/>
          <w:bCs w:val="0"/>
        </w:rPr>
        <w:t>ETS programmu ietvaros ieguldījumi augstskolu infrastruktūrā pamatā tika veikti aprīkojuma iegādei - iekārtu, datortehnikas, laboratoriju aprīkojuma modernizēšanai, datorprogrammu iegādei. Atsevišķos gadījumos tika veikti arī nelieli telpu renovācijas darbi.</w:t>
      </w:r>
    </w:p>
    <w:p w14:paraId="0AD2D286" w14:textId="77777777" w:rsidR="00BD74E9" w:rsidRDefault="00BD74E9" w:rsidP="003573C0">
      <w:pPr>
        <w:pStyle w:val="Default"/>
        <w:ind w:firstLine="720"/>
        <w:jc w:val="both"/>
        <w:rPr>
          <w:rStyle w:val="Strong"/>
          <w:b w:val="0"/>
        </w:rPr>
      </w:pPr>
    </w:p>
    <w:p w14:paraId="54E3118E" w14:textId="77777777" w:rsidR="00DF0FB9" w:rsidRDefault="00DF0FB9" w:rsidP="00021348"/>
    <w:p w14:paraId="26255B3D" w14:textId="77777777" w:rsidR="00B01140" w:rsidRPr="00A94D09" w:rsidRDefault="00B01140" w:rsidP="00D93672">
      <w:pPr>
        <w:pStyle w:val="Heading2"/>
        <w:rPr>
          <w:rFonts w:eastAsia="Calibri"/>
          <w:color w:val="000000"/>
        </w:rPr>
      </w:pPr>
      <w:bookmarkStart w:id="25" w:name="_Toc457815677"/>
      <w:r w:rsidRPr="00A94D09">
        <w:t>2.4.</w:t>
      </w:r>
      <w:r w:rsidRPr="00A94D09">
        <w:rPr>
          <w:rStyle w:val="st"/>
          <w:b w:val="0"/>
        </w:rPr>
        <w:t xml:space="preserve"> </w:t>
      </w:r>
      <w:r w:rsidRPr="00A94D09">
        <w:t xml:space="preserve">Valsts budžeta ieguldījumi </w:t>
      </w:r>
      <w:r w:rsidR="004C665C">
        <w:t>augstskolu</w:t>
      </w:r>
      <w:r w:rsidRPr="00A94D09">
        <w:t xml:space="preserve"> infrastruktūrā</w:t>
      </w:r>
      <w:r w:rsidR="00A87CE3">
        <w:t xml:space="preserve"> </w:t>
      </w:r>
      <w:r w:rsidRPr="00A94D09">
        <w:t>2007.-2013.gada plānošanas periodā</w:t>
      </w:r>
      <w:bookmarkEnd w:id="25"/>
    </w:p>
    <w:p w14:paraId="022A0729" w14:textId="77777777" w:rsidR="00B01140" w:rsidRPr="00A94D09" w:rsidRDefault="00B01140" w:rsidP="008101E7">
      <w:pPr>
        <w:autoSpaceDE w:val="0"/>
        <w:autoSpaceDN w:val="0"/>
        <w:adjustRightInd w:val="0"/>
        <w:ind w:firstLine="720"/>
        <w:rPr>
          <w:rFonts w:eastAsia="Calibri"/>
          <w:bCs/>
          <w:iCs/>
          <w:color w:val="000000"/>
          <w:szCs w:val="24"/>
        </w:rPr>
      </w:pPr>
    </w:p>
    <w:p w14:paraId="216154C3" w14:textId="77777777" w:rsidR="00C17856" w:rsidRDefault="00C17856" w:rsidP="00C17856">
      <w:pPr>
        <w:autoSpaceDE w:val="0"/>
        <w:autoSpaceDN w:val="0"/>
        <w:adjustRightInd w:val="0"/>
        <w:spacing w:after="120"/>
        <w:ind w:firstLine="720"/>
        <w:rPr>
          <w:rFonts w:eastAsia="Calibri"/>
          <w:color w:val="000000"/>
          <w:szCs w:val="24"/>
          <w:lang w:eastAsia="lv-LV"/>
        </w:rPr>
      </w:pPr>
      <w:r>
        <w:rPr>
          <w:color w:val="000000"/>
          <w:szCs w:val="24"/>
        </w:rPr>
        <w:t>Valsts budžeta finansējums augstskolām tika piešķirts kā finansējums studiju vietām, no kura augstskolas kā atvasinātas publiskās personas patstāvīgi plānoja izdevumus atalgojumam, infrastruktūras uzturēšanai u.c. Atsevišķas, izņēmuma kārtā piešķirtās mērķa dotācijas infrastruktūrai bija statistiski nenozīmīgas.</w:t>
      </w:r>
      <w:r w:rsidR="00E10754" w:rsidRPr="00E10754">
        <w:rPr>
          <w:rFonts w:eastAsia="Calibri"/>
          <w:color w:val="000000"/>
          <w:szCs w:val="24"/>
          <w:lang w:eastAsia="lv-LV"/>
        </w:rPr>
        <w:t xml:space="preserve"> </w:t>
      </w:r>
      <w:r w:rsidR="00E10754">
        <w:rPr>
          <w:rFonts w:eastAsia="Calibri"/>
          <w:color w:val="000000"/>
          <w:szCs w:val="24"/>
          <w:lang w:eastAsia="lv-LV"/>
        </w:rPr>
        <w:t>P</w:t>
      </w:r>
      <w:r w:rsidR="00E10754" w:rsidRPr="001E14E9">
        <w:rPr>
          <w:rFonts w:eastAsia="Calibri"/>
          <w:color w:val="000000"/>
          <w:szCs w:val="24"/>
          <w:lang w:eastAsia="lv-LV"/>
        </w:rPr>
        <w:t xml:space="preserve">ārsvarā ieguldījumi </w:t>
      </w:r>
      <w:r w:rsidR="00E10754">
        <w:rPr>
          <w:rFonts w:eastAsia="Calibri"/>
          <w:color w:val="000000"/>
          <w:szCs w:val="24"/>
          <w:lang w:eastAsia="lv-LV"/>
        </w:rPr>
        <w:t>augstskolu</w:t>
      </w:r>
      <w:r w:rsidR="00E10754" w:rsidRPr="001E14E9">
        <w:rPr>
          <w:rFonts w:eastAsia="Calibri"/>
          <w:color w:val="000000"/>
          <w:szCs w:val="24"/>
          <w:lang w:eastAsia="lv-LV"/>
        </w:rPr>
        <w:t xml:space="preserve"> infrastruktūrā tiek veikti </w:t>
      </w:r>
      <w:r w:rsidR="00AE04FF">
        <w:rPr>
          <w:rFonts w:eastAsia="Calibri"/>
          <w:color w:val="000000"/>
          <w:szCs w:val="24"/>
          <w:lang w:eastAsia="lv-LV"/>
        </w:rPr>
        <w:t xml:space="preserve">ar </w:t>
      </w:r>
      <w:r w:rsidR="00E10754" w:rsidRPr="001E14E9">
        <w:rPr>
          <w:rFonts w:eastAsia="Calibri"/>
          <w:color w:val="000000"/>
          <w:szCs w:val="24"/>
          <w:lang w:eastAsia="lv-LV"/>
        </w:rPr>
        <w:t>ERAF</w:t>
      </w:r>
      <w:r w:rsidR="00AE04FF">
        <w:rPr>
          <w:rFonts w:eastAsia="Calibri"/>
          <w:color w:val="000000"/>
          <w:szCs w:val="24"/>
          <w:lang w:eastAsia="lv-LV"/>
        </w:rPr>
        <w:t xml:space="preserve"> un </w:t>
      </w:r>
      <w:r w:rsidR="00E10754" w:rsidRPr="001E14E9">
        <w:rPr>
          <w:rFonts w:eastAsia="Calibri"/>
          <w:color w:val="000000"/>
          <w:szCs w:val="24"/>
          <w:lang w:eastAsia="lv-LV"/>
        </w:rPr>
        <w:t xml:space="preserve">KPFI </w:t>
      </w:r>
      <w:r w:rsidR="00AE04FF">
        <w:rPr>
          <w:rFonts w:eastAsia="Calibri"/>
          <w:color w:val="000000"/>
          <w:szCs w:val="24"/>
          <w:lang w:eastAsia="lv-LV"/>
        </w:rPr>
        <w:t>atbalstu</w:t>
      </w:r>
      <w:r w:rsidR="00E10754" w:rsidRPr="001E14E9">
        <w:rPr>
          <w:rFonts w:eastAsia="Calibri"/>
          <w:color w:val="000000"/>
          <w:szCs w:val="24"/>
          <w:lang w:eastAsia="lv-LV"/>
        </w:rPr>
        <w:t>.</w:t>
      </w:r>
    </w:p>
    <w:p w14:paraId="2DFD7E68" w14:textId="77777777" w:rsidR="002B567E" w:rsidRPr="00A94D09" w:rsidRDefault="002B567E" w:rsidP="00A94D09">
      <w:pPr>
        <w:pStyle w:val="Heading1"/>
        <w:spacing w:before="0" w:line="240" w:lineRule="auto"/>
        <w:jc w:val="center"/>
        <w:rPr>
          <w:szCs w:val="24"/>
        </w:rPr>
      </w:pPr>
      <w:r w:rsidRPr="003D11CD">
        <w:br w:type="page"/>
      </w:r>
      <w:bookmarkStart w:id="26" w:name="_Toc409448076"/>
      <w:bookmarkStart w:id="27" w:name="_Toc457815678"/>
      <w:r w:rsidR="00DB1230" w:rsidRPr="00A94D09">
        <w:lastRenderedPageBreak/>
        <w:t xml:space="preserve">3. </w:t>
      </w:r>
      <w:bookmarkStart w:id="28" w:name="_Toc385413137"/>
      <w:r w:rsidRPr="00A94D09">
        <w:t>Secinājumi par ieviešanas mehānismu 2007. – 2013. gada plānošanas periodā un nepieciešamajām izmaiņām 2014. – 2020. gada periodā kontekstā</w:t>
      </w:r>
      <w:bookmarkEnd w:id="26"/>
      <w:bookmarkEnd w:id="27"/>
      <w:bookmarkEnd w:id="28"/>
    </w:p>
    <w:p w14:paraId="70E723C9" w14:textId="77777777" w:rsidR="0013747D" w:rsidRDefault="0013747D" w:rsidP="00DD6A3D">
      <w:pPr>
        <w:spacing w:after="60"/>
        <w:ind w:right="198" w:firstLine="567"/>
        <w:rPr>
          <w:szCs w:val="24"/>
        </w:rPr>
      </w:pPr>
    </w:p>
    <w:p w14:paraId="6E54C536" w14:textId="77777777" w:rsidR="00882813" w:rsidRDefault="00882813" w:rsidP="00DD6A3D">
      <w:pPr>
        <w:spacing w:after="60"/>
        <w:ind w:firstLine="720"/>
        <w:rPr>
          <w:szCs w:val="24"/>
        </w:rPr>
      </w:pPr>
      <w:r>
        <w:rPr>
          <w:szCs w:val="24"/>
        </w:rPr>
        <w:t xml:space="preserve">Šajā sadaļā tiks apkopoti secinājumi par 2007.-2013.gada plānošanas perioda </w:t>
      </w:r>
      <w:r w:rsidRPr="00B06725">
        <w:rPr>
          <w:bCs/>
          <w:szCs w:val="24"/>
        </w:rPr>
        <w:t>3.1.2.1.1.</w:t>
      </w:r>
      <w:r w:rsidRPr="00B06725">
        <w:rPr>
          <w:szCs w:val="24"/>
        </w:rPr>
        <w:t>apakšaktivitātes</w:t>
      </w:r>
      <w:r>
        <w:rPr>
          <w:szCs w:val="24"/>
        </w:rPr>
        <w:t xml:space="preserve"> ieviešanas mehānismu, norādot pozitīvo pieredzi, ko būtu vērts pārņemt </w:t>
      </w:r>
      <w:r w:rsidRPr="009F616F">
        <w:rPr>
          <w:szCs w:val="24"/>
        </w:rPr>
        <w:t>2014</w:t>
      </w:r>
      <w:r>
        <w:rPr>
          <w:szCs w:val="24"/>
        </w:rPr>
        <w:t>.</w:t>
      </w:r>
      <w:r w:rsidRPr="009F616F">
        <w:rPr>
          <w:szCs w:val="24"/>
        </w:rPr>
        <w:t xml:space="preserve"> – 2020. gada plānošanas periodā</w:t>
      </w:r>
      <w:r>
        <w:rPr>
          <w:szCs w:val="24"/>
        </w:rPr>
        <w:t>, kā arī norādot traucējošos faktorus</w:t>
      </w:r>
      <w:r w:rsidRPr="00882813">
        <w:rPr>
          <w:szCs w:val="24"/>
        </w:rPr>
        <w:t xml:space="preserve"> </w:t>
      </w:r>
      <w:r w:rsidRPr="009F616F">
        <w:rPr>
          <w:szCs w:val="24"/>
        </w:rPr>
        <w:t>izvirzīto rezultātu un mērķu sasniegšanā</w:t>
      </w:r>
      <w:r>
        <w:rPr>
          <w:szCs w:val="24"/>
        </w:rPr>
        <w:t>.</w:t>
      </w:r>
    </w:p>
    <w:p w14:paraId="451E97BC" w14:textId="77777777" w:rsidR="009E32ED" w:rsidRPr="00B81DAD" w:rsidRDefault="00B81DAD" w:rsidP="00DD6A3D">
      <w:pPr>
        <w:ind w:firstLine="720"/>
        <w:rPr>
          <w:szCs w:val="24"/>
        </w:rPr>
      </w:pPr>
      <w:r w:rsidRPr="00B81DAD">
        <w:rPr>
          <w:szCs w:val="24"/>
        </w:rPr>
        <w:t xml:space="preserve">Plānojot 2014.-2020. gada plānošanas perioda ES fondu investīcijas augstākajā izglītībā un zinātnē, </w:t>
      </w:r>
      <w:r w:rsidR="005948C2" w:rsidRPr="00B81DAD">
        <w:rPr>
          <w:szCs w:val="24"/>
        </w:rPr>
        <w:t>IZM sadarb</w:t>
      </w:r>
      <w:r w:rsidRPr="00B81DAD">
        <w:rPr>
          <w:szCs w:val="24"/>
        </w:rPr>
        <w:t>ībā ar VIAA</w:t>
      </w:r>
      <w:r w:rsidR="005948C2" w:rsidRPr="00B81DAD">
        <w:rPr>
          <w:szCs w:val="24"/>
        </w:rPr>
        <w:t xml:space="preserve"> organiz</w:t>
      </w:r>
      <w:r w:rsidR="007F5827">
        <w:rPr>
          <w:szCs w:val="24"/>
        </w:rPr>
        <w:t>ēja publiskās diskusijas. 2014.gada 23.</w:t>
      </w:r>
      <w:r w:rsidR="005948C2" w:rsidRPr="00B81DAD">
        <w:rPr>
          <w:szCs w:val="24"/>
        </w:rPr>
        <w:t>aprīlī notika diskusija “Augstākās izglītības politikas instrumentu izvēle un iekļaušana ES struktūrfondu 2014.-2020. gada plānošanas periodā”. Minētajās diskusijās secināts</w:t>
      </w:r>
      <w:r w:rsidR="009F7F1E" w:rsidRPr="00B81DAD">
        <w:rPr>
          <w:rStyle w:val="FootnoteReference"/>
          <w:szCs w:val="24"/>
        </w:rPr>
        <w:footnoteReference w:id="38"/>
      </w:r>
      <w:r w:rsidR="005948C2" w:rsidRPr="00B81DAD">
        <w:rPr>
          <w:szCs w:val="24"/>
        </w:rPr>
        <w:t>, ka ES struktūrfondu 2007.-2013. gada plānošanas perioda</w:t>
      </w:r>
      <w:r w:rsidR="005948C2" w:rsidRPr="00B81DAD">
        <w:rPr>
          <w:b/>
          <w:szCs w:val="24"/>
        </w:rPr>
        <w:t xml:space="preserve"> </w:t>
      </w:r>
      <w:r w:rsidR="005948C2" w:rsidRPr="00B81DAD">
        <w:rPr>
          <w:szCs w:val="24"/>
        </w:rPr>
        <w:t xml:space="preserve">atbalsts augstākās izglītības iestāžu infrastruktūras uzlabošanai bija ļoti būtisks un ļāva sakārtot novecojušo infrastruktūru, radīt mūsdienīgu un pievilcīgu mācību vidi, iegādāties modernu aprīkojumu. </w:t>
      </w:r>
    </w:p>
    <w:p w14:paraId="41AFEF86" w14:textId="77777777" w:rsidR="009E32ED" w:rsidRPr="00B81DAD" w:rsidRDefault="005948C2" w:rsidP="00DD6A3D">
      <w:pPr>
        <w:ind w:firstLine="720"/>
        <w:rPr>
          <w:szCs w:val="24"/>
        </w:rPr>
      </w:pPr>
      <w:r w:rsidRPr="00B81DAD">
        <w:rPr>
          <w:b/>
          <w:szCs w:val="24"/>
        </w:rPr>
        <w:t>Problēmas</w:t>
      </w:r>
      <w:r w:rsidRPr="00B81DAD">
        <w:rPr>
          <w:szCs w:val="24"/>
        </w:rPr>
        <w:t xml:space="preserve">: (1) infrastruktūras projektu īstenošana bija pārāk birokrātiska valstī pārspīlēto prasību dēļ, (2) iepirkumu procedūra nodrošina lētākā piedāvājuma izvēli, bet nenodrošina kvalitāti, (3) nebija paredzēts finansējums projektu administrēšanai, (4) projekti tika sasteigti saspringto termiņu dēļ, (5) nosakot pieejamo finansējumu, institucionāli netika ņemta vērā spēja eksportēt izglītības pakalpojumus, bet tikai galvenā atrašanās vieta, pat ne studentu īpatsvars no reģioniem, un līdz ar to atsevišķos gadījumos tika noteikti mazi koeficienti, (6) iegādājamā aprīkojuma pārklāšanās kā problēma, jo </w:t>
      </w:r>
      <w:r w:rsidR="009D28A7" w:rsidRPr="00B81DAD">
        <w:rPr>
          <w:szCs w:val="24"/>
        </w:rPr>
        <w:t>augstākās izglītības</w:t>
      </w:r>
      <w:r w:rsidRPr="00B81DAD">
        <w:rPr>
          <w:szCs w:val="24"/>
        </w:rPr>
        <w:t xml:space="preserve"> infrastruktūrai netika veikta stratēģiju saskaņošana pa institūcijām. </w:t>
      </w:r>
    </w:p>
    <w:p w14:paraId="1584B48F" w14:textId="77777777" w:rsidR="005948C2" w:rsidRPr="00B81DAD" w:rsidRDefault="005948C2" w:rsidP="00DD6A3D">
      <w:pPr>
        <w:ind w:firstLine="720"/>
        <w:rPr>
          <w:szCs w:val="24"/>
        </w:rPr>
      </w:pPr>
      <w:r w:rsidRPr="00B81DAD">
        <w:rPr>
          <w:b/>
          <w:szCs w:val="24"/>
        </w:rPr>
        <w:t>Priekšlikumi</w:t>
      </w:r>
      <w:r w:rsidRPr="00B81DAD">
        <w:rPr>
          <w:szCs w:val="24"/>
        </w:rPr>
        <w:t>: (1) attīstot Augstākās izglītības iestāžu infrastruktūru 2014.-2020. gadu periodā, absolūta prioritāte dodama projektiem ar pabeigtu tehniskā projekta fāzi, jo tas ne tikai samazina risku, bet arī demonstrē institūcijas nodomu nopietnību, (2) attīstīt pilna cikla modernas konkurētspējīgas studijas ar struktūrfondu atbalstu, jo 2007.</w:t>
      </w:r>
      <w:r w:rsidR="0053391E">
        <w:rPr>
          <w:szCs w:val="24"/>
        </w:rPr>
        <w:t>-</w:t>
      </w:r>
      <w:r w:rsidRPr="00B81DAD">
        <w:rPr>
          <w:szCs w:val="24"/>
        </w:rPr>
        <w:t xml:space="preserve">2013. gadu periodā nav modernizētas visas prioritāras studiju programmas, (3) veikt valstī izveidoto </w:t>
      </w:r>
      <w:r w:rsidR="009D28A7" w:rsidRPr="00B81DAD">
        <w:rPr>
          <w:szCs w:val="24"/>
        </w:rPr>
        <w:t xml:space="preserve">Valsts nozīmes pētniecības centru </w:t>
      </w:r>
      <w:r w:rsidR="00882813" w:rsidRPr="00B81DAD">
        <w:rPr>
          <w:szCs w:val="24"/>
        </w:rPr>
        <w:t xml:space="preserve">(turpmāk - VNPC) </w:t>
      </w:r>
      <w:proofErr w:type="spellStart"/>
      <w:r w:rsidRPr="00B81DAD">
        <w:rPr>
          <w:szCs w:val="24"/>
        </w:rPr>
        <w:t>izvērtējumu</w:t>
      </w:r>
      <w:proofErr w:type="spellEnd"/>
      <w:r w:rsidRPr="00B81DAD">
        <w:rPr>
          <w:szCs w:val="24"/>
        </w:rPr>
        <w:t>, (4) projektu ieviešanas prasības valstī noteikt, pārņemot labo praksi no 7.Ietvara programmas projektu ieviešanas, (5) nodrošināt, lai ar katru projektu</w:t>
      </w:r>
      <w:r w:rsidRPr="00B81DAD">
        <w:rPr>
          <w:szCs w:val="24"/>
          <w:lang w:eastAsia="lv-LV"/>
        </w:rPr>
        <w:t xml:space="preserve"> strādā </w:t>
      </w:r>
      <w:r w:rsidR="00042BB8">
        <w:rPr>
          <w:szCs w:val="24"/>
          <w:lang w:eastAsia="lv-LV"/>
        </w:rPr>
        <w:t xml:space="preserve">viens un tas pats </w:t>
      </w:r>
      <w:r w:rsidRPr="00B81DAD">
        <w:rPr>
          <w:szCs w:val="24"/>
          <w:lang w:eastAsia="lv-LV"/>
        </w:rPr>
        <w:t>cilvēks, kurš uzrauga arī projekta saturisko kvalitāti</w:t>
      </w:r>
      <w:r w:rsidRPr="00B81DAD">
        <w:rPr>
          <w:szCs w:val="24"/>
        </w:rPr>
        <w:t>, (6) paredzēt finansējumu projekta administrēšanai, (6) izstrādāt VNPC pārvaldības modeli, nodrošinot iegādātās aparatūras pieejamību.</w:t>
      </w:r>
    </w:p>
    <w:p w14:paraId="1F0F935D" w14:textId="77777777" w:rsidR="009E32ED" w:rsidRPr="00B81DAD" w:rsidRDefault="009E32ED" w:rsidP="00DD6A3D">
      <w:pPr>
        <w:ind w:firstLine="720"/>
        <w:rPr>
          <w:szCs w:val="24"/>
        </w:rPr>
      </w:pPr>
      <w:r w:rsidRPr="00B81DAD">
        <w:rPr>
          <w:szCs w:val="24"/>
        </w:rPr>
        <w:t>D</w:t>
      </w:r>
      <w:r w:rsidR="005948C2" w:rsidRPr="00B81DAD">
        <w:rPr>
          <w:szCs w:val="24"/>
        </w:rPr>
        <w:t xml:space="preserve">iskusijās tika </w:t>
      </w:r>
      <w:r w:rsidRPr="00B81DAD">
        <w:rPr>
          <w:szCs w:val="24"/>
        </w:rPr>
        <w:t>iezīmēt</w:t>
      </w:r>
      <w:r w:rsidR="00A1442A" w:rsidRPr="00B81DAD">
        <w:rPr>
          <w:szCs w:val="24"/>
        </w:rPr>
        <w:t>i</w:t>
      </w:r>
      <w:r w:rsidR="00D44B9E" w:rsidRPr="00B81DAD">
        <w:rPr>
          <w:szCs w:val="24"/>
        </w:rPr>
        <w:t xml:space="preserve"> arī šād</w:t>
      </w:r>
      <w:r w:rsidR="00A1442A" w:rsidRPr="00B81DAD">
        <w:rPr>
          <w:szCs w:val="24"/>
        </w:rPr>
        <w:t>i</w:t>
      </w:r>
      <w:r w:rsidR="00D44B9E" w:rsidRPr="00B81DAD">
        <w:rPr>
          <w:szCs w:val="24"/>
        </w:rPr>
        <w:t xml:space="preserve"> </w:t>
      </w:r>
      <w:proofErr w:type="spellStart"/>
      <w:r w:rsidR="00D44B9E" w:rsidRPr="00B81DAD">
        <w:rPr>
          <w:szCs w:val="24"/>
        </w:rPr>
        <w:t>problēm</w:t>
      </w:r>
      <w:r w:rsidR="00A1442A" w:rsidRPr="00B81DAD">
        <w:rPr>
          <w:szCs w:val="24"/>
        </w:rPr>
        <w:t>jautājumi</w:t>
      </w:r>
      <w:proofErr w:type="spellEnd"/>
      <w:r w:rsidRPr="00B81DAD">
        <w:rPr>
          <w:szCs w:val="24"/>
        </w:rPr>
        <w:t xml:space="preserve"> saistībā ar augstākās izglītības iestāžu infrastruktūru:</w:t>
      </w:r>
    </w:p>
    <w:p w14:paraId="33952037" w14:textId="77777777" w:rsidR="009E32ED" w:rsidRPr="00B81DAD" w:rsidRDefault="009E32ED" w:rsidP="00722156">
      <w:pPr>
        <w:pStyle w:val="ListParagraph"/>
        <w:numPr>
          <w:ilvl w:val="0"/>
          <w:numId w:val="12"/>
        </w:numPr>
        <w:ind w:left="714" w:hanging="357"/>
        <w:rPr>
          <w:szCs w:val="24"/>
        </w:rPr>
      </w:pPr>
      <w:r w:rsidRPr="00B81DAD">
        <w:rPr>
          <w:szCs w:val="24"/>
        </w:rPr>
        <w:t>K</w:t>
      </w:r>
      <w:r w:rsidR="00D44B9E" w:rsidRPr="00B81DAD">
        <w:rPr>
          <w:szCs w:val="24"/>
        </w:rPr>
        <w:t>oledžu un augstskolu, kuru studiju programmas nav prioritāro nozaru vidū, infrastruktūra ir novecojusi, nepieciešams plānot infrastruktūras un moderna aprīkojuma iegādi sadarbībā ar nozares uzņēmējiem</w:t>
      </w:r>
      <w:r w:rsidRPr="00B81DAD">
        <w:rPr>
          <w:szCs w:val="24"/>
        </w:rPr>
        <w:t>;</w:t>
      </w:r>
    </w:p>
    <w:p w14:paraId="7B01B81E" w14:textId="77777777" w:rsidR="005948C2" w:rsidRPr="00B81DAD" w:rsidRDefault="009E32ED" w:rsidP="00722156">
      <w:pPr>
        <w:pStyle w:val="ListParagraph"/>
        <w:numPr>
          <w:ilvl w:val="0"/>
          <w:numId w:val="12"/>
        </w:numPr>
        <w:ind w:left="714" w:hanging="357"/>
        <w:rPr>
          <w:szCs w:val="24"/>
        </w:rPr>
      </w:pPr>
      <w:r w:rsidRPr="00B81DAD">
        <w:rPr>
          <w:szCs w:val="24"/>
        </w:rPr>
        <w:t>Augstākās izglītības iestādēm trūkst finansējuma iegādātās, kopīgi izmantojamās aparatūras uzturēšanai. Priekšlikums augstākās izglītības iestādēm aktualizēt sadarbības stratēģijas infrastruktūras izmantošanai un sadarbībai ar uzņēmējiem.</w:t>
      </w:r>
    </w:p>
    <w:p w14:paraId="0C014472" w14:textId="77777777" w:rsidR="00A1442A" w:rsidRPr="00B81DAD" w:rsidRDefault="00A1442A" w:rsidP="00722156">
      <w:pPr>
        <w:pStyle w:val="ListParagraph"/>
        <w:numPr>
          <w:ilvl w:val="0"/>
          <w:numId w:val="12"/>
        </w:numPr>
        <w:ind w:left="714" w:hanging="357"/>
        <w:rPr>
          <w:szCs w:val="24"/>
        </w:rPr>
      </w:pPr>
      <w:r w:rsidRPr="00B81DAD">
        <w:rPr>
          <w:szCs w:val="24"/>
        </w:rPr>
        <w:t xml:space="preserve">Atbalstu nepieciešams plānot kopīgiem infrastruktūras objektiem, kam ir pieprasījums no tautsaimniecības puses un kur ir pietiekami liels studentu skaits. Šādus atvērta tipa infrastruktūras objektus var izmantot citas </w:t>
      </w:r>
      <w:r w:rsidR="00882813" w:rsidRPr="00B81DAD">
        <w:rPr>
          <w:szCs w:val="24"/>
        </w:rPr>
        <w:t>augstākās izglītības</w:t>
      </w:r>
      <w:r w:rsidRPr="00B81DAD">
        <w:rPr>
          <w:szCs w:val="24"/>
        </w:rPr>
        <w:t xml:space="preserve"> iestādes un uzņēmēji. Finansējums būtu nepieciešams arī uzturēšanai, izmantošanas izmaksām (darba grupas viedo materiālu, tehnoloģiju un </w:t>
      </w:r>
      <w:proofErr w:type="spellStart"/>
      <w:r w:rsidRPr="00B81DAD">
        <w:rPr>
          <w:szCs w:val="24"/>
        </w:rPr>
        <w:t>inženiersistēmu</w:t>
      </w:r>
      <w:proofErr w:type="spellEnd"/>
      <w:r w:rsidRPr="00B81DAD">
        <w:rPr>
          <w:szCs w:val="24"/>
        </w:rPr>
        <w:t xml:space="preserve"> jomā priekšlikums).</w:t>
      </w:r>
    </w:p>
    <w:p w14:paraId="27AB9279" w14:textId="77777777" w:rsidR="00B81DAD" w:rsidRPr="00100F93" w:rsidRDefault="001350B8" w:rsidP="005F78DE">
      <w:pPr>
        <w:ind w:firstLine="720"/>
        <w:rPr>
          <w:szCs w:val="24"/>
        </w:rPr>
      </w:pPr>
      <w:r w:rsidRPr="001350B8">
        <w:rPr>
          <w:szCs w:val="24"/>
        </w:rPr>
        <w:t xml:space="preserve">Apkopojot sākotnējā novērtējuma 2.sadaļā un iepriekš minētajās publiskajās diskusijās izteiktos secinājumus, kā </w:t>
      </w:r>
      <w:r w:rsidRPr="001350B8">
        <w:rPr>
          <w:b/>
          <w:szCs w:val="24"/>
        </w:rPr>
        <w:t>pozitīvo pieredzi</w:t>
      </w:r>
      <w:r w:rsidRPr="001350B8">
        <w:rPr>
          <w:szCs w:val="24"/>
        </w:rPr>
        <w:t xml:space="preserve"> varam minēt:</w:t>
      </w:r>
    </w:p>
    <w:p w14:paraId="7C1EE340" w14:textId="77777777" w:rsidR="00B81DAD" w:rsidRPr="00816266" w:rsidRDefault="00D30601" w:rsidP="00B47005">
      <w:pPr>
        <w:pStyle w:val="ListParagraph"/>
        <w:numPr>
          <w:ilvl w:val="0"/>
          <w:numId w:val="14"/>
        </w:numPr>
        <w:rPr>
          <w:szCs w:val="24"/>
        </w:rPr>
      </w:pPr>
      <w:r>
        <w:rPr>
          <w:szCs w:val="24"/>
        </w:rPr>
        <w:lastRenderedPageBreak/>
        <w:t xml:space="preserve">Izvēlētais projektu atlases veids – </w:t>
      </w:r>
      <w:r w:rsidR="001350B8" w:rsidRPr="001350B8">
        <w:rPr>
          <w:szCs w:val="24"/>
        </w:rPr>
        <w:t>ierobežota projektu iesniegumu atlase (turpmāk - IPIA).</w:t>
      </w:r>
      <w:r w:rsidR="001350B8" w:rsidRPr="001350B8">
        <w:rPr>
          <w:rStyle w:val="Heading1Char"/>
          <w:color w:val="auto"/>
          <w:sz w:val="24"/>
          <w:szCs w:val="24"/>
        </w:rPr>
        <w:t xml:space="preserve"> </w:t>
      </w:r>
      <w:r w:rsidR="001350B8" w:rsidRPr="001350B8">
        <w:rPr>
          <w:rStyle w:val="Heading1Char"/>
          <w:b w:val="0"/>
          <w:color w:val="auto"/>
          <w:sz w:val="24"/>
          <w:szCs w:val="24"/>
        </w:rPr>
        <w:t>IPIA ietvaros</w:t>
      </w:r>
      <w:r w:rsidR="001350B8" w:rsidRPr="001350B8">
        <w:rPr>
          <w:szCs w:val="24"/>
        </w:rPr>
        <w:t xml:space="preserve"> bija iepriekš zināms noteikts projektu iesniedzēju loks, kuras uzaicināja iesniegt projektu iesniegumus. IPIA gadījumā tika apstiprināti un finansēti </w:t>
      </w:r>
      <w:r w:rsidR="001350B8" w:rsidRPr="00230790">
        <w:rPr>
          <w:szCs w:val="24"/>
        </w:rPr>
        <w:t>visi projektu iesniegumi, kuri atbilda projektu iesniegumu vērtēšanas kritērijiem.</w:t>
      </w:r>
      <w:r w:rsidR="001350B8" w:rsidRPr="00230790">
        <w:rPr>
          <w:rFonts w:eastAsia="Calibri"/>
          <w:szCs w:val="24"/>
        </w:rPr>
        <w:t xml:space="preserve"> Netiek patērēti lieki resursi projektu iesniegumu </w:t>
      </w:r>
      <w:r w:rsidR="001431F3" w:rsidRPr="004C7BF5">
        <w:rPr>
          <w:rFonts w:eastAsia="Calibri"/>
          <w:szCs w:val="24"/>
        </w:rPr>
        <w:t xml:space="preserve">sagatavošanas un </w:t>
      </w:r>
      <w:r w:rsidR="001350B8" w:rsidRPr="00B04D33">
        <w:rPr>
          <w:rFonts w:eastAsia="Calibri"/>
          <w:szCs w:val="24"/>
        </w:rPr>
        <w:t>vērtēšanas procesam</w:t>
      </w:r>
      <w:r w:rsidR="001350B8" w:rsidRPr="00466DD6">
        <w:rPr>
          <w:szCs w:val="24"/>
        </w:rPr>
        <w:t>;</w:t>
      </w:r>
    </w:p>
    <w:p w14:paraId="48011066" w14:textId="77777777" w:rsidR="00B81DAD" w:rsidRPr="00230790" w:rsidRDefault="00D30601" w:rsidP="00B47005">
      <w:pPr>
        <w:pStyle w:val="ListParagraph"/>
        <w:numPr>
          <w:ilvl w:val="0"/>
          <w:numId w:val="14"/>
        </w:numPr>
        <w:rPr>
          <w:szCs w:val="24"/>
        </w:rPr>
      </w:pPr>
      <w:r w:rsidRPr="003C04F0">
        <w:t xml:space="preserve">Prasība izstrādāt/aktualizēt un ar IZM </w:t>
      </w:r>
      <w:r w:rsidR="00172DFC" w:rsidRPr="00175261">
        <w:t>saskaņo</w:t>
      </w:r>
      <w:r w:rsidRPr="00175261">
        <w:t xml:space="preserve">t </w:t>
      </w:r>
      <w:r w:rsidR="001350B8" w:rsidRPr="00175261">
        <w:t>augstākās izglītības institūcijas darbības un attīstības ilgtermiņa stratēģiju izstrād</w:t>
      </w:r>
      <w:r w:rsidRPr="00FC4566">
        <w:t>i pirms projekta iesnieguma iesnieg</w:t>
      </w:r>
      <w:r w:rsidRPr="00A74549">
        <w:t>šanas</w:t>
      </w:r>
      <w:r w:rsidR="001350B8" w:rsidRPr="001350B8">
        <w:t xml:space="preserve">. </w:t>
      </w:r>
      <w:r w:rsidR="001350B8" w:rsidRPr="001350B8">
        <w:rPr>
          <w:szCs w:val="24"/>
        </w:rPr>
        <w:t>Ar projektu iesniegumu vērtēšanas kritērijiem tika izvirzīts nosacījums, ka plānotajam ERAF ieguldījumam augstākās izglītības institūcijas infrastruktūras modernizācijā jāatbilst izstrādātajai augstākās izglītības institūcijas darbības un attīstības ilgtermiņa stratēģijai 2009.–2015.gadam</w:t>
      </w:r>
      <w:r w:rsidRPr="0057209C">
        <w:rPr>
          <w:szCs w:val="24"/>
        </w:rPr>
        <w:t xml:space="preserve">. </w:t>
      </w:r>
      <w:r w:rsidR="001079A9" w:rsidRPr="001079A9">
        <w:rPr>
          <w:szCs w:val="24"/>
        </w:rPr>
        <w:t>Šāda prasība samazina projekta noraidīšanas/ precizēšanas risku, jo stratēģiskie uzstādījumi un infrastruktūras attīstības plāni ir savlaicīgi saskaņoti ar nozares ministriju, novērtēta to atbilstība nozares stratēģiskajiem mērķiem, ārējām rekomendācijām, kā arī izvērtēta ieguldījumu savstarpēja papildinātība un nepārklāšanās.</w:t>
      </w:r>
    </w:p>
    <w:p w14:paraId="6BDF0686" w14:textId="77777777" w:rsidR="009A5F98" w:rsidRPr="00100F93" w:rsidRDefault="001350B8" w:rsidP="00B47005">
      <w:pPr>
        <w:pStyle w:val="ListParagraph"/>
        <w:numPr>
          <w:ilvl w:val="0"/>
          <w:numId w:val="14"/>
        </w:numPr>
        <w:ind w:left="714" w:hanging="357"/>
        <w:rPr>
          <w:szCs w:val="24"/>
        </w:rPr>
      </w:pPr>
      <w:r w:rsidRPr="001350B8">
        <w:rPr>
          <w:szCs w:val="24"/>
        </w:rPr>
        <w:t>jāvērtē projektā plānoto aktivitāšu gatavība uzsākšanai. Priekšroka dodama projektiem ar augstu gatavības pakāpi, kā minimālo prasību nosakot vismaz vidēju gatavību;</w:t>
      </w:r>
    </w:p>
    <w:p w14:paraId="660A2AFA" w14:textId="77777777" w:rsidR="004147B6" w:rsidRPr="00100F93" w:rsidRDefault="001350B8" w:rsidP="00B47005">
      <w:pPr>
        <w:pStyle w:val="ListParagraph"/>
        <w:numPr>
          <w:ilvl w:val="0"/>
          <w:numId w:val="14"/>
        </w:numPr>
        <w:ind w:left="714" w:hanging="357"/>
        <w:rPr>
          <w:szCs w:val="24"/>
        </w:rPr>
      </w:pPr>
      <w:r w:rsidRPr="001350B8">
        <w:rPr>
          <w:szCs w:val="24"/>
        </w:rPr>
        <w:t xml:space="preserve">izmaksu </w:t>
      </w:r>
      <w:proofErr w:type="spellStart"/>
      <w:r w:rsidRPr="001350B8">
        <w:rPr>
          <w:szCs w:val="24"/>
        </w:rPr>
        <w:t>attiecināmība</w:t>
      </w:r>
      <w:proofErr w:type="spellEnd"/>
      <w:r w:rsidRPr="001350B8">
        <w:rPr>
          <w:szCs w:val="24"/>
        </w:rPr>
        <w:t xml:space="preserve"> jau pirms vienošanās vai līguma par projekta īstenošanu noslēgšanas</w:t>
      </w:r>
      <w:r w:rsidR="00D30601">
        <w:rPr>
          <w:szCs w:val="24"/>
        </w:rPr>
        <w:t>. Tas sekmē projektu ātrāku uzsākšanu un īstenošanu;</w:t>
      </w:r>
    </w:p>
    <w:p w14:paraId="2F1FB308" w14:textId="77777777" w:rsidR="00D42345" w:rsidRPr="00100F93" w:rsidRDefault="001350B8" w:rsidP="00B47005">
      <w:pPr>
        <w:pStyle w:val="ListParagraph"/>
        <w:numPr>
          <w:ilvl w:val="0"/>
          <w:numId w:val="14"/>
        </w:numPr>
        <w:ind w:left="714" w:hanging="357"/>
        <w:rPr>
          <w:szCs w:val="24"/>
        </w:rPr>
      </w:pPr>
      <w:r w:rsidRPr="001350B8">
        <w:rPr>
          <w:szCs w:val="24"/>
        </w:rPr>
        <w:t>ERAF ieguldījumi ir sekmējuši studējošo skaita pieaugumu STEM studiju programmās</w:t>
      </w:r>
      <w:r w:rsidR="00474D3E">
        <w:rPr>
          <w:szCs w:val="24"/>
        </w:rPr>
        <w:t>.</w:t>
      </w:r>
    </w:p>
    <w:p w14:paraId="6E23F732" w14:textId="77777777" w:rsidR="00B87E4E" w:rsidRPr="008F35A6" w:rsidRDefault="00A4228E" w:rsidP="00AF1B5C">
      <w:pPr>
        <w:ind w:firstLine="714"/>
        <w:rPr>
          <w:szCs w:val="24"/>
        </w:rPr>
      </w:pPr>
      <w:r w:rsidRPr="008F35A6">
        <w:rPr>
          <w:szCs w:val="24"/>
        </w:rPr>
        <w:t xml:space="preserve">Kopumā 3.1.2.1.1.apakšaktivitātes īstenošana vērtējama kā sekmīga. </w:t>
      </w:r>
    </w:p>
    <w:p w14:paraId="74CF2954" w14:textId="77777777" w:rsidR="00B87E4E" w:rsidRPr="008F35A6" w:rsidRDefault="00B87E4E" w:rsidP="00AF1B5C">
      <w:pPr>
        <w:ind w:firstLine="714"/>
        <w:rPr>
          <w:szCs w:val="24"/>
        </w:rPr>
      </w:pPr>
    </w:p>
    <w:p w14:paraId="4A717892" w14:textId="77777777" w:rsidR="00BA146F" w:rsidRPr="008F35A6" w:rsidRDefault="00A4228E" w:rsidP="00AF1B5C">
      <w:pPr>
        <w:ind w:firstLine="714"/>
        <w:rPr>
          <w:szCs w:val="24"/>
        </w:rPr>
      </w:pPr>
      <w:r w:rsidRPr="008F35A6">
        <w:rPr>
          <w:szCs w:val="24"/>
        </w:rPr>
        <w:t xml:space="preserve">Jāatzīmē, ka </w:t>
      </w:r>
      <w:r w:rsidRPr="008F35A6">
        <w:rPr>
          <w:b/>
          <w:szCs w:val="24"/>
        </w:rPr>
        <w:t>problēmas</w:t>
      </w:r>
      <w:r w:rsidRPr="008F35A6">
        <w:rPr>
          <w:szCs w:val="24"/>
        </w:rPr>
        <w:t xml:space="preserve"> augstskolu projektu īstenošanā galvenokārt sagādāja zemā projektu gatavības pakāpe – nebija izstrādāti būvdarbu tehniskie projekti, kas bija laikietilpīgi un finansiāli ietilpīgi process. Rezultātā vairākos gadījumos bija nepieciešams pagarināt augstskolu projektu īstenošanas termiņu līdz 2015.gada beigām (RTU, LLU, DU, LU, RTA).</w:t>
      </w:r>
    </w:p>
    <w:p w14:paraId="7E2B5905" w14:textId="77777777" w:rsidR="00495E02" w:rsidRDefault="00A4228E" w:rsidP="00AF1B5C">
      <w:pPr>
        <w:ind w:firstLine="714"/>
        <w:rPr>
          <w:szCs w:val="24"/>
        </w:rPr>
      </w:pPr>
      <w:r w:rsidRPr="008F35A6">
        <w:rPr>
          <w:szCs w:val="24"/>
        </w:rPr>
        <w:t>Grūtības augstskolām sagādāja arī līdzfinansējuma nodrošināšana no saviem līdzekļiem. Arī valsts augstskolām tika izvirzīta prasība daļēji nodrošināt līdzfinansējumu no saviem līdzekļiem (</w:t>
      </w:r>
      <w:r w:rsidRPr="008F35A6">
        <w:rPr>
          <w:szCs w:val="24"/>
          <w:lang w:eastAsia="lv-LV"/>
        </w:rPr>
        <w:t>7,17 % apmērā no projekta attiecināmo izmaksu kopsummas nodrošināja no ES fondu projektu līdzfinansēšanai paredzētajiem valsts budžeta līdzekļiem, pārējo līdzfinansējumu 7,83 % apmērā no projekta attiecināmo izmaksu kopsummas nodrošināja pati augstskola).</w:t>
      </w:r>
      <w:r w:rsidR="00495E02">
        <w:rPr>
          <w:szCs w:val="24"/>
          <w:lang w:eastAsia="lv-LV"/>
        </w:rPr>
        <w:t xml:space="preserve"> </w:t>
      </w:r>
    </w:p>
    <w:p w14:paraId="600308CE" w14:textId="77777777" w:rsidR="0013747D" w:rsidRDefault="00B87E4E" w:rsidP="00770D5E">
      <w:pPr>
        <w:ind w:firstLine="720"/>
        <w:rPr>
          <w:szCs w:val="24"/>
        </w:rPr>
      </w:pPr>
      <w:r>
        <w:rPr>
          <w:szCs w:val="24"/>
        </w:rPr>
        <w:t xml:space="preserve">Papildus var minēt vēl vairākus faktorus, </w:t>
      </w:r>
      <w:r w:rsidRPr="001350B8">
        <w:rPr>
          <w:szCs w:val="24"/>
        </w:rPr>
        <w:t xml:space="preserve">kas ietekmējuši finanšu apguvi </w:t>
      </w:r>
      <w:r>
        <w:rPr>
          <w:szCs w:val="24"/>
        </w:rPr>
        <w:t>3.1.2.1.1.apakšaktivitātē</w:t>
      </w:r>
      <w:r w:rsidRPr="001350B8">
        <w:rPr>
          <w:szCs w:val="24"/>
        </w:rPr>
        <w:t>, piemēram:</w:t>
      </w:r>
      <w:r>
        <w:rPr>
          <w:szCs w:val="24"/>
        </w:rPr>
        <w:t xml:space="preserve"> </w:t>
      </w:r>
    </w:p>
    <w:p w14:paraId="6F75A791" w14:textId="77777777" w:rsidR="00CD7FF3" w:rsidRPr="00100F93" w:rsidRDefault="00CD7FF3" w:rsidP="00B47005">
      <w:pPr>
        <w:numPr>
          <w:ilvl w:val="0"/>
          <w:numId w:val="15"/>
        </w:numPr>
        <w:ind w:left="714" w:hanging="357"/>
        <w:rPr>
          <w:szCs w:val="24"/>
        </w:rPr>
      </w:pPr>
      <w:r w:rsidRPr="001350B8">
        <w:rPr>
          <w:szCs w:val="24"/>
        </w:rPr>
        <w:t>nepareiza apjomīgo iepirkumu plānošana, līdz ar to iepirkumu procedūru norisei tiek patērēts ilgāks lai</w:t>
      </w:r>
      <w:r>
        <w:rPr>
          <w:szCs w:val="24"/>
        </w:rPr>
        <w:t>ks, nekā sākotnēji tika plānots;</w:t>
      </w:r>
    </w:p>
    <w:p w14:paraId="0FAA52A0" w14:textId="77777777" w:rsidR="00CD7FF3" w:rsidRPr="00100F93" w:rsidRDefault="00CD7FF3" w:rsidP="00B47005">
      <w:pPr>
        <w:numPr>
          <w:ilvl w:val="0"/>
          <w:numId w:val="15"/>
        </w:numPr>
        <w:ind w:left="714" w:hanging="357"/>
        <w:rPr>
          <w:szCs w:val="24"/>
        </w:rPr>
      </w:pPr>
      <w:r w:rsidRPr="001350B8">
        <w:rPr>
          <w:szCs w:val="24"/>
        </w:rPr>
        <w:t>iepirkuma procedūras beidzas bez rezultātiem, jo iesniegti piedāvājumi par lielāku finansējumu, nekā projekta līdzekļi atļauj</w:t>
      </w:r>
      <w:r>
        <w:rPr>
          <w:szCs w:val="24"/>
        </w:rPr>
        <w:t>;</w:t>
      </w:r>
      <w:r w:rsidRPr="001350B8">
        <w:rPr>
          <w:szCs w:val="24"/>
        </w:rPr>
        <w:t xml:space="preserve"> </w:t>
      </w:r>
    </w:p>
    <w:p w14:paraId="14307BCD" w14:textId="77777777" w:rsidR="00CD7FF3" w:rsidRPr="00100F93" w:rsidRDefault="00CD7FF3" w:rsidP="00B47005">
      <w:pPr>
        <w:numPr>
          <w:ilvl w:val="0"/>
          <w:numId w:val="15"/>
        </w:numPr>
        <w:ind w:left="714" w:hanging="357"/>
        <w:rPr>
          <w:szCs w:val="24"/>
        </w:rPr>
      </w:pPr>
      <w:r w:rsidRPr="001350B8">
        <w:rPr>
          <w:szCs w:val="24"/>
        </w:rPr>
        <w:t xml:space="preserve">būvniecības pakalpojumu kvalitāte; </w:t>
      </w:r>
    </w:p>
    <w:p w14:paraId="230A1961" w14:textId="77777777" w:rsidR="00CD7FF3" w:rsidRPr="00100F93" w:rsidRDefault="00CD7FF3" w:rsidP="00B47005">
      <w:pPr>
        <w:numPr>
          <w:ilvl w:val="0"/>
          <w:numId w:val="15"/>
        </w:numPr>
        <w:ind w:left="714" w:hanging="357"/>
        <w:rPr>
          <w:szCs w:val="24"/>
        </w:rPr>
      </w:pPr>
      <w:r w:rsidRPr="001350B8">
        <w:rPr>
          <w:szCs w:val="24"/>
        </w:rPr>
        <w:t>kompetenta projekta vadības personāla trūkums. Jaunie darbinieki nav pieredzējuši projektu vadībā, nav pietiekami kvalificēti un to izaugsmei un apmācībai ir nepieciešams papildu laiks</w:t>
      </w:r>
      <w:r>
        <w:rPr>
          <w:szCs w:val="24"/>
        </w:rPr>
        <w:t>;</w:t>
      </w:r>
    </w:p>
    <w:p w14:paraId="557C50AA" w14:textId="77777777" w:rsidR="00CD7FF3" w:rsidRPr="00100F93" w:rsidRDefault="00CD7FF3" w:rsidP="00B47005">
      <w:pPr>
        <w:numPr>
          <w:ilvl w:val="0"/>
          <w:numId w:val="15"/>
        </w:numPr>
        <w:ind w:left="714" w:hanging="357"/>
        <w:rPr>
          <w:szCs w:val="24"/>
        </w:rPr>
      </w:pPr>
      <w:r w:rsidRPr="001350B8">
        <w:rPr>
          <w:szCs w:val="24"/>
        </w:rPr>
        <w:t xml:space="preserve">izmaksu pieaugums (sadārdzinājums). Galvenā problēma ir straujais būvdarbu izmaksu pieaugums, kas kavē projektu īstenošanu. Jāatzīmē, ka daļa no finansējuma saņēmējiem nav pilnībā iepazinušies ar līguma nosacījumiem, kas apdraud sekmīgu projekta īstenošanu, t.i., precīzi neievēro Publisko iepirkumu likumu, neprecīzi sagatavotas atskaites, nepilnīgi tehniskie projekti un nepilnīgi ievēroti būvniecību reglamentējošo normatīvi aktu prasības, kas pie objektu nodošanas ekspluatācijā var radīt problēmas. </w:t>
      </w:r>
    </w:p>
    <w:p w14:paraId="1D2F6CF7" w14:textId="77777777" w:rsidR="00B87E4E" w:rsidRDefault="00B87E4E" w:rsidP="00770D5E">
      <w:pPr>
        <w:ind w:firstLine="720"/>
        <w:rPr>
          <w:szCs w:val="24"/>
        </w:rPr>
      </w:pPr>
    </w:p>
    <w:p w14:paraId="3F740617" w14:textId="77777777" w:rsidR="00770D5E" w:rsidRDefault="001350B8" w:rsidP="00770D5E">
      <w:pPr>
        <w:ind w:firstLine="720"/>
        <w:rPr>
          <w:szCs w:val="24"/>
          <w:lang w:eastAsia="lv-LV"/>
        </w:rPr>
      </w:pPr>
      <w:r w:rsidRPr="001350B8">
        <w:rPr>
          <w:rFonts w:eastAsia="Calibri"/>
          <w:szCs w:val="22"/>
        </w:rPr>
        <w:t xml:space="preserve">No 2007.-2013.gada plānošanas perioda secināms, ka </w:t>
      </w:r>
      <w:r w:rsidRPr="001350B8">
        <w:rPr>
          <w:szCs w:val="24"/>
          <w:lang w:eastAsia="lv-LV"/>
        </w:rPr>
        <w:t xml:space="preserve">3.1.2.1.1.apakšaktivitātes ietvaros pieejamais finansējums nebija pietiekams, lai nosegtu visas </w:t>
      </w:r>
      <w:r w:rsidR="0093232E">
        <w:rPr>
          <w:szCs w:val="24"/>
          <w:lang w:eastAsia="lv-LV"/>
        </w:rPr>
        <w:t>augstākās izglītības institūciju</w:t>
      </w:r>
      <w:r w:rsidRPr="001350B8">
        <w:rPr>
          <w:szCs w:val="24"/>
          <w:lang w:eastAsia="lv-LV"/>
        </w:rPr>
        <w:t xml:space="preserve"> vajadzības prioritāro studiju programmu attīstībai.</w:t>
      </w:r>
    </w:p>
    <w:p w14:paraId="611A6955" w14:textId="77777777" w:rsidR="006329B8" w:rsidRDefault="006329B8" w:rsidP="00770D5E">
      <w:pPr>
        <w:ind w:firstLine="720"/>
        <w:rPr>
          <w:szCs w:val="24"/>
          <w:lang w:eastAsia="lv-LV"/>
        </w:rPr>
      </w:pPr>
    </w:p>
    <w:p w14:paraId="4D47DEEF" w14:textId="77777777" w:rsidR="006329B8" w:rsidRPr="00100F93" w:rsidRDefault="006329B8" w:rsidP="006329B8">
      <w:pPr>
        <w:ind w:firstLine="720"/>
        <w:rPr>
          <w:rFonts w:eastAsia="Calibri"/>
          <w:szCs w:val="22"/>
        </w:rPr>
      </w:pPr>
      <w:r>
        <w:rPr>
          <w:rFonts w:eastAsia="Calibri"/>
          <w:szCs w:val="22"/>
        </w:rPr>
        <w:t xml:space="preserve">2014.-2020.gada plānošanas periodā papildus iepriekšējam plānošanas periodam nepieciešams paredzēt </w:t>
      </w:r>
      <w:r>
        <w:rPr>
          <w:szCs w:val="24"/>
        </w:rPr>
        <w:t xml:space="preserve">plānoto ieguldīju sasaisti ar </w:t>
      </w:r>
      <w:r>
        <w:rPr>
          <w:szCs w:val="24"/>
          <w:bdr w:val="none" w:sz="0" w:space="0" w:color="auto" w:frame="1"/>
          <w:lang w:eastAsia="lv-LV"/>
        </w:rPr>
        <w:t>Latvijas Viedās specializācijas stratēģij</w:t>
      </w:r>
      <w:r w:rsidR="006B57BB">
        <w:rPr>
          <w:szCs w:val="24"/>
          <w:bdr w:val="none" w:sz="0" w:space="0" w:color="auto" w:frame="1"/>
          <w:lang w:eastAsia="lv-LV"/>
        </w:rPr>
        <w:t xml:space="preserve">ā noteiktajām izaugsmes </w:t>
      </w:r>
      <w:r w:rsidRPr="00DD2B0F">
        <w:rPr>
          <w:szCs w:val="24"/>
          <w:bdr w:val="none" w:sz="0" w:space="0" w:color="auto" w:frame="1"/>
          <w:lang w:eastAsia="lv-LV"/>
        </w:rPr>
        <w:t>prioritātēm</w:t>
      </w:r>
      <w:r>
        <w:rPr>
          <w:szCs w:val="24"/>
          <w:bdr w:val="none" w:sz="0" w:space="0" w:color="auto" w:frame="1"/>
          <w:lang w:eastAsia="lv-LV"/>
        </w:rPr>
        <w:t xml:space="preserve"> un </w:t>
      </w:r>
      <w:r w:rsidR="006B57BB">
        <w:rPr>
          <w:szCs w:val="24"/>
          <w:bdr w:val="none" w:sz="0" w:space="0" w:color="auto" w:frame="1"/>
          <w:lang w:eastAsia="lv-LV"/>
        </w:rPr>
        <w:t xml:space="preserve">viedās specializācijas jomām, kā arī </w:t>
      </w:r>
      <w:r>
        <w:rPr>
          <w:szCs w:val="24"/>
        </w:rPr>
        <w:t xml:space="preserve">ietekmi uz </w:t>
      </w:r>
      <w:proofErr w:type="spellStart"/>
      <w:r>
        <w:rPr>
          <w:szCs w:val="24"/>
        </w:rPr>
        <w:t>cilvēkkapitāla</w:t>
      </w:r>
      <w:proofErr w:type="spellEnd"/>
      <w:r>
        <w:rPr>
          <w:szCs w:val="24"/>
        </w:rPr>
        <w:t xml:space="preserve"> attīstību tautsaimniecības nozarēs, kurās vidējā termiņā un ilgtermiņā tiek prognozēts darbaspēka </w:t>
      </w:r>
      <w:r w:rsidR="006426A8">
        <w:rPr>
          <w:szCs w:val="24"/>
        </w:rPr>
        <w:t xml:space="preserve">ar </w:t>
      </w:r>
      <w:r w:rsidR="001A23EE">
        <w:rPr>
          <w:szCs w:val="24"/>
        </w:rPr>
        <w:t>augstāko</w:t>
      </w:r>
      <w:r w:rsidR="006426A8">
        <w:rPr>
          <w:szCs w:val="24"/>
        </w:rPr>
        <w:t xml:space="preserve"> izglītību iztrūkums.</w:t>
      </w:r>
    </w:p>
    <w:p w14:paraId="594056BB" w14:textId="77777777" w:rsidR="006329B8" w:rsidRDefault="006329B8" w:rsidP="00770D5E">
      <w:pPr>
        <w:ind w:firstLine="720"/>
        <w:rPr>
          <w:szCs w:val="24"/>
          <w:lang w:eastAsia="lv-LV"/>
        </w:rPr>
      </w:pPr>
    </w:p>
    <w:p w14:paraId="144C30F5" w14:textId="77777777" w:rsidR="002B567E" w:rsidRPr="00F010A1" w:rsidRDefault="002B567E" w:rsidP="00770D5E">
      <w:pPr>
        <w:ind w:firstLine="720"/>
        <w:rPr>
          <w:b/>
          <w:bCs/>
          <w:sz w:val="28"/>
          <w:szCs w:val="28"/>
        </w:rPr>
      </w:pPr>
      <w:r w:rsidRPr="00F010A1">
        <w:rPr>
          <w:rFonts w:eastAsia="Calibri"/>
          <w:szCs w:val="22"/>
        </w:rPr>
        <w:br w:type="page"/>
      </w:r>
    </w:p>
    <w:p w14:paraId="49FEE57E" w14:textId="77777777" w:rsidR="002B567E" w:rsidRPr="00F010A1" w:rsidRDefault="00A94D09" w:rsidP="00425757">
      <w:pPr>
        <w:pStyle w:val="Heading1"/>
        <w:ind w:left="610"/>
        <w:jc w:val="center"/>
      </w:pPr>
      <w:bookmarkStart w:id="29" w:name="_Toc457815679"/>
      <w:r>
        <w:lastRenderedPageBreak/>
        <w:t xml:space="preserve">4. </w:t>
      </w:r>
      <w:bookmarkStart w:id="30" w:name="_Toc385413138"/>
      <w:bookmarkStart w:id="31" w:name="_Toc409448077"/>
      <w:r w:rsidR="00CD47EC">
        <w:t>8.1.</w:t>
      </w:r>
      <w:r w:rsidR="00C0329A">
        <w:t>1</w:t>
      </w:r>
      <w:r w:rsidR="00CD47EC">
        <w:t>.</w:t>
      </w:r>
      <w:r w:rsidR="00100F93">
        <w:t>SAM</w:t>
      </w:r>
      <w:r w:rsidR="00100F93" w:rsidRPr="00F010A1">
        <w:t xml:space="preserve"> </w:t>
      </w:r>
      <w:r w:rsidR="002B567E" w:rsidRPr="00F010A1">
        <w:t>ieviešanas mehānisma apraksts</w:t>
      </w:r>
      <w:bookmarkEnd w:id="29"/>
      <w:bookmarkEnd w:id="30"/>
      <w:bookmarkEnd w:id="31"/>
    </w:p>
    <w:p w14:paraId="52B6FF58" w14:textId="77777777" w:rsidR="00C82DB0" w:rsidRDefault="00C82DB0" w:rsidP="00425757">
      <w:pPr>
        <w:pStyle w:val="Default"/>
        <w:ind w:firstLine="567"/>
        <w:jc w:val="center"/>
      </w:pPr>
    </w:p>
    <w:p w14:paraId="516EB460" w14:textId="77777777" w:rsidR="001064B3" w:rsidRDefault="001064B3" w:rsidP="00D93672">
      <w:pPr>
        <w:pStyle w:val="Heading2"/>
      </w:pPr>
      <w:bookmarkStart w:id="32" w:name="_Toc457815680"/>
      <w:r>
        <w:t>4.1. 8.1.</w:t>
      </w:r>
      <w:r w:rsidR="00C0329A">
        <w:t>1</w:t>
      </w:r>
      <w:r>
        <w:t>.SAM vispārīgs apraksts</w:t>
      </w:r>
      <w:bookmarkEnd w:id="32"/>
    </w:p>
    <w:p w14:paraId="1F0AA5D0" w14:textId="77777777" w:rsidR="001064B3" w:rsidRDefault="001064B3" w:rsidP="00425757">
      <w:pPr>
        <w:pStyle w:val="Default"/>
        <w:ind w:firstLine="567"/>
        <w:jc w:val="center"/>
      </w:pPr>
    </w:p>
    <w:p w14:paraId="7687D55B" w14:textId="77777777" w:rsidR="00D5797B" w:rsidRPr="0093232E" w:rsidRDefault="0051562E" w:rsidP="00C03727">
      <w:pPr>
        <w:pStyle w:val="Default"/>
        <w:ind w:firstLine="720"/>
        <w:jc w:val="both"/>
        <w:rPr>
          <w:color w:val="auto"/>
        </w:rPr>
      </w:pPr>
      <w:r w:rsidRPr="0051562E">
        <w:rPr>
          <w:bCs/>
          <w:color w:val="auto"/>
        </w:rPr>
        <w:t>Saskaņā ar DP 8.1.1. SAM</w:t>
      </w:r>
      <w:r w:rsidRPr="0051562E">
        <w:rPr>
          <w:b/>
          <w:bCs/>
          <w:color w:val="auto"/>
        </w:rPr>
        <w:t xml:space="preserve"> m</w:t>
      </w:r>
      <w:r w:rsidRPr="0051562E">
        <w:rPr>
          <w:b/>
          <w:color w:val="auto"/>
        </w:rPr>
        <w:t>ērķis</w:t>
      </w:r>
      <w:r w:rsidRPr="0051562E">
        <w:rPr>
          <w:color w:val="auto"/>
        </w:rPr>
        <w:t xml:space="preserve"> ir izveidot teritoriāli koncentrētu un uzlabotu studiju un zinātnisko darba </w:t>
      </w:r>
      <w:r>
        <w:rPr>
          <w:color w:val="auto"/>
        </w:rPr>
        <w:t xml:space="preserve">bāzi </w:t>
      </w:r>
      <w:r w:rsidRPr="0051562E">
        <w:rPr>
          <w:color w:val="auto"/>
        </w:rPr>
        <w:t>STEM, tajā skaitā medicīnas un radošās industrijas, studiju virzienos</w:t>
      </w:r>
      <w:r w:rsidR="00ED32CE" w:rsidRPr="0051562E">
        <w:rPr>
          <w:color w:val="auto"/>
        </w:rPr>
        <w:t>.</w:t>
      </w:r>
    </w:p>
    <w:p w14:paraId="5410F81F" w14:textId="77777777" w:rsidR="00017912" w:rsidRPr="0093232E" w:rsidRDefault="00ED4FFD" w:rsidP="00017912">
      <w:pPr>
        <w:pStyle w:val="Default"/>
        <w:ind w:firstLine="720"/>
        <w:jc w:val="both"/>
        <w:rPr>
          <w:b/>
          <w:color w:val="auto"/>
        </w:rPr>
      </w:pPr>
      <w:r w:rsidRPr="0093232E">
        <w:rPr>
          <w:color w:val="auto"/>
        </w:rPr>
        <w:t>Augstskolu</w:t>
      </w:r>
      <w:r w:rsidR="00C0329A" w:rsidRPr="0093232E">
        <w:rPr>
          <w:color w:val="auto"/>
        </w:rPr>
        <w:t xml:space="preserve"> </w:t>
      </w:r>
      <w:r w:rsidR="00017912" w:rsidRPr="0093232E">
        <w:rPr>
          <w:color w:val="auto"/>
        </w:rPr>
        <w:t>infrastruktūras attīstības</w:t>
      </w:r>
      <w:r w:rsidR="00017912" w:rsidRPr="0093232E">
        <w:rPr>
          <w:b/>
          <w:color w:val="auto"/>
        </w:rPr>
        <w:t xml:space="preserve"> uzdevumi:</w:t>
      </w:r>
    </w:p>
    <w:p w14:paraId="2A0BA50A" w14:textId="77777777" w:rsidR="00017912" w:rsidRPr="0093232E" w:rsidRDefault="00017912" w:rsidP="00B47005">
      <w:pPr>
        <w:pStyle w:val="Default"/>
        <w:numPr>
          <w:ilvl w:val="0"/>
          <w:numId w:val="22"/>
        </w:numPr>
        <w:jc w:val="both"/>
        <w:rPr>
          <w:color w:val="auto"/>
        </w:rPr>
      </w:pPr>
      <w:r w:rsidRPr="0093232E">
        <w:rPr>
          <w:color w:val="auto"/>
        </w:rPr>
        <w:t>STEM studiju programmu modernizācijas pabeigšana;</w:t>
      </w:r>
    </w:p>
    <w:p w14:paraId="1BC73A11" w14:textId="77777777" w:rsidR="00017912" w:rsidRPr="0093232E" w:rsidRDefault="00017912" w:rsidP="00B47005">
      <w:pPr>
        <w:pStyle w:val="Default"/>
        <w:numPr>
          <w:ilvl w:val="0"/>
          <w:numId w:val="22"/>
        </w:numPr>
        <w:jc w:val="both"/>
        <w:rPr>
          <w:color w:val="auto"/>
        </w:rPr>
      </w:pPr>
      <w:r w:rsidRPr="0093232E">
        <w:rPr>
          <w:color w:val="auto"/>
        </w:rPr>
        <w:t xml:space="preserve">Nodrošināt Latvijas tautsaimniecības transformācijai nepieciešamo </w:t>
      </w:r>
      <w:proofErr w:type="spellStart"/>
      <w:r w:rsidRPr="0093232E">
        <w:rPr>
          <w:color w:val="auto"/>
        </w:rPr>
        <w:t>cilvēkkapitālu</w:t>
      </w:r>
      <w:proofErr w:type="spellEnd"/>
      <w:r w:rsidRPr="0093232E">
        <w:rPr>
          <w:color w:val="auto"/>
        </w:rPr>
        <w:t>;</w:t>
      </w:r>
    </w:p>
    <w:p w14:paraId="450B51F4" w14:textId="77777777" w:rsidR="00017912" w:rsidRPr="0093232E" w:rsidRDefault="001079A9" w:rsidP="00B47005">
      <w:pPr>
        <w:pStyle w:val="Default"/>
        <w:numPr>
          <w:ilvl w:val="0"/>
          <w:numId w:val="22"/>
        </w:numPr>
        <w:jc w:val="both"/>
        <w:rPr>
          <w:color w:val="auto"/>
        </w:rPr>
      </w:pPr>
      <w:r w:rsidRPr="0093232E">
        <w:rPr>
          <w:color w:val="auto"/>
        </w:rPr>
        <w:t xml:space="preserve">Resursu konsolidācija. </w:t>
      </w:r>
    </w:p>
    <w:p w14:paraId="5E53C4D2" w14:textId="77777777" w:rsidR="00290F5E" w:rsidRDefault="00290F5E" w:rsidP="00C03727">
      <w:pPr>
        <w:pStyle w:val="Default"/>
        <w:ind w:firstLine="720"/>
        <w:jc w:val="both"/>
        <w:rPr>
          <w:b/>
          <w:bCs/>
          <w:color w:val="FF0000"/>
        </w:rPr>
      </w:pPr>
    </w:p>
    <w:p w14:paraId="4EB29B8F" w14:textId="77777777" w:rsidR="00567B0E" w:rsidRPr="0093232E" w:rsidRDefault="00F4731B" w:rsidP="00C03727">
      <w:pPr>
        <w:pStyle w:val="Default"/>
        <w:ind w:firstLine="720"/>
        <w:jc w:val="both"/>
        <w:rPr>
          <w:color w:val="auto"/>
        </w:rPr>
      </w:pPr>
      <w:r w:rsidRPr="0093232E">
        <w:rPr>
          <w:b/>
          <w:bCs/>
          <w:color w:val="auto"/>
        </w:rPr>
        <w:t>8.1.</w:t>
      </w:r>
      <w:r w:rsidR="00C0329A" w:rsidRPr="0093232E">
        <w:rPr>
          <w:b/>
          <w:bCs/>
          <w:color w:val="auto"/>
        </w:rPr>
        <w:t>1</w:t>
      </w:r>
      <w:r w:rsidRPr="0093232E">
        <w:rPr>
          <w:b/>
          <w:bCs/>
          <w:color w:val="auto"/>
        </w:rPr>
        <w:t xml:space="preserve">. </w:t>
      </w:r>
      <w:r w:rsidR="00100F93" w:rsidRPr="0093232E">
        <w:rPr>
          <w:b/>
          <w:bCs/>
          <w:color w:val="auto"/>
        </w:rPr>
        <w:t xml:space="preserve">SAM </w:t>
      </w:r>
      <w:r w:rsidR="00567B0E" w:rsidRPr="0093232E">
        <w:rPr>
          <w:b/>
          <w:bCs/>
          <w:color w:val="auto"/>
        </w:rPr>
        <w:t xml:space="preserve">indikatīvā mērķa grupa: </w:t>
      </w:r>
      <w:r w:rsidR="00C0329A" w:rsidRPr="0093232E">
        <w:rPr>
          <w:color w:val="auto"/>
        </w:rPr>
        <w:t>augstākās izglītības institūcijas</w:t>
      </w:r>
      <w:r w:rsidR="006F3543" w:rsidRPr="0093232E">
        <w:rPr>
          <w:color w:val="auto"/>
        </w:rPr>
        <w:t>.</w:t>
      </w:r>
      <w:r w:rsidR="00567B0E" w:rsidRPr="0093232E">
        <w:rPr>
          <w:color w:val="auto"/>
        </w:rPr>
        <w:t xml:space="preserve"> </w:t>
      </w:r>
    </w:p>
    <w:p w14:paraId="35068CAD" w14:textId="77777777" w:rsidR="00F037A7" w:rsidRPr="0093232E" w:rsidRDefault="00F4731B" w:rsidP="00C03727">
      <w:pPr>
        <w:pStyle w:val="Default"/>
        <w:ind w:firstLine="720"/>
        <w:jc w:val="both"/>
        <w:rPr>
          <w:color w:val="auto"/>
        </w:rPr>
      </w:pPr>
      <w:r w:rsidRPr="0093232E">
        <w:rPr>
          <w:b/>
          <w:bCs/>
          <w:color w:val="auto"/>
        </w:rPr>
        <w:t>8.1.</w:t>
      </w:r>
      <w:r w:rsidR="006F3543" w:rsidRPr="0093232E">
        <w:rPr>
          <w:b/>
          <w:bCs/>
          <w:color w:val="auto"/>
        </w:rPr>
        <w:t>1</w:t>
      </w:r>
      <w:r w:rsidRPr="0093232E">
        <w:rPr>
          <w:b/>
          <w:bCs/>
          <w:color w:val="auto"/>
        </w:rPr>
        <w:t xml:space="preserve">. </w:t>
      </w:r>
      <w:r w:rsidR="00100F93" w:rsidRPr="0093232E">
        <w:rPr>
          <w:b/>
          <w:bCs/>
          <w:color w:val="auto"/>
        </w:rPr>
        <w:t xml:space="preserve">SAM </w:t>
      </w:r>
      <w:r w:rsidR="00567B0E" w:rsidRPr="0093232E">
        <w:rPr>
          <w:b/>
          <w:bCs/>
          <w:color w:val="auto"/>
        </w:rPr>
        <w:t xml:space="preserve">indikatīvie finansējuma saņēmēji: </w:t>
      </w:r>
      <w:r w:rsidR="00C0329A" w:rsidRPr="0093232E">
        <w:rPr>
          <w:bCs/>
          <w:color w:val="auto"/>
        </w:rPr>
        <w:t>augstskol</w:t>
      </w:r>
      <w:r w:rsidR="003508FF" w:rsidRPr="0093232E">
        <w:rPr>
          <w:color w:val="auto"/>
        </w:rPr>
        <w:t>as, kas īsteno STEM, t</w:t>
      </w:r>
      <w:r w:rsidR="005F78DE" w:rsidRPr="0093232E">
        <w:rPr>
          <w:color w:val="auto"/>
        </w:rPr>
        <w:t>.</w:t>
      </w:r>
      <w:r w:rsidR="003508FF" w:rsidRPr="0093232E">
        <w:rPr>
          <w:color w:val="auto"/>
        </w:rPr>
        <w:t xml:space="preserve"> sk</w:t>
      </w:r>
      <w:r w:rsidR="005F78DE" w:rsidRPr="0093232E">
        <w:rPr>
          <w:color w:val="auto"/>
        </w:rPr>
        <w:t>.</w:t>
      </w:r>
      <w:r w:rsidR="003508FF" w:rsidRPr="0093232E">
        <w:rPr>
          <w:color w:val="auto"/>
        </w:rPr>
        <w:t xml:space="preserve"> medicīnas un radošas industrijas, studiju programma</w:t>
      </w:r>
      <w:r w:rsidR="00C0329A" w:rsidRPr="0093232E">
        <w:rPr>
          <w:color w:val="auto"/>
        </w:rPr>
        <w:t>s</w:t>
      </w:r>
      <w:r w:rsidR="003508FF" w:rsidRPr="0093232E">
        <w:rPr>
          <w:color w:val="auto"/>
        </w:rPr>
        <w:t>.</w:t>
      </w:r>
    </w:p>
    <w:p w14:paraId="574F8683" w14:textId="77777777" w:rsidR="00C03727" w:rsidRPr="00CE59D3" w:rsidRDefault="00210467" w:rsidP="00FF1232">
      <w:pPr>
        <w:pStyle w:val="Default"/>
        <w:ind w:firstLine="720"/>
        <w:jc w:val="both"/>
        <w:rPr>
          <w:bCs/>
          <w:color w:val="auto"/>
        </w:rPr>
      </w:pPr>
      <w:r w:rsidRPr="00CE59D3">
        <w:rPr>
          <w:b/>
          <w:bCs/>
          <w:color w:val="auto"/>
        </w:rPr>
        <w:t xml:space="preserve">Indikatīvais </w:t>
      </w:r>
      <w:r w:rsidR="00C03727" w:rsidRPr="00CE59D3">
        <w:rPr>
          <w:b/>
          <w:bCs/>
          <w:color w:val="auto"/>
        </w:rPr>
        <w:t>8.1.</w:t>
      </w:r>
      <w:r w:rsidR="00C0329A" w:rsidRPr="00CE59D3">
        <w:rPr>
          <w:b/>
          <w:bCs/>
          <w:color w:val="auto"/>
        </w:rPr>
        <w:t>1</w:t>
      </w:r>
      <w:r w:rsidR="00C03727" w:rsidRPr="00CE59D3">
        <w:rPr>
          <w:b/>
          <w:bCs/>
          <w:color w:val="auto"/>
        </w:rPr>
        <w:t xml:space="preserve">. </w:t>
      </w:r>
      <w:r w:rsidR="00100F93" w:rsidRPr="00CE59D3">
        <w:rPr>
          <w:b/>
          <w:bCs/>
          <w:color w:val="auto"/>
        </w:rPr>
        <w:t xml:space="preserve">SAM </w:t>
      </w:r>
      <w:r w:rsidRPr="00CE59D3">
        <w:rPr>
          <w:b/>
          <w:bCs/>
          <w:color w:val="auto"/>
        </w:rPr>
        <w:t>finansējums</w:t>
      </w:r>
      <w:r w:rsidR="00FF1232" w:rsidRPr="00CE59D3">
        <w:rPr>
          <w:b/>
          <w:bCs/>
          <w:color w:val="auto"/>
        </w:rPr>
        <w:t xml:space="preserve"> (plānotais)</w:t>
      </w:r>
      <w:r w:rsidRPr="00CE59D3">
        <w:rPr>
          <w:b/>
          <w:bCs/>
          <w:color w:val="auto"/>
        </w:rPr>
        <w:t xml:space="preserve">: </w:t>
      </w:r>
      <w:r w:rsidR="00BF0839" w:rsidRPr="00CE59D3">
        <w:rPr>
          <w:color w:val="auto"/>
        </w:rPr>
        <w:t>4</w:t>
      </w:r>
      <w:r w:rsidRPr="00CE59D3">
        <w:rPr>
          <w:color w:val="auto"/>
        </w:rPr>
        <w:t xml:space="preserve">4 </w:t>
      </w:r>
      <w:r w:rsidR="00BF0839" w:rsidRPr="00CE59D3">
        <w:rPr>
          <w:color w:val="auto"/>
        </w:rPr>
        <w:t>641</w:t>
      </w:r>
      <w:r w:rsidRPr="00CE59D3">
        <w:rPr>
          <w:color w:val="auto"/>
        </w:rPr>
        <w:t xml:space="preserve"> </w:t>
      </w:r>
      <w:r w:rsidR="00BF0839" w:rsidRPr="00CE59D3">
        <w:rPr>
          <w:color w:val="auto"/>
        </w:rPr>
        <w:t>656</w:t>
      </w:r>
      <w:r w:rsidRPr="00CE59D3">
        <w:rPr>
          <w:color w:val="auto"/>
        </w:rPr>
        <w:t xml:space="preserve"> </w:t>
      </w:r>
      <w:proofErr w:type="spellStart"/>
      <w:r w:rsidR="00C03727" w:rsidRPr="00CE59D3">
        <w:rPr>
          <w:i/>
          <w:color w:val="auto"/>
        </w:rPr>
        <w:t>euro</w:t>
      </w:r>
      <w:proofErr w:type="spellEnd"/>
      <w:r w:rsidRPr="00CE59D3">
        <w:rPr>
          <w:color w:val="auto"/>
        </w:rPr>
        <w:t>, t</w:t>
      </w:r>
      <w:r w:rsidR="00C03727" w:rsidRPr="00CE59D3">
        <w:rPr>
          <w:color w:val="auto"/>
        </w:rPr>
        <w:t xml:space="preserve">ai </w:t>
      </w:r>
      <w:r w:rsidRPr="00CE59D3">
        <w:rPr>
          <w:color w:val="auto"/>
        </w:rPr>
        <w:t>sk</w:t>
      </w:r>
      <w:r w:rsidR="00C03727" w:rsidRPr="00CE59D3">
        <w:rPr>
          <w:color w:val="auto"/>
        </w:rPr>
        <w:t>aitā</w:t>
      </w:r>
      <w:r w:rsidRPr="00CE59D3">
        <w:rPr>
          <w:color w:val="auto"/>
        </w:rPr>
        <w:t xml:space="preserve"> ERAF </w:t>
      </w:r>
      <w:r w:rsidR="00BF0839" w:rsidRPr="00CE59D3">
        <w:rPr>
          <w:color w:val="auto"/>
        </w:rPr>
        <w:t>37</w:t>
      </w:r>
      <w:r w:rsidRPr="00CE59D3">
        <w:rPr>
          <w:color w:val="auto"/>
        </w:rPr>
        <w:t xml:space="preserve"> </w:t>
      </w:r>
      <w:r w:rsidR="00BF0839" w:rsidRPr="00CE59D3">
        <w:rPr>
          <w:color w:val="auto"/>
        </w:rPr>
        <w:t>945</w:t>
      </w:r>
      <w:r w:rsidRPr="00CE59D3">
        <w:rPr>
          <w:color w:val="auto"/>
        </w:rPr>
        <w:t> 4</w:t>
      </w:r>
      <w:r w:rsidR="00BF0839" w:rsidRPr="00CE59D3">
        <w:rPr>
          <w:color w:val="auto"/>
        </w:rPr>
        <w:t>07</w:t>
      </w:r>
      <w:r w:rsidRPr="00CE59D3">
        <w:rPr>
          <w:color w:val="auto"/>
        </w:rPr>
        <w:t xml:space="preserve"> </w:t>
      </w:r>
      <w:proofErr w:type="spellStart"/>
      <w:r w:rsidR="00C03727" w:rsidRPr="00CE59D3">
        <w:rPr>
          <w:i/>
          <w:color w:val="auto"/>
        </w:rPr>
        <w:t>euro</w:t>
      </w:r>
      <w:proofErr w:type="spellEnd"/>
      <w:r w:rsidR="00C03727" w:rsidRPr="00CE59D3">
        <w:rPr>
          <w:color w:val="auto"/>
        </w:rPr>
        <w:t xml:space="preserve"> un valsts budžeta finansējums </w:t>
      </w:r>
      <w:r w:rsidR="00BF0839" w:rsidRPr="00CE59D3">
        <w:rPr>
          <w:color w:val="auto"/>
        </w:rPr>
        <w:t>6</w:t>
      </w:r>
      <w:r w:rsidR="004F3A84" w:rsidRPr="00CE59D3">
        <w:rPr>
          <w:color w:val="auto"/>
        </w:rPr>
        <w:t> </w:t>
      </w:r>
      <w:r w:rsidR="00BF0839" w:rsidRPr="00CE59D3">
        <w:rPr>
          <w:color w:val="auto"/>
        </w:rPr>
        <w:t>696</w:t>
      </w:r>
      <w:r w:rsidR="004F3A84" w:rsidRPr="00CE59D3">
        <w:rPr>
          <w:color w:val="auto"/>
        </w:rPr>
        <w:t> </w:t>
      </w:r>
      <w:r w:rsidR="00BF0839" w:rsidRPr="00CE59D3">
        <w:rPr>
          <w:color w:val="auto"/>
        </w:rPr>
        <w:t>249</w:t>
      </w:r>
      <w:r w:rsidR="004F3A84" w:rsidRPr="00CE59D3">
        <w:rPr>
          <w:color w:val="auto"/>
        </w:rPr>
        <w:t xml:space="preserve"> </w:t>
      </w:r>
      <w:proofErr w:type="spellStart"/>
      <w:r w:rsidR="00C03727" w:rsidRPr="00CE59D3">
        <w:rPr>
          <w:i/>
          <w:color w:val="auto"/>
        </w:rPr>
        <w:t>euro</w:t>
      </w:r>
      <w:proofErr w:type="spellEnd"/>
      <w:r w:rsidRPr="00CE59D3">
        <w:rPr>
          <w:color w:val="auto"/>
        </w:rPr>
        <w:t>.</w:t>
      </w:r>
      <w:r w:rsidR="00C03727" w:rsidRPr="00CE59D3">
        <w:rPr>
          <w:bCs/>
          <w:color w:val="auto"/>
        </w:rPr>
        <w:t xml:space="preserve"> </w:t>
      </w:r>
      <w:r w:rsidR="004F3A84" w:rsidRPr="00CE59D3">
        <w:rPr>
          <w:bCs/>
          <w:color w:val="auto"/>
        </w:rPr>
        <w:t>ERAF finansējuma intensitāte - 85 %.</w:t>
      </w:r>
    </w:p>
    <w:p w14:paraId="20E83C3D" w14:textId="77777777" w:rsidR="00FF1232" w:rsidRPr="00CE59D3" w:rsidRDefault="00A117B5" w:rsidP="004D3063">
      <w:pPr>
        <w:ind w:firstLine="720"/>
      </w:pPr>
      <w:r w:rsidRPr="00CE59D3">
        <w:rPr>
          <w:szCs w:val="24"/>
          <w:lang w:bidi="lo-LA"/>
        </w:rPr>
        <w:t>8.1.</w:t>
      </w:r>
      <w:r w:rsidR="00BF0839" w:rsidRPr="00CE59D3">
        <w:rPr>
          <w:szCs w:val="24"/>
          <w:lang w:bidi="lo-LA"/>
        </w:rPr>
        <w:t>1</w:t>
      </w:r>
      <w:r w:rsidRPr="00CE59D3">
        <w:rPr>
          <w:szCs w:val="24"/>
          <w:lang w:bidi="lo-LA"/>
        </w:rPr>
        <w:t xml:space="preserve">. </w:t>
      </w:r>
      <w:r w:rsidR="00100F93" w:rsidRPr="00CE59D3">
        <w:rPr>
          <w:szCs w:val="24"/>
          <w:lang w:bidi="lo-LA"/>
        </w:rPr>
        <w:t xml:space="preserve">SAM </w:t>
      </w:r>
      <w:r w:rsidR="00FF1232" w:rsidRPr="00CE59D3">
        <w:rPr>
          <w:szCs w:val="24"/>
          <w:lang w:bidi="lo-LA"/>
        </w:rPr>
        <w:t>tiek piemērota</w:t>
      </w:r>
      <w:r w:rsidRPr="00CE59D3">
        <w:rPr>
          <w:szCs w:val="24"/>
          <w:lang w:bidi="lo-LA"/>
        </w:rPr>
        <w:t xml:space="preserve"> </w:t>
      </w:r>
      <w:r w:rsidR="001D35A0" w:rsidRPr="00CE59D3">
        <w:rPr>
          <w:b/>
          <w:szCs w:val="24"/>
          <w:lang w:bidi="lo-LA"/>
        </w:rPr>
        <w:t>snieguma</w:t>
      </w:r>
      <w:r w:rsidR="001D35A0" w:rsidRPr="00CE59D3">
        <w:rPr>
          <w:szCs w:val="24"/>
          <w:lang w:bidi="lo-LA"/>
        </w:rPr>
        <w:t xml:space="preserve"> </w:t>
      </w:r>
      <w:r w:rsidRPr="00CE59D3">
        <w:rPr>
          <w:b/>
          <w:szCs w:val="24"/>
          <w:lang w:bidi="lo-LA"/>
        </w:rPr>
        <w:t>rezerve</w:t>
      </w:r>
      <w:r w:rsidRPr="00CE59D3">
        <w:rPr>
          <w:szCs w:val="24"/>
          <w:lang w:bidi="lo-LA"/>
        </w:rPr>
        <w:t xml:space="preserve"> 6,10% apmērā, t.i., </w:t>
      </w:r>
      <w:r w:rsidR="00C07C4D" w:rsidRPr="00CE59D3">
        <w:rPr>
          <w:szCs w:val="24"/>
          <w:lang w:eastAsia="lv-LV"/>
        </w:rPr>
        <w:t>2</w:t>
      </w:r>
      <w:r w:rsidR="00C86FC5" w:rsidRPr="00CE59D3">
        <w:rPr>
          <w:szCs w:val="24"/>
          <w:lang w:eastAsia="lv-LV"/>
        </w:rPr>
        <w:t xml:space="preserve"> </w:t>
      </w:r>
      <w:r w:rsidR="00C07C4D" w:rsidRPr="00CE59D3">
        <w:rPr>
          <w:szCs w:val="24"/>
          <w:lang w:eastAsia="lv-LV"/>
        </w:rPr>
        <w:t>722</w:t>
      </w:r>
      <w:r w:rsidR="00C86FC5" w:rsidRPr="00CE59D3">
        <w:rPr>
          <w:szCs w:val="24"/>
          <w:lang w:eastAsia="lv-LV"/>
        </w:rPr>
        <w:t xml:space="preserve"> </w:t>
      </w:r>
      <w:r w:rsidR="00C07C4D" w:rsidRPr="00CE59D3">
        <w:rPr>
          <w:szCs w:val="24"/>
          <w:lang w:eastAsia="lv-LV"/>
        </w:rPr>
        <w:t>92</w:t>
      </w:r>
      <w:r w:rsidR="008D4501">
        <w:rPr>
          <w:szCs w:val="24"/>
          <w:lang w:eastAsia="lv-LV"/>
        </w:rPr>
        <w:t>9</w:t>
      </w:r>
      <w:r w:rsidR="00C86FC5" w:rsidRPr="00CE59D3">
        <w:rPr>
          <w:szCs w:val="24"/>
          <w:lang w:eastAsia="lv-LV"/>
        </w:rPr>
        <w:t xml:space="preserve"> </w:t>
      </w:r>
      <w:proofErr w:type="spellStart"/>
      <w:r w:rsidR="00C80DEE" w:rsidRPr="00CE59D3">
        <w:rPr>
          <w:i/>
          <w:szCs w:val="24"/>
          <w:lang w:bidi="lo-LA"/>
        </w:rPr>
        <w:t>euro</w:t>
      </w:r>
      <w:proofErr w:type="spellEnd"/>
      <w:r w:rsidR="00C80DEE" w:rsidRPr="00CE59D3">
        <w:rPr>
          <w:szCs w:val="24"/>
          <w:lang w:bidi="lo-LA"/>
        </w:rPr>
        <w:t xml:space="preserve"> (ERAF finansējums </w:t>
      </w:r>
      <w:r w:rsidR="00BB1AC8" w:rsidRPr="00CE59D3">
        <w:rPr>
          <w:szCs w:val="24"/>
          <w:lang w:bidi="lo-LA"/>
        </w:rPr>
        <w:t>2 314 489</w:t>
      </w:r>
      <w:r w:rsidRPr="00CE59D3">
        <w:rPr>
          <w:szCs w:val="24"/>
          <w:lang w:bidi="lo-LA"/>
        </w:rPr>
        <w:t xml:space="preserve"> </w:t>
      </w:r>
      <w:proofErr w:type="spellStart"/>
      <w:r w:rsidRPr="00CE59D3">
        <w:rPr>
          <w:i/>
          <w:szCs w:val="24"/>
          <w:lang w:bidi="lo-LA"/>
        </w:rPr>
        <w:t>euro</w:t>
      </w:r>
      <w:proofErr w:type="spellEnd"/>
      <w:r w:rsidR="00C80DEE" w:rsidRPr="00CE59D3">
        <w:rPr>
          <w:i/>
          <w:szCs w:val="24"/>
          <w:lang w:bidi="lo-LA"/>
        </w:rPr>
        <w:t xml:space="preserve"> </w:t>
      </w:r>
      <w:r w:rsidR="001350B8" w:rsidRPr="00CE59D3">
        <w:rPr>
          <w:szCs w:val="24"/>
        </w:rPr>
        <w:t>un</w:t>
      </w:r>
      <w:r w:rsidR="00C80DEE" w:rsidRPr="00CE59D3">
        <w:rPr>
          <w:i/>
          <w:szCs w:val="24"/>
          <w:lang w:bidi="lo-LA"/>
        </w:rPr>
        <w:t xml:space="preserve"> </w:t>
      </w:r>
      <w:r w:rsidR="00C80DEE" w:rsidRPr="00CE59D3">
        <w:rPr>
          <w:szCs w:val="24"/>
        </w:rPr>
        <w:t>valsts budžeta finansējums </w:t>
      </w:r>
      <w:r w:rsidR="00C07C4D" w:rsidRPr="00CE59D3">
        <w:rPr>
          <w:szCs w:val="24"/>
          <w:lang w:eastAsia="lv-LV"/>
        </w:rPr>
        <w:t>408</w:t>
      </w:r>
      <w:r w:rsidR="00C86FC5" w:rsidRPr="00CE59D3">
        <w:rPr>
          <w:szCs w:val="24"/>
          <w:lang w:eastAsia="lv-LV"/>
        </w:rPr>
        <w:t xml:space="preserve"> </w:t>
      </w:r>
      <w:r w:rsidR="008D4501" w:rsidRPr="00CE59D3">
        <w:rPr>
          <w:szCs w:val="24"/>
          <w:lang w:eastAsia="lv-LV"/>
        </w:rPr>
        <w:t>4</w:t>
      </w:r>
      <w:r w:rsidR="008D4501">
        <w:rPr>
          <w:szCs w:val="24"/>
          <w:lang w:eastAsia="lv-LV"/>
        </w:rPr>
        <w:t>40</w:t>
      </w:r>
      <w:r w:rsidR="008D4501" w:rsidRPr="00CE59D3">
        <w:rPr>
          <w:szCs w:val="24"/>
          <w:lang w:eastAsia="lv-LV"/>
        </w:rPr>
        <w:t xml:space="preserve"> </w:t>
      </w:r>
      <w:proofErr w:type="spellStart"/>
      <w:r w:rsidR="00C80DEE" w:rsidRPr="00CE59D3">
        <w:rPr>
          <w:i/>
          <w:iCs/>
          <w:szCs w:val="24"/>
        </w:rPr>
        <w:t>euro</w:t>
      </w:r>
      <w:proofErr w:type="spellEnd"/>
      <w:r w:rsidR="001350B8" w:rsidRPr="00CE59D3">
        <w:rPr>
          <w:iCs/>
          <w:szCs w:val="24"/>
        </w:rPr>
        <w:t>)</w:t>
      </w:r>
      <w:r w:rsidR="001D35A0" w:rsidRPr="00CE59D3">
        <w:rPr>
          <w:szCs w:val="24"/>
          <w:lang w:bidi="lo-LA"/>
        </w:rPr>
        <w:t xml:space="preserve">, kas nozīmē, ka </w:t>
      </w:r>
      <w:r w:rsidR="00FF1232" w:rsidRPr="00CE59D3">
        <w:rPr>
          <w:szCs w:val="24"/>
          <w:lang w:bidi="lo-LA"/>
        </w:rPr>
        <w:t>SAM 8.1.</w:t>
      </w:r>
      <w:r w:rsidR="00BB1AC8" w:rsidRPr="00CE59D3">
        <w:rPr>
          <w:szCs w:val="24"/>
          <w:lang w:bidi="lo-LA"/>
        </w:rPr>
        <w:t>1</w:t>
      </w:r>
      <w:r w:rsidR="00FF1232" w:rsidRPr="00CE59D3">
        <w:rPr>
          <w:szCs w:val="24"/>
          <w:lang w:bidi="lo-LA"/>
        </w:rPr>
        <w:t xml:space="preserve">. īstenošanas noteikumos jāparedz </w:t>
      </w:r>
      <w:r w:rsidR="00C80DEE" w:rsidRPr="00CE59D3">
        <w:rPr>
          <w:szCs w:val="24"/>
          <w:lang w:bidi="lo-LA"/>
        </w:rPr>
        <w:t xml:space="preserve">mazāks </w:t>
      </w:r>
      <w:r w:rsidR="00FF1232" w:rsidRPr="00CE59D3">
        <w:rPr>
          <w:szCs w:val="24"/>
          <w:lang w:bidi="lo-LA"/>
        </w:rPr>
        <w:t>pieejamais finansējums</w:t>
      </w:r>
      <w:r w:rsidRPr="00CE59D3">
        <w:rPr>
          <w:szCs w:val="24"/>
          <w:lang w:bidi="lo-LA"/>
        </w:rPr>
        <w:t xml:space="preserve"> </w:t>
      </w:r>
      <w:r w:rsidR="00FF1232" w:rsidRPr="00CE59D3">
        <w:rPr>
          <w:bCs/>
          <w:szCs w:val="24"/>
        </w:rPr>
        <w:t xml:space="preserve">vienošanos </w:t>
      </w:r>
      <w:r w:rsidR="00B87E4E">
        <w:rPr>
          <w:bCs/>
          <w:szCs w:val="24"/>
        </w:rPr>
        <w:t xml:space="preserve">un līgumu </w:t>
      </w:r>
      <w:r w:rsidR="00FF1232" w:rsidRPr="00CE59D3">
        <w:rPr>
          <w:bCs/>
          <w:szCs w:val="24"/>
        </w:rPr>
        <w:t xml:space="preserve">par projekta īstenošanu slēgšanai, </w:t>
      </w:r>
      <w:r w:rsidR="00FF1232" w:rsidRPr="00CE59D3">
        <w:rPr>
          <w:szCs w:val="24"/>
        </w:rPr>
        <w:t>ņemot vērā snieguma rezervi. Līdz ar to 8.1.</w:t>
      </w:r>
      <w:r w:rsidR="00BB1AC8" w:rsidRPr="00CE59D3">
        <w:rPr>
          <w:szCs w:val="24"/>
        </w:rPr>
        <w:t>1</w:t>
      </w:r>
      <w:r w:rsidR="00FF1232" w:rsidRPr="00CE59D3">
        <w:rPr>
          <w:szCs w:val="24"/>
        </w:rPr>
        <w:t xml:space="preserve">. </w:t>
      </w:r>
      <w:r w:rsidR="00100F93" w:rsidRPr="00CE59D3">
        <w:rPr>
          <w:szCs w:val="24"/>
        </w:rPr>
        <w:t>SAM</w:t>
      </w:r>
      <w:r w:rsidR="00100F93" w:rsidRPr="00CE59D3">
        <w:rPr>
          <w:b/>
          <w:szCs w:val="24"/>
        </w:rPr>
        <w:t xml:space="preserve"> </w:t>
      </w:r>
      <w:r w:rsidR="00FF1232" w:rsidRPr="00CE59D3">
        <w:rPr>
          <w:b/>
          <w:szCs w:val="24"/>
        </w:rPr>
        <w:t>p</w:t>
      </w:r>
      <w:r w:rsidR="00FF1232" w:rsidRPr="00CE59D3">
        <w:rPr>
          <w:b/>
          <w:bCs/>
          <w:szCs w:val="24"/>
        </w:rPr>
        <w:t xml:space="preserve">ieejamais </w:t>
      </w:r>
      <w:r w:rsidR="00FF1232" w:rsidRPr="00CE59D3">
        <w:rPr>
          <w:bCs/>
          <w:szCs w:val="24"/>
        </w:rPr>
        <w:t xml:space="preserve">kopējais attiecināmais </w:t>
      </w:r>
      <w:r w:rsidR="00FF1232" w:rsidRPr="00CE59D3">
        <w:rPr>
          <w:b/>
          <w:bCs/>
          <w:szCs w:val="24"/>
        </w:rPr>
        <w:t>finansējums</w:t>
      </w:r>
      <w:r w:rsidR="00FF1232" w:rsidRPr="00CE59D3">
        <w:rPr>
          <w:bCs/>
          <w:szCs w:val="24"/>
        </w:rPr>
        <w:t xml:space="preserve"> vienošanos </w:t>
      </w:r>
      <w:r w:rsidR="008D4501">
        <w:rPr>
          <w:bCs/>
          <w:szCs w:val="24"/>
        </w:rPr>
        <w:t xml:space="preserve">un līgumu </w:t>
      </w:r>
      <w:r w:rsidR="00FF1232" w:rsidRPr="00CE59D3">
        <w:rPr>
          <w:bCs/>
          <w:szCs w:val="24"/>
        </w:rPr>
        <w:t>par projekta īstenošanu slēgšanai</w:t>
      </w:r>
      <w:r w:rsidR="00FF1232" w:rsidRPr="00CE59D3">
        <w:rPr>
          <w:b/>
          <w:bCs/>
          <w:szCs w:val="24"/>
        </w:rPr>
        <w:t xml:space="preserve"> </w:t>
      </w:r>
      <w:r w:rsidR="00FF1232" w:rsidRPr="00CE59D3">
        <w:rPr>
          <w:szCs w:val="24"/>
        </w:rPr>
        <w:t xml:space="preserve">ir </w:t>
      </w:r>
      <w:r w:rsidR="00C07C4D" w:rsidRPr="00CE59D3">
        <w:rPr>
          <w:szCs w:val="24"/>
          <w:lang w:eastAsia="lv-LV"/>
        </w:rPr>
        <w:t>4</w:t>
      </w:r>
      <w:r w:rsidR="00CE59D3" w:rsidRPr="00CE59D3">
        <w:rPr>
          <w:szCs w:val="24"/>
          <w:lang w:eastAsia="lv-LV"/>
        </w:rPr>
        <w:t>1</w:t>
      </w:r>
      <w:r w:rsidR="00C07C4D" w:rsidRPr="00CE59D3">
        <w:rPr>
          <w:szCs w:val="24"/>
          <w:lang w:eastAsia="lv-LV"/>
        </w:rPr>
        <w:t xml:space="preserve"> </w:t>
      </w:r>
      <w:r w:rsidR="00CE59D3" w:rsidRPr="00CE59D3">
        <w:rPr>
          <w:szCs w:val="24"/>
          <w:lang w:eastAsia="lv-LV"/>
        </w:rPr>
        <w:t xml:space="preserve">918 727 </w:t>
      </w:r>
      <w:proofErr w:type="spellStart"/>
      <w:r w:rsidR="00FF1232" w:rsidRPr="00CE59D3">
        <w:rPr>
          <w:i/>
          <w:iCs/>
          <w:szCs w:val="24"/>
        </w:rPr>
        <w:t>euro</w:t>
      </w:r>
      <w:proofErr w:type="spellEnd"/>
      <w:r w:rsidR="00FF1232" w:rsidRPr="00CE59D3">
        <w:rPr>
          <w:szCs w:val="24"/>
        </w:rPr>
        <w:t xml:space="preserve">, tai skaitā ERAF finansējums </w:t>
      </w:r>
      <w:r w:rsidR="00B72902" w:rsidRPr="00CE59D3">
        <w:rPr>
          <w:szCs w:val="24"/>
          <w:lang w:eastAsia="lv-LV"/>
        </w:rPr>
        <w:t>35</w:t>
      </w:r>
      <w:r w:rsidR="00C86FC5" w:rsidRPr="00CE59D3">
        <w:rPr>
          <w:szCs w:val="24"/>
          <w:lang w:eastAsia="lv-LV"/>
        </w:rPr>
        <w:t xml:space="preserve"> </w:t>
      </w:r>
      <w:r w:rsidR="00B72902" w:rsidRPr="00CE59D3">
        <w:rPr>
          <w:szCs w:val="24"/>
          <w:lang w:eastAsia="lv-LV"/>
        </w:rPr>
        <w:t>630</w:t>
      </w:r>
      <w:r w:rsidR="00C86FC5" w:rsidRPr="00CE59D3">
        <w:rPr>
          <w:szCs w:val="24"/>
          <w:lang w:eastAsia="lv-LV"/>
        </w:rPr>
        <w:t xml:space="preserve"> </w:t>
      </w:r>
      <w:r w:rsidR="00CE59D3" w:rsidRPr="00CE59D3">
        <w:rPr>
          <w:szCs w:val="24"/>
          <w:lang w:eastAsia="lv-LV"/>
        </w:rPr>
        <w:t xml:space="preserve">918 </w:t>
      </w:r>
      <w:proofErr w:type="spellStart"/>
      <w:r w:rsidR="00FF1232" w:rsidRPr="00CE59D3">
        <w:rPr>
          <w:i/>
          <w:szCs w:val="24"/>
        </w:rPr>
        <w:t>euro</w:t>
      </w:r>
      <w:proofErr w:type="spellEnd"/>
      <w:r w:rsidR="00FF1232" w:rsidRPr="00CE59D3">
        <w:rPr>
          <w:szCs w:val="24"/>
        </w:rPr>
        <w:t xml:space="preserve"> un valsts budžeta līdzfinansējums </w:t>
      </w:r>
      <w:r w:rsidR="00B72902" w:rsidRPr="00CE59D3">
        <w:rPr>
          <w:szCs w:val="24"/>
          <w:lang w:eastAsia="lv-LV"/>
        </w:rPr>
        <w:t>6</w:t>
      </w:r>
      <w:r w:rsidR="00C86FC5" w:rsidRPr="00CE59D3">
        <w:rPr>
          <w:szCs w:val="24"/>
          <w:lang w:eastAsia="lv-LV"/>
        </w:rPr>
        <w:t xml:space="preserve"> </w:t>
      </w:r>
      <w:r w:rsidR="00B72902" w:rsidRPr="00CE59D3">
        <w:rPr>
          <w:szCs w:val="24"/>
          <w:lang w:eastAsia="lv-LV"/>
        </w:rPr>
        <w:t>287</w:t>
      </w:r>
      <w:r w:rsidR="00ED4FFD" w:rsidRPr="00CE59D3">
        <w:rPr>
          <w:szCs w:val="24"/>
          <w:lang w:eastAsia="lv-LV"/>
        </w:rPr>
        <w:t> </w:t>
      </w:r>
      <w:r w:rsidR="00CE59D3" w:rsidRPr="00CE59D3">
        <w:rPr>
          <w:szCs w:val="24"/>
          <w:lang w:eastAsia="lv-LV"/>
        </w:rPr>
        <w:t xml:space="preserve">809 </w:t>
      </w:r>
      <w:proofErr w:type="spellStart"/>
      <w:r w:rsidR="00FF1232" w:rsidRPr="00CE59D3">
        <w:rPr>
          <w:i/>
          <w:iCs/>
        </w:rPr>
        <w:t>euro</w:t>
      </w:r>
      <w:proofErr w:type="spellEnd"/>
      <w:r w:rsidR="00FF1232" w:rsidRPr="00CE59D3">
        <w:t xml:space="preserve">. </w:t>
      </w:r>
    </w:p>
    <w:p w14:paraId="085BB22D" w14:textId="77777777" w:rsidR="00290F5E" w:rsidRDefault="00290F5E" w:rsidP="00BB1AC8">
      <w:pPr>
        <w:pStyle w:val="Default"/>
        <w:ind w:firstLine="720"/>
        <w:jc w:val="both"/>
        <w:rPr>
          <w:bCs/>
          <w:color w:val="FF0000"/>
        </w:rPr>
      </w:pPr>
    </w:p>
    <w:p w14:paraId="40CF1CCC" w14:textId="77777777" w:rsidR="00F5532E" w:rsidRDefault="003508FF">
      <w:pPr>
        <w:pStyle w:val="Default"/>
        <w:ind w:firstLine="720"/>
        <w:jc w:val="both"/>
      </w:pPr>
      <w:r w:rsidRPr="0083414F">
        <w:rPr>
          <w:bCs/>
          <w:color w:val="auto"/>
        </w:rPr>
        <w:t xml:space="preserve">Saskaņā ar </w:t>
      </w:r>
      <w:r w:rsidR="00C02CEA" w:rsidRPr="0083414F">
        <w:rPr>
          <w:bCs/>
          <w:color w:val="auto"/>
        </w:rPr>
        <w:t>DP</w:t>
      </w:r>
      <w:r w:rsidR="00C03727" w:rsidRPr="0083414F">
        <w:rPr>
          <w:bCs/>
          <w:color w:val="auto"/>
        </w:rPr>
        <w:t xml:space="preserve"> 8.1.</w:t>
      </w:r>
      <w:r w:rsidR="00BB1AC8" w:rsidRPr="0083414F">
        <w:rPr>
          <w:bCs/>
          <w:color w:val="auto"/>
        </w:rPr>
        <w:t>1</w:t>
      </w:r>
      <w:r w:rsidR="00C03727" w:rsidRPr="0083414F">
        <w:rPr>
          <w:bCs/>
          <w:color w:val="auto"/>
        </w:rPr>
        <w:t xml:space="preserve">. </w:t>
      </w:r>
      <w:r w:rsidR="00100F93" w:rsidRPr="0083414F">
        <w:rPr>
          <w:bCs/>
          <w:color w:val="auto"/>
        </w:rPr>
        <w:t>SAM</w:t>
      </w:r>
      <w:r w:rsidR="00100F93" w:rsidRPr="0083414F">
        <w:rPr>
          <w:b/>
          <w:bCs/>
          <w:color w:val="auto"/>
        </w:rPr>
        <w:t xml:space="preserve"> </w:t>
      </w:r>
      <w:r w:rsidR="00502A3E" w:rsidRPr="00502A3E">
        <w:rPr>
          <w:bCs/>
        </w:rPr>
        <w:t xml:space="preserve">ietvaros paredzēts atbalsts teritoriāli koncentrētas studiju un zinātniskā darba infrastruktūras attīstībai </w:t>
      </w:r>
      <w:r w:rsidR="00A46BFE">
        <w:rPr>
          <w:bCs/>
          <w:color w:val="auto"/>
        </w:rPr>
        <w:t xml:space="preserve">augstākās izglītības institūciju </w:t>
      </w:r>
      <w:r w:rsidR="00502A3E" w:rsidRPr="00502A3E">
        <w:rPr>
          <w:bCs/>
        </w:rPr>
        <w:t>stratēģiskās specializācijas stiprināšanai, iekārtu un aprīkojuma iegādei (t.sk. tālmācības rīku, IKT risinājumu, programmatūras, bibliotēku resursu iegādei, kā arī pieejai datu bāzēm) STEM, t.sk. medicīnas un radošās industrijas, studiju virzienos.</w:t>
      </w:r>
    </w:p>
    <w:p w14:paraId="64909DA4" w14:textId="77777777" w:rsidR="002B683A" w:rsidRDefault="002B683A" w:rsidP="002B683A">
      <w:pPr>
        <w:pStyle w:val="Default"/>
        <w:ind w:firstLine="720"/>
        <w:jc w:val="both"/>
      </w:pPr>
    </w:p>
    <w:p w14:paraId="1AFC8D1F" w14:textId="77777777" w:rsidR="00EF5D39" w:rsidRPr="0083414F" w:rsidRDefault="00EF5D39" w:rsidP="00EF5D39">
      <w:pPr>
        <w:pStyle w:val="Default"/>
        <w:ind w:firstLine="720"/>
        <w:jc w:val="both"/>
        <w:rPr>
          <w:bCs/>
          <w:color w:val="auto"/>
        </w:rPr>
      </w:pPr>
      <w:r w:rsidRPr="0083414F">
        <w:rPr>
          <w:bCs/>
          <w:color w:val="auto"/>
        </w:rPr>
        <w:t xml:space="preserve">Sasniedzamie </w:t>
      </w:r>
      <w:r w:rsidRPr="0083414F">
        <w:rPr>
          <w:b/>
          <w:bCs/>
          <w:color w:val="auto"/>
        </w:rPr>
        <w:t>uzraudzības rādītāji</w:t>
      </w:r>
      <w:r w:rsidRPr="0083414F">
        <w:rPr>
          <w:bCs/>
          <w:color w:val="auto"/>
        </w:rPr>
        <w:t>:</w:t>
      </w:r>
    </w:p>
    <w:p w14:paraId="65BEB15B" w14:textId="77777777" w:rsidR="00EF5D39" w:rsidRPr="0083414F" w:rsidRDefault="00EF5D39" w:rsidP="00B47005">
      <w:pPr>
        <w:pStyle w:val="Default"/>
        <w:numPr>
          <w:ilvl w:val="0"/>
          <w:numId w:val="16"/>
        </w:numPr>
        <w:jc w:val="both"/>
        <w:rPr>
          <w:bCs/>
          <w:color w:val="auto"/>
        </w:rPr>
      </w:pPr>
      <w:r w:rsidRPr="0083414F">
        <w:rPr>
          <w:b/>
          <w:bCs/>
          <w:color w:val="auto"/>
        </w:rPr>
        <w:t>iznākuma rādītājs</w:t>
      </w:r>
      <w:r w:rsidRPr="0083414F">
        <w:rPr>
          <w:bCs/>
          <w:color w:val="auto"/>
        </w:rPr>
        <w:t xml:space="preserve">: pakalpojumu sniegšanas veiktspēja atbalstītajā </w:t>
      </w:r>
      <w:r w:rsidR="00BB1AC8" w:rsidRPr="0083414F">
        <w:rPr>
          <w:color w:val="auto"/>
        </w:rPr>
        <w:t>augstākās izglītības infrastruktūrā, personu skaits</w:t>
      </w:r>
      <w:r w:rsidR="00BB1AC8" w:rsidRPr="0083414F">
        <w:rPr>
          <w:bCs/>
          <w:color w:val="auto"/>
        </w:rPr>
        <w:t xml:space="preserve"> </w:t>
      </w:r>
      <w:r w:rsidRPr="0083414F">
        <w:rPr>
          <w:bCs/>
          <w:color w:val="auto"/>
        </w:rPr>
        <w:t xml:space="preserve">- </w:t>
      </w:r>
      <w:r w:rsidR="00BB1AC8" w:rsidRPr="0083414F">
        <w:rPr>
          <w:bCs/>
          <w:color w:val="auto"/>
        </w:rPr>
        <w:t>2069</w:t>
      </w:r>
      <w:r w:rsidRPr="0083414F">
        <w:rPr>
          <w:bCs/>
          <w:color w:val="auto"/>
        </w:rPr>
        <w:t xml:space="preserve"> personas;</w:t>
      </w:r>
    </w:p>
    <w:p w14:paraId="5FA6DAC1" w14:textId="77777777" w:rsidR="00BB1AC8" w:rsidRPr="0083414F" w:rsidRDefault="00EF5D39" w:rsidP="00B47005">
      <w:pPr>
        <w:pStyle w:val="ListParagraph"/>
        <w:numPr>
          <w:ilvl w:val="0"/>
          <w:numId w:val="16"/>
        </w:numPr>
        <w:rPr>
          <w:szCs w:val="24"/>
          <w:lang w:eastAsia="lv-LV"/>
        </w:rPr>
      </w:pPr>
      <w:r w:rsidRPr="0083414F">
        <w:rPr>
          <w:b/>
          <w:bCs/>
          <w:szCs w:val="24"/>
        </w:rPr>
        <w:t>rezultāta rādītājs:</w:t>
      </w:r>
      <w:r w:rsidR="00BB1AC8" w:rsidRPr="0083414F">
        <w:rPr>
          <w:bCs/>
          <w:szCs w:val="24"/>
        </w:rPr>
        <w:t xml:space="preserve"> </w:t>
      </w:r>
      <w:r w:rsidR="00BB1AC8" w:rsidRPr="0083414F">
        <w:rPr>
          <w:szCs w:val="24"/>
          <w:lang w:eastAsia="lv-LV"/>
        </w:rPr>
        <w:t xml:space="preserve">modernizēto augstākās izglītības STEM, t.sk. medicīnas un radošās industrijas, studiju programmu īpatsvars to kopskaitā - 100  %; </w:t>
      </w:r>
    </w:p>
    <w:p w14:paraId="1F231121" w14:textId="77777777" w:rsidR="00EF5D39" w:rsidRPr="0083414F" w:rsidRDefault="00EF5D39" w:rsidP="00B47005">
      <w:pPr>
        <w:pStyle w:val="ListParagraph"/>
        <w:numPr>
          <w:ilvl w:val="0"/>
          <w:numId w:val="16"/>
        </w:numPr>
        <w:rPr>
          <w:bCs/>
        </w:rPr>
      </w:pPr>
      <w:r w:rsidRPr="0083414F">
        <w:rPr>
          <w:b/>
          <w:bCs/>
          <w:szCs w:val="24"/>
        </w:rPr>
        <w:t>finanšu rādītājs</w:t>
      </w:r>
      <w:r w:rsidRPr="0083414F">
        <w:rPr>
          <w:bCs/>
          <w:szCs w:val="24"/>
        </w:rPr>
        <w:t xml:space="preserve">: līdz 2018. gada 31. decembrim sertificēti izdevumi </w:t>
      </w:r>
      <w:r w:rsidR="00BB1AC8" w:rsidRPr="0083414F">
        <w:rPr>
          <w:rFonts w:eastAsiaTheme="minorHAnsi"/>
          <w:bCs/>
          <w:szCs w:val="24"/>
        </w:rPr>
        <w:t>11 160 414</w:t>
      </w:r>
      <w:r w:rsidR="00BB1AC8" w:rsidRPr="0083414F">
        <w:rPr>
          <w:rFonts w:eastAsiaTheme="minorHAnsi"/>
          <w:bCs/>
          <w:sz w:val="18"/>
          <w:szCs w:val="18"/>
        </w:rPr>
        <w:t xml:space="preserve"> </w:t>
      </w:r>
      <w:proofErr w:type="spellStart"/>
      <w:r w:rsidRPr="0083414F">
        <w:rPr>
          <w:bCs/>
          <w:i/>
          <w:szCs w:val="24"/>
        </w:rPr>
        <w:t>euro</w:t>
      </w:r>
      <w:proofErr w:type="spellEnd"/>
      <w:r w:rsidRPr="0083414F">
        <w:rPr>
          <w:bCs/>
        </w:rPr>
        <w:t xml:space="preserve"> apmērā.</w:t>
      </w:r>
    </w:p>
    <w:p w14:paraId="1F54F1DC" w14:textId="77777777" w:rsidR="00C03727" w:rsidRPr="00A1215D" w:rsidRDefault="00C03727" w:rsidP="00C03727">
      <w:pPr>
        <w:pStyle w:val="Default"/>
        <w:ind w:firstLine="720"/>
        <w:jc w:val="both"/>
        <w:rPr>
          <w:color w:val="FF0000"/>
        </w:rPr>
      </w:pPr>
    </w:p>
    <w:p w14:paraId="18CF5AB8" w14:textId="77777777" w:rsidR="00676C05" w:rsidRPr="0083414F" w:rsidRDefault="00C02CEA" w:rsidP="00485F2D">
      <w:pPr>
        <w:pStyle w:val="Default"/>
        <w:ind w:firstLine="720"/>
        <w:jc w:val="both"/>
        <w:rPr>
          <w:rFonts w:eastAsia="Times New Roman"/>
          <w:color w:val="auto"/>
        </w:rPr>
      </w:pPr>
      <w:r w:rsidRPr="0083414F">
        <w:rPr>
          <w:rFonts w:eastAsia="Times New Roman"/>
          <w:color w:val="auto"/>
        </w:rPr>
        <w:t>8.1.</w:t>
      </w:r>
      <w:r w:rsidR="00A1215D" w:rsidRPr="0083414F">
        <w:rPr>
          <w:rFonts w:eastAsia="Times New Roman"/>
          <w:color w:val="auto"/>
        </w:rPr>
        <w:t>1</w:t>
      </w:r>
      <w:r w:rsidRPr="0083414F">
        <w:rPr>
          <w:rFonts w:eastAsia="Times New Roman"/>
          <w:color w:val="auto"/>
        </w:rPr>
        <w:t xml:space="preserve">. </w:t>
      </w:r>
      <w:r w:rsidR="00F82F41" w:rsidRPr="0083414F">
        <w:rPr>
          <w:rFonts w:eastAsia="Times New Roman"/>
          <w:color w:val="auto"/>
        </w:rPr>
        <w:t xml:space="preserve">SAM </w:t>
      </w:r>
      <w:r w:rsidRPr="0083414F">
        <w:rPr>
          <w:rFonts w:eastAsia="Times New Roman"/>
          <w:color w:val="auto"/>
        </w:rPr>
        <w:t>ietvaros t</w:t>
      </w:r>
      <w:r w:rsidR="003508FF" w:rsidRPr="0083414F">
        <w:rPr>
          <w:rFonts w:eastAsia="Times New Roman"/>
          <w:color w:val="auto"/>
        </w:rPr>
        <w:t xml:space="preserve">iek plānota netieša pozitīva ietekme uz </w:t>
      </w:r>
      <w:r w:rsidR="003508FF" w:rsidRPr="0083414F">
        <w:rPr>
          <w:b/>
          <w:color w:val="auto"/>
        </w:rPr>
        <w:t>horizontālo principu</w:t>
      </w:r>
      <w:r w:rsidR="003508FF" w:rsidRPr="0083414F">
        <w:rPr>
          <w:rFonts w:eastAsia="Times New Roman"/>
          <w:color w:val="auto"/>
        </w:rPr>
        <w:t xml:space="preserve"> „</w:t>
      </w:r>
      <w:r w:rsidR="003508FF" w:rsidRPr="0083414F">
        <w:rPr>
          <w:rFonts w:eastAsia="Times New Roman"/>
          <w:b/>
          <w:color w:val="auto"/>
        </w:rPr>
        <w:t xml:space="preserve">Vienlīdzīgas iespējas”. </w:t>
      </w:r>
      <w:r w:rsidR="00D5797B" w:rsidRPr="0083414F">
        <w:rPr>
          <w:rFonts w:eastAsia="Times New Roman"/>
          <w:color w:val="auto"/>
        </w:rPr>
        <w:t xml:space="preserve">Veicot ieguldījumus </w:t>
      </w:r>
      <w:r w:rsidR="00A1215D" w:rsidRPr="0083414F">
        <w:rPr>
          <w:rFonts w:eastAsia="Times New Roman"/>
          <w:color w:val="auto"/>
        </w:rPr>
        <w:t>augstskolu</w:t>
      </w:r>
      <w:r w:rsidR="00D5797B" w:rsidRPr="0083414F">
        <w:rPr>
          <w:rFonts w:eastAsia="Times New Roman"/>
          <w:color w:val="auto"/>
        </w:rPr>
        <w:t xml:space="preserve"> infrastruktūras attīstībā, </w:t>
      </w:r>
      <w:r w:rsidR="00A50BC5" w:rsidRPr="0083414F">
        <w:rPr>
          <w:rFonts w:eastAsia="ヒラギノ角ゴ Pro W3"/>
          <w:color w:val="auto"/>
        </w:rPr>
        <w:t>iespējamas specifiskas darbības vides un informācijas pieejamības nodrošināšanai</w:t>
      </w:r>
      <w:r w:rsidR="000F3AEC" w:rsidRPr="0083414F">
        <w:rPr>
          <w:bCs/>
          <w:color w:val="auto"/>
        </w:rPr>
        <w:t>, kas īpaši veicina vides un informācijas pieejamību personām ar kustību traucējumiem, redzes, dzirdes vai garīga rakstura traucējumiem</w:t>
      </w:r>
      <w:r w:rsidR="00D5797B" w:rsidRPr="0083414F">
        <w:rPr>
          <w:rFonts w:eastAsia="Times New Roman"/>
          <w:color w:val="auto"/>
        </w:rPr>
        <w:t>.</w:t>
      </w:r>
      <w:r w:rsidR="00F037A7" w:rsidRPr="0083414F">
        <w:rPr>
          <w:rFonts w:eastAsia="Times New Roman"/>
          <w:color w:val="auto"/>
        </w:rPr>
        <w:t xml:space="preserve"> </w:t>
      </w:r>
    </w:p>
    <w:p w14:paraId="65D7F77E" w14:textId="77777777" w:rsidR="000F3AEC" w:rsidRPr="0083414F" w:rsidRDefault="00676C05" w:rsidP="00485F2D">
      <w:pPr>
        <w:pStyle w:val="Default"/>
        <w:ind w:firstLine="720"/>
        <w:jc w:val="both"/>
        <w:rPr>
          <w:bCs/>
          <w:color w:val="auto"/>
        </w:rPr>
      </w:pPr>
      <w:r w:rsidRPr="0083414F">
        <w:rPr>
          <w:rFonts w:eastAsia="Times New Roman"/>
          <w:color w:val="auto"/>
        </w:rPr>
        <w:t>8.1.</w:t>
      </w:r>
      <w:r w:rsidR="00ED4FFD" w:rsidRPr="0083414F">
        <w:rPr>
          <w:rFonts w:eastAsia="Times New Roman"/>
          <w:color w:val="auto"/>
        </w:rPr>
        <w:t>1</w:t>
      </w:r>
      <w:r w:rsidRPr="0083414F">
        <w:rPr>
          <w:rFonts w:eastAsia="Times New Roman"/>
          <w:color w:val="auto"/>
        </w:rPr>
        <w:t xml:space="preserve">. </w:t>
      </w:r>
      <w:r w:rsidR="00F82F41" w:rsidRPr="0083414F">
        <w:rPr>
          <w:rFonts w:eastAsia="Times New Roman"/>
          <w:color w:val="auto"/>
        </w:rPr>
        <w:t xml:space="preserve">SAM </w:t>
      </w:r>
      <w:r w:rsidRPr="0083414F">
        <w:rPr>
          <w:rFonts w:eastAsia="Times New Roman"/>
          <w:color w:val="auto"/>
        </w:rPr>
        <w:t xml:space="preserve">ietvaros tiek plānota arī netieša pozitīva ietekme uz </w:t>
      </w:r>
      <w:r w:rsidRPr="0083414F">
        <w:rPr>
          <w:b/>
          <w:color w:val="auto"/>
        </w:rPr>
        <w:t>horizontālo principu</w:t>
      </w:r>
      <w:r w:rsidR="00A50BC5" w:rsidRPr="0083414F">
        <w:rPr>
          <w:b/>
          <w:color w:val="auto"/>
        </w:rPr>
        <w:t xml:space="preserve"> </w:t>
      </w:r>
      <w:r w:rsidRPr="0083414F">
        <w:rPr>
          <w:rFonts w:eastAsia="Times New Roman"/>
          <w:b/>
          <w:color w:val="auto"/>
        </w:rPr>
        <w:t>„Ilgtspējīga attīstība”.</w:t>
      </w:r>
      <w:r w:rsidRPr="0083414F">
        <w:rPr>
          <w:rFonts w:eastAsia="Times New Roman"/>
          <w:color w:val="auto"/>
        </w:rPr>
        <w:t xml:space="preserve"> </w:t>
      </w:r>
      <w:r w:rsidR="00A50BC5" w:rsidRPr="0083414F">
        <w:rPr>
          <w:rFonts w:eastAsia="Times New Roman"/>
          <w:color w:val="auto"/>
        </w:rPr>
        <w:t xml:space="preserve">Veicot ieguldījumus </w:t>
      </w:r>
      <w:r w:rsidR="00A1215D" w:rsidRPr="0083414F">
        <w:rPr>
          <w:rFonts w:eastAsia="Times New Roman"/>
          <w:color w:val="auto"/>
        </w:rPr>
        <w:t>augstskolu</w:t>
      </w:r>
      <w:r w:rsidR="00A50BC5" w:rsidRPr="0083414F">
        <w:rPr>
          <w:rFonts w:eastAsia="Times New Roman"/>
          <w:color w:val="auto"/>
        </w:rPr>
        <w:t xml:space="preserve"> infrastruktūras attīstībā, </w:t>
      </w:r>
      <w:r w:rsidR="00A50BC5" w:rsidRPr="0083414F">
        <w:rPr>
          <w:rFonts w:eastAsia="ヒラギノ角ゴ Pro W3"/>
          <w:color w:val="auto"/>
        </w:rPr>
        <w:t xml:space="preserve">publiskajos iepirkumos </w:t>
      </w:r>
      <w:r w:rsidR="000F3AEC" w:rsidRPr="0083414F">
        <w:rPr>
          <w:rFonts w:eastAsia="ヒラギノ角ゴ Pro W3"/>
          <w:color w:val="auto"/>
        </w:rPr>
        <w:t>var</w:t>
      </w:r>
      <w:r w:rsidR="00A50BC5" w:rsidRPr="0083414F">
        <w:rPr>
          <w:rFonts w:eastAsia="ヒラギノ角ゴ Pro W3"/>
          <w:color w:val="auto"/>
        </w:rPr>
        <w:t xml:space="preserve"> piemērot zaļā publiskā iepirkuma kritērijus (nav obligāta prasība). </w:t>
      </w:r>
    </w:p>
    <w:p w14:paraId="293E94E3" w14:textId="77777777" w:rsidR="00C03727" w:rsidRDefault="00C03727" w:rsidP="00485F2D">
      <w:pPr>
        <w:pStyle w:val="Default"/>
        <w:ind w:firstLine="720"/>
        <w:jc w:val="both"/>
        <w:rPr>
          <w:color w:val="auto"/>
        </w:rPr>
      </w:pPr>
      <w:r w:rsidRPr="0083414F">
        <w:rPr>
          <w:bCs/>
          <w:color w:val="auto"/>
        </w:rPr>
        <w:t>Ievērojot 2007.-2013.gada plānošanas periodā gūto pieredzi, projektu iesniegumu atlase 8.1.</w:t>
      </w:r>
      <w:r w:rsidR="00A1215D" w:rsidRPr="0083414F">
        <w:rPr>
          <w:bCs/>
          <w:color w:val="auto"/>
        </w:rPr>
        <w:t>1</w:t>
      </w:r>
      <w:r w:rsidRPr="0083414F">
        <w:rPr>
          <w:bCs/>
          <w:color w:val="auto"/>
        </w:rPr>
        <w:t xml:space="preserve">. </w:t>
      </w:r>
      <w:r w:rsidR="00F82F41" w:rsidRPr="0083414F">
        <w:rPr>
          <w:bCs/>
          <w:color w:val="auto"/>
        </w:rPr>
        <w:t xml:space="preserve">SAM </w:t>
      </w:r>
      <w:r w:rsidRPr="0083414F">
        <w:rPr>
          <w:bCs/>
          <w:color w:val="auto"/>
        </w:rPr>
        <w:t>ietvaros tiek plānota</w:t>
      </w:r>
      <w:r w:rsidRPr="0083414F">
        <w:rPr>
          <w:b/>
          <w:bCs/>
          <w:color w:val="auto"/>
        </w:rPr>
        <w:t xml:space="preserve"> </w:t>
      </w:r>
      <w:r w:rsidRPr="0083414F">
        <w:rPr>
          <w:b/>
          <w:color w:val="auto"/>
        </w:rPr>
        <w:t>ierobežotas pr</w:t>
      </w:r>
      <w:r w:rsidR="004F3A84" w:rsidRPr="0083414F">
        <w:rPr>
          <w:b/>
          <w:color w:val="auto"/>
        </w:rPr>
        <w:t>ojektu iesniegumu atlases veidā</w:t>
      </w:r>
      <w:r w:rsidR="004F3A84" w:rsidRPr="0083414F">
        <w:rPr>
          <w:color w:val="auto"/>
        </w:rPr>
        <w:t xml:space="preserve"> vienā atlases kārtā par visu SAM 8.1.</w:t>
      </w:r>
      <w:r w:rsidR="00A1215D" w:rsidRPr="0083414F">
        <w:rPr>
          <w:color w:val="auto"/>
        </w:rPr>
        <w:t>1</w:t>
      </w:r>
      <w:r w:rsidR="004F3A84" w:rsidRPr="0083414F">
        <w:rPr>
          <w:color w:val="auto"/>
        </w:rPr>
        <w:t>. ietvaros pieejamo finansējumu.</w:t>
      </w:r>
    </w:p>
    <w:p w14:paraId="60E28275" w14:textId="77777777" w:rsidR="00B0521C" w:rsidRPr="0083414F" w:rsidRDefault="00B0521C" w:rsidP="00485F2D">
      <w:pPr>
        <w:pStyle w:val="Default"/>
        <w:ind w:firstLine="720"/>
        <w:jc w:val="both"/>
        <w:rPr>
          <w:color w:val="auto"/>
        </w:rPr>
      </w:pPr>
    </w:p>
    <w:p w14:paraId="6CB3B2F8" w14:textId="77777777" w:rsidR="0047601B" w:rsidRPr="0083414F" w:rsidRDefault="0047601B" w:rsidP="00485F2D">
      <w:pPr>
        <w:pStyle w:val="Default"/>
        <w:ind w:firstLine="720"/>
        <w:jc w:val="both"/>
        <w:rPr>
          <w:color w:val="auto"/>
        </w:rPr>
      </w:pPr>
    </w:p>
    <w:p w14:paraId="44E5C696" w14:textId="77777777" w:rsidR="00C02CEA" w:rsidRPr="0083414F" w:rsidRDefault="0047601B" w:rsidP="00485F2D">
      <w:pPr>
        <w:pStyle w:val="Default"/>
        <w:ind w:firstLine="720"/>
        <w:jc w:val="both"/>
        <w:rPr>
          <w:b/>
          <w:color w:val="auto"/>
        </w:rPr>
      </w:pPr>
      <w:r w:rsidRPr="0083414F">
        <w:rPr>
          <w:b/>
          <w:color w:val="auto"/>
        </w:rPr>
        <w:lastRenderedPageBreak/>
        <w:t>Iesaistītās institūcijas, funkciju un atbildības sadalījums</w:t>
      </w:r>
    </w:p>
    <w:p w14:paraId="3E0030F3" w14:textId="77777777" w:rsidR="00BA2886" w:rsidRPr="0083414F" w:rsidRDefault="0047601B">
      <w:pPr>
        <w:pStyle w:val="Default"/>
        <w:ind w:firstLine="720"/>
        <w:jc w:val="both"/>
        <w:rPr>
          <w:color w:val="auto"/>
          <w:lang w:bidi="lo-LA"/>
        </w:rPr>
      </w:pPr>
      <w:r w:rsidRPr="0083414F">
        <w:rPr>
          <w:bCs/>
          <w:color w:val="auto"/>
        </w:rPr>
        <w:t xml:space="preserve">Atbilstoši Eiropas Savienības struktūrfondu un Kohēzijas fonda 2014.—2020.gada plānošanas perioda vadības likumā noteiktajam funkciju </w:t>
      </w:r>
      <w:r w:rsidR="00FC3859" w:rsidRPr="0083414F">
        <w:rPr>
          <w:color w:val="auto"/>
        </w:rPr>
        <w:t xml:space="preserve">un atbildības </w:t>
      </w:r>
      <w:r w:rsidRPr="0083414F">
        <w:rPr>
          <w:bCs/>
          <w:color w:val="auto"/>
        </w:rPr>
        <w:t xml:space="preserve">sadalījumam </w:t>
      </w:r>
      <w:r w:rsidR="00FC3859" w:rsidRPr="0083414F">
        <w:rPr>
          <w:bCs/>
          <w:color w:val="auto"/>
        </w:rPr>
        <w:t xml:space="preserve">vadošās iestādes funkcijas pilda Finanšu ministrija, </w:t>
      </w:r>
      <w:r w:rsidRPr="0083414F">
        <w:rPr>
          <w:bCs/>
          <w:color w:val="auto"/>
        </w:rPr>
        <w:t>atbildīgās iestādes</w:t>
      </w:r>
      <w:r w:rsidR="00FC3859" w:rsidRPr="0083414F">
        <w:rPr>
          <w:bCs/>
          <w:color w:val="auto"/>
        </w:rPr>
        <w:t xml:space="preserve"> funkcijas </w:t>
      </w:r>
      <w:r w:rsidRPr="0083414F">
        <w:rPr>
          <w:bCs/>
          <w:color w:val="auto"/>
        </w:rPr>
        <w:t xml:space="preserve">– IZM, </w:t>
      </w:r>
      <w:r w:rsidR="00FC3859" w:rsidRPr="0083414F">
        <w:rPr>
          <w:bCs/>
          <w:color w:val="auto"/>
        </w:rPr>
        <w:t xml:space="preserve">bet </w:t>
      </w:r>
      <w:r w:rsidRPr="0083414F">
        <w:rPr>
          <w:bCs/>
          <w:color w:val="auto"/>
        </w:rPr>
        <w:t>sadarbības iestādes funkcijas – C</w:t>
      </w:r>
      <w:r w:rsidR="0031543B" w:rsidRPr="0083414F">
        <w:rPr>
          <w:bCs/>
          <w:color w:val="auto"/>
        </w:rPr>
        <w:t>entrālā finanšu un līgumu aģentūra (C</w:t>
      </w:r>
      <w:r w:rsidRPr="0083414F">
        <w:rPr>
          <w:bCs/>
          <w:color w:val="auto"/>
        </w:rPr>
        <w:t>FLA</w:t>
      </w:r>
      <w:r w:rsidR="0031543B" w:rsidRPr="0083414F">
        <w:rPr>
          <w:bCs/>
          <w:color w:val="auto"/>
        </w:rPr>
        <w:t>)</w:t>
      </w:r>
      <w:r w:rsidRPr="0083414F">
        <w:rPr>
          <w:bCs/>
          <w:color w:val="auto"/>
        </w:rPr>
        <w:t>.</w:t>
      </w:r>
      <w:r w:rsidRPr="0083414F">
        <w:rPr>
          <w:color w:val="auto"/>
        </w:rPr>
        <w:t xml:space="preserve"> </w:t>
      </w:r>
      <w:r w:rsidR="00A1215D" w:rsidRPr="0083414F">
        <w:rPr>
          <w:color w:val="auto"/>
        </w:rPr>
        <w:t>Augstskolu</w:t>
      </w:r>
      <w:r w:rsidRPr="0083414F">
        <w:rPr>
          <w:color w:val="auto"/>
        </w:rPr>
        <w:t xml:space="preserve"> sadarbība varētu veidoties ar nozares darba devējiem, piemēram, par iekārtu iegādi, kas atbilst mūsdienu prasībām un ir nepieciešamas katras konkrētās nozares attīstībai.</w:t>
      </w:r>
    </w:p>
    <w:p w14:paraId="2862A68E" w14:textId="77777777" w:rsidR="009266D1" w:rsidRPr="00325273" w:rsidRDefault="009266D1" w:rsidP="00175261">
      <w:pPr>
        <w:rPr>
          <w:sz w:val="6"/>
          <w:szCs w:val="24"/>
        </w:rPr>
      </w:pPr>
    </w:p>
    <w:p w14:paraId="6B9C6BFA" w14:textId="77777777" w:rsidR="00D24235" w:rsidRDefault="00D24235" w:rsidP="00D24235">
      <w:pPr>
        <w:ind w:firstLine="720"/>
        <w:rPr>
          <w:rFonts w:eastAsia="Calibri"/>
          <w:b/>
          <w:szCs w:val="24"/>
        </w:rPr>
      </w:pPr>
    </w:p>
    <w:p w14:paraId="6AE74037" w14:textId="77777777" w:rsidR="00210467" w:rsidRDefault="001064B3" w:rsidP="00D93672">
      <w:pPr>
        <w:pStyle w:val="Heading2"/>
      </w:pPr>
      <w:bookmarkStart w:id="33" w:name="_Toc457815681"/>
      <w:r>
        <w:t>4.</w:t>
      </w:r>
      <w:r w:rsidR="00290F5E">
        <w:t>2</w:t>
      </w:r>
      <w:r>
        <w:t xml:space="preserve">. </w:t>
      </w:r>
      <w:r w:rsidR="006454CC">
        <w:t>I</w:t>
      </w:r>
      <w:r w:rsidR="00D93672" w:rsidRPr="00521C8D">
        <w:t xml:space="preserve">ndikatīvais 2014.-2020.gada plānošanas perioda investīciju kartējums </w:t>
      </w:r>
      <w:r w:rsidR="00D93672">
        <w:t>augstskolu</w:t>
      </w:r>
      <w:r w:rsidR="00D93672" w:rsidRPr="00521C8D">
        <w:t xml:space="preserve"> infrastruktūrā</w:t>
      </w:r>
      <w:bookmarkEnd w:id="33"/>
    </w:p>
    <w:p w14:paraId="44977B7C" w14:textId="77777777" w:rsidR="001064B3" w:rsidRPr="001064B3" w:rsidRDefault="001064B3" w:rsidP="001064B3"/>
    <w:p w14:paraId="0269277B" w14:textId="77777777" w:rsidR="00BA2895" w:rsidRPr="0083414F" w:rsidRDefault="00BA2895" w:rsidP="00BA2895">
      <w:pPr>
        <w:pStyle w:val="Normal1"/>
        <w:ind w:firstLine="720"/>
        <w:jc w:val="both"/>
        <w:rPr>
          <w:rFonts w:ascii="Times New Roman" w:hAnsi="Times New Roman" w:cs="Times New Roman"/>
          <w:color w:val="auto"/>
          <w:sz w:val="24"/>
          <w:szCs w:val="24"/>
        </w:rPr>
      </w:pPr>
      <w:r w:rsidRPr="0083414F">
        <w:rPr>
          <w:rFonts w:ascii="Times New Roman" w:hAnsi="Times New Roman" w:cs="Times New Roman"/>
          <w:color w:val="auto"/>
          <w:sz w:val="24"/>
          <w:szCs w:val="24"/>
        </w:rPr>
        <w:t xml:space="preserve">8.1.1. SAM finansējuma mērķis ir STEM studiju programmu modernizācijas pabeigšana. Kā </w:t>
      </w:r>
      <w:r w:rsidR="005C639A" w:rsidRPr="0083414F">
        <w:rPr>
          <w:rFonts w:ascii="Times New Roman" w:hAnsi="Times New Roman" w:cs="Times New Roman"/>
          <w:color w:val="auto"/>
          <w:sz w:val="24"/>
          <w:szCs w:val="24"/>
        </w:rPr>
        <w:t>projektu iesniedzēji</w:t>
      </w:r>
      <w:r w:rsidRPr="0083414F">
        <w:rPr>
          <w:rFonts w:ascii="Times New Roman" w:hAnsi="Times New Roman" w:cs="Times New Roman"/>
          <w:color w:val="auto"/>
          <w:sz w:val="24"/>
          <w:szCs w:val="24"/>
        </w:rPr>
        <w:t xml:space="preserve"> plānotas </w:t>
      </w:r>
      <w:r w:rsidR="008F35A6">
        <w:rPr>
          <w:rFonts w:ascii="Times New Roman" w:hAnsi="Times New Roman" w:cs="Times New Roman"/>
          <w:color w:val="auto"/>
          <w:sz w:val="24"/>
          <w:szCs w:val="24"/>
        </w:rPr>
        <w:t xml:space="preserve">tās </w:t>
      </w:r>
      <w:r w:rsidRPr="0083414F">
        <w:rPr>
          <w:rFonts w:ascii="Times New Roman" w:hAnsi="Times New Roman" w:cs="Times New Roman"/>
          <w:color w:val="auto"/>
          <w:sz w:val="24"/>
          <w:szCs w:val="24"/>
        </w:rPr>
        <w:t xml:space="preserve">augstākās izglītības institūcijas, kuras īsteno Latvijas </w:t>
      </w:r>
      <w:r w:rsidR="00EF7DC1" w:rsidRPr="0083414F">
        <w:rPr>
          <w:rFonts w:ascii="Times New Roman" w:hAnsi="Times New Roman" w:cs="Times New Roman"/>
          <w:color w:val="auto"/>
          <w:sz w:val="24"/>
          <w:szCs w:val="24"/>
        </w:rPr>
        <w:t>V</w:t>
      </w:r>
      <w:r w:rsidRPr="0083414F">
        <w:rPr>
          <w:rFonts w:ascii="Times New Roman" w:hAnsi="Times New Roman" w:cs="Times New Roman"/>
          <w:color w:val="auto"/>
          <w:sz w:val="24"/>
          <w:szCs w:val="24"/>
        </w:rPr>
        <w:t>ied</w:t>
      </w:r>
      <w:r w:rsidR="00EF7DC1" w:rsidRPr="0083414F">
        <w:rPr>
          <w:rFonts w:ascii="Times New Roman" w:hAnsi="Times New Roman" w:cs="Times New Roman"/>
          <w:color w:val="auto"/>
          <w:sz w:val="24"/>
          <w:szCs w:val="24"/>
        </w:rPr>
        <w:t>ā</w:t>
      </w:r>
      <w:r w:rsidRPr="0083414F">
        <w:rPr>
          <w:rFonts w:ascii="Times New Roman" w:hAnsi="Times New Roman" w:cs="Times New Roman"/>
          <w:color w:val="auto"/>
          <w:sz w:val="24"/>
          <w:szCs w:val="24"/>
        </w:rPr>
        <w:t xml:space="preserve">s specializācijas stratēģijas mērķiem atbilstošas STEM </w:t>
      </w:r>
      <w:r w:rsidR="00EF7DC1" w:rsidRPr="0083414F">
        <w:rPr>
          <w:rFonts w:ascii="Times New Roman" w:hAnsi="Times New Roman" w:cs="Times New Roman"/>
          <w:color w:val="auto"/>
          <w:sz w:val="24"/>
          <w:szCs w:val="24"/>
        </w:rPr>
        <w:t xml:space="preserve">jomas </w:t>
      </w:r>
      <w:r w:rsidRPr="0083414F">
        <w:rPr>
          <w:rFonts w:ascii="Times New Roman" w:hAnsi="Times New Roman" w:cs="Times New Roman"/>
          <w:color w:val="auto"/>
          <w:sz w:val="24"/>
          <w:szCs w:val="24"/>
        </w:rPr>
        <w:t>programmas, tai skaitā radošo industriju un medicīnas jomā, un kuras piedalās augstākās izglītības un zinātnes institūciju konsolidācijas un izcilības attīstības pasākumos nozares strukturālo reformu ietvaros</w:t>
      </w:r>
      <w:r w:rsidR="00466DD6" w:rsidRPr="0083414F">
        <w:rPr>
          <w:rFonts w:ascii="Times New Roman" w:hAnsi="Times New Roman" w:cs="Times New Roman"/>
          <w:color w:val="auto"/>
          <w:sz w:val="24"/>
          <w:szCs w:val="24"/>
        </w:rPr>
        <w:t xml:space="preserve"> un īsteno pētniecībā balstītu augstāko izglītību</w:t>
      </w:r>
      <w:r w:rsidRPr="0083414F">
        <w:rPr>
          <w:rFonts w:ascii="Times New Roman" w:hAnsi="Times New Roman" w:cs="Times New Roman"/>
          <w:color w:val="auto"/>
          <w:sz w:val="24"/>
          <w:szCs w:val="24"/>
        </w:rPr>
        <w:t>. Finansējuma saņēmēji ir visas universitātes, reģionālās augstskolas</w:t>
      </w:r>
      <w:r w:rsidR="0083414F">
        <w:rPr>
          <w:rFonts w:ascii="Times New Roman" w:hAnsi="Times New Roman" w:cs="Times New Roman"/>
          <w:color w:val="auto"/>
          <w:sz w:val="24"/>
          <w:szCs w:val="24"/>
        </w:rPr>
        <w:t>,</w:t>
      </w:r>
      <w:r w:rsidRPr="0083414F">
        <w:rPr>
          <w:rFonts w:ascii="Times New Roman" w:hAnsi="Times New Roman" w:cs="Times New Roman"/>
          <w:color w:val="auto"/>
          <w:sz w:val="24"/>
          <w:szCs w:val="24"/>
        </w:rPr>
        <w:t xml:space="preserve"> kultūras </w:t>
      </w:r>
      <w:r w:rsidR="0083414F" w:rsidRPr="0083414F">
        <w:rPr>
          <w:rFonts w:ascii="Times New Roman" w:hAnsi="Times New Roman" w:cs="Times New Roman"/>
          <w:color w:val="auto"/>
          <w:sz w:val="24"/>
          <w:szCs w:val="24"/>
        </w:rPr>
        <w:t xml:space="preserve">un </w:t>
      </w:r>
      <w:r w:rsidR="0083414F">
        <w:rPr>
          <w:rFonts w:ascii="Times New Roman" w:hAnsi="Times New Roman" w:cs="Times New Roman"/>
          <w:color w:val="auto"/>
          <w:sz w:val="24"/>
          <w:szCs w:val="24"/>
        </w:rPr>
        <w:t xml:space="preserve">sporta </w:t>
      </w:r>
      <w:r w:rsidRPr="0083414F">
        <w:rPr>
          <w:rFonts w:ascii="Times New Roman" w:hAnsi="Times New Roman" w:cs="Times New Roman"/>
          <w:color w:val="auto"/>
          <w:sz w:val="24"/>
          <w:szCs w:val="24"/>
        </w:rPr>
        <w:t xml:space="preserve">nozares augstskolas, un Transporta </w:t>
      </w:r>
      <w:r w:rsidR="00EF7DC1" w:rsidRPr="0083414F">
        <w:rPr>
          <w:rFonts w:ascii="Times New Roman" w:hAnsi="Times New Roman" w:cs="Times New Roman"/>
          <w:color w:val="auto"/>
          <w:sz w:val="24"/>
          <w:szCs w:val="24"/>
        </w:rPr>
        <w:t>un s</w:t>
      </w:r>
      <w:r w:rsidRPr="0083414F">
        <w:rPr>
          <w:rFonts w:ascii="Times New Roman" w:hAnsi="Times New Roman" w:cs="Times New Roman"/>
          <w:color w:val="auto"/>
          <w:sz w:val="24"/>
          <w:szCs w:val="24"/>
        </w:rPr>
        <w:t xml:space="preserve">akaru </w:t>
      </w:r>
      <w:r w:rsidR="00EF7DC1" w:rsidRPr="0083414F">
        <w:rPr>
          <w:rFonts w:ascii="Times New Roman" w:hAnsi="Times New Roman" w:cs="Times New Roman"/>
          <w:color w:val="auto"/>
          <w:sz w:val="24"/>
          <w:szCs w:val="24"/>
        </w:rPr>
        <w:t>i</w:t>
      </w:r>
      <w:r w:rsidRPr="0083414F">
        <w:rPr>
          <w:rFonts w:ascii="Times New Roman" w:hAnsi="Times New Roman" w:cs="Times New Roman"/>
          <w:color w:val="auto"/>
          <w:sz w:val="24"/>
          <w:szCs w:val="24"/>
        </w:rPr>
        <w:t xml:space="preserve">nstitūts, kas ir vienīgā privātā augstskola Latvijā, kas īsteno pētniecībā balstītu augstāko izglītību STEM </w:t>
      </w:r>
      <w:r w:rsidR="00EF7DC1" w:rsidRPr="0083414F">
        <w:rPr>
          <w:rFonts w:ascii="Times New Roman" w:hAnsi="Times New Roman" w:cs="Times New Roman"/>
          <w:color w:val="auto"/>
          <w:sz w:val="24"/>
          <w:szCs w:val="24"/>
        </w:rPr>
        <w:t xml:space="preserve">jomas </w:t>
      </w:r>
      <w:r w:rsidRPr="0083414F">
        <w:rPr>
          <w:rFonts w:ascii="Times New Roman" w:hAnsi="Times New Roman" w:cs="Times New Roman"/>
          <w:color w:val="auto"/>
          <w:sz w:val="24"/>
          <w:szCs w:val="24"/>
        </w:rPr>
        <w:t xml:space="preserve">programmās un kuras sniegumu apliecina starptautiskā zinātnes </w:t>
      </w:r>
      <w:proofErr w:type="spellStart"/>
      <w:r w:rsidRPr="0083414F">
        <w:rPr>
          <w:rFonts w:ascii="Times New Roman" w:hAnsi="Times New Roman" w:cs="Times New Roman"/>
          <w:color w:val="auto"/>
          <w:sz w:val="24"/>
          <w:szCs w:val="24"/>
        </w:rPr>
        <w:t>izvērtējuma</w:t>
      </w:r>
      <w:proofErr w:type="spellEnd"/>
      <w:r w:rsidRPr="0083414F">
        <w:rPr>
          <w:rFonts w:ascii="Times New Roman" w:hAnsi="Times New Roman" w:cs="Times New Roman"/>
          <w:color w:val="auto"/>
          <w:sz w:val="24"/>
          <w:szCs w:val="24"/>
        </w:rPr>
        <w:t xml:space="preserve"> rezultāti.</w:t>
      </w:r>
      <w:r w:rsidR="005C639A" w:rsidRPr="0083414F">
        <w:rPr>
          <w:rFonts w:ascii="Times New Roman" w:hAnsi="Times New Roman" w:cs="Times New Roman"/>
          <w:color w:val="auto"/>
          <w:sz w:val="24"/>
          <w:szCs w:val="24"/>
        </w:rPr>
        <w:t xml:space="preserve"> </w:t>
      </w:r>
      <w:r w:rsidR="00466DD6" w:rsidRPr="0083414F">
        <w:rPr>
          <w:rFonts w:ascii="Times New Roman" w:hAnsi="Times New Roman" w:cs="Times New Roman"/>
          <w:color w:val="auto"/>
          <w:sz w:val="24"/>
          <w:szCs w:val="24"/>
        </w:rPr>
        <w:t>8.1.1. SAM ietvaros plānoti 14 p</w:t>
      </w:r>
      <w:r w:rsidR="005C639A" w:rsidRPr="0083414F">
        <w:rPr>
          <w:rFonts w:ascii="Times New Roman" w:hAnsi="Times New Roman" w:cs="Times New Roman"/>
          <w:color w:val="auto"/>
          <w:sz w:val="24"/>
          <w:szCs w:val="24"/>
        </w:rPr>
        <w:t>rojektu iesniedzēji</w:t>
      </w:r>
      <w:r w:rsidR="008F6206" w:rsidRPr="0083414F">
        <w:rPr>
          <w:rFonts w:ascii="Times New Roman" w:hAnsi="Times New Roman" w:cs="Times New Roman"/>
          <w:color w:val="auto"/>
          <w:sz w:val="24"/>
          <w:szCs w:val="24"/>
        </w:rPr>
        <w:t>:</w:t>
      </w:r>
    </w:p>
    <w:p w14:paraId="171C4E96"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Daugavpils Universitāte;</w:t>
      </w:r>
    </w:p>
    <w:p w14:paraId="33FF8D1D" w14:textId="77777777" w:rsidR="00F10F21" w:rsidRPr="0083414F" w:rsidRDefault="00F10F21" w:rsidP="00B47005">
      <w:pPr>
        <w:pStyle w:val="ListParagraph"/>
        <w:numPr>
          <w:ilvl w:val="0"/>
          <w:numId w:val="26"/>
        </w:numPr>
        <w:shd w:val="clear" w:color="auto" w:fill="FFFFFF"/>
        <w:rPr>
          <w:rFonts w:eastAsia="Calibri"/>
          <w:szCs w:val="24"/>
        </w:rPr>
      </w:pPr>
      <w:proofErr w:type="spellStart"/>
      <w:r w:rsidRPr="0083414F">
        <w:rPr>
          <w:rFonts w:eastAsia="Calibri"/>
          <w:szCs w:val="24"/>
        </w:rPr>
        <w:t>J.Vītola</w:t>
      </w:r>
      <w:proofErr w:type="spellEnd"/>
      <w:r w:rsidRPr="0083414F">
        <w:rPr>
          <w:rFonts w:eastAsia="Calibri"/>
          <w:szCs w:val="24"/>
        </w:rPr>
        <w:t xml:space="preserve"> Latvijas Mūzikas akadēmija;</w:t>
      </w:r>
    </w:p>
    <w:p w14:paraId="6DD559FD"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Liepājas Universitāte;</w:t>
      </w:r>
    </w:p>
    <w:p w14:paraId="2CEA318D"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Latvijas Kultūras akadēmija;</w:t>
      </w:r>
    </w:p>
    <w:p w14:paraId="2F7BC4C4"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Latvijas Lauksaimniecības universitāte;</w:t>
      </w:r>
    </w:p>
    <w:p w14:paraId="3A38652D"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Latvijas Mākslas akadēmija;</w:t>
      </w:r>
    </w:p>
    <w:p w14:paraId="208E3E40"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Latvijas Sporta pedagoģijas akadēmija;</w:t>
      </w:r>
    </w:p>
    <w:p w14:paraId="0BF6DAFF"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Latvijas Universitāte;</w:t>
      </w:r>
    </w:p>
    <w:p w14:paraId="183C0F87"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Rīgas Stradiņa universitāte;</w:t>
      </w:r>
    </w:p>
    <w:p w14:paraId="532C6BEF"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Rēzeknes Tehnoloģiju akadēmija;</w:t>
      </w:r>
    </w:p>
    <w:p w14:paraId="6A358B02"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Rīgas Tehniskā universitāte;</w:t>
      </w:r>
    </w:p>
    <w:p w14:paraId="2322CE1B"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Transporta un sakaru institūts;</w:t>
      </w:r>
    </w:p>
    <w:p w14:paraId="09499763"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Ventspils Augstskola;</w:t>
      </w:r>
    </w:p>
    <w:p w14:paraId="67415F91" w14:textId="77777777" w:rsidR="00F10F21" w:rsidRPr="0083414F" w:rsidRDefault="00F10F21" w:rsidP="00B47005">
      <w:pPr>
        <w:pStyle w:val="ListParagraph"/>
        <w:numPr>
          <w:ilvl w:val="0"/>
          <w:numId w:val="26"/>
        </w:numPr>
        <w:shd w:val="clear" w:color="auto" w:fill="FFFFFF"/>
        <w:rPr>
          <w:rFonts w:eastAsia="Calibri"/>
          <w:szCs w:val="24"/>
        </w:rPr>
      </w:pPr>
      <w:r w:rsidRPr="0083414F">
        <w:rPr>
          <w:rFonts w:eastAsia="Calibri"/>
          <w:szCs w:val="24"/>
        </w:rPr>
        <w:t>Vidzemes Augstskola.</w:t>
      </w:r>
    </w:p>
    <w:p w14:paraId="51FC3D21" w14:textId="77777777" w:rsidR="000A1C57" w:rsidRPr="0083414F" w:rsidRDefault="000A1C57" w:rsidP="005F78DE">
      <w:pPr>
        <w:pStyle w:val="Normal1"/>
        <w:ind w:firstLine="720"/>
        <w:jc w:val="both"/>
        <w:rPr>
          <w:rFonts w:ascii="Times New Roman" w:hAnsi="Times New Roman" w:cs="Times New Roman"/>
          <w:color w:val="auto"/>
          <w:sz w:val="24"/>
          <w:szCs w:val="24"/>
          <w:lang w:eastAsia="en-US"/>
        </w:rPr>
      </w:pPr>
    </w:p>
    <w:p w14:paraId="54C1F3B4" w14:textId="77777777" w:rsidR="00175261" w:rsidRPr="00DC6AC9" w:rsidRDefault="00874B45" w:rsidP="00375426">
      <w:pPr>
        <w:pStyle w:val="Normal1"/>
        <w:ind w:firstLine="720"/>
        <w:jc w:val="both"/>
        <w:rPr>
          <w:bCs/>
          <w:color w:val="auto"/>
          <w:spacing w:val="-2"/>
          <w:szCs w:val="24"/>
        </w:rPr>
      </w:pPr>
      <w:r w:rsidRPr="00145FA8">
        <w:rPr>
          <w:rFonts w:ascii="Times New Roman" w:hAnsi="Times New Roman" w:cs="Times New Roman"/>
          <w:color w:val="auto"/>
          <w:sz w:val="24"/>
          <w:szCs w:val="24"/>
          <w:lang w:eastAsia="en-US"/>
        </w:rPr>
        <w:t>Investīciju p</w:t>
      </w:r>
      <w:r w:rsidR="00290F5E" w:rsidRPr="00145FA8">
        <w:rPr>
          <w:rFonts w:ascii="Times New Roman" w:hAnsi="Times New Roman" w:cs="Times New Roman"/>
          <w:color w:val="auto"/>
          <w:sz w:val="24"/>
          <w:szCs w:val="24"/>
          <w:lang w:eastAsia="en-US"/>
        </w:rPr>
        <w:t xml:space="preserve">riekšnoteikums – </w:t>
      </w:r>
      <w:r w:rsidR="006B58BB">
        <w:rPr>
          <w:rFonts w:ascii="Times New Roman" w:hAnsi="Times New Roman" w:cs="Times New Roman"/>
          <w:color w:val="auto"/>
          <w:sz w:val="24"/>
          <w:szCs w:val="24"/>
          <w:lang w:eastAsia="en-US"/>
        </w:rPr>
        <w:t>augstākās izglītības institūcijas</w:t>
      </w:r>
      <w:r w:rsidR="006B58BB" w:rsidRPr="00145FA8">
        <w:rPr>
          <w:rFonts w:ascii="Times New Roman" w:hAnsi="Times New Roman" w:cs="Times New Roman"/>
          <w:color w:val="auto"/>
          <w:sz w:val="24"/>
          <w:szCs w:val="24"/>
          <w:lang w:eastAsia="en-US"/>
        </w:rPr>
        <w:t xml:space="preserve"> </w:t>
      </w:r>
      <w:r w:rsidR="00175261" w:rsidRPr="00145FA8">
        <w:rPr>
          <w:rFonts w:ascii="Times New Roman" w:hAnsi="Times New Roman" w:cs="Times New Roman"/>
          <w:color w:val="auto"/>
          <w:sz w:val="24"/>
          <w:szCs w:val="24"/>
          <w:lang w:eastAsia="en-US"/>
        </w:rPr>
        <w:t xml:space="preserve">vidēja vai ilgtermiņa </w:t>
      </w:r>
      <w:r w:rsidR="00290F5E" w:rsidRPr="00145FA8">
        <w:rPr>
          <w:rFonts w:ascii="Times New Roman" w:hAnsi="Times New Roman" w:cs="Times New Roman"/>
          <w:b/>
          <w:color w:val="auto"/>
          <w:sz w:val="24"/>
          <w:szCs w:val="24"/>
          <w:lang w:eastAsia="en-US"/>
        </w:rPr>
        <w:t>attī</w:t>
      </w:r>
      <w:r w:rsidR="00175261" w:rsidRPr="00145FA8">
        <w:rPr>
          <w:rFonts w:ascii="Times New Roman" w:hAnsi="Times New Roman" w:cs="Times New Roman"/>
          <w:b/>
          <w:color w:val="auto"/>
          <w:sz w:val="24"/>
          <w:szCs w:val="24"/>
          <w:lang w:eastAsia="en-US"/>
        </w:rPr>
        <w:t>stības stratēģija</w:t>
      </w:r>
      <w:r w:rsidR="00290F5E" w:rsidRPr="00145FA8">
        <w:rPr>
          <w:rFonts w:ascii="Times New Roman" w:hAnsi="Times New Roman" w:cs="Times New Roman"/>
          <w:color w:val="auto"/>
          <w:sz w:val="24"/>
          <w:szCs w:val="24"/>
          <w:lang w:eastAsia="en-US"/>
        </w:rPr>
        <w:t xml:space="preserve">, kas </w:t>
      </w:r>
      <w:r w:rsidR="00816266" w:rsidRPr="00145FA8">
        <w:rPr>
          <w:rFonts w:ascii="Times New Roman" w:hAnsi="Times New Roman" w:cs="Times New Roman"/>
          <w:color w:val="auto"/>
          <w:sz w:val="24"/>
          <w:szCs w:val="24"/>
          <w:lang w:eastAsia="en-US"/>
        </w:rPr>
        <w:t xml:space="preserve">ir </w:t>
      </w:r>
      <w:r w:rsidR="00175261" w:rsidRPr="00145FA8">
        <w:rPr>
          <w:rFonts w:ascii="Times New Roman" w:hAnsi="Times New Roman" w:cs="Times New Roman"/>
          <w:b/>
          <w:color w:val="auto"/>
          <w:sz w:val="24"/>
          <w:szCs w:val="24"/>
          <w:lang w:eastAsia="en-US"/>
        </w:rPr>
        <w:t>saskaņota</w:t>
      </w:r>
      <w:r w:rsidR="00816266" w:rsidRPr="00145FA8">
        <w:rPr>
          <w:rFonts w:ascii="Times New Roman" w:hAnsi="Times New Roman" w:cs="Times New Roman"/>
          <w:b/>
          <w:color w:val="auto"/>
          <w:sz w:val="24"/>
          <w:szCs w:val="24"/>
          <w:lang w:eastAsia="en-US"/>
        </w:rPr>
        <w:t xml:space="preserve"> ar IZM</w:t>
      </w:r>
      <w:r w:rsidR="00175261" w:rsidRPr="00145FA8">
        <w:rPr>
          <w:rFonts w:ascii="Times New Roman" w:hAnsi="Times New Roman" w:cs="Times New Roman"/>
          <w:b/>
          <w:color w:val="auto"/>
          <w:sz w:val="24"/>
          <w:szCs w:val="24"/>
          <w:lang w:eastAsia="en-US"/>
        </w:rPr>
        <w:t xml:space="preserve"> un nozares ministriju (ja attiecināms), kā </w:t>
      </w:r>
      <w:r w:rsidR="00230195" w:rsidRPr="00036E9B">
        <w:rPr>
          <w:rFonts w:ascii="Times New Roman" w:hAnsi="Times New Roman" w:cs="Times New Roman"/>
          <w:b/>
          <w:color w:val="auto"/>
          <w:sz w:val="24"/>
          <w:szCs w:val="24"/>
          <w:lang w:eastAsia="en-US"/>
        </w:rPr>
        <w:t xml:space="preserve">arī </w:t>
      </w:r>
      <w:r w:rsidR="008D39D4">
        <w:rPr>
          <w:rFonts w:ascii="Times New Roman" w:hAnsi="Times New Roman" w:cs="Times New Roman"/>
          <w:b/>
          <w:color w:val="auto"/>
          <w:sz w:val="24"/>
          <w:szCs w:val="24"/>
          <w:lang w:eastAsia="en-US"/>
        </w:rPr>
        <w:t xml:space="preserve">ar </w:t>
      </w:r>
      <w:r w:rsidR="00230195" w:rsidRPr="00036E9B">
        <w:rPr>
          <w:rFonts w:ascii="Times New Roman" w:hAnsi="Times New Roman" w:cs="Times New Roman"/>
          <w:b/>
          <w:color w:val="auto"/>
          <w:sz w:val="24"/>
          <w:szCs w:val="24"/>
          <w:lang w:eastAsia="en-US"/>
        </w:rPr>
        <w:t>atbilstošām nozar</w:t>
      </w:r>
      <w:r w:rsidR="00036E9B" w:rsidRPr="00036E9B">
        <w:rPr>
          <w:rFonts w:ascii="Times New Roman" w:hAnsi="Times New Roman" w:cs="Times New Roman"/>
          <w:b/>
          <w:color w:val="auto"/>
          <w:sz w:val="24"/>
          <w:szCs w:val="24"/>
          <w:lang w:eastAsia="en-US"/>
        </w:rPr>
        <w:t xml:space="preserve">es profesionālajām </w:t>
      </w:r>
      <w:r w:rsidR="00230195" w:rsidRPr="00036E9B">
        <w:rPr>
          <w:rFonts w:ascii="Times New Roman" w:hAnsi="Times New Roman" w:cs="Times New Roman"/>
          <w:b/>
          <w:color w:val="auto"/>
          <w:sz w:val="24"/>
          <w:szCs w:val="24"/>
          <w:lang w:eastAsia="en-US"/>
        </w:rPr>
        <w:t xml:space="preserve"> </w:t>
      </w:r>
      <w:r w:rsidR="00036E9B" w:rsidRPr="00036E9B">
        <w:rPr>
          <w:rFonts w:ascii="Times New Roman" w:hAnsi="Times New Roman" w:cs="Times New Roman"/>
          <w:b/>
          <w:color w:val="auto"/>
          <w:sz w:val="24"/>
          <w:szCs w:val="24"/>
          <w:lang w:eastAsia="en-US"/>
        </w:rPr>
        <w:t>organizācijām</w:t>
      </w:r>
      <w:r w:rsidR="00036E9B">
        <w:rPr>
          <w:rFonts w:ascii="Times New Roman" w:hAnsi="Times New Roman" w:cs="Times New Roman"/>
          <w:b/>
          <w:color w:val="auto"/>
          <w:sz w:val="24"/>
          <w:szCs w:val="24"/>
          <w:lang w:eastAsia="en-US"/>
        </w:rPr>
        <w:t xml:space="preserve"> vai Nozares ekspertu padomēm</w:t>
      </w:r>
      <w:r w:rsidR="00816266" w:rsidRPr="00145FA8">
        <w:rPr>
          <w:rFonts w:ascii="Times New Roman" w:hAnsi="Times New Roman" w:cs="Times New Roman"/>
          <w:color w:val="auto"/>
          <w:sz w:val="24"/>
          <w:szCs w:val="24"/>
          <w:lang w:eastAsia="en-US"/>
        </w:rPr>
        <w:t xml:space="preserve">. </w:t>
      </w:r>
      <w:r w:rsidR="00375426" w:rsidRPr="00145FA8">
        <w:rPr>
          <w:rFonts w:ascii="Times New Roman" w:hAnsi="Times New Roman" w:cs="Times New Roman"/>
          <w:color w:val="auto"/>
          <w:sz w:val="24"/>
          <w:szCs w:val="24"/>
          <w:lang w:eastAsia="en-US"/>
        </w:rPr>
        <w:t xml:space="preserve">Stratēģijās ietveramā informācija ir noteikta Ministru </w:t>
      </w:r>
      <w:r w:rsidR="00375426" w:rsidRPr="00DC6AC9">
        <w:rPr>
          <w:rFonts w:ascii="Times New Roman" w:hAnsi="Times New Roman" w:cs="Times New Roman"/>
          <w:color w:val="auto"/>
          <w:sz w:val="24"/>
          <w:szCs w:val="24"/>
          <w:lang w:eastAsia="en-US"/>
        </w:rPr>
        <w:t xml:space="preserve">kabineta </w:t>
      </w:r>
      <w:r w:rsidR="00502A3E" w:rsidRPr="00DC6AC9">
        <w:rPr>
          <w:rFonts w:ascii="Times New Roman" w:hAnsi="Times New Roman" w:cs="Times New Roman"/>
          <w:color w:val="auto"/>
          <w:sz w:val="24"/>
          <w:szCs w:val="24"/>
          <w:lang w:eastAsia="en-US"/>
        </w:rPr>
        <w:t>16.08.2016. noteikumu Nr</w:t>
      </w:r>
      <w:r w:rsidR="006B58BB" w:rsidRPr="00DC6AC9">
        <w:rPr>
          <w:rFonts w:ascii="Times New Roman" w:hAnsi="Times New Roman" w:cs="Times New Roman"/>
          <w:color w:val="auto"/>
          <w:sz w:val="24"/>
          <w:szCs w:val="24"/>
          <w:lang w:eastAsia="en-US"/>
        </w:rPr>
        <w:t xml:space="preserve">.561 </w:t>
      </w:r>
      <w:r w:rsidR="000C7ACC" w:rsidRPr="00DC6AC9">
        <w:rPr>
          <w:rFonts w:ascii="Times New Roman" w:hAnsi="Times New Roman" w:cs="Times New Roman"/>
          <w:color w:val="auto"/>
          <w:sz w:val="24"/>
          <w:szCs w:val="24"/>
          <w:lang w:eastAsia="en-US"/>
        </w:rPr>
        <w:t>„</w:t>
      </w:r>
      <w:r w:rsidR="006B58BB" w:rsidRPr="00DC6AC9">
        <w:rPr>
          <w:rFonts w:ascii="Times New Roman" w:hAnsi="Times New Roman" w:cs="Times New Roman"/>
          <w:color w:val="auto"/>
          <w:sz w:val="24"/>
          <w:szCs w:val="24"/>
          <w:lang w:eastAsia="en-US"/>
        </w:rPr>
        <w:t xml:space="preserve">Darbības programmas </w:t>
      </w:r>
      <w:r w:rsidR="000C7ACC" w:rsidRPr="00DC6AC9">
        <w:rPr>
          <w:rFonts w:ascii="Times New Roman" w:hAnsi="Times New Roman" w:cs="Times New Roman"/>
          <w:color w:val="auto"/>
          <w:sz w:val="24"/>
          <w:szCs w:val="24"/>
          <w:lang w:eastAsia="en-US"/>
        </w:rPr>
        <w:t>„</w:t>
      </w:r>
      <w:r w:rsidR="006B58BB" w:rsidRPr="00DC6AC9">
        <w:rPr>
          <w:rFonts w:ascii="Times New Roman" w:hAnsi="Times New Roman" w:cs="Times New Roman"/>
          <w:color w:val="auto"/>
          <w:sz w:val="24"/>
          <w:szCs w:val="24"/>
          <w:lang w:eastAsia="en-US"/>
        </w:rPr>
        <w:t>Izaugsme un nodarbinātība</w:t>
      </w:r>
      <w:r w:rsidR="000C7ACC" w:rsidRPr="00DC6AC9">
        <w:rPr>
          <w:rFonts w:ascii="Times New Roman" w:hAnsi="Times New Roman" w:cs="Times New Roman"/>
          <w:color w:val="auto"/>
          <w:sz w:val="24"/>
          <w:szCs w:val="24"/>
          <w:lang w:eastAsia="en-US"/>
        </w:rPr>
        <w:t>”</w:t>
      </w:r>
      <w:r w:rsidR="006B58BB" w:rsidRPr="00DC6AC9">
        <w:rPr>
          <w:rFonts w:ascii="Times New Roman" w:hAnsi="Times New Roman" w:cs="Times New Roman"/>
          <w:color w:val="auto"/>
          <w:sz w:val="24"/>
          <w:szCs w:val="24"/>
          <w:lang w:eastAsia="en-US"/>
        </w:rPr>
        <w:t xml:space="preserve"> 8.1.1. specifiskā atbalsta mērķa </w:t>
      </w:r>
      <w:r w:rsidR="000C7ACC" w:rsidRPr="00DC6AC9">
        <w:rPr>
          <w:rFonts w:ascii="Times New Roman" w:hAnsi="Times New Roman" w:cs="Times New Roman"/>
          <w:color w:val="auto"/>
          <w:sz w:val="24"/>
          <w:szCs w:val="24"/>
          <w:lang w:eastAsia="en-US"/>
        </w:rPr>
        <w:t>„</w:t>
      </w:r>
      <w:r w:rsidR="006B58BB" w:rsidRPr="00DC6AC9">
        <w:rPr>
          <w:rFonts w:ascii="Times New Roman" w:hAnsi="Times New Roman" w:cs="Times New Roman"/>
          <w:color w:val="auto"/>
          <w:sz w:val="24"/>
          <w:szCs w:val="24"/>
          <w:lang w:eastAsia="en-US"/>
        </w:rPr>
        <w:t xml:space="preserve">Palielināt modernizēto STEM, tajā skaitā medicīnas un radošās industrijas, studiju programmu skaitu īstenošanas noteikumi” (turpmāk – </w:t>
      </w:r>
      <w:r w:rsidR="00A23332" w:rsidRPr="00DC6AC9">
        <w:rPr>
          <w:rFonts w:ascii="Times New Roman" w:hAnsi="Times New Roman" w:cs="Times New Roman"/>
          <w:color w:val="auto"/>
          <w:sz w:val="24"/>
          <w:szCs w:val="24"/>
          <w:lang w:eastAsia="en-US"/>
        </w:rPr>
        <w:t xml:space="preserve">MK </w:t>
      </w:r>
      <w:r w:rsidR="006B58BB" w:rsidRPr="00DC6AC9">
        <w:rPr>
          <w:rFonts w:ascii="Times New Roman" w:hAnsi="Times New Roman" w:cs="Times New Roman"/>
          <w:color w:val="auto"/>
          <w:sz w:val="24"/>
          <w:szCs w:val="24"/>
          <w:lang w:eastAsia="en-US"/>
        </w:rPr>
        <w:t>noteikumi Nr.561)</w:t>
      </w:r>
      <w:r w:rsidR="00502A3E" w:rsidRPr="00DC6AC9">
        <w:rPr>
          <w:rStyle w:val="FootnoteReference"/>
          <w:rFonts w:cs="Times New Roman"/>
          <w:color w:val="auto"/>
          <w:sz w:val="24"/>
          <w:szCs w:val="24"/>
          <w:lang w:eastAsia="en-US"/>
        </w:rPr>
        <w:footnoteReference w:id="39"/>
      </w:r>
      <w:r w:rsidR="006B58BB" w:rsidRPr="00DC6AC9">
        <w:rPr>
          <w:rFonts w:ascii="Times New Roman" w:hAnsi="Times New Roman" w:cs="Times New Roman"/>
          <w:color w:val="auto"/>
          <w:sz w:val="24"/>
          <w:szCs w:val="24"/>
          <w:lang w:eastAsia="en-US"/>
        </w:rPr>
        <w:t xml:space="preserve"> 39. punktā.</w:t>
      </w:r>
    </w:p>
    <w:p w14:paraId="2FAF1CA1" w14:textId="77777777" w:rsidR="00FD7871" w:rsidRDefault="00175261" w:rsidP="001373F3">
      <w:pPr>
        <w:pStyle w:val="Normal1"/>
        <w:ind w:firstLine="720"/>
        <w:jc w:val="both"/>
        <w:rPr>
          <w:rFonts w:ascii="Times New Roman" w:hAnsi="Times New Roman" w:cs="Times New Roman"/>
          <w:color w:val="auto"/>
          <w:sz w:val="24"/>
          <w:szCs w:val="24"/>
          <w:lang w:eastAsia="en-US"/>
        </w:rPr>
      </w:pPr>
      <w:r w:rsidRPr="00DC6AC9">
        <w:rPr>
          <w:rFonts w:ascii="Times New Roman" w:hAnsi="Times New Roman" w:cs="Times New Roman"/>
          <w:color w:val="auto"/>
          <w:sz w:val="24"/>
          <w:szCs w:val="24"/>
          <w:lang w:eastAsia="en-US"/>
        </w:rPr>
        <w:t xml:space="preserve">Attīstības stratēģiju izstrādē jāņem vērā studiju programmu ārējā </w:t>
      </w:r>
      <w:proofErr w:type="spellStart"/>
      <w:r w:rsidRPr="00DC6AC9">
        <w:rPr>
          <w:rFonts w:ascii="Times New Roman" w:hAnsi="Times New Roman" w:cs="Times New Roman"/>
          <w:color w:val="auto"/>
          <w:sz w:val="24"/>
          <w:szCs w:val="24"/>
          <w:lang w:eastAsia="en-US"/>
        </w:rPr>
        <w:t>izvērtējuma</w:t>
      </w:r>
      <w:proofErr w:type="spellEnd"/>
      <w:r w:rsidRPr="00DC6AC9">
        <w:rPr>
          <w:rFonts w:ascii="Times New Roman" w:hAnsi="Times New Roman" w:cs="Times New Roman"/>
          <w:color w:val="auto"/>
          <w:sz w:val="24"/>
          <w:szCs w:val="24"/>
          <w:lang w:eastAsia="en-US"/>
        </w:rPr>
        <w:t xml:space="preserve"> rekomendācijas un nozares stratēģiskie mērķi, kas noteikti Izglītības attīstības pamatnostādnēs </w:t>
      </w:r>
      <w:r w:rsidRPr="00145FA8">
        <w:rPr>
          <w:rFonts w:ascii="Times New Roman" w:hAnsi="Times New Roman" w:cs="Times New Roman"/>
          <w:color w:val="auto"/>
          <w:sz w:val="24"/>
          <w:szCs w:val="24"/>
          <w:lang w:eastAsia="en-US"/>
        </w:rPr>
        <w:t xml:space="preserve">2014.-2020.gadam un </w:t>
      </w:r>
      <w:r w:rsidR="00EF7DC1" w:rsidRPr="00145FA8">
        <w:rPr>
          <w:rFonts w:ascii="Times New Roman" w:hAnsi="Times New Roman" w:cs="Times New Roman"/>
          <w:color w:val="auto"/>
          <w:sz w:val="24"/>
          <w:szCs w:val="24"/>
          <w:lang w:eastAsia="en-US"/>
        </w:rPr>
        <w:t xml:space="preserve">Latvijas </w:t>
      </w:r>
      <w:r w:rsidRPr="00145FA8">
        <w:rPr>
          <w:rFonts w:ascii="Times New Roman" w:hAnsi="Times New Roman" w:cs="Times New Roman"/>
          <w:color w:val="auto"/>
          <w:sz w:val="24"/>
          <w:szCs w:val="24"/>
          <w:lang w:eastAsia="en-US"/>
        </w:rPr>
        <w:t>Viedās specializācijas stratēģijā, kas ietverta Zinātnes, tehnoloģijas attīstības un inovācijas pamatnostādnēs 2014.-2020.gadam.</w:t>
      </w:r>
      <w:r w:rsidR="00A74549" w:rsidRPr="00145FA8">
        <w:rPr>
          <w:rFonts w:ascii="Times New Roman" w:hAnsi="Times New Roman" w:cs="Times New Roman"/>
          <w:color w:val="auto"/>
          <w:sz w:val="24"/>
          <w:szCs w:val="24"/>
          <w:lang w:eastAsia="en-US"/>
        </w:rPr>
        <w:t xml:space="preserve"> Jāpamato plānoto infrastruktūras ieguldījumu sinerģija ar citām attīstības iniciatīvām (ja attiecināms), piemēram, ieguldījumiem P&amp;A infrastruktūras attīstībā un starptautiskās sadarbības </w:t>
      </w:r>
      <w:r w:rsidR="00A74549" w:rsidRPr="008F35A6">
        <w:rPr>
          <w:rFonts w:ascii="Times New Roman" w:hAnsi="Times New Roman" w:cs="Times New Roman"/>
          <w:color w:val="auto"/>
          <w:sz w:val="24"/>
          <w:szCs w:val="24"/>
          <w:lang w:eastAsia="en-US"/>
        </w:rPr>
        <w:t>iniciatīvām.</w:t>
      </w:r>
      <w:r w:rsidR="006501B7" w:rsidRPr="008F35A6">
        <w:rPr>
          <w:rFonts w:ascii="Times New Roman" w:hAnsi="Times New Roman" w:cs="Times New Roman"/>
          <w:color w:val="auto"/>
          <w:sz w:val="24"/>
          <w:szCs w:val="24"/>
          <w:lang w:eastAsia="en-US"/>
        </w:rPr>
        <w:t xml:space="preserve"> </w:t>
      </w:r>
    </w:p>
    <w:p w14:paraId="09DD5448" w14:textId="77777777" w:rsidR="00B930B0" w:rsidRDefault="00B930B0" w:rsidP="0072100B">
      <w:pPr>
        <w:pStyle w:val="Normal1"/>
        <w:ind w:firstLine="720"/>
        <w:jc w:val="both"/>
        <w:rPr>
          <w:rFonts w:ascii="Times New Roman" w:hAnsi="Times New Roman" w:cs="Times New Roman"/>
          <w:b/>
          <w:color w:val="auto"/>
          <w:sz w:val="24"/>
          <w:szCs w:val="24"/>
          <w:lang w:eastAsia="en-US"/>
        </w:rPr>
      </w:pPr>
    </w:p>
    <w:p w14:paraId="5AEB735A" w14:textId="2CF53978" w:rsidR="00BA3779" w:rsidRPr="006219BC" w:rsidRDefault="00D947F5" w:rsidP="00BA3779">
      <w:pPr>
        <w:pStyle w:val="Normal1"/>
        <w:ind w:firstLine="720"/>
        <w:jc w:val="both"/>
        <w:rPr>
          <w:rFonts w:ascii="Times New Roman" w:hAnsi="Times New Roman" w:cs="Times New Roman"/>
          <w:b/>
          <w:sz w:val="24"/>
          <w:szCs w:val="24"/>
        </w:rPr>
      </w:pPr>
      <w:r w:rsidRPr="006219BC">
        <w:rPr>
          <w:rFonts w:ascii="Times New Roman" w:hAnsi="Times New Roman" w:cs="Times New Roman"/>
          <w:b/>
          <w:color w:val="auto"/>
          <w:sz w:val="24"/>
          <w:szCs w:val="24"/>
          <w:lang w:eastAsia="en-US"/>
        </w:rPr>
        <w:lastRenderedPageBreak/>
        <w:t xml:space="preserve">Augstākās izglītības institūcijas ir inovācijas sistēmas dalībnieki ar nozīmīgu lomu inovāciju un tehnoloģiju radīšanā un absorbcijā. Latvijas augstākās izglītības modernizācijas vajadzībām atbilstošas augstskolu pārvaldības un studiju programmu modernizēšanas un kvalitātes pilnveides nodrošināšana ir izvirzīta kā prioritāte. </w:t>
      </w:r>
      <w:r w:rsidR="002F0C56" w:rsidRPr="006219BC">
        <w:rPr>
          <w:rFonts w:ascii="Times New Roman" w:hAnsi="Times New Roman" w:cs="Times New Roman"/>
          <w:b/>
          <w:color w:val="auto"/>
          <w:sz w:val="24"/>
          <w:szCs w:val="24"/>
          <w:lang w:eastAsia="en-US"/>
        </w:rPr>
        <w:t>To ievērojot</w:t>
      </w:r>
      <w:r w:rsidRPr="006219BC">
        <w:rPr>
          <w:rFonts w:ascii="Times New Roman" w:hAnsi="Times New Roman" w:cs="Times New Roman"/>
          <w:b/>
          <w:color w:val="auto"/>
          <w:sz w:val="24"/>
          <w:szCs w:val="24"/>
          <w:lang w:eastAsia="en-US"/>
        </w:rPr>
        <w:t xml:space="preserve">, ar </w:t>
      </w:r>
      <w:r w:rsidR="00B930B0" w:rsidRPr="006219BC">
        <w:rPr>
          <w:rFonts w:ascii="Times New Roman" w:hAnsi="Times New Roman" w:cs="Times New Roman"/>
          <w:b/>
          <w:sz w:val="24"/>
          <w:szCs w:val="24"/>
        </w:rPr>
        <w:t xml:space="preserve">Ministru kabineta 2016.gada 16.augusta </w:t>
      </w:r>
      <w:proofErr w:type="spellStart"/>
      <w:r w:rsidR="00B930B0" w:rsidRPr="006219BC">
        <w:rPr>
          <w:rFonts w:ascii="Times New Roman" w:hAnsi="Times New Roman" w:cs="Times New Roman"/>
          <w:b/>
          <w:sz w:val="24"/>
          <w:szCs w:val="24"/>
        </w:rPr>
        <w:t>protokollēmuma</w:t>
      </w:r>
      <w:proofErr w:type="spellEnd"/>
      <w:r w:rsidR="00B930B0" w:rsidRPr="006219BC">
        <w:rPr>
          <w:rFonts w:ascii="Times New Roman" w:hAnsi="Times New Roman" w:cs="Times New Roman"/>
          <w:b/>
          <w:sz w:val="24"/>
          <w:szCs w:val="24"/>
        </w:rPr>
        <w:t xml:space="preserve"> (prot.Nr.40, 54.§ “Noteikumu projekts "Darbības programmas "Izaugsme un nodarbinātība" 8.1.1.specifiskā atbalsta mērķa "Palielināt modernizēto STEM, tajā skaitā medicīnas un radošās industrijas, studiju programmu skaitu" īstenošanas noteikumi"</w:t>
      </w:r>
      <w:r w:rsidRPr="006219BC">
        <w:rPr>
          <w:rFonts w:ascii="Times New Roman" w:hAnsi="Times New Roman" w:cs="Times New Roman"/>
          <w:b/>
          <w:sz w:val="24"/>
          <w:szCs w:val="24"/>
        </w:rPr>
        <w:t xml:space="preserve">) 2.punktu </w:t>
      </w:r>
      <w:r w:rsidR="00B930B0" w:rsidRPr="006219BC">
        <w:rPr>
          <w:rFonts w:ascii="Times New Roman" w:hAnsi="Times New Roman" w:cs="Times New Roman"/>
          <w:b/>
          <w:sz w:val="24"/>
          <w:szCs w:val="24"/>
        </w:rPr>
        <w:t xml:space="preserve">Izglītības un zinātnes ministrijai Viedās specializācijas stratēģijas monitoringa pasākumu ietvaros ir </w:t>
      </w:r>
      <w:r w:rsidRPr="006219BC">
        <w:rPr>
          <w:rFonts w:ascii="Times New Roman" w:hAnsi="Times New Roman" w:cs="Times New Roman"/>
          <w:b/>
          <w:sz w:val="24"/>
          <w:szCs w:val="24"/>
        </w:rPr>
        <w:t xml:space="preserve">uzdots </w:t>
      </w:r>
      <w:r w:rsidR="00B930B0" w:rsidRPr="006219BC">
        <w:rPr>
          <w:rFonts w:ascii="Times New Roman" w:hAnsi="Times New Roman" w:cs="Times New Roman"/>
          <w:b/>
          <w:sz w:val="24"/>
          <w:szCs w:val="24"/>
        </w:rPr>
        <w:t>nodrošin</w:t>
      </w:r>
      <w:r w:rsidRPr="006219BC">
        <w:rPr>
          <w:rFonts w:ascii="Times New Roman" w:hAnsi="Times New Roman" w:cs="Times New Roman"/>
          <w:b/>
          <w:sz w:val="24"/>
          <w:szCs w:val="24"/>
        </w:rPr>
        <w:t>āt</w:t>
      </w:r>
      <w:r w:rsidR="00B930B0" w:rsidRPr="006219BC">
        <w:rPr>
          <w:rFonts w:ascii="Times New Roman" w:hAnsi="Times New Roman" w:cs="Times New Roman"/>
          <w:b/>
          <w:sz w:val="24"/>
          <w:szCs w:val="24"/>
        </w:rPr>
        <w:t xml:space="preserve"> augstākās izglītības institūciju, kas ir labuma guvējas SAM 8.1.1 ietvaros, vidēja vai ilgtermiņa attīstības stratēģijās noteikto attīstības un pārvaldības pilnveides pasākumu ieviešanas un sasniedzamo rezultātu monitoring</w:t>
      </w:r>
      <w:r w:rsidRPr="006219BC">
        <w:rPr>
          <w:rFonts w:ascii="Times New Roman" w:hAnsi="Times New Roman" w:cs="Times New Roman"/>
          <w:b/>
          <w:sz w:val="24"/>
          <w:szCs w:val="24"/>
        </w:rPr>
        <w:t>u</w:t>
      </w:r>
      <w:r w:rsidR="00B930B0" w:rsidRPr="006219BC">
        <w:rPr>
          <w:rFonts w:ascii="Times New Roman" w:hAnsi="Times New Roman" w:cs="Times New Roman"/>
          <w:b/>
          <w:sz w:val="24"/>
          <w:szCs w:val="24"/>
        </w:rPr>
        <w:t>. </w:t>
      </w:r>
      <w:r w:rsidR="00BA3779" w:rsidRPr="006219BC">
        <w:rPr>
          <w:rFonts w:ascii="Times New Roman" w:hAnsi="Times New Roman" w:cs="Times New Roman"/>
          <w:b/>
          <w:color w:val="auto"/>
          <w:sz w:val="24"/>
          <w:szCs w:val="24"/>
          <w:lang w:eastAsia="en-US"/>
        </w:rPr>
        <w:t xml:space="preserve"> </w:t>
      </w:r>
    </w:p>
    <w:p w14:paraId="0E7FF0B4" w14:textId="398BABC9" w:rsidR="0017294C" w:rsidRPr="006219BC" w:rsidRDefault="002F0C56" w:rsidP="002F0C56">
      <w:pPr>
        <w:pStyle w:val="Normal1"/>
        <w:ind w:firstLine="720"/>
        <w:jc w:val="both"/>
        <w:rPr>
          <w:rFonts w:ascii="Times New Roman" w:hAnsi="Times New Roman" w:cs="Times New Roman"/>
          <w:b/>
          <w:color w:val="auto"/>
          <w:sz w:val="24"/>
          <w:szCs w:val="24"/>
          <w:lang w:eastAsia="en-US"/>
        </w:rPr>
      </w:pPr>
      <w:r w:rsidRPr="006219BC">
        <w:rPr>
          <w:rFonts w:ascii="Times New Roman" w:hAnsi="Times New Roman" w:cs="Times New Roman"/>
          <w:b/>
          <w:color w:val="auto"/>
          <w:sz w:val="24"/>
          <w:szCs w:val="24"/>
          <w:lang w:eastAsia="en-US"/>
        </w:rPr>
        <w:t xml:space="preserve">Šī uzdevuma izpildes ietvaros, ievērojot nozares stratēģiskos mērķus, IZM tostarp veiks </w:t>
      </w:r>
      <w:r w:rsidR="004400DF" w:rsidRPr="006219BC">
        <w:rPr>
          <w:rFonts w:ascii="Times New Roman" w:hAnsi="Times New Roman" w:cs="Times New Roman"/>
          <w:b/>
          <w:color w:val="auto"/>
          <w:sz w:val="24"/>
          <w:szCs w:val="24"/>
          <w:lang w:eastAsia="en-US"/>
        </w:rPr>
        <w:t xml:space="preserve">šādu rezultatīvo rādītāju </w:t>
      </w:r>
      <w:r w:rsidR="0072100B" w:rsidRPr="006219BC">
        <w:rPr>
          <w:rFonts w:ascii="Times New Roman" w:hAnsi="Times New Roman" w:cs="Times New Roman"/>
          <w:b/>
          <w:color w:val="auto"/>
          <w:sz w:val="24"/>
          <w:szCs w:val="24"/>
          <w:lang w:eastAsia="en-US"/>
        </w:rPr>
        <w:t>(</w:t>
      </w:r>
      <w:r w:rsidR="0017294C" w:rsidRPr="006219BC">
        <w:rPr>
          <w:rFonts w:ascii="Times New Roman" w:hAnsi="Times New Roman" w:cs="Times New Roman"/>
          <w:b/>
          <w:color w:val="auto"/>
          <w:sz w:val="24"/>
          <w:szCs w:val="24"/>
          <w:lang w:eastAsia="en-US"/>
        </w:rPr>
        <w:t>pieaugums %)</w:t>
      </w:r>
      <w:r w:rsidRPr="006219BC">
        <w:rPr>
          <w:rFonts w:ascii="Times New Roman" w:hAnsi="Times New Roman" w:cs="Times New Roman"/>
          <w:b/>
          <w:color w:val="auto"/>
          <w:sz w:val="24"/>
          <w:szCs w:val="24"/>
          <w:lang w:eastAsia="en-US"/>
        </w:rPr>
        <w:t xml:space="preserve"> izpildes uzraudzību</w:t>
      </w:r>
      <w:r w:rsidR="0017294C" w:rsidRPr="006219BC">
        <w:rPr>
          <w:rFonts w:ascii="Times New Roman" w:hAnsi="Times New Roman" w:cs="Times New Roman"/>
          <w:b/>
          <w:color w:val="auto"/>
          <w:sz w:val="24"/>
          <w:szCs w:val="24"/>
          <w:lang w:eastAsia="en-US"/>
        </w:rPr>
        <w:t>:</w:t>
      </w:r>
    </w:p>
    <w:p w14:paraId="2B1CE07A" w14:textId="5A7C80F6" w:rsidR="0072100B" w:rsidRPr="006219BC" w:rsidRDefault="004400DF" w:rsidP="002F0C56">
      <w:pPr>
        <w:pStyle w:val="Normal1"/>
        <w:numPr>
          <w:ilvl w:val="0"/>
          <w:numId w:val="37"/>
        </w:numPr>
        <w:jc w:val="both"/>
        <w:rPr>
          <w:rFonts w:ascii="Times New Roman" w:hAnsi="Times New Roman" w:cs="Times New Roman"/>
          <w:b/>
          <w:sz w:val="24"/>
          <w:szCs w:val="24"/>
        </w:rPr>
      </w:pPr>
      <w:r w:rsidRPr="006219BC">
        <w:rPr>
          <w:rFonts w:ascii="Times New Roman" w:hAnsi="Times New Roman" w:cs="Times New Roman"/>
          <w:b/>
          <w:color w:val="auto"/>
          <w:sz w:val="24"/>
          <w:szCs w:val="24"/>
          <w:lang w:eastAsia="en-US"/>
        </w:rPr>
        <w:t xml:space="preserve">Darba tirgus pieprasījumam atbilstoša </w:t>
      </w:r>
      <w:proofErr w:type="spellStart"/>
      <w:r w:rsidRPr="006219BC">
        <w:rPr>
          <w:rFonts w:ascii="Times New Roman" w:hAnsi="Times New Roman" w:cs="Times New Roman"/>
          <w:b/>
          <w:color w:val="auto"/>
          <w:sz w:val="24"/>
          <w:szCs w:val="24"/>
          <w:lang w:eastAsia="en-US"/>
        </w:rPr>
        <w:t>cilvēkkapitāla</w:t>
      </w:r>
      <w:proofErr w:type="spellEnd"/>
      <w:r w:rsidRPr="006219BC">
        <w:rPr>
          <w:rFonts w:ascii="Times New Roman" w:hAnsi="Times New Roman" w:cs="Times New Roman"/>
          <w:b/>
          <w:color w:val="auto"/>
          <w:sz w:val="24"/>
          <w:szCs w:val="24"/>
          <w:lang w:eastAsia="en-US"/>
        </w:rPr>
        <w:t xml:space="preserve"> sagatavošana</w:t>
      </w:r>
      <w:r w:rsidR="00463E7E" w:rsidRPr="006219BC">
        <w:rPr>
          <w:rFonts w:ascii="Times New Roman" w:hAnsi="Times New Roman" w:cs="Times New Roman"/>
          <w:b/>
          <w:color w:val="auto"/>
          <w:sz w:val="24"/>
          <w:szCs w:val="24"/>
          <w:lang w:eastAsia="en-US"/>
        </w:rPr>
        <w:t>:</w:t>
      </w:r>
    </w:p>
    <w:p w14:paraId="5D41DD51" w14:textId="77777777" w:rsidR="0017294C" w:rsidRPr="006219BC" w:rsidRDefault="0017294C" w:rsidP="002F0C56">
      <w:pPr>
        <w:pStyle w:val="ListParagraph"/>
        <w:numPr>
          <w:ilvl w:val="0"/>
          <w:numId w:val="38"/>
        </w:numPr>
        <w:ind w:left="1134"/>
        <w:rPr>
          <w:b/>
          <w:szCs w:val="24"/>
        </w:rPr>
      </w:pPr>
      <w:r w:rsidRPr="006219BC">
        <w:rPr>
          <w:b/>
          <w:szCs w:val="24"/>
        </w:rPr>
        <w:t>STEM studiju programmās studējošo īpatsvars no kopējā augstākās izglītības institūcijā studējošo skaita;</w:t>
      </w:r>
    </w:p>
    <w:p w14:paraId="42D4418B" w14:textId="77777777" w:rsidR="0017294C" w:rsidRPr="006219BC" w:rsidRDefault="0017294C" w:rsidP="002F0C56">
      <w:pPr>
        <w:pStyle w:val="ListParagraph"/>
        <w:numPr>
          <w:ilvl w:val="0"/>
          <w:numId w:val="38"/>
        </w:numPr>
        <w:ind w:left="1134"/>
        <w:rPr>
          <w:b/>
          <w:szCs w:val="24"/>
        </w:rPr>
      </w:pPr>
      <w:r w:rsidRPr="006219BC">
        <w:rPr>
          <w:b/>
          <w:szCs w:val="24"/>
        </w:rPr>
        <w:t>STEM studiju programmas absolvējošo (grādu vai kvalifikāciju ieguvušo) personu īpatsvars no kopējā augstākās izglītības institūcijā absolventu skaita;</w:t>
      </w:r>
    </w:p>
    <w:p w14:paraId="63E35885" w14:textId="7A06655F" w:rsidR="0017294C" w:rsidRPr="006219BC" w:rsidRDefault="0017294C" w:rsidP="002F0C56">
      <w:pPr>
        <w:pStyle w:val="ListParagraph"/>
        <w:numPr>
          <w:ilvl w:val="0"/>
          <w:numId w:val="38"/>
        </w:numPr>
        <w:ind w:left="1134"/>
        <w:rPr>
          <w:b/>
          <w:szCs w:val="24"/>
        </w:rPr>
      </w:pPr>
      <w:r w:rsidRPr="006219BC">
        <w:rPr>
          <w:b/>
          <w:szCs w:val="24"/>
        </w:rPr>
        <w:t>augstākās izglītības institūcijā sagatavoto STEM studiju programmu absolventi (%) no darbaspēka pieprasījuma atbilstošā tautsaimniecības nozarē (EM dati);</w:t>
      </w:r>
    </w:p>
    <w:p w14:paraId="3A80816C" w14:textId="77777777" w:rsidR="008C3F68" w:rsidRPr="006219BC" w:rsidRDefault="008C3F68" w:rsidP="002F0C56">
      <w:pPr>
        <w:pStyle w:val="ListParagraph"/>
        <w:numPr>
          <w:ilvl w:val="0"/>
          <w:numId w:val="38"/>
        </w:numPr>
        <w:ind w:left="1134"/>
        <w:rPr>
          <w:b/>
          <w:szCs w:val="24"/>
        </w:rPr>
      </w:pPr>
      <w:r w:rsidRPr="006219BC">
        <w:rPr>
          <w:b/>
          <w:szCs w:val="24"/>
        </w:rPr>
        <w:t>grādu, kvalifikāciju ieguvušo personu skaits pret imatrikulēto personu skaitu STEM studiju programmās (atbirums studiju programmā kopumā, salīdzinot pret vidējo atbirumu augstākās izglītības institūcijā);</w:t>
      </w:r>
    </w:p>
    <w:p w14:paraId="2EDA8811" w14:textId="77777777" w:rsidR="00F04D7B" w:rsidRPr="006219BC" w:rsidRDefault="00F04D7B" w:rsidP="002F0C56">
      <w:pPr>
        <w:pStyle w:val="ListParagraph"/>
        <w:numPr>
          <w:ilvl w:val="0"/>
          <w:numId w:val="38"/>
        </w:numPr>
        <w:ind w:left="1134"/>
        <w:rPr>
          <w:b/>
          <w:szCs w:val="24"/>
        </w:rPr>
      </w:pPr>
      <w:r w:rsidRPr="006219BC">
        <w:rPr>
          <w:b/>
          <w:szCs w:val="24"/>
        </w:rPr>
        <w:t xml:space="preserve">STEM jomas studiju programmu pēctecības nodrošināšana institūcijas un starpinstitūciju līmenī, ko raksturo noslēgtie sadarbības līgumi ar citām augstākās izglītības institūcijām; </w:t>
      </w:r>
    </w:p>
    <w:p w14:paraId="40B443B2" w14:textId="77777777" w:rsidR="00F04D7B" w:rsidRPr="006219BC" w:rsidRDefault="00F04D7B" w:rsidP="002F0C56">
      <w:pPr>
        <w:pStyle w:val="ListParagraph"/>
        <w:numPr>
          <w:ilvl w:val="0"/>
          <w:numId w:val="38"/>
        </w:numPr>
        <w:ind w:left="1134"/>
        <w:rPr>
          <w:b/>
          <w:szCs w:val="24"/>
        </w:rPr>
      </w:pPr>
      <w:r w:rsidRPr="006219BC">
        <w:rPr>
          <w:b/>
          <w:szCs w:val="24"/>
        </w:rPr>
        <w:t xml:space="preserve">augstākās izglītības institūcijas īstenoto profesionālas pilnveides programmu skaits STEM jomā; </w:t>
      </w:r>
    </w:p>
    <w:p w14:paraId="30894371" w14:textId="77777777" w:rsidR="00F04D7B" w:rsidRPr="006219BC" w:rsidRDefault="00F04D7B" w:rsidP="002F0C56">
      <w:pPr>
        <w:pStyle w:val="ListParagraph"/>
        <w:numPr>
          <w:ilvl w:val="0"/>
          <w:numId w:val="38"/>
        </w:numPr>
        <w:ind w:left="1134"/>
        <w:rPr>
          <w:b/>
          <w:szCs w:val="24"/>
        </w:rPr>
      </w:pPr>
      <w:r w:rsidRPr="006219BC">
        <w:rPr>
          <w:b/>
          <w:szCs w:val="24"/>
        </w:rPr>
        <w:t>pētniecībai piesaistītā privātā finansējuma īpatsvars no kopējā pētniecības finansējuma;</w:t>
      </w:r>
    </w:p>
    <w:p w14:paraId="61043C72" w14:textId="77D2319A" w:rsidR="000208EE" w:rsidRPr="006219BC" w:rsidRDefault="000208EE" w:rsidP="002F0C56">
      <w:pPr>
        <w:pStyle w:val="ListParagraph"/>
        <w:numPr>
          <w:ilvl w:val="0"/>
          <w:numId w:val="38"/>
        </w:numPr>
        <w:ind w:left="1134"/>
        <w:rPr>
          <w:b/>
          <w:szCs w:val="24"/>
        </w:rPr>
      </w:pPr>
      <w:r w:rsidRPr="006219BC">
        <w:rPr>
          <w:b/>
          <w:szCs w:val="24"/>
        </w:rPr>
        <w:t>komersantu ieguldījums STEM studiju programmu īstenošanā (uzņēmumu stipendijas studentiem, docētajiem, nozares speciālistu iesaiste studiju programmas īstenošanā (vada lekciju kursus; seminārus, praktiskās nodarbības, prakšu vadītāji, u</w:t>
      </w:r>
      <w:r w:rsidR="00FA178F" w:rsidRPr="006219BC">
        <w:rPr>
          <w:b/>
          <w:szCs w:val="24"/>
        </w:rPr>
        <w:t>.</w:t>
      </w:r>
      <w:r w:rsidRPr="006219BC">
        <w:rPr>
          <w:b/>
          <w:szCs w:val="24"/>
        </w:rPr>
        <w:t>tml</w:t>
      </w:r>
      <w:r w:rsidR="00FA178F" w:rsidRPr="006219BC">
        <w:rPr>
          <w:b/>
          <w:szCs w:val="24"/>
        </w:rPr>
        <w:t>.</w:t>
      </w:r>
      <w:r w:rsidRPr="006219BC">
        <w:rPr>
          <w:b/>
          <w:szCs w:val="24"/>
        </w:rPr>
        <w:t>)</w:t>
      </w:r>
      <w:r w:rsidR="00783360" w:rsidRPr="006219BC">
        <w:rPr>
          <w:b/>
          <w:szCs w:val="24"/>
        </w:rPr>
        <w:t>;</w:t>
      </w:r>
      <w:r w:rsidRPr="006219BC">
        <w:rPr>
          <w:b/>
          <w:szCs w:val="24"/>
        </w:rPr>
        <w:t xml:space="preserve"> resursu </w:t>
      </w:r>
      <w:proofErr w:type="spellStart"/>
      <w:r w:rsidRPr="006219BC">
        <w:rPr>
          <w:b/>
          <w:szCs w:val="24"/>
        </w:rPr>
        <w:t>kopizmantošana</w:t>
      </w:r>
      <w:proofErr w:type="spellEnd"/>
      <w:r w:rsidRPr="006219BC">
        <w:rPr>
          <w:b/>
          <w:szCs w:val="24"/>
        </w:rPr>
        <w:t xml:space="preserve">; </w:t>
      </w:r>
      <w:r w:rsidR="003521A7" w:rsidRPr="006219BC">
        <w:rPr>
          <w:b/>
          <w:szCs w:val="24"/>
        </w:rPr>
        <w:t>līdzfinansējums</w:t>
      </w:r>
      <w:r w:rsidRPr="006219BC">
        <w:rPr>
          <w:b/>
          <w:szCs w:val="24"/>
        </w:rPr>
        <w:t xml:space="preserve"> materiāli tehniskās bāzes uzturēšanai, pilnveidošanai u</w:t>
      </w:r>
      <w:r w:rsidR="00FA178F" w:rsidRPr="006219BC">
        <w:rPr>
          <w:b/>
          <w:szCs w:val="24"/>
        </w:rPr>
        <w:t>.</w:t>
      </w:r>
      <w:r w:rsidRPr="006219BC">
        <w:rPr>
          <w:b/>
          <w:szCs w:val="24"/>
        </w:rPr>
        <w:t>tml</w:t>
      </w:r>
      <w:r w:rsidR="004A2D75" w:rsidRPr="006219BC">
        <w:rPr>
          <w:b/>
          <w:szCs w:val="24"/>
        </w:rPr>
        <w:t>.</w:t>
      </w:r>
    </w:p>
    <w:p w14:paraId="5178819E" w14:textId="564A8B17" w:rsidR="003E7514" w:rsidRPr="006219BC" w:rsidRDefault="004A2D75" w:rsidP="00B84877">
      <w:pPr>
        <w:pStyle w:val="Normal1"/>
        <w:numPr>
          <w:ilvl w:val="0"/>
          <w:numId w:val="37"/>
        </w:numPr>
        <w:jc w:val="both"/>
        <w:rPr>
          <w:rFonts w:ascii="Times New Roman" w:hAnsi="Times New Roman" w:cs="Times New Roman"/>
          <w:b/>
          <w:color w:val="auto"/>
          <w:sz w:val="24"/>
          <w:szCs w:val="24"/>
          <w:lang w:eastAsia="en-US"/>
        </w:rPr>
      </w:pPr>
      <w:r w:rsidRPr="006219BC">
        <w:rPr>
          <w:rFonts w:ascii="Times New Roman" w:hAnsi="Times New Roman" w:cs="Times New Roman"/>
          <w:b/>
          <w:color w:val="auto"/>
          <w:sz w:val="24"/>
          <w:szCs w:val="24"/>
          <w:lang w:eastAsia="en-US"/>
        </w:rPr>
        <w:t xml:space="preserve">Zināšanu </w:t>
      </w:r>
      <w:proofErr w:type="spellStart"/>
      <w:r w:rsidRPr="006219BC">
        <w:rPr>
          <w:rFonts w:ascii="Times New Roman" w:hAnsi="Times New Roman" w:cs="Times New Roman"/>
          <w:b/>
          <w:color w:val="auto"/>
          <w:sz w:val="24"/>
          <w:szCs w:val="24"/>
          <w:lang w:eastAsia="en-US"/>
        </w:rPr>
        <w:t>pārnese</w:t>
      </w:r>
      <w:proofErr w:type="spellEnd"/>
      <w:r w:rsidR="00B84877" w:rsidRPr="006219BC">
        <w:rPr>
          <w:rFonts w:ascii="Times New Roman" w:hAnsi="Times New Roman" w:cs="Times New Roman"/>
          <w:b/>
          <w:color w:val="auto"/>
          <w:sz w:val="24"/>
          <w:szCs w:val="24"/>
          <w:lang w:eastAsia="en-US"/>
        </w:rPr>
        <w:t>:</w:t>
      </w:r>
    </w:p>
    <w:p w14:paraId="673047A2" w14:textId="3E4A2233" w:rsidR="00B15F4B" w:rsidRPr="006219BC" w:rsidRDefault="00B15F4B" w:rsidP="00B84877">
      <w:pPr>
        <w:pStyle w:val="ListParagraph"/>
        <w:numPr>
          <w:ilvl w:val="0"/>
          <w:numId w:val="39"/>
        </w:numPr>
        <w:ind w:left="1134"/>
        <w:rPr>
          <w:b/>
          <w:szCs w:val="24"/>
        </w:rPr>
      </w:pPr>
      <w:r w:rsidRPr="006219BC">
        <w:rPr>
          <w:b/>
          <w:szCs w:val="24"/>
        </w:rPr>
        <w:t>STEM studiju programmu īstenošanā iesaistīt</w:t>
      </w:r>
      <w:r w:rsidR="00B84877" w:rsidRPr="006219BC">
        <w:rPr>
          <w:b/>
          <w:szCs w:val="24"/>
        </w:rPr>
        <w:t>o</w:t>
      </w:r>
      <w:r w:rsidRPr="006219BC">
        <w:rPr>
          <w:b/>
          <w:szCs w:val="24"/>
        </w:rPr>
        <w:t xml:space="preserve"> ārvalstu docētāju īpatsvars (pastāvīgi, mobilitātes programmu, projektu ietvaros) no kopējā docētāju skaita </w:t>
      </w:r>
      <w:r w:rsidR="00F935C6" w:rsidRPr="006219BC">
        <w:rPr>
          <w:b/>
          <w:szCs w:val="24"/>
        </w:rPr>
        <w:t>augstākajā izglītības institūcijā</w:t>
      </w:r>
      <w:r w:rsidRPr="006219BC">
        <w:rPr>
          <w:b/>
          <w:szCs w:val="24"/>
        </w:rPr>
        <w:t>;</w:t>
      </w:r>
    </w:p>
    <w:p w14:paraId="19FBBFC1" w14:textId="77777777" w:rsidR="004D1ECF" w:rsidRPr="006219BC" w:rsidRDefault="004D1ECF" w:rsidP="00B84877">
      <w:pPr>
        <w:pStyle w:val="ListParagraph"/>
        <w:numPr>
          <w:ilvl w:val="0"/>
          <w:numId w:val="39"/>
        </w:numPr>
        <w:ind w:left="1134"/>
        <w:rPr>
          <w:b/>
          <w:szCs w:val="24"/>
        </w:rPr>
      </w:pPr>
      <w:r w:rsidRPr="006219BC">
        <w:rPr>
          <w:b/>
          <w:szCs w:val="24"/>
        </w:rPr>
        <w:t>STEM studiju programmās studējošo ārvalstu studējošo skaits (pilna laika studijās; mobilitātes programmu ietvaros);</w:t>
      </w:r>
    </w:p>
    <w:p w14:paraId="58442E69" w14:textId="58501F23" w:rsidR="00334204" w:rsidRPr="006219BC" w:rsidRDefault="00334204" w:rsidP="00B84877">
      <w:pPr>
        <w:pStyle w:val="ListParagraph"/>
        <w:numPr>
          <w:ilvl w:val="0"/>
          <w:numId w:val="39"/>
        </w:numPr>
        <w:ind w:left="1134"/>
        <w:rPr>
          <w:b/>
          <w:szCs w:val="24"/>
        </w:rPr>
      </w:pPr>
      <w:r w:rsidRPr="006219BC">
        <w:rPr>
          <w:b/>
          <w:szCs w:val="24"/>
        </w:rPr>
        <w:t>STEM jomā izveidoto kopīgo studiju programmu skaits ar ārvalsts un Latvijas augstākās izglītības institūcijām;</w:t>
      </w:r>
    </w:p>
    <w:p w14:paraId="761BA5F0" w14:textId="28ADB8F7" w:rsidR="004D1ECF" w:rsidRPr="006219BC" w:rsidRDefault="004D1ECF" w:rsidP="00B84877">
      <w:pPr>
        <w:pStyle w:val="ListParagraph"/>
        <w:numPr>
          <w:ilvl w:val="0"/>
          <w:numId w:val="39"/>
        </w:numPr>
        <w:ind w:left="1134"/>
        <w:rPr>
          <w:b/>
          <w:szCs w:val="24"/>
        </w:rPr>
      </w:pPr>
      <w:r w:rsidRPr="006219BC">
        <w:rPr>
          <w:b/>
          <w:szCs w:val="24"/>
        </w:rPr>
        <w:t>studējošo skaits, kuri ir iesaistīti augstākās izglītības institūcijas pētniecības projekt</w:t>
      </w:r>
      <w:r w:rsidR="00853C2F" w:rsidRPr="006219BC">
        <w:rPr>
          <w:b/>
          <w:szCs w:val="24"/>
        </w:rPr>
        <w:t>u īstenošanā.</w:t>
      </w:r>
    </w:p>
    <w:p w14:paraId="38E937C4" w14:textId="6FFDC4C5" w:rsidR="0092010E" w:rsidRPr="006219BC" w:rsidRDefault="00AE6865" w:rsidP="00B84877">
      <w:pPr>
        <w:pStyle w:val="Normal1"/>
        <w:numPr>
          <w:ilvl w:val="0"/>
          <w:numId w:val="37"/>
        </w:numPr>
        <w:jc w:val="both"/>
        <w:rPr>
          <w:rFonts w:ascii="Times New Roman" w:hAnsi="Times New Roman" w:cs="Times New Roman"/>
          <w:b/>
          <w:color w:val="auto"/>
          <w:sz w:val="24"/>
          <w:szCs w:val="24"/>
          <w:lang w:eastAsia="en-US"/>
        </w:rPr>
      </w:pPr>
      <w:r w:rsidRPr="006219BC">
        <w:rPr>
          <w:rFonts w:ascii="Times New Roman" w:hAnsi="Times New Roman" w:cs="Times New Roman"/>
          <w:b/>
          <w:color w:val="auto"/>
          <w:sz w:val="24"/>
          <w:szCs w:val="24"/>
          <w:lang w:eastAsia="en-US"/>
        </w:rPr>
        <w:t>Resursu efektīva izmantošana</w:t>
      </w:r>
      <w:r w:rsidR="00B84877" w:rsidRPr="006219BC">
        <w:rPr>
          <w:rFonts w:ascii="Times New Roman" w:hAnsi="Times New Roman" w:cs="Times New Roman"/>
          <w:b/>
          <w:color w:val="auto"/>
          <w:sz w:val="24"/>
          <w:szCs w:val="24"/>
          <w:lang w:eastAsia="en-US"/>
        </w:rPr>
        <w:t>:</w:t>
      </w:r>
    </w:p>
    <w:p w14:paraId="3DBD0431" w14:textId="7815A940" w:rsidR="0017294C" w:rsidRPr="006219BC" w:rsidRDefault="0017294C" w:rsidP="006219BC">
      <w:pPr>
        <w:pStyle w:val="ListParagraph"/>
        <w:numPr>
          <w:ilvl w:val="0"/>
          <w:numId w:val="40"/>
        </w:numPr>
        <w:ind w:left="1134"/>
        <w:rPr>
          <w:b/>
          <w:szCs w:val="24"/>
        </w:rPr>
      </w:pPr>
      <w:r w:rsidRPr="006219BC">
        <w:rPr>
          <w:b/>
          <w:szCs w:val="24"/>
        </w:rPr>
        <w:t>STEM studiju programmu īstenošanas telpu un iekārtu izmantošanas intensitāte</w:t>
      </w:r>
      <w:r w:rsidR="00AD0283" w:rsidRPr="006219BC">
        <w:rPr>
          <w:b/>
          <w:szCs w:val="24"/>
        </w:rPr>
        <w:t xml:space="preserve"> (stundas/diennaktī);</w:t>
      </w:r>
    </w:p>
    <w:p w14:paraId="14C76ED0" w14:textId="56081634" w:rsidR="00334204" w:rsidRPr="006219BC" w:rsidRDefault="003E7D23" w:rsidP="006219BC">
      <w:pPr>
        <w:pStyle w:val="ListParagraph"/>
        <w:numPr>
          <w:ilvl w:val="0"/>
          <w:numId w:val="40"/>
        </w:numPr>
        <w:ind w:left="1134"/>
        <w:rPr>
          <w:b/>
          <w:szCs w:val="24"/>
        </w:rPr>
      </w:pPr>
      <w:r w:rsidRPr="006219BC">
        <w:rPr>
          <w:b/>
          <w:szCs w:val="24"/>
        </w:rPr>
        <w:lastRenderedPageBreak/>
        <w:t>Augstāk</w:t>
      </w:r>
      <w:r w:rsidR="00D508E3" w:rsidRPr="006219BC">
        <w:rPr>
          <w:b/>
          <w:szCs w:val="24"/>
        </w:rPr>
        <w:t>o</w:t>
      </w:r>
      <w:r w:rsidRPr="006219BC">
        <w:rPr>
          <w:b/>
          <w:szCs w:val="24"/>
        </w:rPr>
        <w:t xml:space="preserve"> izglītības institūciju</w:t>
      </w:r>
      <w:r w:rsidR="00235AA2" w:rsidRPr="006219BC">
        <w:rPr>
          <w:b/>
          <w:szCs w:val="24"/>
        </w:rPr>
        <w:t xml:space="preserve"> izveidotās</w:t>
      </w:r>
      <w:r w:rsidRPr="006219BC">
        <w:rPr>
          <w:b/>
          <w:szCs w:val="24"/>
        </w:rPr>
        <w:t xml:space="preserve"> </w:t>
      </w:r>
      <w:r w:rsidR="00235AA2" w:rsidRPr="006219BC">
        <w:rPr>
          <w:b/>
          <w:szCs w:val="24"/>
        </w:rPr>
        <w:t xml:space="preserve">infrastruktūras </w:t>
      </w:r>
      <w:r w:rsidRPr="006219BC">
        <w:rPr>
          <w:b/>
          <w:szCs w:val="24"/>
        </w:rPr>
        <w:t>kopīga izmantošana</w:t>
      </w:r>
      <w:r w:rsidR="002F5211" w:rsidRPr="006219BC">
        <w:rPr>
          <w:b/>
          <w:szCs w:val="24"/>
        </w:rPr>
        <w:t xml:space="preserve"> STEM studiju programmu īstenošanā</w:t>
      </w:r>
      <w:r w:rsidRPr="006219BC">
        <w:rPr>
          <w:b/>
          <w:szCs w:val="24"/>
        </w:rPr>
        <w:t>.</w:t>
      </w:r>
    </w:p>
    <w:p w14:paraId="7DB7E525" w14:textId="77777777" w:rsidR="003E7D23" w:rsidRPr="006219BC" w:rsidRDefault="003E7D23" w:rsidP="001373F3">
      <w:pPr>
        <w:pStyle w:val="Normal1"/>
        <w:ind w:firstLine="720"/>
        <w:jc w:val="both"/>
        <w:rPr>
          <w:rFonts w:ascii="Times New Roman" w:hAnsi="Times New Roman" w:cs="Times New Roman"/>
          <w:b/>
          <w:color w:val="auto"/>
          <w:sz w:val="24"/>
          <w:szCs w:val="24"/>
          <w:lang w:eastAsia="en-US"/>
        </w:rPr>
      </w:pPr>
    </w:p>
    <w:p w14:paraId="0D7A52F7" w14:textId="3AA8616B" w:rsidR="002A6A69" w:rsidRPr="006219BC" w:rsidRDefault="00B84877" w:rsidP="006219BC">
      <w:pPr>
        <w:pStyle w:val="Normal1"/>
        <w:ind w:firstLine="720"/>
        <w:jc w:val="both"/>
        <w:rPr>
          <w:rFonts w:ascii="Times New Roman" w:hAnsi="Times New Roman" w:cs="Times New Roman"/>
          <w:b/>
          <w:color w:val="auto"/>
          <w:sz w:val="24"/>
          <w:szCs w:val="24"/>
          <w:lang w:eastAsia="en-US"/>
        </w:rPr>
      </w:pPr>
      <w:r w:rsidRPr="006219BC">
        <w:rPr>
          <w:rFonts w:ascii="Times New Roman" w:hAnsi="Times New Roman" w:cs="Times New Roman"/>
          <w:b/>
          <w:color w:val="auto"/>
          <w:sz w:val="24"/>
          <w:szCs w:val="24"/>
          <w:lang w:eastAsia="en-US"/>
        </w:rPr>
        <w:t xml:space="preserve">Augstskolu attīstības stratēģijās noteikto attīstības un pārvaldības pilnveides pasākumu ieviešanas progresa monitoringu un </w:t>
      </w:r>
      <w:r w:rsidR="00C72FB0" w:rsidRPr="006219BC">
        <w:rPr>
          <w:rFonts w:ascii="Times New Roman" w:hAnsi="Times New Roman" w:cs="Times New Roman"/>
          <w:b/>
          <w:color w:val="auto"/>
          <w:sz w:val="24"/>
          <w:szCs w:val="24"/>
          <w:lang w:eastAsia="en-US"/>
        </w:rPr>
        <w:t xml:space="preserve">minēto rādītāju </w:t>
      </w:r>
      <w:proofErr w:type="spellStart"/>
      <w:r w:rsidRPr="006219BC">
        <w:rPr>
          <w:rFonts w:ascii="Times New Roman" w:hAnsi="Times New Roman" w:cs="Times New Roman"/>
          <w:b/>
          <w:color w:val="auto"/>
          <w:sz w:val="24"/>
          <w:szCs w:val="24"/>
          <w:lang w:eastAsia="en-US"/>
        </w:rPr>
        <w:t>izvērtējumu</w:t>
      </w:r>
      <w:proofErr w:type="spellEnd"/>
      <w:r w:rsidR="00C72FB0" w:rsidRPr="006219BC">
        <w:rPr>
          <w:rFonts w:ascii="Times New Roman" w:hAnsi="Times New Roman" w:cs="Times New Roman"/>
          <w:b/>
          <w:color w:val="auto"/>
          <w:sz w:val="24"/>
          <w:szCs w:val="24"/>
          <w:lang w:eastAsia="en-US"/>
        </w:rPr>
        <w:t xml:space="preserve"> </w:t>
      </w:r>
      <w:r w:rsidR="00033E3B" w:rsidRPr="006219BC">
        <w:rPr>
          <w:rFonts w:ascii="Times New Roman" w:hAnsi="Times New Roman" w:cs="Times New Roman"/>
          <w:b/>
          <w:color w:val="auto"/>
          <w:sz w:val="24"/>
          <w:szCs w:val="24"/>
          <w:lang w:eastAsia="en-US"/>
        </w:rPr>
        <w:t xml:space="preserve">IZM </w:t>
      </w:r>
      <w:r w:rsidRPr="006219BC">
        <w:rPr>
          <w:rFonts w:ascii="Times New Roman" w:hAnsi="Times New Roman" w:cs="Times New Roman"/>
          <w:b/>
          <w:color w:val="auto"/>
          <w:sz w:val="24"/>
          <w:szCs w:val="24"/>
          <w:lang w:eastAsia="en-US"/>
        </w:rPr>
        <w:t xml:space="preserve">plāno </w:t>
      </w:r>
      <w:r w:rsidR="00C72FB0" w:rsidRPr="006219BC">
        <w:rPr>
          <w:rFonts w:ascii="Times New Roman" w:hAnsi="Times New Roman" w:cs="Times New Roman"/>
          <w:b/>
          <w:color w:val="auto"/>
          <w:sz w:val="24"/>
          <w:szCs w:val="24"/>
          <w:lang w:eastAsia="en-US"/>
        </w:rPr>
        <w:t>veik</w:t>
      </w:r>
      <w:r w:rsidRPr="006219BC">
        <w:rPr>
          <w:rFonts w:ascii="Times New Roman" w:hAnsi="Times New Roman" w:cs="Times New Roman"/>
          <w:b/>
          <w:color w:val="auto"/>
          <w:sz w:val="24"/>
          <w:szCs w:val="24"/>
          <w:lang w:eastAsia="en-US"/>
        </w:rPr>
        <w:t>t</w:t>
      </w:r>
      <w:r w:rsidR="00C72FB0" w:rsidRPr="006219BC">
        <w:rPr>
          <w:rFonts w:ascii="Times New Roman" w:hAnsi="Times New Roman" w:cs="Times New Roman"/>
          <w:b/>
          <w:color w:val="auto"/>
          <w:sz w:val="24"/>
          <w:szCs w:val="24"/>
          <w:lang w:eastAsia="en-US"/>
        </w:rPr>
        <w:t xml:space="preserve"> reizi divos gados</w:t>
      </w:r>
      <w:r w:rsidR="002E575F" w:rsidRPr="006219BC">
        <w:rPr>
          <w:rFonts w:ascii="Times New Roman" w:hAnsi="Times New Roman" w:cs="Times New Roman"/>
          <w:b/>
          <w:color w:val="auto"/>
          <w:sz w:val="24"/>
          <w:szCs w:val="24"/>
          <w:lang w:eastAsia="en-US"/>
        </w:rPr>
        <w:t>, tostarp</w:t>
      </w:r>
      <w:r w:rsidR="00CE15D2" w:rsidRPr="006219BC">
        <w:rPr>
          <w:rFonts w:ascii="Times New Roman" w:hAnsi="Times New Roman" w:cs="Times New Roman"/>
          <w:b/>
          <w:color w:val="auto"/>
          <w:sz w:val="24"/>
          <w:szCs w:val="24"/>
          <w:lang w:eastAsia="en-US"/>
        </w:rPr>
        <w:t xml:space="preserve"> analizējot</w:t>
      </w:r>
      <w:r w:rsidR="000D016C" w:rsidRPr="006219BC">
        <w:rPr>
          <w:rFonts w:ascii="Times New Roman" w:hAnsi="Times New Roman" w:cs="Times New Roman"/>
          <w:b/>
          <w:color w:val="auto"/>
          <w:sz w:val="24"/>
          <w:szCs w:val="24"/>
          <w:lang w:eastAsia="en-US"/>
        </w:rPr>
        <w:t xml:space="preserve"> </w:t>
      </w:r>
      <w:r w:rsidR="002E575F" w:rsidRPr="006219BC">
        <w:rPr>
          <w:rFonts w:ascii="Times New Roman" w:hAnsi="Times New Roman" w:cs="Times New Roman"/>
          <w:b/>
          <w:color w:val="auto"/>
          <w:sz w:val="24"/>
          <w:szCs w:val="24"/>
          <w:lang w:eastAsia="en-US"/>
        </w:rPr>
        <w:t xml:space="preserve">kvalitātes izmaiņas </w:t>
      </w:r>
      <w:r w:rsidR="000D016C" w:rsidRPr="006219BC">
        <w:rPr>
          <w:rFonts w:ascii="Times New Roman" w:hAnsi="Times New Roman" w:cs="Times New Roman"/>
          <w:b/>
          <w:color w:val="auto"/>
          <w:sz w:val="24"/>
          <w:szCs w:val="24"/>
          <w:lang w:eastAsia="en-US"/>
        </w:rPr>
        <w:t>augstākās izglītības institūcijas</w:t>
      </w:r>
      <w:r w:rsidR="002E575F" w:rsidRPr="006219BC">
        <w:rPr>
          <w:rFonts w:ascii="Times New Roman" w:hAnsi="Times New Roman" w:cs="Times New Roman"/>
          <w:b/>
          <w:color w:val="auto"/>
          <w:sz w:val="24"/>
          <w:szCs w:val="24"/>
          <w:lang w:eastAsia="en-US"/>
        </w:rPr>
        <w:t xml:space="preserve"> </w:t>
      </w:r>
      <w:r w:rsidR="000D016C" w:rsidRPr="006219BC">
        <w:rPr>
          <w:rFonts w:ascii="Times New Roman" w:hAnsi="Times New Roman" w:cs="Times New Roman"/>
          <w:b/>
          <w:color w:val="auto"/>
          <w:sz w:val="24"/>
          <w:szCs w:val="24"/>
          <w:lang w:eastAsia="en-US"/>
        </w:rPr>
        <w:t>lēmumu pieņemšanas proces</w:t>
      </w:r>
      <w:r w:rsidR="002E575F" w:rsidRPr="006219BC">
        <w:rPr>
          <w:rFonts w:ascii="Times New Roman" w:hAnsi="Times New Roman" w:cs="Times New Roman"/>
          <w:b/>
          <w:color w:val="auto"/>
          <w:sz w:val="24"/>
          <w:szCs w:val="24"/>
          <w:lang w:eastAsia="en-US"/>
        </w:rPr>
        <w:t>ā</w:t>
      </w:r>
      <w:r w:rsidR="000D016C" w:rsidRPr="006219BC">
        <w:rPr>
          <w:rFonts w:ascii="Times New Roman" w:hAnsi="Times New Roman" w:cs="Times New Roman"/>
          <w:b/>
          <w:color w:val="auto"/>
          <w:sz w:val="24"/>
          <w:szCs w:val="24"/>
          <w:lang w:eastAsia="en-US"/>
        </w:rPr>
        <w:t>, tai skaitā ārējo partneru (darba devēju, nozares ekspertu) līdzdalīb</w:t>
      </w:r>
      <w:r w:rsidR="002E575F" w:rsidRPr="006219BC">
        <w:rPr>
          <w:rFonts w:ascii="Times New Roman" w:hAnsi="Times New Roman" w:cs="Times New Roman"/>
          <w:b/>
          <w:color w:val="auto"/>
          <w:sz w:val="24"/>
          <w:szCs w:val="24"/>
          <w:lang w:eastAsia="en-US"/>
        </w:rPr>
        <w:t>u</w:t>
      </w:r>
      <w:r w:rsidR="000D016C" w:rsidRPr="006219BC">
        <w:rPr>
          <w:rFonts w:ascii="Times New Roman" w:hAnsi="Times New Roman" w:cs="Times New Roman"/>
          <w:b/>
          <w:color w:val="auto"/>
          <w:sz w:val="24"/>
          <w:szCs w:val="24"/>
          <w:lang w:eastAsia="en-US"/>
        </w:rPr>
        <w:t xml:space="preserve"> pārvaldības procesā,</w:t>
      </w:r>
      <w:r w:rsidR="002E575F" w:rsidRPr="006219BC">
        <w:rPr>
          <w:rFonts w:ascii="Times New Roman" w:hAnsi="Times New Roman" w:cs="Times New Roman"/>
          <w:b/>
          <w:color w:val="auto"/>
          <w:sz w:val="24"/>
          <w:szCs w:val="24"/>
          <w:lang w:eastAsia="en-US"/>
        </w:rPr>
        <w:t xml:space="preserve"> iekšējās </w:t>
      </w:r>
      <w:r w:rsidR="009F1594" w:rsidRPr="006219BC">
        <w:rPr>
          <w:rFonts w:ascii="Times New Roman" w:hAnsi="Times New Roman" w:cs="Times New Roman"/>
          <w:b/>
          <w:color w:val="auto"/>
          <w:sz w:val="24"/>
          <w:szCs w:val="24"/>
          <w:lang w:eastAsia="en-US"/>
        </w:rPr>
        <w:t>kvalitātes vadīb</w:t>
      </w:r>
      <w:r w:rsidR="002E575F" w:rsidRPr="006219BC">
        <w:rPr>
          <w:rFonts w:ascii="Times New Roman" w:hAnsi="Times New Roman" w:cs="Times New Roman"/>
          <w:b/>
          <w:color w:val="auto"/>
          <w:sz w:val="24"/>
          <w:szCs w:val="24"/>
          <w:lang w:eastAsia="en-US"/>
        </w:rPr>
        <w:t>as procesu pilnveidi</w:t>
      </w:r>
      <w:r w:rsidR="008818F2" w:rsidRPr="006219BC">
        <w:rPr>
          <w:rFonts w:ascii="Times New Roman" w:hAnsi="Times New Roman" w:cs="Times New Roman"/>
          <w:b/>
          <w:color w:val="auto"/>
          <w:sz w:val="24"/>
          <w:szCs w:val="24"/>
          <w:lang w:eastAsia="en-US"/>
        </w:rPr>
        <w:t xml:space="preserve">. </w:t>
      </w:r>
      <w:r w:rsidR="002A6A69" w:rsidRPr="006219BC">
        <w:rPr>
          <w:rFonts w:ascii="Times New Roman" w:hAnsi="Times New Roman" w:cs="Times New Roman"/>
          <w:b/>
          <w:color w:val="auto"/>
          <w:sz w:val="24"/>
          <w:szCs w:val="24"/>
          <w:lang w:eastAsia="en-US"/>
        </w:rPr>
        <w:t>Veicot attīstības stratēģijā</w:t>
      </w:r>
      <w:r w:rsidR="00C0295A" w:rsidRPr="006219BC">
        <w:rPr>
          <w:rFonts w:ascii="Times New Roman" w:hAnsi="Times New Roman" w:cs="Times New Roman"/>
          <w:b/>
          <w:color w:val="auto"/>
          <w:sz w:val="24"/>
          <w:szCs w:val="24"/>
          <w:lang w:eastAsia="en-US"/>
        </w:rPr>
        <w:t>s</w:t>
      </w:r>
      <w:r w:rsidR="002A6A69" w:rsidRPr="006219BC">
        <w:rPr>
          <w:rFonts w:ascii="Times New Roman" w:hAnsi="Times New Roman" w:cs="Times New Roman"/>
          <w:b/>
          <w:color w:val="auto"/>
          <w:sz w:val="24"/>
          <w:szCs w:val="24"/>
          <w:lang w:eastAsia="en-US"/>
        </w:rPr>
        <w:t xml:space="preserve"> noteikto </w:t>
      </w:r>
      <w:r w:rsidR="00C0295A" w:rsidRPr="006219BC">
        <w:rPr>
          <w:rFonts w:ascii="Times New Roman" w:hAnsi="Times New Roman" w:cs="Times New Roman"/>
          <w:b/>
          <w:color w:val="auto"/>
          <w:sz w:val="24"/>
          <w:szCs w:val="24"/>
          <w:lang w:eastAsia="en-US"/>
        </w:rPr>
        <w:t xml:space="preserve">pasākumu </w:t>
      </w:r>
      <w:r w:rsidR="002A6A69" w:rsidRPr="006219BC">
        <w:rPr>
          <w:rFonts w:ascii="Times New Roman" w:hAnsi="Times New Roman" w:cs="Times New Roman"/>
          <w:b/>
          <w:color w:val="auto"/>
          <w:sz w:val="24"/>
          <w:szCs w:val="24"/>
          <w:lang w:eastAsia="en-US"/>
        </w:rPr>
        <w:t xml:space="preserve">ieviešanas uzraudzību, tiks </w:t>
      </w:r>
      <w:r w:rsidR="002A6A69" w:rsidRPr="006219BC">
        <w:rPr>
          <w:rFonts w:ascii="Times New Roman" w:hAnsi="Times New Roman" w:cs="Times New Roman"/>
          <w:b/>
          <w:sz w:val="24"/>
          <w:szCs w:val="24"/>
        </w:rPr>
        <w:t>identificēti</w:t>
      </w:r>
      <w:r w:rsidR="005B7914" w:rsidRPr="006219BC">
        <w:rPr>
          <w:rFonts w:ascii="Times New Roman" w:hAnsi="Times New Roman" w:cs="Times New Roman"/>
          <w:b/>
          <w:sz w:val="24"/>
          <w:szCs w:val="24"/>
        </w:rPr>
        <w:t xml:space="preserve"> riski un piedāvāti risinājumi risku novēršanai</w:t>
      </w:r>
      <w:r w:rsidR="002A6A69" w:rsidRPr="006219BC">
        <w:rPr>
          <w:rFonts w:ascii="Times New Roman" w:hAnsi="Times New Roman" w:cs="Times New Roman"/>
          <w:b/>
          <w:sz w:val="24"/>
          <w:szCs w:val="24"/>
        </w:rPr>
        <w:t>, kā arī sniegta</w:t>
      </w:r>
      <w:r w:rsidR="005B7914" w:rsidRPr="006219BC">
        <w:rPr>
          <w:rFonts w:ascii="Times New Roman" w:hAnsi="Times New Roman" w:cs="Times New Roman"/>
          <w:b/>
          <w:sz w:val="24"/>
          <w:szCs w:val="24"/>
        </w:rPr>
        <w:t>s</w:t>
      </w:r>
      <w:r w:rsidR="00C745D7" w:rsidRPr="006219BC">
        <w:rPr>
          <w:rFonts w:ascii="Times New Roman" w:hAnsi="Times New Roman" w:cs="Times New Roman"/>
          <w:b/>
          <w:sz w:val="24"/>
          <w:szCs w:val="24"/>
        </w:rPr>
        <w:t xml:space="preserve"> </w:t>
      </w:r>
      <w:r w:rsidR="005B7914" w:rsidRPr="006219BC">
        <w:rPr>
          <w:rFonts w:ascii="Times New Roman" w:hAnsi="Times New Roman" w:cs="Times New Roman"/>
          <w:b/>
          <w:sz w:val="24"/>
          <w:szCs w:val="24"/>
        </w:rPr>
        <w:t xml:space="preserve">rekomendācijas </w:t>
      </w:r>
      <w:r w:rsidR="002A6A69" w:rsidRPr="006219BC">
        <w:rPr>
          <w:rFonts w:ascii="Times New Roman" w:hAnsi="Times New Roman" w:cs="Times New Roman"/>
          <w:b/>
          <w:color w:val="auto"/>
          <w:sz w:val="24"/>
          <w:szCs w:val="24"/>
          <w:lang w:eastAsia="en-US"/>
        </w:rPr>
        <w:t>pasākumu</w:t>
      </w:r>
      <w:r w:rsidR="005B7914" w:rsidRPr="006219BC">
        <w:rPr>
          <w:rFonts w:ascii="Times New Roman" w:hAnsi="Times New Roman" w:cs="Times New Roman"/>
          <w:b/>
          <w:sz w:val="24"/>
          <w:szCs w:val="24"/>
        </w:rPr>
        <w:t xml:space="preserve"> </w:t>
      </w:r>
      <w:r w:rsidR="00C0295A" w:rsidRPr="006219BC">
        <w:rPr>
          <w:rFonts w:ascii="Times New Roman" w:hAnsi="Times New Roman" w:cs="Times New Roman"/>
          <w:b/>
          <w:sz w:val="24"/>
          <w:szCs w:val="24"/>
        </w:rPr>
        <w:t>ieviešanas pilnveide</w:t>
      </w:r>
      <w:r w:rsidR="005B7914" w:rsidRPr="006219BC">
        <w:rPr>
          <w:rFonts w:ascii="Times New Roman" w:hAnsi="Times New Roman" w:cs="Times New Roman"/>
          <w:b/>
          <w:sz w:val="24"/>
          <w:szCs w:val="24"/>
        </w:rPr>
        <w:t>i</w:t>
      </w:r>
      <w:r w:rsidR="002A6A69" w:rsidRPr="006219BC">
        <w:rPr>
          <w:rFonts w:ascii="Times New Roman" w:hAnsi="Times New Roman" w:cs="Times New Roman"/>
          <w:b/>
          <w:sz w:val="24"/>
          <w:szCs w:val="24"/>
        </w:rPr>
        <w:t xml:space="preserve">. </w:t>
      </w:r>
    </w:p>
    <w:p w14:paraId="7571F751" w14:textId="2BCC039D" w:rsidR="00712067" w:rsidRPr="005E28CB" w:rsidRDefault="003B6D2D" w:rsidP="001373F3">
      <w:pPr>
        <w:pStyle w:val="Normal1"/>
        <w:ind w:firstLine="72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 </w:t>
      </w:r>
    </w:p>
    <w:p w14:paraId="3029D9FC" w14:textId="77777777" w:rsidR="00FD7871" w:rsidRPr="008F35A6" w:rsidRDefault="0003038E" w:rsidP="00FD7871">
      <w:pPr>
        <w:pStyle w:val="Normal1"/>
        <w:ind w:firstLine="720"/>
        <w:jc w:val="both"/>
        <w:rPr>
          <w:rFonts w:ascii="Times New Roman" w:hAnsi="Times New Roman" w:cs="Times New Roman"/>
          <w:color w:val="auto"/>
          <w:sz w:val="24"/>
          <w:szCs w:val="24"/>
          <w:lang w:eastAsia="en-US"/>
        </w:rPr>
      </w:pPr>
      <w:r w:rsidRPr="008F35A6">
        <w:rPr>
          <w:rFonts w:ascii="Times New Roman" w:hAnsi="Times New Roman" w:cs="Times New Roman"/>
          <w:b/>
          <w:color w:val="auto"/>
          <w:sz w:val="24"/>
          <w:szCs w:val="24"/>
          <w:lang w:eastAsia="en-US"/>
        </w:rPr>
        <w:t>Jaunu ēku būvniecības gadījumā</w:t>
      </w:r>
      <w:r w:rsidRPr="008F35A6">
        <w:rPr>
          <w:rFonts w:ascii="Times New Roman" w:hAnsi="Times New Roman" w:cs="Times New Roman"/>
          <w:color w:val="auto"/>
          <w:sz w:val="24"/>
          <w:szCs w:val="24"/>
          <w:lang w:eastAsia="en-US"/>
        </w:rPr>
        <w:t xml:space="preserve"> jāsniedz izvērsts pamatojums to nepieciešamībai un izmaksu efektivitātei, jāpamato resursu konsolidācija un optimizācija; jābūt izstrādātai pamatotai nekustamo īpašumu pārvaldī</w:t>
      </w:r>
      <w:r w:rsidR="00C37095" w:rsidRPr="008F35A6">
        <w:rPr>
          <w:rFonts w:ascii="Times New Roman" w:hAnsi="Times New Roman" w:cs="Times New Roman"/>
          <w:color w:val="auto"/>
          <w:sz w:val="24"/>
          <w:szCs w:val="24"/>
          <w:lang w:eastAsia="en-US"/>
        </w:rPr>
        <w:t>bas politikai, kas pamato šādu attīstības plānu saimniecisko lietderību un efektīvu finanšu resursu vadību</w:t>
      </w:r>
      <w:r w:rsidR="00084219" w:rsidRPr="008F35A6">
        <w:rPr>
          <w:rFonts w:ascii="Times New Roman" w:hAnsi="Times New Roman" w:cs="Times New Roman"/>
          <w:color w:val="auto"/>
          <w:sz w:val="24"/>
          <w:szCs w:val="24"/>
          <w:lang w:eastAsia="en-US"/>
        </w:rPr>
        <w:t>, nepieciešamību efektīvai akadēmisko plānu īstenošanai</w:t>
      </w:r>
      <w:r w:rsidR="00C37095" w:rsidRPr="008F35A6">
        <w:rPr>
          <w:rFonts w:ascii="Times New Roman" w:hAnsi="Times New Roman" w:cs="Times New Roman"/>
          <w:color w:val="auto"/>
          <w:sz w:val="24"/>
          <w:szCs w:val="24"/>
          <w:lang w:eastAsia="en-US"/>
        </w:rPr>
        <w:t>.</w:t>
      </w:r>
      <w:r w:rsidR="00FD7871" w:rsidRPr="008F35A6">
        <w:rPr>
          <w:rFonts w:ascii="Times New Roman" w:hAnsi="Times New Roman" w:cs="Times New Roman"/>
          <w:color w:val="auto"/>
          <w:sz w:val="24"/>
          <w:szCs w:val="24"/>
          <w:lang w:eastAsia="en-US"/>
        </w:rPr>
        <w:t xml:space="preserve"> </w:t>
      </w:r>
    </w:p>
    <w:p w14:paraId="509C6041" w14:textId="77777777" w:rsidR="001373F3" w:rsidRPr="008F35A6" w:rsidRDefault="00FD7871" w:rsidP="00FD7871">
      <w:pPr>
        <w:pStyle w:val="Normal1"/>
        <w:ind w:firstLine="720"/>
        <w:jc w:val="both"/>
        <w:rPr>
          <w:rFonts w:ascii="Times New Roman" w:hAnsi="Times New Roman"/>
          <w:color w:val="auto"/>
          <w:sz w:val="24"/>
          <w:szCs w:val="24"/>
        </w:rPr>
      </w:pPr>
      <w:r w:rsidRPr="008F35A6">
        <w:rPr>
          <w:rFonts w:ascii="Times New Roman" w:hAnsi="Times New Roman" w:cs="Times New Roman"/>
          <w:color w:val="auto"/>
          <w:sz w:val="24"/>
          <w:szCs w:val="24"/>
          <w:lang w:eastAsia="en-US"/>
        </w:rPr>
        <w:t>Projektu īstenošanas priek</w:t>
      </w:r>
      <w:r w:rsidR="00EF7DC1" w:rsidRPr="008F35A6">
        <w:rPr>
          <w:rFonts w:ascii="Times New Roman" w:hAnsi="Times New Roman" w:cs="Times New Roman"/>
          <w:color w:val="auto"/>
          <w:sz w:val="24"/>
          <w:szCs w:val="24"/>
          <w:lang w:eastAsia="en-US"/>
        </w:rPr>
        <w:t>š</w:t>
      </w:r>
      <w:r w:rsidRPr="008F35A6">
        <w:rPr>
          <w:rFonts w:ascii="Times New Roman" w:hAnsi="Times New Roman" w:cs="Times New Roman"/>
          <w:color w:val="auto"/>
          <w:sz w:val="24"/>
          <w:szCs w:val="24"/>
          <w:lang w:eastAsia="en-US"/>
        </w:rPr>
        <w:t xml:space="preserve">noteikums ir arī </w:t>
      </w:r>
      <w:r w:rsidR="004D3D21">
        <w:rPr>
          <w:rFonts w:ascii="Times New Roman" w:hAnsi="Times New Roman" w:cs="Times New Roman"/>
          <w:color w:val="auto"/>
          <w:sz w:val="24"/>
          <w:szCs w:val="24"/>
          <w:lang w:eastAsia="en-US"/>
        </w:rPr>
        <w:t xml:space="preserve">projektu </w:t>
      </w:r>
      <w:r w:rsidRPr="008F35A6">
        <w:rPr>
          <w:rFonts w:ascii="Times New Roman" w:hAnsi="Times New Roman" w:cs="Times New Roman"/>
          <w:b/>
          <w:color w:val="auto"/>
          <w:sz w:val="24"/>
          <w:szCs w:val="24"/>
          <w:lang w:eastAsia="en-US"/>
        </w:rPr>
        <w:t>izmaksu un ieguvumu analīzes</w:t>
      </w:r>
      <w:r w:rsidR="00125226" w:rsidRPr="008F35A6">
        <w:rPr>
          <w:rFonts w:ascii="Times New Roman" w:hAnsi="Times New Roman" w:cs="Times New Roman"/>
          <w:color w:val="auto"/>
          <w:sz w:val="24"/>
          <w:szCs w:val="24"/>
          <w:lang w:eastAsia="en-US"/>
        </w:rPr>
        <w:t xml:space="preserve"> veikšana</w:t>
      </w:r>
      <w:r w:rsidRPr="008F35A6">
        <w:rPr>
          <w:rFonts w:ascii="Times New Roman" w:hAnsi="Times New Roman" w:cs="Times New Roman"/>
          <w:color w:val="auto"/>
          <w:sz w:val="24"/>
          <w:szCs w:val="24"/>
          <w:lang w:eastAsia="en-US"/>
        </w:rPr>
        <w:t xml:space="preserve">, kas pamato ieguldījumu </w:t>
      </w:r>
      <w:r w:rsidRPr="008F35A6">
        <w:rPr>
          <w:rFonts w:ascii="Times New Roman" w:hAnsi="Times New Roman"/>
          <w:color w:val="auto"/>
          <w:sz w:val="24"/>
          <w:szCs w:val="24"/>
        </w:rPr>
        <w:t>sociālekonomisko atdevi</w:t>
      </w:r>
      <w:r w:rsidR="004D3D21">
        <w:rPr>
          <w:rFonts w:ascii="Times New Roman" w:hAnsi="Times New Roman"/>
          <w:color w:val="auto"/>
          <w:sz w:val="24"/>
          <w:szCs w:val="24"/>
        </w:rPr>
        <w:t xml:space="preserve"> un projekta finanšu ilgtspēju</w:t>
      </w:r>
      <w:r w:rsidRPr="008F35A6">
        <w:rPr>
          <w:rFonts w:ascii="Times New Roman" w:hAnsi="Times New Roman"/>
          <w:color w:val="auto"/>
          <w:sz w:val="24"/>
          <w:szCs w:val="24"/>
        </w:rPr>
        <w:t xml:space="preserve">. </w:t>
      </w:r>
      <w:r w:rsidR="001079A9" w:rsidRPr="008F35A6">
        <w:rPr>
          <w:rFonts w:ascii="Times New Roman" w:hAnsi="Times New Roman"/>
          <w:color w:val="auto"/>
          <w:sz w:val="24"/>
          <w:szCs w:val="24"/>
        </w:rPr>
        <w:t>A</w:t>
      </w:r>
      <w:r w:rsidR="00A46BFE">
        <w:rPr>
          <w:rFonts w:ascii="Times New Roman" w:hAnsi="Times New Roman"/>
          <w:color w:val="auto"/>
          <w:sz w:val="24"/>
          <w:szCs w:val="24"/>
        </w:rPr>
        <w:t>ugstākās izglītības institūcijām</w:t>
      </w:r>
      <w:r w:rsidR="001079A9" w:rsidRPr="008F35A6">
        <w:rPr>
          <w:rFonts w:ascii="Times New Roman" w:hAnsi="Times New Roman"/>
          <w:color w:val="auto"/>
          <w:sz w:val="24"/>
          <w:szCs w:val="24"/>
        </w:rPr>
        <w:t xml:space="preserve"> tās jāizstrādā atbilstoši </w:t>
      </w:r>
      <w:r w:rsidR="00A23332">
        <w:rPr>
          <w:rFonts w:ascii="Times New Roman" w:hAnsi="Times New Roman" w:cs="Times New Roman"/>
          <w:color w:val="auto"/>
          <w:sz w:val="24"/>
          <w:szCs w:val="24"/>
          <w:lang w:eastAsia="en-US"/>
        </w:rPr>
        <w:t xml:space="preserve">MK </w:t>
      </w:r>
      <w:r w:rsidR="006B58BB" w:rsidRPr="008F35A6">
        <w:rPr>
          <w:rFonts w:ascii="Times New Roman" w:hAnsi="Times New Roman" w:cs="Times New Roman"/>
          <w:color w:val="auto"/>
          <w:sz w:val="24"/>
          <w:szCs w:val="24"/>
          <w:lang w:eastAsia="en-US"/>
        </w:rPr>
        <w:t>noteikum</w:t>
      </w:r>
      <w:r w:rsidR="00A23332">
        <w:rPr>
          <w:rFonts w:ascii="Times New Roman" w:hAnsi="Times New Roman" w:cs="Times New Roman"/>
          <w:color w:val="auto"/>
          <w:sz w:val="24"/>
          <w:szCs w:val="24"/>
          <w:lang w:eastAsia="en-US"/>
        </w:rPr>
        <w:t>u</w:t>
      </w:r>
      <w:r w:rsidR="006B58BB">
        <w:rPr>
          <w:rFonts w:ascii="Times New Roman" w:hAnsi="Times New Roman" w:cs="Times New Roman"/>
          <w:color w:val="auto"/>
          <w:sz w:val="24"/>
          <w:szCs w:val="24"/>
          <w:lang w:eastAsia="en-US"/>
        </w:rPr>
        <w:t xml:space="preserve"> Nr.</w:t>
      </w:r>
      <w:r w:rsidR="006B58BB" w:rsidRPr="008F35A6">
        <w:rPr>
          <w:rFonts w:ascii="Times New Roman" w:hAnsi="Times New Roman" w:cs="Times New Roman"/>
          <w:color w:val="auto"/>
          <w:sz w:val="24"/>
          <w:szCs w:val="24"/>
          <w:lang w:eastAsia="en-US"/>
        </w:rPr>
        <w:t xml:space="preserve"> </w:t>
      </w:r>
      <w:r w:rsidR="006B58BB">
        <w:rPr>
          <w:rFonts w:ascii="Times New Roman" w:hAnsi="Times New Roman" w:cs="Times New Roman"/>
          <w:color w:val="auto"/>
          <w:sz w:val="24"/>
          <w:szCs w:val="24"/>
          <w:lang w:eastAsia="en-US"/>
        </w:rPr>
        <w:t>561</w:t>
      </w:r>
      <w:r w:rsidR="00A23332">
        <w:rPr>
          <w:rFonts w:ascii="Times New Roman" w:hAnsi="Times New Roman" w:cs="Times New Roman"/>
          <w:color w:val="auto"/>
          <w:sz w:val="24"/>
          <w:szCs w:val="24"/>
          <w:lang w:eastAsia="en-US"/>
        </w:rPr>
        <w:t xml:space="preserve"> 34.</w:t>
      </w:r>
      <w:r w:rsidR="004D3D21">
        <w:rPr>
          <w:rFonts w:ascii="Times New Roman" w:hAnsi="Times New Roman" w:cs="Times New Roman"/>
          <w:color w:val="auto"/>
          <w:sz w:val="24"/>
          <w:szCs w:val="24"/>
          <w:lang w:eastAsia="en-US"/>
        </w:rPr>
        <w:t xml:space="preserve"> un 35.p</w:t>
      </w:r>
      <w:r w:rsidR="00A23332">
        <w:rPr>
          <w:rFonts w:ascii="Times New Roman" w:hAnsi="Times New Roman" w:cs="Times New Roman"/>
          <w:color w:val="auto"/>
          <w:sz w:val="24"/>
          <w:szCs w:val="24"/>
          <w:lang w:eastAsia="en-US"/>
        </w:rPr>
        <w:t>unktā</w:t>
      </w:r>
      <w:r w:rsidR="004D3D21">
        <w:rPr>
          <w:rFonts w:ascii="Times New Roman" w:hAnsi="Times New Roman" w:cs="Times New Roman"/>
          <w:color w:val="auto"/>
          <w:sz w:val="24"/>
          <w:szCs w:val="24"/>
          <w:lang w:eastAsia="en-US"/>
        </w:rPr>
        <w:t xml:space="preserve"> noteiktajām prasībām</w:t>
      </w:r>
      <w:r w:rsidR="006B58BB">
        <w:rPr>
          <w:rFonts w:ascii="Times New Roman" w:hAnsi="Times New Roman" w:cs="Times New Roman"/>
          <w:color w:val="auto"/>
          <w:sz w:val="24"/>
          <w:szCs w:val="24"/>
          <w:lang w:eastAsia="en-US"/>
        </w:rPr>
        <w:t>.</w:t>
      </w:r>
      <w:r w:rsidR="00E300E7" w:rsidRPr="008F35A6">
        <w:rPr>
          <w:rStyle w:val="FootnoteReference"/>
          <w:rFonts w:cs="Times New Roman"/>
          <w:color w:val="auto"/>
          <w:sz w:val="24"/>
          <w:szCs w:val="24"/>
          <w:lang w:eastAsia="en-US"/>
        </w:rPr>
        <w:footnoteReference w:id="40"/>
      </w:r>
    </w:p>
    <w:p w14:paraId="1A2570F0" w14:textId="77777777" w:rsidR="0020353E" w:rsidRDefault="0020353E" w:rsidP="0020353E">
      <w:pPr>
        <w:pStyle w:val="Default"/>
        <w:ind w:firstLine="720"/>
        <w:jc w:val="both"/>
      </w:pPr>
      <w:r w:rsidRPr="004F0C21">
        <w:t xml:space="preserve">Saskaņā ar </w:t>
      </w:r>
      <w:r w:rsidRPr="002D6980">
        <w:t xml:space="preserve">pieejamā publiskā finansējuma </w:t>
      </w:r>
      <w:r>
        <w:t xml:space="preserve">sadales metodiku </w:t>
      </w:r>
      <w:r w:rsidR="00286CB5">
        <w:t>augstākās izglītības institūcijām</w:t>
      </w:r>
      <w:r w:rsidRPr="004F0C21">
        <w:t xml:space="preserve"> </w:t>
      </w:r>
      <w:r>
        <w:t xml:space="preserve">plānotais </w:t>
      </w:r>
      <w:r w:rsidRPr="004F0C21">
        <w:t>finansējum</w:t>
      </w:r>
      <w:r>
        <w:t>s</w:t>
      </w:r>
      <w:r w:rsidRPr="004F0C21">
        <w:t xml:space="preserve"> </w:t>
      </w:r>
      <w:r>
        <w:t xml:space="preserve">(t.sk. </w:t>
      </w:r>
      <w:r w:rsidRPr="004F0C21">
        <w:t>pieejam</w:t>
      </w:r>
      <w:r>
        <w:t>ais</w:t>
      </w:r>
      <w:r w:rsidRPr="004F0C21">
        <w:t xml:space="preserve"> kopēj</w:t>
      </w:r>
      <w:r>
        <w:t>ais</w:t>
      </w:r>
      <w:r w:rsidRPr="004F0C21">
        <w:t xml:space="preserve"> attiecinām</w:t>
      </w:r>
      <w:r>
        <w:t>ais</w:t>
      </w:r>
      <w:r w:rsidRPr="004F0C21">
        <w:t xml:space="preserve"> finansējum</w:t>
      </w:r>
      <w:r>
        <w:t>s</w:t>
      </w:r>
      <w:r w:rsidRPr="004F0C21">
        <w:t xml:space="preserve"> līdz 2018. gada 31. decembrim</w:t>
      </w:r>
      <w:r>
        <w:t>) norādīts 4.2.tabulā.</w:t>
      </w:r>
    </w:p>
    <w:p w14:paraId="296A5A11" w14:textId="77777777" w:rsidR="0020353E" w:rsidRDefault="0020353E" w:rsidP="0020353E">
      <w:pPr>
        <w:pStyle w:val="Default"/>
        <w:ind w:firstLine="720"/>
        <w:jc w:val="right"/>
      </w:pPr>
      <w:r>
        <w:t>4.2.tabula</w:t>
      </w:r>
    </w:p>
    <w:p w14:paraId="700DFE76" w14:textId="77777777" w:rsidR="0020353E" w:rsidRDefault="0020353E" w:rsidP="0020353E">
      <w:pPr>
        <w:pStyle w:val="Default"/>
        <w:ind w:firstLine="720"/>
        <w:jc w:val="both"/>
        <w:rPr>
          <w:b/>
        </w:rPr>
      </w:pPr>
      <w:r w:rsidRPr="002D6980">
        <w:rPr>
          <w:b/>
        </w:rPr>
        <w:t>8.1.</w:t>
      </w:r>
      <w:r>
        <w:rPr>
          <w:b/>
        </w:rPr>
        <w:t>1</w:t>
      </w:r>
      <w:r w:rsidRPr="002D6980">
        <w:rPr>
          <w:b/>
        </w:rPr>
        <w:t xml:space="preserve">. SAM ietvaros pieejamā publiskā finansējuma sadalījums pa </w:t>
      </w:r>
      <w:r>
        <w:rPr>
          <w:b/>
        </w:rPr>
        <w:t>augstskolām</w:t>
      </w:r>
    </w:p>
    <w:p w14:paraId="63E7EF39" w14:textId="77777777" w:rsidR="0020353E" w:rsidRPr="00A44146" w:rsidRDefault="0020353E" w:rsidP="0020353E">
      <w:pPr>
        <w:pStyle w:val="Default"/>
        <w:ind w:firstLine="720"/>
        <w:jc w:val="both"/>
        <w:rPr>
          <w:b/>
        </w:rPr>
      </w:pPr>
    </w:p>
    <w:tbl>
      <w:tblPr>
        <w:tblStyle w:val="TableGrid"/>
        <w:tblW w:w="0" w:type="auto"/>
        <w:tblLook w:val="04A0" w:firstRow="1" w:lastRow="0" w:firstColumn="1" w:lastColumn="0" w:noHBand="0" w:noVBand="1"/>
      </w:tblPr>
      <w:tblGrid>
        <w:gridCol w:w="2254"/>
        <w:gridCol w:w="2270"/>
        <w:gridCol w:w="2270"/>
        <w:gridCol w:w="2268"/>
      </w:tblGrid>
      <w:tr w:rsidR="0020353E" w:rsidRPr="00987077" w14:paraId="4EC78356" w14:textId="77777777" w:rsidTr="00B87E4E">
        <w:tc>
          <w:tcPr>
            <w:tcW w:w="2322" w:type="dxa"/>
            <w:vAlign w:val="center"/>
          </w:tcPr>
          <w:p w14:paraId="53D14F5F" w14:textId="77777777" w:rsidR="0020353E" w:rsidRPr="00987077" w:rsidRDefault="00286CB5" w:rsidP="00172DFC">
            <w:pPr>
              <w:pStyle w:val="Default"/>
              <w:jc w:val="center"/>
            </w:pPr>
            <w:r>
              <w:rPr>
                <w:b/>
                <w:bCs/>
              </w:rPr>
              <w:t>Augstākās izglītības institūcija</w:t>
            </w:r>
          </w:p>
        </w:tc>
        <w:tc>
          <w:tcPr>
            <w:tcW w:w="2322" w:type="dxa"/>
            <w:vAlign w:val="center"/>
          </w:tcPr>
          <w:p w14:paraId="1FDEDE68" w14:textId="77777777" w:rsidR="0020353E" w:rsidRPr="00987077" w:rsidRDefault="0020353E" w:rsidP="004F3843">
            <w:pPr>
              <w:pStyle w:val="Default"/>
              <w:jc w:val="center"/>
            </w:pPr>
            <w:r w:rsidRPr="00987077">
              <w:rPr>
                <w:b/>
                <w:bCs/>
              </w:rPr>
              <w:t xml:space="preserve">Plānotais finansējums, </w:t>
            </w:r>
            <w:proofErr w:type="spellStart"/>
            <w:r w:rsidR="004F3843" w:rsidRPr="004F3843">
              <w:rPr>
                <w:b/>
                <w:bCs/>
                <w:i/>
              </w:rPr>
              <w:t>euro</w:t>
            </w:r>
            <w:proofErr w:type="spellEnd"/>
          </w:p>
        </w:tc>
        <w:tc>
          <w:tcPr>
            <w:tcW w:w="2322" w:type="dxa"/>
            <w:vAlign w:val="center"/>
          </w:tcPr>
          <w:p w14:paraId="44070F07" w14:textId="77777777" w:rsidR="0020353E" w:rsidRPr="00987077" w:rsidRDefault="0020353E" w:rsidP="004F3843">
            <w:pPr>
              <w:pStyle w:val="Default"/>
              <w:jc w:val="center"/>
            </w:pPr>
            <w:r>
              <w:rPr>
                <w:b/>
                <w:bCs/>
              </w:rPr>
              <w:t>Plānotais p</w:t>
            </w:r>
            <w:r w:rsidRPr="00987077">
              <w:rPr>
                <w:b/>
                <w:bCs/>
              </w:rPr>
              <w:t xml:space="preserve">ieejamais finansējums, </w:t>
            </w:r>
            <w:proofErr w:type="spellStart"/>
            <w:r w:rsidR="004F3843" w:rsidRPr="004F3843">
              <w:rPr>
                <w:b/>
                <w:bCs/>
                <w:i/>
              </w:rPr>
              <w:t>euro</w:t>
            </w:r>
            <w:proofErr w:type="spellEnd"/>
          </w:p>
        </w:tc>
        <w:tc>
          <w:tcPr>
            <w:tcW w:w="2322" w:type="dxa"/>
            <w:vAlign w:val="center"/>
          </w:tcPr>
          <w:p w14:paraId="5DD851D0" w14:textId="77777777" w:rsidR="0020353E" w:rsidRPr="00987077" w:rsidRDefault="0020353E" w:rsidP="00B87E4E">
            <w:pPr>
              <w:pStyle w:val="Default"/>
              <w:jc w:val="center"/>
            </w:pPr>
            <w:r w:rsidRPr="00987077">
              <w:rPr>
                <w:b/>
                <w:bCs/>
              </w:rPr>
              <w:t xml:space="preserve">Rezerves </w:t>
            </w:r>
            <w:r>
              <w:rPr>
                <w:b/>
                <w:bCs/>
              </w:rPr>
              <w:t xml:space="preserve">finansējuma </w:t>
            </w:r>
            <w:r w:rsidRPr="00987077">
              <w:rPr>
                <w:b/>
                <w:bCs/>
              </w:rPr>
              <w:t xml:space="preserve">apmērs, </w:t>
            </w:r>
            <w:proofErr w:type="spellStart"/>
            <w:r w:rsidR="004F3843" w:rsidRPr="004F3843">
              <w:rPr>
                <w:b/>
                <w:bCs/>
                <w:i/>
              </w:rPr>
              <w:t>euro</w:t>
            </w:r>
            <w:proofErr w:type="spellEnd"/>
          </w:p>
        </w:tc>
      </w:tr>
      <w:tr w:rsidR="000723C7" w:rsidRPr="000723C7" w14:paraId="174D9338" w14:textId="77777777" w:rsidTr="008D4501">
        <w:tc>
          <w:tcPr>
            <w:tcW w:w="2322" w:type="dxa"/>
            <w:vAlign w:val="center"/>
          </w:tcPr>
          <w:p w14:paraId="57064DDC" w14:textId="77777777" w:rsidR="000723C7" w:rsidRPr="000723C7" w:rsidRDefault="000723C7" w:rsidP="00172DFC">
            <w:pPr>
              <w:pStyle w:val="Default"/>
              <w:jc w:val="both"/>
            </w:pPr>
            <w:r w:rsidRPr="000723C7">
              <w:t>DU</w:t>
            </w:r>
          </w:p>
        </w:tc>
        <w:tc>
          <w:tcPr>
            <w:tcW w:w="2322" w:type="dxa"/>
            <w:vAlign w:val="center"/>
          </w:tcPr>
          <w:p w14:paraId="27E5E609" w14:textId="77777777" w:rsidR="000723C7" w:rsidRPr="000723C7" w:rsidRDefault="000723C7" w:rsidP="00172DFC">
            <w:pPr>
              <w:pStyle w:val="Default"/>
              <w:jc w:val="center"/>
            </w:pPr>
            <w:r w:rsidRPr="000723C7">
              <w:t>1 425 138</w:t>
            </w:r>
          </w:p>
        </w:tc>
        <w:tc>
          <w:tcPr>
            <w:tcW w:w="2322" w:type="dxa"/>
            <w:vAlign w:val="center"/>
          </w:tcPr>
          <w:p w14:paraId="39B6BD70" w14:textId="77777777" w:rsidR="000723C7" w:rsidRPr="000723C7" w:rsidRDefault="000723C7" w:rsidP="00172DFC">
            <w:pPr>
              <w:pStyle w:val="Default"/>
              <w:jc w:val="center"/>
            </w:pPr>
            <w:r w:rsidRPr="000723C7">
              <w:t>1 338 211</w:t>
            </w:r>
          </w:p>
        </w:tc>
        <w:tc>
          <w:tcPr>
            <w:tcW w:w="2322" w:type="dxa"/>
            <w:vAlign w:val="center"/>
          </w:tcPr>
          <w:p w14:paraId="328E472F" w14:textId="77777777" w:rsidR="000723C7" w:rsidRPr="000723C7" w:rsidRDefault="000723C7" w:rsidP="00172DFC">
            <w:pPr>
              <w:pStyle w:val="Default"/>
              <w:jc w:val="center"/>
            </w:pPr>
            <w:r w:rsidRPr="000723C7">
              <w:t>86 927</w:t>
            </w:r>
          </w:p>
        </w:tc>
      </w:tr>
      <w:tr w:rsidR="000723C7" w:rsidRPr="000723C7" w14:paraId="27858F7A" w14:textId="77777777" w:rsidTr="008D4501">
        <w:tc>
          <w:tcPr>
            <w:tcW w:w="2322" w:type="dxa"/>
            <w:vAlign w:val="center"/>
          </w:tcPr>
          <w:p w14:paraId="16158737" w14:textId="77777777" w:rsidR="000723C7" w:rsidRPr="000723C7" w:rsidRDefault="000723C7" w:rsidP="00172DFC">
            <w:pPr>
              <w:pStyle w:val="Default"/>
              <w:jc w:val="both"/>
            </w:pPr>
            <w:r w:rsidRPr="000723C7">
              <w:t>JVLMA</w:t>
            </w:r>
          </w:p>
        </w:tc>
        <w:tc>
          <w:tcPr>
            <w:tcW w:w="2322" w:type="dxa"/>
            <w:vAlign w:val="center"/>
          </w:tcPr>
          <w:p w14:paraId="52F1017A" w14:textId="77777777" w:rsidR="000723C7" w:rsidRPr="000723C7" w:rsidRDefault="000723C7" w:rsidP="00172DFC">
            <w:pPr>
              <w:pStyle w:val="Default"/>
              <w:jc w:val="center"/>
            </w:pPr>
            <w:r w:rsidRPr="000723C7">
              <w:t>527 658</w:t>
            </w:r>
          </w:p>
        </w:tc>
        <w:tc>
          <w:tcPr>
            <w:tcW w:w="2322" w:type="dxa"/>
            <w:vAlign w:val="center"/>
          </w:tcPr>
          <w:p w14:paraId="02D27D84" w14:textId="77777777" w:rsidR="000723C7" w:rsidRPr="000723C7" w:rsidRDefault="000723C7" w:rsidP="00172DFC">
            <w:pPr>
              <w:pStyle w:val="Default"/>
              <w:jc w:val="center"/>
            </w:pPr>
            <w:r w:rsidRPr="000723C7">
              <w:t>495 473</w:t>
            </w:r>
          </w:p>
        </w:tc>
        <w:tc>
          <w:tcPr>
            <w:tcW w:w="2322" w:type="dxa"/>
            <w:vAlign w:val="center"/>
          </w:tcPr>
          <w:p w14:paraId="6025DC69" w14:textId="77777777" w:rsidR="000723C7" w:rsidRPr="000723C7" w:rsidRDefault="000723C7" w:rsidP="00172DFC">
            <w:pPr>
              <w:pStyle w:val="Default"/>
              <w:jc w:val="center"/>
            </w:pPr>
            <w:r w:rsidRPr="000723C7">
              <w:t>32 185</w:t>
            </w:r>
          </w:p>
        </w:tc>
      </w:tr>
      <w:tr w:rsidR="000723C7" w:rsidRPr="000723C7" w14:paraId="2F7BACE5" w14:textId="77777777" w:rsidTr="008D4501">
        <w:tc>
          <w:tcPr>
            <w:tcW w:w="2322" w:type="dxa"/>
            <w:vAlign w:val="center"/>
          </w:tcPr>
          <w:p w14:paraId="49DDF1F1" w14:textId="77777777" w:rsidR="000723C7" w:rsidRPr="000723C7" w:rsidRDefault="000723C7" w:rsidP="00172DFC">
            <w:pPr>
              <w:pStyle w:val="Default"/>
              <w:jc w:val="both"/>
            </w:pPr>
            <w:proofErr w:type="spellStart"/>
            <w:r w:rsidRPr="000723C7">
              <w:t>LiepU</w:t>
            </w:r>
            <w:proofErr w:type="spellEnd"/>
          </w:p>
        </w:tc>
        <w:tc>
          <w:tcPr>
            <w:tcW w:w="2322" w:type="dxa"/>
            <w:vAlign w:val="center"/>
          </w:tcPr>
          <w:p w14:paraId="62979459" w14:textId="77777777" w:rsidR="000723C7" w:rsidRPr="000723C7" w:rsidRDefault="000723C7" w:rsidP="00172DFC">
            <w:pPr>
              <w:pStyle w:val="Default"/>
              <w:jc w:val="center"/>
            </w:pPr>
            <w:r w:rsidRPr="000723C7">
              <w:t>1 033 620</w:t>
            </w:r>
          </w:p>
        </w:tc>
        <w:tc>
          <w:tcPr>
            <w:tcW w:w="2322" w:type="dxa"/>
            <w:vAlign w:val="center"/>
          </w:tcPr>
          <w:p w14:paraId="6C230674" w14:textId="77777777" w:rsidR="000723C7" w:rsidRPr="000723C7" w:rsidRDefault="000723C7" w:rsidP="00172DFC">
            <w:pPr>
              <w:pStyle w:val="Default"/>
              <w:jc w:val="center"/>
            </w:pPr>
            <w:r w:rsidRPr="000723C7">
              <w:t>970 574</w:t>
            </w:r>
          </w:p>
        </w:tc>
        <w:tc>
          <w:tcPr>
            <w:tcW w:w="2322" w:type="dxa"/>
            <w:vAlign w:val="center"/>
          </w:tcPr>
          <w:p w14:paraId="16BB6E1B" w14:textId="77777777" w:rsidR="000723C7" w:rsidRPr="000723C7" w:rsidRDefault="000723C7" w:rsidP="00172DFC">
            <w:pPr>
              <w:pStyle w:val="Default"/>
              <w:jc w:val="center"/>
            </w:pPr>
            <w:r w:rsidRPr="000723C7">
              <w:t>63 046</w:t>
            </w:r>
          </w:p>
        </w:tc>
      </w:tr>
      <w:tr w:rsidR="000723C7" w:rsidRPr="000723C7" w14:paraId="540BFB13" w14:textId="77777777" w:rsidTr="008D4501">
        <w:tc>
          <w:tcPr>
            <w:tcW w:w="2322" w:type="dxa"/>
            <w:vAlign w:val="center"/>
          </w:tcPr>
          <w:p w14:paraId="36A491AD" w14:textId="77777777" w:rsidR="000723C7" w:rsidRPr="000723C7" w:rsidRDefault="000723C7" w:rsidP="000723C7">
            <w:pPr>
              <w:pStyle w:val="Default"/>
              <w:jc w:val="both"/>
            </w:pPr>
            <w:proofErr w:type="spellStart"/>
            <w:r w:rsidRPr="000723C7">
              <w:t>LKuA</w:t>
            </w:r>
            <w:proofErr w:type="spellEnd"/>
            <w:r w:rsidRPr="000723C7">
              <w:t xml:space="preserve">, </w:t>
            </w:r>
          </w:p>
          <w:p w14:paraId="6275746F" w14:textId="77777777" w:rsidR="000723C7" w:rsidRPr="000723C7" w:rsidRDefault="000723C7" w:rsidP="000723C7">
            <w:pPr>
              <w:pStyle w:val="Default"/>
              <w:jc w:val="both"/>
            </w:pPr>
            <w:r w:rsidRPr="000723C7">
              <w:t xml:space="preserve">t.sk. </w:t>
            </w:r>
            <w:proofErr w:type="spellStart"/>
            <w:r w:rsidRPr="000723C7">
              <w:t>LKuA</w:t>
            </w:r>
            <w:proofErr w:type="spellEnd"/>
            <w:r w:rsidRPr="000723C7">
              <w:t xml:space="preserve"> LKK</w:t>
            </w:r>
          </w:p>
        </w:tc>
        <w:tc>
          <w:tcPr>
            <w:tcW w:w="2322" w:type="dxa"/>
            <w:vAlign w:val="center"/>
          </w:tcPr>
          <w:p w14:paraId="4F00B751" w14:textId="77777777" w:rsidR="000723C7" w:rsidRPr="000723C7" w:rsidRDefault="000723C7" w:rsidP="00172DFC">
            <w:pPr>
              <w:pStyle w:val="Default"/>
              <w:jc w:val="center"/>
            </w:pPr>
            <w:r w:rsidRPr="000723C7">
              <w:t>714 382</w:t>
            </w:r>
          </w:p>
        </w:tc>
        <w:tc>
          <w:tcPr>
            <w:tcW w:w="2322" w:type="dxa"/>
            <w:vAlign w:val="center"/>
          </w:tcPr>
          <w:p w14:paraId="698574F7" w14:textId="77777777" w:rsidR="000723C7" w:rsidRPr="000723C7" w:rsidRDefault="000723C7" w:rsidP="00172DFC">
            <w:pPr>
              <w:pStyle w:val="Default"/>
              <w:jc w:val="center"/>
            </w:pPr>
            <w:r w:rsidRPr="000723C7">
              <w:t>670 808</w:t>
            </w:r>
          </w:p>
        </w:tc>
        <w:tc>
          <w:tcPr>
            <w:tcW w:w="2322" w:type="dxa"/>
            <w:vAlign w:val="center"/>
          </w:tcPr>
          <w:p w14:paraId="3FE52011" w14:textId="77777777" w:rsidR="000723C7" w:rsidRPr="000723C7" w:rsidRDefault="000723C7" w:rsidP="00172DFC">
            <w:pPr>
              <w:pStyle w:val="Default"/>
              <w:jc w:val="center"/>
            </w:pPr>
            <w:r w:rsidRPr="000723C7">
              <w:t>43 574</w:t>
            </w:r>
          </w:p>
        </w:tc>
      </w:tr>
      <w:tr w:rsidR="000723C7" w:rsidRPr="000723C7" w14:paraId="514E4E5E" w14:textId="77777777" w:rsidTr="008D4501">
        <w:tc>
          <w:tcPr>
            <w:tcW w:w="2322" w:type="dxa"/>
            <w:vAlign w:val="center"/>
          </w:tcPr>
          <w:p w14:paraId="6AABEC01" w14:textId="77777777" w:rsidR="000723C7" w:rsidRPr="000723C7" w:rsidRDefault="000723C7" w:rsidP="00172DFC">
            <w:pPr>
              <w:pStyle w:val="Default"/>
              <w:jc w:val="both"/>
            </w:pPr>
            <w:r w:rsidRPr="000723C7">
              <w:t>LLU</w:t>
            </w:r>
          </w:p>
        </w:tc>
        <w:tc>
          <w:tcPr>
            <w:tcW w:w="2322" w:type="dxa"/>
            <w:vAlign w:val="center"/>
          </w:tcPr>
          <w:p w14:paraId="6089D5FA" w14:textId="77777777" w:rsidR="000723C7" w:rsidRPr="000723C7" w:rsidRDefault="000723C7" w:rsidP="00172DFC">
            <w:pPr>
              <w:pStyle w:val="Default"/>
              <w:jc w:val="center"/>
            </w:pPr>
            <w:r w:rsidRPr="000723C7">
              <w:t>3 605 592</w:t>
            </w:r>
          </w:p>
        </w:tc>
        <w:tc>
          <w:tcPr>
            <w:tcW w:w="2322" w:type="dxa"/>
            <w:vAlign w:val="center"/>
          </w:tcPr>
          <w:p w14:paraId="22E2BC14" w14:textId="77777777" w:rsidR="000723C7" w:rsidRPr="000723C7" w:rsidRDefault="000723C7" w:rsidP="00172DFC">
            <w:pPr>
              <w:pStyle w:val="Default"/>
              <w:jc w:val="center"/>
            </w:pPr>
            <w:r w:rsidRPr="000723C7">
              <w:t>3 385 668</w:t>
            </w:r>
          </w:p>
        </w:tc>
        <w:tc>
          <w:tcPr>
            <w:tcW w:w="2322" w:type="dxa"/>
            <w:vAlign w:val="center"/>
          </w:tcPr>
          <w:p w14:paraId="6F560016" w14:textId="77777777" w:rsidR="000723C7" w:rsidRPr="000723C7" w:rsidRDefault="000723C7" w:rsidP="00172DFC">
            <w:pPr>
              <w:pStyle w:val="Default"/>
              <w:jc w:val="center"/>
            </w:pPr>
            <w:r w:rsidRPr="000723C7">
              <w:t>219 924</w:t>
            </w:r>
          </w:p>
        </w:tc>
      </w:tr>
      <w:tr w:rsidR="000723C7" w:rsidRPr="000723C7" w14:paraId="525ECB94" w14:textId="77777777" w:rsidTr="008D4501">
        <w:tc>
          <w:tcPr>
            <w:tcW w:w="2322" w:type="dxa"/>
            <w:vAlign w:val="center"/>
          </w:tcPr>
          <w:p w14:paraId="44214816" w14:textId="77777777" w:rsidR="000723C7" w:rsidRPr="000723C7" w:rsidRDefault="000723C7" w:rsidP="00172DFC">
            <w:pPr>
              <w:pStyle w:val="Default"/>
              <w:jc w:val="both"/>
            </w:pPr>
            <w:proofErr w:type="spellStart"/>
            <w:r w:rsidRPr="000723C7">
              <w:t>LMāA</w:t>
            </w:r>
            <w:proofErr w:type="spellEnd"/>
          </w:p>
        </w:tc>
        <w:tc>
          <w:tcPr>
            <w:tcW w:w="2322" w:type="dxa"/>
            <w:vAlign w:val="center"/>
          </w:tcPr>
          <w:p w14:paraId="4BD748F6" w14:textId="77777777" w:rsidR="000723C7" w:rsidRPr="000723C7" w:rsidRDefault="000723C7" w:rsidP="00172DFC">
            <w:pPr>
              <w:pStyle w:val="Default"/>
              <w:jc w:val="center"/>
            </w:pPr>
            <w:r w:rsidRPr="000723C7">
              <w:t>684 265</w:t>
            </w:r>
          </w:p>
        </w:tc>
        <w:tc>
          <w:tcPr>
            <w:tcW w:w="2322" w:type="dxa"/>
            <w:vAlign w:val="center"/>
          </w:tcPr>
          <w:p w14:paraId="1D16DE76" w14:textId="77777777" w:rsidR="000723C7" w:rsidRPr="000723C7" w:rsidRDefault="000723C7" w:rsidP="00172DFC">
            <w:pPr>
              <w:pStyle w:val="Default"/>
              <w:jc w:val="center"/>
            </w:pPr>
            <w:r w:rsidRPr="000723C7">
              <w:t>642 528</w:t>
            </w:r>
          </w:p>
        </w:tc>
        <w:tc>
          <w:tcPr>
            <w:tcW w:w="2322" w:type="dxa"/>
            <w:vAlign w:val="center"/>
          </w:tcPr>
          <w:p w14:paraId="11610739" w14:textId="77777777" w:rsidR="000723C7" w:rsidRPr="000723C7" w:rsidRDefault="000723C7" w:rsidP="00172DFC">
            <w:pPr>
              <w:pStyle w:val="Default"/>
              <w:jc w:val="center"/>
            </w:pPr>
            <w:r w:rsidRPr="000723C7">
              <w:t>41 737</w:t>
            </w:r>
          </w:p>
        </w:tc>
      </w:tr>
      <w:tr w:rsidR="000723C7" w:rsidRPr="000723C7" w14:paraId="74951698" w14:textId="77777777" w:rsidTr="008D4501">
        <w:tc>
          <w:tcPr>
            <w:tcW w:w="2322" w:type="dxa"/>
            <w:vAlign w:val="center"/>
          </w:tcPr>
          <w:p w14:paraId="19B4DD9C" w14:textId="77777777" w:rsidR="000723C7" w:rsidRPr="000723C7" w:rsidRDefault="000723C7" w:rsidP="00172DFC">
            <w:pPr>
              <w:pStyle w:val="Default"/>
              <w:jc w:val="both"/>
            </w:pPr>
            <w:r w:rsidRPr="000723C7">
              <w:t>LSPA</w:t>
            </w:r>
          </w:p>
        </w:tc>
        <w:tc>
          <w:tcPr>
            <w:tcW w:w="2322" w:type="dxa"/>
            <w:vAlign w:val="center"/>
          </w:tcPr>
          <w:p w14:paraId="4AA67247" w14:textId="77777777" w:rsidR="000723C7" w:rsidRPr="000723C7" w:rsidRDefault="000723C7" w:rsidP="00172DFC">
            <w:pPr>
              <w:pStyle w:val="Default"/>
              <w:jc w:val="center"/>
            </w:pPr>
            <w:r w:rsidRPr="000723C7">
              <w:t>889 059</w:t>
            </w:r>
          </w:p>
        </w:tc>
        <w:tc>
          <w:tcPr>
            <w:tcW w:w="2322" w:type="dxa"/>
            <w:vAlign w:val="center"/>
          </w:tcPr>
          <w:p w14:paraId="6E7AE801" w14:textId="77777777" w:rsidR="000723C7" w:rsidRPr="000723C7" w:rsidRDefault="000723C7" w:rsidP="00172DFC">
            <w:pPr>
              <w:pStyle w:val="Default"/>
              <w:jc w:val="center"/>
            </w:pPr>
            <w:r w:rsidRPr="000723C7">
              <w:t>834 831</w:t>
            </w:r>
          </w:p>
        </w:tc>
        <w:tc>
          <w:tcPr>
            <w:tcW w:w="2322" w:type="dxa"/>
            <w:vAlign w:val="center"/>
          </w:tcPr>
          <w:p w14:paraId="7C2362E0" w14:textId="77777777" w:rsidR="000723C7" w:rsidRPr="000723C7" w:rsidRDefault="000723C7" w:rsidP="00172DFC">
            <w:pPr>
              <w:pStyle w:val="Default"/>
              <w:jc w:val="center"/>
            </w:pPr>
            <w:r w:rsidRPr="000723C7">
              <w:t>54 228</w:t>
            </w:r>
          </w:p>
        </w:tc>
      </w:tr>
      <w:tr w:rsidR="000723C7" w:rsidRPr="000723C7" w14:paraId="6421F6C9" w14:textId="77777777" w:rsidTr="008D4501">
        <w:tc>
          <w:tcPr>
            <w:tcW w:w="2322" w:type="dxa"/>
            <w:vAlign w:val="center"/>
          </w:tcPr>
          <w:p w14:paraId="1690C2BA" w14:textId="77777777" w:rsidR="000723C7" w:rsidRPr="000723C7" w:rsidRDefault="000723C7" w:rsidP="000723C7">
            <w:pPr>
              <w:pStyle w:val="Default"/>
              <w:jc w:val="both"/>
            </w:pPr>
            <w:r w:rsidRPr="000723C7">
              <w:t>LU, t.sk. LU RMK un LU SMK</w:t>
            </w:r>
          </w:p>
        </w:tc>
        <w:tc>
          <w:tcPr>
            <w:tcW w:w="2322" w:type="dxa"/>
            <w:vAlign w:val="center"/>
          </w:tcPr>
          <w:p w14:paraId="4A8B16A3" w14:textId="77777777" w:rsidR="000723C7" w:rsidRPr="000723C7" w:rsidRDefault="000723C7" w:rsidP="00172DFC">
            <w:pPr>
              <w:pStyle w:val="Default"/>
              <w:jc w:val="center"/>
            </w:pPr>
            <w:r w:rsidRPr="000723C7">
              <w:t>13 026 117</w:t>
            </w:r>
          </w:p>
        </w:tc>
        <w:tc>
          <w:tcPr>
            <w:tcW w:w="2322" w:type="dxa"/>
            <w:vAlign w:val="center"/>
          </w:tcPr>
          <w:p w14:paraId="54F0467A" w14:textId="77777777" w:rsidR="000723C7" w:rsidRPr="000723C7" w:rsidRDefault="000723C7" w:rsidP="00172DFC">
            <w:pPr>
              <w:pStyle w:val="Default"/>
              <w:jc w:val="center"/>
            </w:pPr>
            <w:r w:rsidRPr="000723C7">
              <w:t>12 231 586</w:t>
            </w:r>
          </w:p>
        </w:tc>
        <w:tc>
          <w:tcPr>
            <w:tcW w:w="2322" w:type="dxa"/>
            <w:vAlign w:val="center"/>
          </w:tcPr>
          <w:p w14:paraId="20CC994E" w14:textId="77777777" w:rsidR="000723C7" w:rsidRPr="000723C7" w:rsidRDefault="000723C7" w:rsidP="00172DFC">
            <w:pPr>
              <w:pStyle w:val="Default"/>
              <w:jc w:val="center"/>
            </w:pPr>
            <w:r w:rsidRPr="000723C7">
              <w:t>794 531</w:t>
            </w:r>
          </w:p>
        </w:tc>
      </w:tr>
      <w:tr w:rsidR="000723C7" w:rsidRPr="000723C7" w14:paraId="4E1EFF18" w14:textId="77777777" w:rsidTr="008D4501">
        <w:tc>
          <w:tcPr>
            <w:tcW w:w="2322" w:type="dxa"/>
            <w:vAlign w:val="center"/>
          </w:tcPr>
          <w:p w14:paraId="060578BB" w14:textId="77777777" w:rsidR="000723C7" w:rsidRPr="000723C7" w:rsidRDefault="000723C7" w:rsidP="00172DFC">
            <w:pPr>
              <w:pStyle w:val="Default"/>
              <w:jc w:val="both"/>
            </w:pPr>
            <w:r w:rsidRPr="000723C7">
              <w:t>RSU</w:t>
            </w:r>
          </w:p>
        </w:tc>
        <w:tc>
          <w:tcPr>
            <w:tcW w:w="2322" w:type="dxa"/>
            <w:vAlign w:val="center"/>
          </w:tcPr>
          <w:p w14:paraId="1AF54D24" w14:textId="77777777" w:rsidR="000723C7" w:rsidRPr="000723C7" w:rsidRDefault="000723C7" w:rsidP="00172DFC">
            <w:pPr>
              <w:pStyle w:val="Default"/>
              <w:jc w:val="center"/>
            </w:pPr>
            <w:r w:rsidRPr="000723C7">
              <w:t>6 243 821</w:t>
            </w:r>
          </w:p>
        </w:tc>
        <w:tc>
          <w:tcPr>
            <w:tcW w:w="2322" w:type="dxa"/>
            <w:vAlign w:val="center"/>
          </w:tcPr>
          <w:p w14:paraId="4F9D2230" w14:textId="77777777" w:rsidR="000723C7" w:rsidRPr="000723C7" w:rsidRDefault="000723C7" w:rsidP="00172DFC">
            <w:pPr>
              <w:pStyle w:val="Default"/>
              <w:jc w:val="center"/>
            </w:pPr>
            <w:r w:rsidRPr="000723C7">
              <w:t>5 862 978</w:t>
            </w:r>
          </w:p>
        </w:tc>
        <w:tc>
          <w:tcPr>
            <w:tcW w:w="2322" w:type="dxa"/>
            <w:vAlign w:val="center"/>
          </w:tcPr>
          <w:p w14:paraId="5A35698C" w14:textId="77777777" w:rsidR="000723C7" w:rsidRPr="000723C7" w:rsidRDefault="000723C7" w:rsidP="00172DFC">
            <w:pPr>
              <w:pStyle w:val="Default"/>
              <w:jc w:val="center"/>
            </w:pPr>
            <w:r w:rsidRPr="000723C7">
              <w:t>380 843</w:t>
            </w:r>
          </w:p>
        </w:tc>
      </w:tr>
      <w:tr w:rsidR="000723C7" w:rsidRPr="000723C7" w14:paraId="76D564FB" w14:textId="77777777" w:rsidTr="008D4501">
        <w:tc>
          <w:tcPr>
            <w:tcW w:w="2322" w:type="dxa"/>
            <w:vAlign w:val="center"/>
          </w:tcPr>
          <w:p w14:paraId="162D1064" w14:textId="77777777" w:rsidR="000723C7" w:rsidRPr="000723C7" w:rsidRDefault="000723C7" w:rsidP="00172DFC">
            <w:pPr>
              <w:pStyle w:val="Default"/>
              <w:jc w:val="both"/>
            </w:pPr>
            <w:r w:rsidRPr="000723C7">
              <w:t>RTA</w:t>
            </w:r>
          </w:p>
        </w:tc>
        <w:tc>
          <w:tcPr>
            <w:tcW w:w="2322" w:type="dxa"/>
            <w:vAlign w:val="center"/>
          </w:tcPr>
          <w:p w14:paraId="59DA898B" w14:textId="77777777" w:rsidR="000723C7" w:rsidRPr="000723C7" w:rsidRDefault="000723C7" w:rsidP="00172DFC">
            <w:pPr>
              <w:pStyle w:val="Default"/>
              <w:jc w:val="center"/>
            </w:pPr>
            <w:r w:rsidRPr="000723C7">
              <w:t>1 027 596</w:t>
            </w:r>
          </w:p>
        </w:tc>
        <w:tc>
          <w:tcPr>
            <w:tcW w:w="2322" w:type="dxa"/>
            <w:vAlign w:val="center"/>
          </w:tcPr>
          <w:p w14:paraId="2FDB82B2" w14:textId="77777777" w:rsidR="000723C7" w:rsidRPr="000723C7" w:rsidRDefault="000723C7" w:rsidP="00172DFC">
            <w:pPr>
              <w:pStyle w:val="Default"/>
              <w:jc w:val="center"/>
            </w:pPr>
            <w:r w:rsidRPr="000723C7">
              <w:t>964 918</w:t>
            </w:r>
          </w:p>
        </w:tc>
        <w:tc>
          <w:tcPr>
            <w:tcW w:w="2322" w:type="dxa"/>
            <w:vAlign w:val="center"/>
          </w:tcPr>
          <w:p w14:paraId="1331C168" w14:textId="77777777" w:rsidR="000723C7" w:rsidRPr="000723C7" w:rsidRDefault="000723C7" w:rsidP="00172DFC">
            <w:pPr>
              <w:pStyle w:val="Default"/>
              <w:jc w:val="center"/>
            </w:pPr>
            <w:r w:rsidRPr="000723C7">
              <w:t>62 678</w:t>
            </w:r>
          </w:p>
        </w:tc>
      </w:tr>
      <w:tr w:rsidR="000723C7" w:rsidRPr="000723C7" w14:paraId="7DAB40A8" w14:textId="77777777" w:rsidTr="008D4501">
        <w:tc>
          <w:tcPr>
            <w:tcW w:w="2322" w:type="dxa"/>
            <w:vAlign w:val="center"/>
          </w:tcPr>
          <w:p w14:paraId="738FE5D8" w14:textId="77777777" w:rsidR="000723C7" w:rsidRPr="000723C7" w:rsidRDefault="000723C7" w:rsidP="00172DFC">
            <w:pPr>
              <w:pStyle w:val="Default"/>
              <w:jc w:val="both"/>
            </w:pPr>
            <w:r w:rsidRPr="000723C7">
              <w:t>RTU</w:t>
            </w:r>
          </w:p>
        </w:tc>
        <w:tc>
          <w:tcPr>
            <w:tcW w:w="2322" w:type="dxa"/>
            <w:vAlign w:val="center"/>
          </w:tcPr>
          <w:p w14:paraId="727188A0" w14:textId="77777777" w:rsidR="000723C7" w:rsidRPr="000723C7" w:rsidRDefault="000723C7" w:rsidP="00172DFC">
            <w:pPr>
              <w:pStyle w:val="Default"/>
              <w:jc w:val="center"/>
            </w:pPr>
            <w:r w:rsidRPr="000723C7">
              <w:t>11 725 073</w:t>
            </w:r>
          </w:p>
        </w:tc>
        <w:tc>
          <w:tcPr>
            <w:tcW w:w="2322" w:type="dxa"/>
            <w:vAlign w:val="center"/>
          </w:tcPr>
          <w:p w14:paraId="08935764" w14:textId="77777777" w:rsidR="000723C7" w:rsidRPr="000723C7" w:rsidRDefault="000723C7" w:rsidP="00172DFC">
            <w:pPr>
              <w:pStyle w:val="Default"/>
              <w:jc w:val="center"/>
            </w:pPr>
            <w:r w:rsidRPr="000723C7">
              <w:t>11 009 899</w:t>
            </w:r>
          </w:p>
        </w:tc>
        <w:tc>
          <w:tcPr>
            <w:tcW w:w="2322" w:type="dxa"/>
            <w:vAlign w:val="center"/>
          </w:tcPr>
          <w:p w14:paraId="178C5526" w14:textId="77777777" w:rsidR="000723C7" w:rsidRPr="000723C7" w:rsidRDefault="000723C7" w:rsidP="00172DFC">
            <w:pPr>
              <w:pStyle w:val="Default"/>
              <w:jc w:val="center"/>
            </w:pPr>
            <w:r w:rsidRPr="000723C7">
              <w:t>715 174</w:t>
            </w:r>
          </w:p>
        </w:tc>
      </w:tr>
      <w:tr w:rsidR="000723C7" w:rsidRPr="000723C7" w14:paraId="56D55BB2" w14:textId="77777777" w:rsidTr="008D4501">
        <w:tc>
          <w:tcPr>
            <w:tcW w:w="2322" w:type="dxa"/>
            <w:vAlign w:val="center"/>
          </w:tcPr>
          <w:p w14:paraId="2DDC7387" w14:textId="77777777" w:rsidR="000723C7" w:rsidRPr="000723C7" w:rsidRDefault="000723C7" w:rsidP="00172DFC">
            <w:pPr>
              <w:pStyle w:val="Default"/>
              <w:jc w:val="both"/>
            </w:pPr>
            <w:r w:rsidRPr="000723C7">
              <w:t>TSI</w:t>
            </w:r>
          </w:p>
        </w:tc>
        <w:tc>
          <w:tcPr>
            <w:tcW w:w="2322" w:type="dxa"/>
            <w:vAlign w:val="center"/>
          </w:tcPr>
          <w:p w14:paraId="7D48DDAD" w14:textId="77777777" w:rsidR="000723C7" w:rsidRPr="000723C7" w:rsidRDefault="000723C7" w:rsidP="00172DFC">
            <w:pPr>
              <w:pStyle w:val="Default"/>
              <w:jc w:val="center"/>
            </w:pPr>
            <w:r w:rsidRPr="000723C7">
              <w:t>1 250 461</w:t>
            </w:r>
          </w:p>
        </w:tc>
        <w:tc>
          <w:tcPr>
            <w:tcW w:w="2322" w:type="dxa"/>
            <w:vAlign w:val="center"/>
          </w:tcPr>
          <w:p w14:paraId="6F6D3BAB" w14:textId="77777777" w:rsidR="000723C7" w:rsidRPr="000723C7" w:rsidRDefault="000723C7" w:rsidP="00172DFC">
            <w:pPr>
              <w:pStyle w:val="Default"/>
              <w:jc w:val="center"/>
            </w:pPr>
            <w:r w:rsidRPr="000723C7">
              <w:t>1 174 189</w:t>
            </w:r>
          </w:p>
        </w:tc>
        <w:tc>
          <w:tcPr>
            <w:tcW w:w="2322" w:type="dxa"/>
            <w:vAlign w:val="center"/>
          </w:tcPr>
          <w:p w14:paraId="4C96F8D8" w14:textId="77777777" w:rsidR="000723C7" w:rsidRPr="000723C7" w:rsidRDefault="000723C7" w:rsidP="00172DFC">
            <w:pPr>
              <w:pStyle w:val="Default"/>
              <w:jc w:val="center"/>
            </w:pPr>
            <w:r w:rsidRPr="000723C7">
              <w:t>76 272</w:t>
            </w:r>
          </w:p>
        </w:tc>
      </w:tr>
      <w:tr w:rsidR="000723C7" w:rsidRPr="000723C7" w14:paraId="093B0BED" w14:textId="77777777" w:rsidTr="008D4501">
        <w:tc>
          <w:tcPr>
            <w:tcW w:w="2322" w:type="dxa"/>
            <w:vAlign w:val="center"/>
          </w:tcPr>
          <w:p w14:paraId="522BA4B6" w14:textId="77777777" w:rsidR="000723C7" w:rsidRPr="000723C7" w:rsidRDefault="000723C7" w:rsidP="00172DFC">
            <w:pPr>
              <w:pStyle w:val="Default"/>
              <w:jc w:val="both"/>
            </w:pPr>
            <w:proofErr w:type="spellStart"/>
            <w:r w:rsidRPr="000723C7">
              <w:t>VeA</w:t>
            </w:r>
            <w:proofErr w:type="spellEnd"/>
          </w:p>
        </w:tc>
        <w:tc>
          <w:tcPr>
            <w:tcW w:w="2322" w:type="dxa"/>
            <w:vAlign w:val="center"/>
          </w:tcPr>
          <w:p w14:paraId="6F5ACD48" w14:textId="77777777" w:rsidR="000723C7" w:rsidRPr="000723C7" w:rsidRDefault="000723C7" w:rsidP="00172DFC">
            <w:pPr>
              <w:pStyle w:val="Default"/>
              <w:jc w:val="center"/>
            </w:pPr>
            <w:r w:rsidRPr="000723C7">
              <w:t>1 888 936</w:t>
            </w:r>
          </w:p>
        </w:tc>
        <w:tc>
          <w:tcPr>
            <w:tcW w:w="2322" w:type="dxa"/>
            <w:vAlign w:val="center"/>
          </w:tcPr>
          <w:p w14:paraId="098223F8" w14:textId="77777777" w:rsidR="000723C7" w:rsidRPr="000723C7" w:rsidRDefault="000723C7" w:rsidP="00172DFC">
            <w:pPr>
              <w:pStyle w:val="Default"/>
              <w:jc w:val="center"/>
            </w:pPr>
            <w:r w:rsidRPr="000723C7">
              <w:t>1 773 720</w:t>
            </w:r>
          </w:p>
        </w:tc>
        <w:tc>
          <w:tcPr>
            <w:tcW w:w="2322" w:type="dxa"/>
            <w:vAlign w:val="center"/>
          </w:tcPr>
          <w:p w14:paraId="60AA8848" w14:textId="77777777" w:rsidR="000723C7" w:rsidRPr="000723C7" w:rsidRDefault="000723C7" w:rsidP="00172DFC">
            <w:pPr>
              <w:pStyle w:val="Default"/>
              <w:jc w:val="center"/>
            </w:pPr>
            <w:r w:rsidRPr="000723C7">
              <w:t>115 216</w:t>
            </w:r>
          </w:p>
        </w:tc>
      </w:tr>
      <w:tr w:rsidR="000723C7" w:rsidRPr="000723C7" w14:paraId="63C11152" w14:textId="77777777" w:rsidTr="008D4501">
        <w:tc>
          <w:tcPr>
            <w:tcW w:w="2322" w:type="dxa"/>
            <w:vAlign w:val="center"/>
          </w:tcPr>
          <w:p w14:paraId="39452770" w14:textId="77777777" w:rsidR="000723C7" w:rsidRPr="000723C7" w:rsidRDefault="000723C7" w:rsidP="00172DFC">
            <w:pPr>
              <w:pStyle w:val="Default"/>
              <w:jc w:val="both"/>
            </w:pPr>
            <w:proofErr w:type="spellStart"/>
            <w:r w:rsidRPr="000723C7">
              <w:t>ViA</w:t>
            </w:r>
            <w:proofErr w:type="spellEnd"/>
          </w:p>
        </w:tc>
        <w:tc>
          <w:tcPr>
            <w:tcW w:w="2322" w:type="dxa"/>
            <w:vAlign w:val="center"/>
          </w:tcPr>
          <w:p w14:paraId="2D06D133" w14:textId="77777777" w:rsidR="000723C7" w:rsidRPr="000723C7" w:rsidRDefault="000723C7" w:rsidP="00172DFC">
            <w:pPr>
              <w:pStyle w:val="Default"/>
              <w:jc w:val="center"/>
            </w:pPr>
            <w:r w:rsidRPr="000723C7">
              <w:t>599 938</w:t>
            </w:r>
          </w:p>
        </w:tc>
        <w:tc>
          <w:tcPr>
            <w:tcW w:w="2322" w:type="dxa"/>
            <w:vAlign w:val="center"/>
          </w:tcPr>
          <w:p w14:paraId="79945F60" w14:textId="77777777" w:rsidR="000723C7" w:rsidRPr="000723C7" w:rsidRDefault="000723C7" w:rsidP="00172DFC">
            <w:pPr>
              <w:pStyle w:val="Default"/>
              <w:jc w:val="center"/>
            </w:pPr>
            <w:r w:rsidRPr="000723C7">
              <w:t>563 345</w:t>
            </w:r>
          </w:p>
        </w:tc>
        <w:tc>
          <w:tcPr>
            <w:tcW w:w="2322" w:type="dxa"/>
            <w:vAlign w:val="center"/>
          </w:tcPr>
          <w:p w14:paraId="4C1BDB83" w14:textId="77777777" w:rsidR="000723C7" w:rsidRPr="000723C7" w:rsidRDefault="000723C7" w:rsidP="00172DFC">
            <w:pPr>
              <w:pStyle w:val="Default"/>
              <w:jc w:val="center"/>
            </w:pPr>
            <w:r w:rsidRPr="000723C7">
              <w:t>36 593</w:t>
            </w:r>
          </w:p>
        </w:tc>
      </w:tr>
      <w:tr w:rsidR="00E300E7" w:rsidRPr="000723C7" w14:paraId="05F73C73" w14:textId="77777777" w:rsidTr="00172DFC">
        <w:tc>
          <w:tcPr>
            <w:tcW w:w="2322" w:type="dxa"/>
            <w:vAlign w:val="bottom"/>
          </w:tcPr>
          <w:p w14:paraId="00C263BD" w14:textId="77777777" w:rsidR="00E300E7" w:rsidRPr="000723C7" w:rsidRDefault="00E300E7" w:rsidP="00172DFC">
            <w:pPr>
              <w:pStyle w:val="Default"/>
              <w:jc w:val="both"/>
            </w:pPr>
            <w:r w:rsidRPr="000723C7">
              <w:rPr>
                <w:b/>
                <w:bCs/>
              </w:rPr>
              <w:t>KOPĀ</w:t>
            </w:r>
          </w:p>
        </w:tc>
        <w:tc>
          <w:tcPr>
            <w:tcW w:w="2322" w:type="dxa"/>
            <w:vAlign w:val="bottom"/>
          </w:tcPr>
          <w:p w14:paraId="3C79012F" w14:textId="77777777" w:rsidR="00E300E7" w:rsidRPr="000723C7" w:rsidRDefault="00E300E7" w:rsidP="00172DFC">
            <w:pPr>
              <w:pStyle w:val="Default"/>
              <w:jc w:val="center"/>
            </w:pPr>
            <w:r w:rsidRPr="000723C7">
              <w:rPr>
                <w:b/>
                <w:bCs/>
              </w:rPr>
              <w:t>44 641 656</w:t>
            </w:r>
          </w:p>
        </w:tc>
        <w:tc>
          <w:tcPr>
            <w:tcW w:w="2322" w:type="dxa"/>
            <w:vAlign w:val="bottom"/>
          </w:tcPr>
          <w:p w14:paraId="092F3268" w14:textId="77777777" w:rsidR="00E300E7" w:rsidRPr="000723C7" w:rsidRDefault="007823DA" w:rsidP="00172DFC">
            <w:pPr>
              <w:pStyle w:val="Default"/>
              <w:jc w:val="center"/>
              <w:rPr>
                <w:b/>
              </w:rPr>
            </w:pPr>
            <w:r w:rsidRPr="000723C7">
              <w:rPr>
                <w:b/>
              </w:rPr>
              <w:t>41 918 727</w:t>
            </w:r>
          </w:p>
        </w:tc>
        <w:tc>
          <w:tcPr>
            <w:tcW w:w="2322" w:type="dxa"/>
            <w:vAlign w:val="bottom"/>
          </w:tcPr>
          <w:p w14:paraId="72AD85E9" w14:textId="77777777" w:rsidR="00E300E7" w:rsidRPr="000723C7" w:rsidRDefault="007823DA" w:rsidP="00172DFC">
            <w:pPr>
              <w:pStyle w:val="Default"/>
              <w:jc w:val="center"/>
              <w:rPr>
                <w:b/>
              </w:rPr>
            </w:pPr>
            <w:r w:rsidRPr="000723C7">
              <w:rPr>
                <w:b/>
                <w:bCs/>
              </w:rPr>
              <w:t>2 722 929</w:t>
            </w:r>
          </w:p>
        </w:tc>
      </w:tr>
    </w:tbl>
    <w:p w14:paraId="78D6C48B" w14:textId="77777777" w:rsidR="00344A77" w:rsidRDefault="00344A77" w:rsidP="00290F5E">
      <w:pPr>
        <w:ind w:firstLine="720"/>
        <w:rPr>
          <w:b/>
          <w:color w:val="FF0000"/>
          <w:szCs w:val="24"/>
        </w:rPr>
      </w:pPr>
    </w:p>
    <w:p w14:paraId="623EEE3F" w14:textId="77777777" w:rsidR="00145FA8" w:rsidRPr="006D119F" w:rsidRDefault="00145FA8" w:rsidP="00CD7A7F">
      <w:pPr>
        <w:ind w:firstLine="720"/>
      </w:pPr>
      <w:r>
        <w:lastRenderedPageBreak/>
        <w:t>Finansējuma sadalījuma m</w:t>
      </w:r>
      <w:r w:rsidRPr="006D119F">
        <w:t xml:space="preserve">etodoloģija augstskolām pieejamā finansējuma noteikšanai </w:t>
      </w:r>
      <w:r w:rsidRPr="008552EF">
        <w:t xml:space="preserve">iekļauta </w:t>
      </w:r>
      <w:r w:rsidR="00A23332">
        <w:t>MK</w:t>
      </w:r>
      <w:r>
        <w:t xml:space="preserve"> </w:t>
      </w:r>
      <w:r w:rsidRPr="008552EF">
        <w:t xml:space="preserve">noteikumu </w:t>
      </w:r>
      <w:r w:rsidR="00A23332">
        <w:t xml:space="preserve">Nr. 561 </w:t>
      </w:r>
      <w:r w:rsidRPr="008552EF">
        <w:t>pielikumā</w:t>
      </w:r>
      <w:r w:rsidRPr="008D4501">
        <w:rPr>
          <w:rStyle w:val="FootnoteReference"/>
          <w:szCs w:val="24"/>
        </w:rPr>
        <w:footnoteReference w:id="41"/>
      </w:r>
      <w:r w:rsidRPr="008D4501">
        <w:t>.</w:t>
      </w:r>
    </w:p>
    <w:p w14:paraId="2346DA81" w14:textId="77777777" w:rsidR="00CD7A7F" w:rsidRPr="00CD7A7F" w:rsidRDefault="00145FA8" w:rsidP="00CD7A7F">
      <w:pPr>
        <w:pStyle w:val="Default"/>
        <w:ind w:firstLine="720"/>
        <w:jc w:val="both"/>
        <w:rPr>
          <w:color w:val="auto"/>
        </w:rPr>
      </w:pPr>
      <w:r w:rsidRPr="006D119F">
        <w:rPr>
          <w:color w:val="auto"/>
        </w:rPr>
        <w:t xml:space="preserve">Metodoloģija paredz, ka katram </w:t>
      </w:r>
      <w:r w:rsidRPr="006D119F">
        <w:rPr>
          <w:iCs/>
          <w:color w:val="auto"/>
        </w:rPr>
        <w:t>projekta iesniedzējam pieejamais</w:t>
      </w:r>
      <w:r w:rsidRPr="006D119F">
        <w:rPr>
          <w:color w:val="auto"/>
        </w:rPr>
        <w:t xml:space="preserve"> finansējums veidojas </w:t>
      </w:r>
      <w:r w:rsidR="00FF4AE5">
        <w:rPr>
          <w:color w:val="auto"/>
        </w:rPr>
        <w:t xml:space="preserve">no </w:t>
      </w:r>
      <w:r w:rsidRPr="006D119F">
        <w:rPr>
          <w:color w:val="auto"/>
        </w:rPr>
        <w:t xml:space="preserve">sākotnējā finansējuma un </w:t>
      </w:r>
      <w:r>
        <w:rPr>
          <w:color w:val="auto"/>
        </w:rPr>
        <w:t xml:space="preserve">papildus </w:t>
      </w:r>
      <w:r w:rsidRPr="006D119F">
        <w:rPr>
          <w:color w:val="auto"/>
        </w:rPr>
        <w:t>finansējuma</w:t>
      </w:r>
      <w:r>
        <w:rPr>
          <w:color w:val="auto"/>
        </w:rPr>
        <w:t xml:space="preserve"> augstākās izglītības vides kvalitātes uzlabošanai</w:t>
      </w:r>
      <w:r w:rsidR="00CD7A7F">
        <w:rPr>
          <w:color w:val="auto"/>
        </w:rPr>
        <w:t xml:space="preserve">. </w:t>
      </w:r>
      <w:r w:rsidR="00CD7A7F" w:rsidRPr="00CD7A7F">
        <w:rPr>
          <w:color w:val="auto"/>
        </w:rPr>
        <w:t>Sākotnēj</w:t>
      </w:r>
      <w:r w:rsidR="00CD7A7F">
        <w:rPr>
          <w:color w:val="auto"/>
        </w:rPr>
        <w:t>ais</w:t>
      </w:r>
      <w:r w:rsidR="00CD7A7F" w:rsidRPr="00CD7A7F">
        <w:rPr>
          <w:color w:val="auto"/>
        </w:rPr>
        <w:t xml:space="preserve"> finansējum</w:t>
      </w:r>
      <w:r w:rsidR="00CD7A7F">
        <w:rPr>
          <w:color w:val="auto"/>
        </w:rPr>
        <w:t>s</w:t>
      </w:r>
      <w:r w:rsidR="00CD7A7F" w:rsidRPr="00CD7A7F">
        <w:rPr>
          <w:color w:val="auto"/>
        </w:rPr>
        <w:t xml:space="preserve"> 100 000 </w:t>
      </w:r>
      <w:proofErr w:type="spellStart"/>
      <w:r w:rsidR="00CD7A7F" w:rsidRPr="00CD7A7F">
        <w:rPr>
          <w:i/>
          <w:color w:val="auto"/>
        </w:rPr>
        <w:t>euro</w:t>
      </w:r>
      <w:proofErr w:type="spellEnd"/>
      <w:r w:rsidR="00CD7A7F" w:rsidRPr="00CD7A7F">
        <w:rPr>
          <w:color w:val="auto"/>
        </w:rPr>
        <w:t xml:space="preserve"> apmērā </w:t>
      </w:r>
      <w:r w:rsidR="00CD7A7F">
        <w:rPr>
          <w:color w:val="auto"/>
        </w:rPr>
        <w:t>katram projekta iesniedzējam paredzēts</w:t>
      </w:r>
      <w:r w:rsidR="00CD7A7F" w:rsidRPr="00CD7A7F">
        <w:rPr>
          <w:color w:val="auto"/>
        </w:rPr>
        <w:t xml:space="preserve">, lai sekmētu pētniecībā balstītu STEM </w:t>
      </w:r>
      <w:r w:rsidR="00CD7A7F">
        <w:rPr>
          <w:color w:val="auto"/>
        </w:rPr>
        <w:t xml:space="preserve">studiju </w:t>
      </w:r>
      <w:r w:rsidR="00CD7A7F" w:rsidRPr="00CD7A7F">
        <w:rPr>
          <w:color w:val="auto"/>
        </w:rPr>
        <w:t>programmu īstenošanu katrā projekta iesniedzēja institūcijā neatkarīgi no tā darbības kapacitātes.</w:t>
      </w:r>
      <w:r w:rsidR="00CD7A7F">
        <w:rPr>
          <w:color w:val="auto"/>
        </w:rPr>
        <w:t xml:space="preserve"> S</w:t>
      </w:r>
      <w:r w:rsidR="00CD7A7F" w:rsidRPr="00CD7A7F">
        <w:rPr>
          <w:color w:val="auto"/>
        </w:rPr>
        <w:t>ākotnēja finansējuma apmērs noteikts, ņemot vērā šādus apsvērumus:</w:t>
      </w:r>
    </w:p>
    <w:p w14:paraId="703944C0" w14:textId="77777777" w:rsidR="00CD7A7F" w:rsidRPr="00CD7A7F" w:rsidRDefault="00CD7A7F" w:rsidP="00CD7A7F">
      <w:pPr>
        <w:pStyle w:val="Default"/>
        <w:ind w:firstLine="720"/>
        <w:jc w:val="both"/>
        <w:rPr>
          <w:color w:val="auto"/>
        </w:rPr>
      </w:pPr>
      <w:r w:rsidRPr="00CD7A7F">
        <w:rPr>
          <w:color w:val="auto"/>
        </w:rPr>
        <w:t>1) 8.1.1.</w:t>
      </w:r>
      <w:r w:rsidR="00FF4AE5">
        <w:rPr>
          <w:color w:val="auto"/>
        </w:rPr>
        <w:t xml:space="preserve"> SAM</w:t>
      </w:r>
      <w:r w:rsidRPr="00CD7A7F">
        <w:rPr>
          <w:color w:val="auto"/>
        </w:rPr>
        <w:t xml:space="preserve"> un </w:t>
      </w:r>
      <w:r w:rsidR="00FF4AE5" w:rsidRPr="00145FA8">
        <w:rPr>
          <w:color w:val="auto"/>
        </w:rPr>
        <w:t>„</w:t>
      </w:r>
      <w:r w:rsidR="00FF4AE5" w:rsidRPr="00F04366">
        <w:rPr>
          <w:bCs/>
        </w:rPr>
        <w:t xml:space="preserve">Darbības programmas </w:t>
      </w:r>
      <w:r w:rsidR="00FF4AE5" w:rsidRPr="00145FA8">
        <w:rPr>
          <w:color w:val="auto"/>
        </w:rPr>
        <w:t>„</w:t>
      </w:r>
      <w:r w:rsidR="00FF4AE5" w:rsidRPr="00F04366">
        <w:rPr>
          <w:bCs/>
        </w:rPr>
        <w:t>Izaugsme un nodarbinātība</w:t>
      </w:r>
      <w:r w:rsidR="00FF4AE5" w:rsidRPr="00F04366">
        <w:t>"</w:t>
      </w:r>
      <w:r w:rsidR="00FF4AE5" w:rsidRPr="00F04366">
        <w:rPr>
          <w:bCs/>
        </w:rPr>
        <w:t xml:space="preserve"> 1.1.1. specifiskā atbalsta mērķa </w:t>
      </w:r>
      <w:r w:rsidR="00FF4AE5" w:rsidRPr="00145FA8">
        <w:rPr>
          <w:color w:val="auto"/>
        </w:rPr>
        <w:t>„</w:t>
      </w:r>
      <w:r w:rsidR="00FF4AE5" w:rsidRPr="00F04366">
        <w:rPr>
          <w:bCs/>
        </w:rPr>
        <w:t>Palielināt Latvijas zinātnisko institūciju pētniecisko un inovatīvo kapacitāti un spēju piesaistīt ārējo finansējumu, ieguldot cilvēkresursos un infrastruktūrā</w:t>
      </w:r>
      <w:r w:rsidR="00FF4AE5" w:rsidRPr="00F04366">
        <w:t>"</w:t>
      </w:r>
      <w:r w:rsidR="00FF4AE5" w:rsidRPr="00F04366">
        <w:rPr>
          <w:bCs/>
        </w:rPr>
        <w:t xml:space="preserve"> 1.1.1.4. pasākuma </w:t>
      </w:r>
      <w:r w:rsidR="00FF4AE5" w:rsidRPr="00145FA8">
        <w:rPr>
          <w:color w:val="auto"/>
        </w:rPr>
        <w:t>„</w:t>
      </w:r>
      <w:r w:rsidR="00FF4AE5" w:rsidRPr="00F04366">
        <w:rPr>
          <w:bCs/>
        </w:rPr>
        <w:t>Pētniecības infrastruktūras attīstīšana Viedās specializācijas jomās un zinātnisko institūciju institucionālās kapacitātes stiprināšana</w:t>
      </w:r>
      <w:r w:rsidRPr="00CD7A7F">
        <w:rPr>
          <w:color w:val="auto"/>
        </w:rPr>
        <w:t xml:space="preserve">” </w:t>
      </w:r>
      <w:r>
        <w:rPr>
          <w:color w:val="auto"/>
        </w:rPr>
        <w:t xml:space="preserve">(turpmāk 1.1.1.4. pasākums) </w:t>
      </w:r>
      <w:r w:rsidRPr="00CD7A7F">
        <w:rPr>
          <w:color w:val="auto"/>
        </w:rPr>
        <w:t xml:space="preserve">atbalstu sniedz institūcijām, kuru pamatdarbība ir zināšanu </w:t>
      </w:r>
      <w:proofErr w:type="spellStart"/>
      <w:r w:rsidRPr="00CD7A7F">
        <w:rPr>
          <w:color w:val="auto"/>
        </w:rPr>
        <w:t>pārnese</w:t>
      </w:r>
      <w:proofErr w:type="spellEnd"/>
      <w:r w:rsidRPr="00CD7A7F">
        <w:rPr>
          <w:color w:val="auto"/>
        </w:rPr>
        <w:t xml:space="preserve"> (izglītība) un pētniecība, tāpēc sākotnējā finansējuma apmēra noteikšanai veikta labuma guvēju ar pamatdarbību īstenošanu saistīto vidējo apgrozījuma rādītāju analīze;</w:t>
      </w:r>
    </w:p>
    <w:p w14:paraId="600F7B4D" w14:textId="77777777" w:rsidR="00CD7A7F" w:rsidRDefault="00CD7A7F" w:rsidP="00145FA8">
      <w:pPr>
        <w:pStyle w:val="Default"/>
        <w:ind w:firstLine="720"/>
        <w:jc w:val="both"/>
        <w:rPr>
          <w:color w:val="auto"/>
        </w:rPr>
      </w:pPr>
      <w:r>
        <w:rPr>
          <w:color w:val="auto"/>
        </w:rPr>
        <w:t>2)  ievērojot</w:t>
      </w:r>
      <w:r w:rsidRPr="00CD7A7F">
        <w:rPr>
          <w:color w:val="auto"/>
        </w:rPr>
        <w:t xml:space="preserve"> apgrozījuma rādītāju analīzes rezultātus un 1.1.1.4. pasākuma ietvaros noteikto sākotnējā finansējuma apmēru, vienlaikus piemērojot tiešās proporcionalitātes principu, aprēķināts sākotnējā finansējuma apmērs 8.1.1.</w:t>
      </w:r>
      <w:r w:rsidR="00FF4AE5">
        <w:rPr>
          <w:color w:val="auto"/>
        </w:rPr>
        <w:t>SAM</w:t>
      </w:r>
      <w:r w:rsidRPr="00CD7A7F">
        <w:rPr>
          <w:color w:val="auto"/>
        </w:rPr>
        <w:t xml:space="preserve"> ietvaros</w:t>
      </w:r>
      <w:r w:rsidR="00FF4AE5">
        <w:rPr>
          <w:color w:val="auto"/>
        </w:rPr>
        <w:t>.</w:t>
      </w:r>
    </w:p>
    <w:p w14:paraId="4CFA150F" w14:textId="77777777" w:rsidR="00145FA8" w:rsidRPr="006D119F" w:rsidRDefault="00CD7A7F" w:rsidP="00145FA8">
      <w:pPr>
        <w:pStyle w:val="Default"/>
        <w:ind w:firstLine="720"/>
        <w:jc w:val="both"/>
        <w:rPr>
          <w:color w:val="auto"/>
        </w:rPr>
      </w:pPr>
      <w:r>
        <w:rPr>
          <w:color w:val="auto"/>
        </w:rPr>
        <w:t>Papildus finansējumu</w:t>
      </w:r>
      <w:r w:rsidR="00145FA8" w:rsidRPr="006D119F">
        <w:rPr>
          <w:color w:val="auto"/>
        </w:rPr>
        <w:t xml:space="preserve"> nosaka, pamatojoties uz </w:t>
      </w:r>
      <w:r w:rsidR="00145FA8">
        <w:rPr>
          <w:color w:val="auto"/>
        </w:rPr>
        <w:t>v</w:t>
      </w:r>
      <w:r w:rsidR="00145FA8" w:rsidRPr="006D119F">
        <w:rPr>
          <w:color w:val="auto"/>
        </w:rPr>
        <w:t>airākiem raksturlielumiem</w:t>
      </w:r>
      <w:r w:rsidR="00145FA8">
        <w:rPr>
          <w:color w:val="auto"/>
        </w:rPr>
        <w:t>:</w:t>
      </w:r>
      <w:r w:rsidR="00145FA8" w:rsidRPr="006D119F">
        <w:rPr>
          <w:color w:val="auto"/>
        </w:rPr>
        <w:t xml:space="preserve"> </w:t>
      </w:r>
    </w:p>
    <w:p w14:paraId="3106C35B" w14:textId="77777777" w:rsidR="00145FA8" w:rsidRDefault="00145FA8" w:rsidP="00B47005">
      <w:pPr>
        <w:pStyle w:val="Default"/>
        <w:numPr>
          <w:ilvl w:val="0"/>
          <w:numId w:val="20"/>
        </w:numPr>
        <w:ind w:left="1077" w:hanging="357"/>
        <w:jc w:val="both"/>
        <w:rPr>
          <w:color w:val="auto"/>
        </w:rPr>
      </w:pPr>
      <w:r>
        <w:rPr>
          <w:color w:val="auto"/>
        </w:rPr>
        <w:t xml:space="preserve">augstākās izglītības institūcijas </w:t>
      </w:r>
      <w:r w:rsidRPr="006D119F">
        <w:rPr>
          <w:color w:val="auto"/>
        </w:rPr>
        <w:t>kapacitātes koeficient</w:t>
      </w:r>
      <w:r>
        <w:rPr>
          <w:color w:val="auto"/>
        </w:rPr>
        <w:t>u</w:t>
      </w:r>
      <w:r w:rsidRPr="006D119F">
        <w:rPr>
          <w:color w:val="auto"/>
        </w:rPr>
        <w:t>, ko aprēķina, ņemot vērā</w:t>
      </w:r>
      <w:r>
        <w:rPr>
          <w:color w:val="auto"/>
        </w:rPr>
        <w:t>:</w:t>
      </w:r>
    </w:p>
    <w:p w14:paraId="6B814AE7" w14:textId="77777777" w:rsidR="00145FA8" w:rsidRDefault="00145FA8" w:rsidP="00B47005">
      <w:pPr>
        <w:pStyle w:val="Default"/>
        <w:numPr>
          <w:ilvl w:val="0"/>
          <w:numId w:val="28"/>
        </w:numPr>
        <w:jc w:val="both"/>
        <w:rPr>
          <w:color w:val="auto"/>
        </w:rPr>
      </w:pPr>
      <w:r w:rsidRPr="006D119F">
        <w:rPr>
          <w:color w:val="auto"/>
        </w:rPr>
        <w:t>studējošo skaitu</w:t>
      </w:r>
      <w:r>
        <w:rPr>
          <w:color w:val="auto"/>
        </w:rPr>
        <w:t xml:space="preserve"> </w:t>
      </w:r>
      <w:r w:rsidRPr="006D119F">
        <w:rPr>
          <w:color w:val="auto"/>
        </w:rPr>
        <w:t xml:space="preserve">STEM </w:t>
      </w:r>
      <w:r>
        <w:rPr>
          <w:color w:val="auto"/>
        </w:rPr>
        <w:t>studiju programmās 2015./2016.ak.g.;</w:t>
      </w:r>
    </w:p>
    <w:p w14:paraId="5A237FBF" w14:textId="77777777" w:rsidR="00145FA8" w:rsidRDefault="00145FA8" w:rsidP="00B47005">
      <w:pPr>
        <w:pStyle w:val="Default"/>
        <w:numPr>
          <w:ilvl w:val="0"/>
          <w:numId w:val="28"/>
        </w:numPr>
        <w:jc w:val="both"/>
        <w:rPr>
          <w:color w:val="auto"/>
        </w:rPr>
      </w:pPr>
      <w:r w:rsidRPr="006D119F">
        <w:rPr>
          <w:color w:val="auto"/>
        </w:rPr>
        <w:t>kvalifikāciju ieguvušo personu skaitu STEM</w:t>
      </w:r>
      <w:r>
        <w:rPr>
          <w:color w:val="auto"/>
        </w:rPr>
        <w:t xml:space="preserve"> studiju</w:t>
      </w:r>
      <w:r w:rsidRPr="006D119F">
        <w:rPr>
          <w:color w:val="auto"/>
        </w:rPr>
        <w:t xml:space="preserve"> programm</w:t>
      </w:r>
      <w:r>
        <w:rPr>
          <w:color w:val="auto"/>
        </w:rPr>
        <w:t>ās</w:t>
      </w:r>
      <w:r w:rsidRPr="006D119F">
        <w:rPr>
          <w:color w:val="auto"/>
        </w:rPr>
        <w:t xml:space="preserve"> 2014./2015.ak.g.;</w:t>
      </w:r>
    </w:p>
    <w:p w14:paraId="1EE897BB" w14:textId="77777777" w:rsidR="00145FA8" w:rsidRDefault="00145FA8" w:rsidP="00B47005">
      <w:pPr>
        <w:pStyle w:val="Default"/>
        <w:numPr>
          <w:ilvl w:val="0"/>
          <w:numId w:val="28"/>
        </w:numPr>
        <w:jc w:val="both"/>
        <w:rPr>
          <w:color w:val="auto"/>
        </w:rPr>
      </w:pPr>
      <w:r w:rsidRPr="00657809">
        <w:rPr>
          <w:color w:val="auto"/>
        </w:rPr>
        <w:t>akadēmiskā personāla ar doktora zinātnisko grādu skaita īpatsvaru 2015./2016</w:t>
      </w:r>
      <w:r>
        <w:rPr>
          <w:color w:val="auto"/>
        </w:rPr>
        <w:t xml:space="preserve">. </w:t>
      </w:r>
      <w:proofErr w:type="spellStart"/>
      <w:r>
        <w:rPr>
          <w:color w:val="auto"/>
        </w:rPr>
        <w:t>ak.g</w:t>
      </w:r>
      <w:proofErr w:type="spellEnd"/>
      <w:r>
        <w:rPr>
          <w:color w:val="auto"/>
        </w:rPr>
        <w:t>.;</w:t>
      </w:r>
    </w:p>
    <w:p w14:paraId="5C11B680" w14:textId="77777777" w:rsidR="00145FA8" w:rsidRDefault="00145FA8" w:rsidP="00B47005">
      <w:pPr>
        <w:pStyle w:val="Default"/>
        <w:numPr>
          <w:ilvl w:val="0"/>
          <w:numId w:val="28"/>
        </w:numPr>
        <w:jc w:val="both"/>
        <w:rPr>
          <w:color w:val="auto"/>
        </w:rPr>
      </w:pPr>
      <w:r>
        <w:rPr>
          <w:color w:val="auto"/>
        </w:rPr>
        <w:t>pētniecībai piesaistītā finansējuma īpatsvaru;</w:t>
      </w:r>
    </w:p>
    <w:p w14:paraId="2E9336F9" w14:textId="77777777" w:rsidR="00145FA8" w:rsidRPr="00145FA8" w:rsidRDefault="00145FA8" w:rsidP="00145FA8">
      <w:pPr>
        <w:pStyle w:val="Default"/>
        <w:ind w:firstLine="720"/>
        <w:jc w:val="both"/>
        <w:rPr>
          <w:color w:val="auto"/>
        </w:rPr>
      </w:pPr>
      <w:r>
        <w:rPr>
          <w:color w:val="auto"/>
        </w:rPr>
        <w:t xml:space="preserve">b) </w:t>
      </w:r>
      <w:r w:rsidRPr="00145FA8">
        <w:rPr>
          <w:color w:val="auto"/>
        </w:rPr>
        <w:t>līdz šim veiktos ieguldījumus infrastruktūras attīstībai uz vienu studējošo 2007.–2013.gada plānošanas perioda darbības programmas „Infrastruktūra un pakalpojumi” 3.1.2.1.1..apakšaktivitātes „Augstākās izglītības iestāžu telpu un iekārtu modernizēšana studiju programmu kvalitātes uzlabošanai, tajā skaitā, nodrošinot izglītības programmu apgūšanas iespējas arī personām ar funkcionāliem traucējumiem” projektos.</w:t>
      </w:r>
    </w:p>
    <w:p w14:paraId="60B0CC91" w14:textId="77777777" w:rsidR="00145FA8" w:rsidRDefault="00145FA8" w:rsidP="00290F5E">
      <w:pPr>
        <w:ind w:firstLine="720"/>
        <w:rPr>
          <w:color w:val="FF0000"/>
          <w:szCs w:val="24"/>
        </w:rPr>
      </w:pPr>
    </w:p>
    <w:p w14:paraId="79A4B5E8" w14:textId="77777777" w:rsidR="00344A77" w:rsidRPr="00776E8B" w:rsidRDefault="00776E8B" w:rsidP="00290F5E">
      <w:pPr>
        <w:ind w:firstLine="720"/>
        <w:rPr>
          <w:szCs w:val="24"/>
        </w:rPr>
      </w:pPr>
      <w:r>
        <w:rPr>
          <w:szCs w:val="24"/>
        </w:rPr>
        <w:t>Augstskolas</w:t>
      </w:r>
      <w:r w:rsidR="001079A9" w:rsidRPr="00776E8B">
        <w:rPr>
          <w:szCs w:val="24"/>
        </w:rPr>
        <w:t xml:space="preserve">, kuru struktūrvienības ir koledžas, kas īsteno STEM 1.līmeņa </w:t>
      </w:r>
      <w:r w:rsidR="00EF7DC1" w:rsidRPr="00776E8B">
        <w:rPr>
          <w:szCs w:val="24"/>
        </w:rPr>
        <w:t xml:space="preserve">profesionālās </w:t>
      </w:r>
      <w:r w:rsidR="001079A9" w:rsidRPr="00776E8B">
        <w:rPr>
          <w:szCs w:val="24"/>
        </w:rPr>
        <w:t xml:space="preserve">augstākās izglītības </w:t>
      </w:r>
      <w:r w:rsidR="00EF7DC1" w:rsidRPr="00776E8B">
        <w:rPr>
          <w:szCs w:val="24"/>
        </w:rPr>
        <w:t xml:space="preserve">studiju </w:t>
      </w:r>
      <w:r w:rsidR="001079A9" w:rsidRPr="00776E8B">
        <w:rPr>
          <w:szCs w:val="24"/>
        </w:rPr>
        <w:t>programmas, atbilstoši attīstības stratēģijās noteiktajam var plānot ieguldījumus koledžu STEM studiju programmu attīstībā</w:t>
      </w:r>
      <w:r w:rsidR="00716D66" w:rsidRPr="00776E8B">
        <w:rPr>
          <w:szCs w:val="24"/>
        </w:rPr>
        <w:t xml:space="preserve"> (piemēram, Latvijas Kultūras akadēmija var plānot ieguldījumus Latvijas Kultūras koledžā; Latvijas Universitāte </w:t>
      </w:r>
      <w:r w:rsidR="00092C0A">
        <w:rPr>
          <w:szCs w:val="24"/>
        </w:rPr>
        <w:t xml:space="preserve">var </w:t>
      </w:r>
      <w:r w:rsidR="00716D66" w:rsidRPr="00776E8B">
        <w:rPr>
          <w:szCs w:val="24"/>
        </w:rPr>
        <w:t xml:space="preserve">plānot ieguldījumus Rīgas Medicīnas koledžā un P.Stradiņa medicīnas koledžā). </w:t>
      </w:r>
    </w:p>
    <w:p w14:paraId="3EE38050" w14:textId="77777777" w:rsidR="00716D66" w:rsidRDefault="00716D66" w:rsidP="00290F5E">
      <w:pPr>
        <w:ind w:firstLine="720"/>
        <w:rPr>
          <w:b/>
          <w:color w:val="FF0000"/>
          <w:szCs w:val="24"/>
        </w:rPr>
      </w:pPr>
    </w:p>
    <w:p w14:paraId="38BE60CB" w14:textId="77777777" w:rsidR="00290F5E" w:rsidRPr="00776E8B" w:rsidRDefault="00290F5E" w:rsidP="00290F5E">
      <w:pPr>
        <w:ind w:firstLine="720"/>
        <w:rPr>
          <w:b/>
          <w:lang w:bidi="lo-LA"/>
        </w:rPr>
      </w:pPr>
      <w:r w:rsidRPr="00776E8B">
        <w:rPr>
          <w:b/>
          <w:lang w:bidi="lo-LA"/>
        </w:rPr>
        <w:t>8.1.1. SAM ieviešanas laika grafiks</w:t>
      </w:r>
    </w:p>
    <w:p w14:paraId="7A941C84" w14:textId="77777777" w:rsidR="00290F5E" w:rsidRPr="00776E8B" w:rsidRDefault="00A23332" w:rsidP="00290F5E">
      <w:pPr>
        <w:ind w:firstLine="720"/>
        <w:rPr>
          <w:lang w:bidi="lo-LA"/>
        </w:rPr>
      </w:pPr>
      <w:r>
        <w:rPr>
          <w:lang w:bidi="lo-LA"/>
        </w:rPr>
        <w:t>Šī gada 16. augusta Ministru kabineta sēdē ir apstiprināti MK</w:t>
      </w:r>
      <w:r w:rsidRPr="00776E8B">
        <w:rPr>
          <w:lang w:bidi="lo-LA"/>
        </w:rPr>
        <w:t xml:space="preserve"> noteikum</w:t>
      </w:r>
      <w:r>
        <w:rPr>
          <w:lang w:bidi="lo-LA"/>
        </w:rPr>
        <w:t>i</w:t>
      </w:r>
      <w:r w:rsidRPr="00776E8B">
        <w:rPr>
          <w:lang w:bidi="lo-LA"/>
        </w:rPr>
        <w:t xml:space="preserve"> </w:t>
      </w:r>
      <w:r>
        <w:rPr>
          <w:lang w:bidi="lo-LA"/>
        </w:rPr>
        <w:t xml:space="preserve">Nr. 561. </w:t>
      </w:r>
      <w:r w:rsidR="00776E8B" w:rsidRPr="00776E8B">
        <w:rPr>
          <w:lang w:bidi="lo-LA"/>
        </w:rPr>
        <w:t>N</w:t>
      </w:r>
      <w:r w:rsidR="00290F5E" w:rsidRPr="00776E8B">
        <w:rPr>
          <w:lang w:bidi="lo-LA"/>
        </w:rPr>
        <w:t xml:space="preserve">ovērtējumu </w:t>
      </w:r>
      <w:r w:rsidR="00776E8B" w:rsidRPr="00776E8B">
        <w:rPr>
          <w:lang w:bidi="lo-LA"/>
        </w:rPr>
        <w:t>un</w:t>
      </w:r>
      <w:r w:rsidR="00290F5E" w:rsidRPr="00776E8B">
        <w:rPr>
          <w:lang w:bidi="lo-LA"/>
        </w:rPr>
        <w:t xml:space="preserve"> projektu iesniegumu vērtēšanas kritērij</w:t>
      </w:r>
      <w:r w:rsidR="00776E8B" w:rsidRPr="00776E8B">
        <w:rPr>
          <w:lang w:bidi="lo-LA"/>
        </w:rPr>
        <w:t>us</w:t>
      </w:r>
      <w:r w:rsidR="00290F5E" w:rsidRPr="00776E8B">
        <w:rPr>
          <w:lang w:bidi="lo-LA"/>
        </w:rPr>
        <w:t xml:space="preserve"> plānots </w:t>
      </w:r>
      <w:r w:rsidR="00776E8B" w:rsidRPr="00776E8B">
        <w:rPr>
          <w:lang w:bidi="lo-LA"/>
        </w:rPr>
        <w:t xml:space="preserve">izskatīt </w:t>
      </w:r>
      <w:r w:rsidR="00290F5E" w:rsidRPr="00776E8B">
        <w:rPr>
          <w:szCs w:val="24"/>
        </w:rPr>
        <w:t>Izglītības, prasmju un mūžizglītības prioritārā virziena</w:t>
      </w:r>
      <w:r w:rsidR="00290F5E" w:rsidRPr="00776E8B">
        <w:rPr>
          <w:lang w:bidi="lo-LA"/>
        </w:rPr>
        <w:t xml:space="preserve"> </w:t>
      </w:r>
      <w:r w:rsidR="00776E8B" w:rsidRPr="00776E8B">
        <w:rPr>
          <w:lang w:bidi="lo-LA"/>
        </w:rPr>
        <w:t>apakškomitejas š.g.</w:t>
      </w:r>
      <w:r w:rsidR="00290F5E" w:rsidRPr="00776E8B">
        <w:rPr>
          <w:lang w:bidi="lo-LA"/>
        </w:rPr>
        <w:t xml:space="preserve"> </w:t>
      </w:r>
      <w:r w:rsidR="00776E8B" w:rsidRPr="00776E8B">
        <w:rPr>
          <w:lang w:bidi="lo-LA"/>
        </w:rPr>
        <w:t>2</w:t>
      </w:r>
      <w:r w:rsidR="009411E8">
        <w:rPr>
          <w:lang w:bidi="lo-LA"/>
        </w:rPr>
        <w:t>9</w:t>
      </w:r>
      <w:r w:rsidR="00776E8B" w:rsidRPr="00776E8B">
        <w:rPr>
          <w:lang w:bidi="lo-LA"/>
        </w:rPr>
        <w:t>.</w:t>
      </w:r>
      <w:r w:rsidR="00B0526F">
        <w:rPr>
          <w:lang w:bidi="lo-LA"/>
        </w:rPr>
        <w:t xml:space="preserve"> </w:t>
      </w:r>
      <w:r>
        <w:rPr>
          <w:lang w:bidi="lo-LA"/>
        </w:rPr>
        <w:t>septembra</w:t>
      </w:r>
      <w:r w:rsidRPr="00776E8B">
        <w:rPr>
          <w:lang w:bidi="lo-LA"/>
        </w:rPr>
        <w:t xml:space="preserve"> </w:t>
      </w:r>
      <w:r w:rsidR="00776E8B" w:rsidRPr="00776E8B">
        <w:rPr>
          <w:lang w:bidi="lo-LA"/>
        </w:rPr>
        <w:t>sēdē.</w:t>
      </w:r>
      <w:r w:rsidR="00290F5E" w:rsidRPr="00776E8B">
        <w:rPr>
          <w:lang w:bidi="lo-LA"/>
        </w:rPr>
        <w:t xml:space="preserve"> </w:t>
      </w:r>
      <w:r w:rsidR="00B0526F">
        <w:rPr>
          <w:lang w:bidi="lo-LA"/>
        </w:rPr>
        <w:t>P</w:t>
      </w:r>
      <w:r w:rsidR="00290F5E" w:rsidRPr="00776E8B">
        <w:rPr>
          <w:lang w:bidi="lo-LA"/>
        </w:rPr>
        <w:t xml:space="preserve">rojektu iesniegumu </w:t>
      </w:r>
      <w:r w:rsidR="00B0526F" w:rsidRPr="00776E8B">
        <w:rPr>
          <w:lang w:bidi="lo-LA"/>
        </w:rPr>
        <w:t>atlas</w:t>
      </w:r>
      <w:r w:rsidR="00B0526F">
        <w:rPr>
          <w:lang w:bidi="lo-LA"/>
        </w:rPr>
        <w:t xml:space="preserve">i </w:t>
      </w:r>
      <w:r w:rsidR="00776E8B" w:rsidRPr="00776E8B">
        <w:rPr>
          <w:lang w:bidi="lo-LA"/>
        </w:rPr>
        <w:t xml:space="preserve">indikatīvi </w:t>
      </w:r>
      <w:r w:rsidR="00290F5E" w:rsidRPr="00776E8B">
        <w:rPr>
          <w:lang w:bidi="lo-LA"/>
        </w:rPr>
        <w:t xml:space="preserve">plānots </w:t>
      </w:r>
      <w:r w:rsidR="00B0526F">
        <w:rPr>
          <w:lang w:bidi="lo-LA"/>
        </w:rPr>
        <w:t xml:space="preserve">uzsākt </w:t>
      </w:r>
      <w:r w:rsidR="00290F5E" w:rsidRPr="00776E8B">
        <w:rPr>
          <w:lang w:bidi="lo-LA"/>
        </w:rPr>
        <w:t xml:space="preserve">2016.gada </w:t>
      </w:r>
      <w:r w:rsidR="00B0526F">
        <w:rPr>
          <w:lang w:bidi="lo-LA"/>
        </w:rPr>
        <w:t>novembrī</w:t>
      </w:r>
      <w:r w:rsidR="00290F5E" w:rsidRPr="00776E8B">
        <w:rPr>
          <w:lang w:bidi="lo-LA"/>
        </w:rPr>
        <w:t>.</w:t>
      </w:r>
    </w:p>
    <w:p w14:paraId="1F16ECD1" w14:textId="77777777" w:rsidR="00290F5E" w:rsidRDefault="00290F5E" w:rsidP="00290F5E">
      <w:pPr>
        <w:ind w:firstLine="720"/>
        <w:rPr>
          <w:szCs w:val="24"/>
        </w:rPr>
      </w:pPr>
      <w:r w:rsidRPr="00776E8B">
        <w:rPr>
          <w:lang w:bidi="lo-LA"/>
        </w:rPr>
        <w:t xml:space="preserve">8.1.1. SAM ietvaros projektus plānots īstenot 2 – 4 gadus. Noslēgt vienošanās </w:t>
      </w:r>
      <w:r w:rsidR="00EF7DC1" w:rsidRPr="00776E8B">
        <w:rPr>
          <w:lang w:bidi="lo-LA"/>
        </w:rPr>
        <w:t xml:space="preserve">un līgumus </w:t>
      </w:r>
      <w:r w:rsidRPr="00776E8B">
        <w:rPr>
          <w:lang w:bidi="lo-LA"/>
        </w:rPr>
        <w:t>par projektu īstenošanu plānots indikatīvi 2017.gada I</w:t>
      </w:r>
      <w:r w:rsidR="00F1487C">
        <w:rPr>
          <w:lang w:bidi="lo-LA"/>
        </w:rPr>
        <w:t>I</w:t>
      </w:r>
      <w:r w:rsidRPr="00776E8B">
        <w:rPr>
          <w:lang w:bidi="lo-LA"/>
        </w:rPr>
        <w:t xml:space="preserve"> ceturksnī, savukārt izdevumu </w:t>
      </w:r>
      <w:proofErr w:type="spellStart"/>
      <w:r w:rsidRPr="00776E8B">
        <w:rPr>
          <w:lang w:bidi="lo-LA"/>
        </w:rPr>
        <w:t>attiecināmības</w:t>
      </w:r>
      <w:proofErr w:type="spellEnd"/>
      <w:r w:rsidRPr="00776E8B">
        <w:rPr>
          <w:lang w:bidi="lo-LA"/>
        </w:rPr>
        <w:t xml:space="preserve"> periods </w:t>
      </w:r>
      <w:r w:rsidR="00B0526F">
        <w:rPr>
          <w:lang w:bidi="lo-LA"/>
        </w:rPr>
        <w:t>saskaņā ar</w:t>
      </w:r>
      <w:r w:rsidRPr="00776E8B">
        <w:rPr>
          <w:lang w:bidi="lo-LA"/>
        </w:rPr>
        <w:t xml:space="preserve"> MK noteikumu</w:t>
      </w:r>
      <w:r w:rsidR="00B0526F">
        <w:rPr>
          <w:lang w:bidi="lo-LA"/>
        </w:rPr>
        <w:t xml:space="preserve"> Nr. 561</w:t>
      </w:r>
      <w:r w:rsidRPr="00776E8B">
        <w:rPr>
          <w:lang w:bidi="lo-LA"/>
        </w:rPr>
        <w:t xml:space="preserve"> </w:t>
      </w:r>
      <w:r w:rsidR="00B0526F">
        <w:rPr>
          <w:lang w:bidi="lo-LA"/>
        </w:rPr>
        <w:t xml:space="preserve">30. punktu sākas ar </w:t>
      </w:r>
      <w:r w:rsidR="009307B6">
        <w:rPr>
          <w:lang w:bidi="lo-LA"/>
        </w:rPr>
        <w:t xml:space="preserve">šo noteikumu </w:t>
      </w:r>
      <w:r w:rsidRPr="00776E8B">
        <w:rPr>
          <w:lang w:bidi="lo-LA"/>
        </w:rPr>
        <w:t>spēkā stāšanās</w:t>
      </w:r>
      <w:r w:rsidR="00B0526F">
        <w:rPr>
          <w:lang w:bidi="lo-LA"/>
        </w:rPr>
        <w:t xml:space="preserve"> dien</w:t>
      </w:r>
      <w:r w:rsidR="009307B6">
        <w:rPr>
          <w:lang w:bidi="lo-LA"/>
        </w:rPr>
        <w:t xml:space="preserve">u </w:t>
      </w:r>
      <w:r w:rsidR="00B0526F">
        <w:rPr>
          <w:lang w:bidi="lo-LA"/>
        </w:rPr>
        <w:t xml:space="preserve"> - </w:t>
      </w:r>
      <w:r w:rsidR="009307B6">
        <w:rPr>
          <w:lang w:bidi="lo-LA"/>
        </w:rPr>
        <w:t>02.09.2016</w:t>
      </w:r>
      <w:r w:rsidRPr="00776E8B">
        <w:rPr>
          <w:lang w:bidi="lo-LA"/>
        </w:rPr>
        <w:t>.</w:t>
      </w:r>
      <w:r w:rsidRPr="00776E8B">
        <w:rPr>
          <w:szCs w:val="24"/>
        </w:rPr>
        <w:t xml:space="preserve"> </w:t>
      </w:r>
      <w:r w:rsidR="009307B6">
        <w:rPr>
          <w:szCs w:val="24"/>
        </w:rPr>
        <w:t xml:space="preserve">(izņemot </w:t>
      </w:r>
      <w:r w:rsidR="009307B6" w:rsidRPr="009307B6">
        <w:rPr>
          <w:szCs w:val="24"/>
        </w:rPr>
        <w:t xml:space="preserve">projekta iesniegumu pamatojošās dokumentācijas sagatavošanas izmaksas, </w:t>
      </w:r>
      <w:r w:rsidR="009307B6">
        <w:rPr>
          <w:szCs w:val="24"/>
        </w:rPr>
        <w:t xml:space="preserve">būvprojekta </w:t>
      </w:r>
      <w:r w:rsidR="009307B6" w:rsidRPr="009307B6">
        <w:rPr>
          <w:szCs w:val="24"/>
        </w:rPr>
        <w:t>izstrādes vai aktualizēšanas izmaksas</w:t>
      </w:r>
      <w:r w:rsidR="009307B6">
        <w:rPr>
          <w:szCs w:val="24"/>
        </w:rPr>
        <w:t xml:space="preserve">, </w:t>
      </w:r>
      <w:r w:rsidR="009307B6" w:rsidRPr="009307B6">
        <w:rPr>
          <w:szCs w:val="24"/>
        </w:rPr>
        <w:t xml:space="preserve"> neatkarīgas </w:t>
      </w:r>
      <w:r w:rsidR="009307B6" w:rsidRPr="009307B6">
        <w:rPr>
          <w:szCs w:val="24"/>
        </w:rPr>
        <w:lastRenderedPageBreak/>
        <w:t>būvekspertīžu veikšanas un tehniskās apsekošanas izmaksas</w:t>
      </w:r>
      <w:r w:rsidR="009307B6">
        <w:rPr>
          <w:szCs w:val="24"/>
        </w:rPr>
        <w:t xml:space="preserve">, </w:t>
      </w:r>
      <w:r w:rsidR="009307B6" w:rsidRPr="009307B6">
        <w:rPr>
          <w:szCs w:val="24"/>
        </w:rPr>
        <w:t xml:space="preserve"> būvuzraudzības un autoruzraudzības izmaksas</w:t>
      </w:r>
      <w:r w:rsidR="009307B6">
        <w:rPr>
          <w:szCs w:val="24"/>
        </w:rPr>
        <w:t>,</w:t>
      </w:r>
      <w:r w:rsidR="009307B6" w:rsidRPr="009307B6">
        <w:rPr>
          <w:szCs w:val="24"/>
        </w:rPr>
        <w:t xml:space="preserve"> </w:t>
      </w:r>
      <w:r w:rsidR="009307B6">
        <w:rPr>
          <w:szCs w:val="24"/>
        </w:rPr>
        <w:t>kas ir attiecināmas ar 2016. gada 1. janvāri).</w:t>
      </w:r>
    </w:p>
    <w:p w14:paraId="4D87C0F4" w14:textId="77777777" w:rsidR="00B0521C" w:rsidRPr="00776E8B" w:rsidRDefault="00B0521C" w:rsidP="00DC6AC9">
      <w:pPr>
        <w:rPr>
          <w:lang w:bidi="lo-LA"/>
        </w:rPr>
      </w:pPr>
    </w:p>
    <w:p w14:paraId="6C021EDD" w14:textId="77777777" w:rsidR="00290F5E" w:rsidRDefault="00344A77" w:rsidP="00D93672">
      <w:pPr>
        <w:pStyle w:val="Heading2"/>
      </w:pPr>
      <w:bookmarkStart w:id="34" w:name="_Toc457815682"/>
      <w:r>
        <w:t>4.3</w:t>
      </w:r>
      <w:r w:rsidR="00290F5E">
        <w:t xml:space="preserve">. </w:t>
      </w:r>
      <w:r w:rsidR="00290F5E" w:rsidRPr="00FF1EE0">
        <w:t xml:space="preserve">Sinerģija un demarkācija ar citiem </w:t>
      </w:r>
      <w:r w:rsidR="00290F5E">
        <w:t>specifiskajiem atbalsta mērķiem</w:t>
      </w:r>
      <w:r w:rsidR="00290F5E" w:rsidRPr="00FF1EE0">
        <w:t xml:space="preserve"> augstākās izglītības </w:t>
      </w:r>
      <w:r w:rsidR="00290F5E">
        <w:t xml:space="preserve">un zinātnes </w:t>
      </w:r>
      <w:r w:rsidR="00290F5E" w:rsidRPr="00FF1EE0">
        <w:t>jomā</w:t>
      </w:r>
      <w:bookmarkEnd w:id="34"/>
    </w:p>
    <w:p w14:paraId="2866F667" w14:textId="77777777" w:rsidR="00290F5E" w:rsidRPr="001064B3" w:rsidRDefault="00290F5E" w:rsidP="00290F5E"/>
    <w:p w14:paraId="11079979" w14:textId="77777777" w:rsidR="00290F5E" w:rsidRPr="00B70E38" w:rsidRDefault="001079A9" w:rsidP="00290F5E">
      <w:pPr>
        <w:autoSpaceDE w:val="0"/>
        <w:autoSpaceDN w:val="0"/>
        <w:adjustRightInd w:val="0"/>
        <w:ind w:firstLine="720"/>
        <w:rPr>
          <w:szCs w:val="24"/>
        </w:rPr>
      </w:pPr>
      <w:r w:rsidRPr="001079A9">
        <w:rPr>
          <w:szCs w:val="24"/>
        </w:rPr>
        <w:t>8.1.1. SAM ietvaros plānotās darbības papildinās līdz šim veiktos ieguldījumus 2007.–2013.gada plānošanas perioda 3.1.2.1.1.apakšaktivitātes projektu ietvaros. Vienlaikus 8.1.1.SAM ietvaros plānotās ERAF investīcijas studiju un zinātniskā darba infrastruktūrā papildinās 2014.</w:t>
      </w:r>
      <w:r w:rsidRPr="001079A9">
        <w:rPr>
          <w:lang w:bidi="lo-LA"/>
        </w:rPr>
        <w:t xml:space="preserve"> –</w:t>
      </w:r>
      <w:r w:rsidRPr="001079A9">
        <w:rPr>
          <w:szCs w:val="24"/>
        </w:rPr>
        <w:t xml:space="preserve">2020.gada plānošanas perioda 8.2.1. SAM “Samazināt studiju programmu fragmentāciju un stiprināt resursu koplietošanu” (turpmāk </w:t>
      </w:r>
      <w:r w:rsidRPr="001079A9">
        <w:rPr>
          <w:lang w:bidi="lo-LA"/>
        </w:rPr>
        <w:t>–</w:t>
      </w:r>
      <w:r w:rsidRPr="001079A9">
        <w:rPr>
          <w:szCs w:val="24"/>
        </w:rPr>
        <w:t xml:space="preserve"> 8.2.1.SAM), 8.2.2. SAM “Stiprināt augstākās izglītības institūciju akadēmisko personālu stratēģiskās specializācijas jomās” (turpmāk </w:t>
      </w:r>
      <w:r w:rsidRPr="001079A9">
        <w:rPr>
          <w:lang w:bidi="lo-LA"/>
        </w:rPr>
        <w:t>–</w:t>
      </w:r>
      <w:r w:rsidRPr="001079A9">
        <w:rPr>
          <w:szCs w:val="24"/>
        </w:rPr>
        <w:t xml:space="preserve"> 8.2.2. SAM) un 8.2.3. SAM “Nodrošināt labāku pārvaldību augstākās izglītības institūcijās” (turpmāk </w:t>
      </w:r>
      <w:r w:rsidRPr="001079A9">
        <w:rPr>
          <w:lang w:bidi="lo-LA"/>
        </w:rPr>
        <w:t>–</w:t>
      </w:r>
      <w:r w:rsidRPr="001079A9">
        <w:rPr>
          <w:szCs w:val="24"/>
        </w:rPr>
        <w:t xml:space="preserve"> 8.2.3. SAM) ietvaros plānotās ESF investīcijas augstākās izglītības institūcijās, ar mērķi konsolidēt un efektīvi izmantot pieejamos resursus, stiprināt izcilību studiju programmās, kā arī stiprināt akadēmiskā personāla kapacitāti un augstākās izglītības institūciju pārvaldību.</w:t>
      </w:r>
    </w:p>
    <w:p w14:paraId="6B977871" w14:textId="77777777" w:rsidR="00290F5E" w:rsidRPr="00B70E38" w:rsidRDefault="001079A9" w:rsidP="00290F5E">
      <w:pPr>
        <w:autoSpaceDE w:val="0"/>
        <w:autoSpaceDN w:val="0"/>
        <w:adjustRightInd w:val="0"/>
        <w:ind w:firstLine="720"/>
        <w:rPr>
          <w:szCs w:val="24"/>
        </w:rPr>
      </w:pPr>
      <w:r w:rsidRPr="001079A9">
        <w:rPr>
          <w:szCs w:val="24"/>
        </w:rPr>
        <w:t xml:space="preserve">8.2.1. SAM ietvaros atbalsts plānots </w:t>
      </w:r>
      <w:r w:rsidR="00CC42DB">
        <w:rPr>
          <w:szCs w:val="24"/>
        </w:rPr>
        <w:t xml:space="preserve">kopīgu doktorantūras studiju programmu un </w:t>
      </w:r>
      <w:r w:rsidRPr="001079A9">
        <w:rPr>
          <w:szCs w:val="24"/>
        </w:rPr>
        <w:t>studiju programmu izstrādei ES valodās, aprobācijai un akreditācijai, tai skaitā akreditācijas izmaksu segšanai starptautiskās profesionālās organizācijās, kā arī izstrādāto un akreditēto studiju programmu starptautiskajai publicitātei. Augstskolu iesaistīšanās 8.2.1. SAM īstenošanā dos iespēju uzlabot arī STEM jomas studiju programmu starptautisko konkurētspēju, piesaistot vairāk ārvalstu studentus.</w:t>
      </w:r>
    </w:p>
    <w:p w14:paraId="2CF47DD0" w14:textId="77777777" w:rsidR="00290F5E" w:rsidRPr="00B70E38" w:rsidRDefault="001079A9" w:rsidP="00290F5E">
      <w:pPr>
        <w:autoSpaceDE w:val="0"/>
        <w:autoSpaceDN w:val="0"/>
        <w:adjustRightInd w:val="0"/>
        <w:ind w:firstLine="720"/>
        <w:rPr>
          <w:szCs w:val="24"/>
        </w:rPr>
      </w:pPr>
      <w:r w:rsidRPr="001079A9">
        <w:rPr>
          <w:szCs w:val="24"/>
        </w:rPr>
        <w:t xml:space="preserve">8.2.2. SAM ietvaros atbalsts plānots ārvalsts pasniedzēju piesaistei darbam augstākās izglītības institūcijā Latvijā, t.sk. latviešu valodas apguvei, kā arī atbalsts akadēmiskā personāla kompetenču un prasmju pilnveidei, t.sk. angļu valodas apguvei un stažēšanās uzņēmumos, jauno pasniedzēju piesaistei, atbalstot doktorantu akadēmisko darbu augstākās izglītības institūcijā. </w:t>
      </w:r>
    </w:p>
    <w:p w14:paraId="3A8B6AA8" w14:textId="77777777" w:rsidR="00290F5E" w:rsidRPr="00B70E38" w:rsidRDefault="001079A9" w:rsidP="00290F5E">
      <w:pPr>
        <w:pStyle w:val="Normal1"/>
        <w:ind w:firstLine="720"/>
        <w:jc w:val="both"/>
        <w:rPr>
          <w:rFonts w:ascii="Times New Roman" w:hAnsi="Times New Roman" w:cs="Times New Roman"/>
          <w:color w:val="auto"/>
          <w:sz w:val="24"/>
          <w:szCs w:val="24"/>
          <w:lang w:eastAsia="en-US"/>
        </w:rPr>
      </w:pPr>
      <w:r w:rsidRPr="001079A9">
        <w:rPr>
          <w:rFonts w:ascii="Times New Roman" w:hAnsi="Times New Roman" w:cs="Times New Roman"/>
          <w:color w:val="auto"/>
          <w:sz w:val="24"/>
          <w:szCs w:val="24"/>
          <w:lang w:eastAsia="en-US"/>
        </w:rPr>
        <w:t>8.2.3. SAM ietvaros atbalsts plānots augstākās izglītības institūciju attīstības stratēģiju ieviešanai (attīstības stratēģiju izstrādei, pilnveidei un to ārējam novērtējumam), studiju virzienu padomju darbam, tostarp veicot studiju programmu satura pārstrukturizāciju un aktualizāciju, studiju programmu konsolidāciju, augstākās izglītības institūcijas iekšējās kvalitātes nodrošināšanas sistēmas efektivitātes paaugstināšanai atbilstoši standartiem un vadlīnijām kvalitātes nodrošināšanai Eiropas augstākās izglītības telpā, tostarp personāla atalgojuma un promocijas sistēmas ārējam novērtējumam un sistēmas pilnveidei, kā arī atbalsts e-risinājumu, t.sk. e-koplietošanas mehānismu un starpinstitūciju sadarbības risinājumu, attīstībai. Augstskolu iesaistīšanās 8.2.3. SAM īstenošanā dos iespēju uzlabot to pārvaldību, izveidot studiju virzienu padomes, kas ir būtisks instruments tieši STEM jomas programmu kvalitatīvā īstenošanā, lai nodrošinātu studiju satura atbilstību aktuālākajām nozares prasībām</w:t>
      </w:r>
      <w:r w:rsidR="00290F5E" w:rsidRPr="00B70E38">
        <w:rPr>
          <w:rFonts w:ascii="Times New Roman" w:hAnsi="Times New Roman" w:cs="Times New Roman"/>
          <w:color w:val="auto"/>
          <w:sz w:val="24"/>
          <w:szCs w:val="24"/>
          <w:lang w:eastAsia="en-US"/>
        </w:rPr>
        <w:t>.</w:t>
      </w:r>
    </w:p>
    <w:p w14:paraId="11877D8F" w14:textId="77777777" w:rsidR="00290F5E" w:rsidRPr="00B70E38" w:rsidRDefault="00290F5E" w:rsidP="00290F5E">
      <w:pPr>
        <w:pStyle w:val="Normal1"/>
        <w:ind w:firstLine="720"/>
        <w:jc w:val="both"/>
        <w:rPr>
          <w:rFonts w:ascii="Times New Roman" w:hAnsi="Times New Roman" w:cs="Times New Roman"/>
          <w:color w:val="auto"/>
          <w:sz w:val="24"/>
          <w:szCs w:val="24"/>
          <w:lang w:eastAsia="en-US"/>
        </w:rPr>
      </w:pPr>
      <w:r w:rsidRPr="00B70E38">
        <w:rPr>
          <w:rFonts w:ascii="Times New Roman" w:hAnsi="Times New Roman" w:cs="Times New Roman"/>
          <w:color w:val="auto"/>
          <w:sz w:val="24"/>
          <w:szCs w:val="24"/>
          <w:lang w:eastAsia="en-US"/>
        </w:rPr>
        <w:t xml:space="preserve">8.2.4. SAM „Nodrošināt atbalstu EQAR aģentūrai izvirzīto prasību izpildei” ietvaros Akadēmiskās informācijas centra īstenotajā projektā kā sadarbības partneri iesaistīsies arī 10 augstskolas, kas īstenos </w:t>
      </w:r>
      <w:proofErr w:type="spellStart"/>
      <w:r w:rsidRPr="00B70E38">
        <w:rPr>
          <w:rFonts w:ascii="Times New Roman" w:hAnsi="Times New Roman" w:cs="Times New Roman"/>
          <w:color w:val="auto"/>
          <w:sz w:val="24"/>
          <w:szCs w:val="24"/>
          <w:lang w:eastAsia="en-US"/>
        </w:rPr>
        <w:t>pilotakreditācijas</w:t>
      </w:r>
      <w:proofErr w:type="spellEnd"/>
      <w:r w:rsidRPr="00B70E38">
        <w:rPr>
          <w:rFonts w:ascii="Times New Roman" w:hAnsi="Times New Roman" w:cs="Times New Roman"/>
          <w:color w:val="auto"/>
          <w:sz w:val="24"/>
          <w:szCs w:val="24"/>
          <w:lang w:eastAsia="en-US"/>
        </w:rPr>
        <w:t xml:space="preserve"> studiju virzienos (</w:t>
      </w:r>
      <w:r w:rsidRPr="00B70E38">
        <w:rPr>
          <w:rFonts w:ascii="Times New Roman" w:hAnsi="Times New Roman" w:cs="Times New Roman"/>
          <w:color w:val="auto"/>
          <w:sz w:val="24"/>
          <w:szCs w:val="24"/>
        </w:rPr>
        <w:t>Banku augstskola – Ekonomikas</w:t>
      </w:r>
      <w:r w:rsidRPr="0065532B">
        <w:rPr>
          <w:rFonts w:ascii="Times New Roman" w:hAnsi="Times New Roman" w:cs="Times New Roman"/>
          <w:sz w:val="24"/>
          <w:szCs w:val="24"/>
        </w:rPr>
        <w:t xml:space="preserve"> studiju virzienā, Baltijas Starptautiskā akadēmija – Sociālās</w:t>
      </w:r>
      <w:r>
        <w:rPr>
          <w:rFonts w:ascii="Times New Roman" w:hAnsi="Times New Roman" w:cs="Times New Roman"/>
          <w:sz w:val="24"/>
          <w:szCs w:val="24"/>
        </w:rPr>
        <w:t xml:space="preserve"> labklājības</w:t>
      </w:r>
      <w:r w:rsidRPr="007F3BFA">
        <w:rPr>
          <w:rFonts w:ascii="Times New Roman" w:hAnsi="Times New Roman" w:cs="Times New Roman"/>
          <w:sz w:val="24"/>
          <w:szCs w:val="24"/>
        </w:rPr>
        <w:t xml:space="preserve"> studiju virzienā</w:t>
      </w:r>
      <w:r w:rsidRPr="0065532B">
        <w:rPr>
          <w:rFonts w:ascii="Times New Roman" w:hAnsi="Times New Roman" w:cs="Times New Roman"/>
          <w:sz w:val="24"/>
          <w:szCs w:val="24"/>
        </w:rPr>
        <w:t xml:space="preserve">, Daugavpils Universitāte – </w:t>
      </w:r>
      <w:r>
        <w:rPr>
          <w:rFonts w:ascii="Times New Roman" w:hAnsi="Times New Roman" w:cs="Times New Roman"/>
          <w:sz w:val="24"/>
          <w:szCs w:val="24"/>
        </w:rPr>
        <w:t>Valodu un kultūras studijas, dzimtās valodas studijas un valodu programmas</w:t>
      </w:r>
      <w:r w:rsidRPr="00707046">
        <w:rPr>
          <w:rFonts w:ascii="Times New Roman" w:hAnsi="Times New Roman" w:cs="Times New Roman"/>
          <w:sz w:val="24"/>
          <w:szCs w:val="24"/>
        </w:rPr>
        <w:t xml:space="preserve"> studiju virzienā</w:t>
      </w:r>
      <w:r w:rsidRPr="0065532B">
        <w:rPr>
          <w:rFonts w:ascii="Times New Roman" w:hAnsi="Times New Roman" w:cs="Times New Roman"/>
          <w:sz w:val="24"/>
          <w:szCs w:val="24"/>
        </w:rPr>
        <w:t>, Liepājas Universitāte – Izglītības, pedagoģijas un sporta</w:t>
      </w:r>
      <w:r w:rsidRPr="00965276">
        <w:rPr>
          <w:rFonts w:ascii="Times New Roman" w:hAnsi="Times New Roman" w:cs="Times New Roman"/>
          <w:sz w:val="24"/>
          <w:szCs w:val="24"/>
        </w:rPr>
        <w:t xml:space="preserve"> </w:t>
      </w:r>
      <w:r w:rsidRPr="00707046">
        <w:rPr>
          <w:rFonts w:ascii="Times New Roman" w:hAnsi="Times New Roman" w:cs="Times New Roman"/>
          <w:sz w:val="24"/>
          <w:szCs w:val="24"/>
        </w:rPr>
        <w:t>studiju virzienā</w:t>
      </w:r>
      <w:r w:rsidRPr="0065532B">
        <w:rPr>
          <w:rFonts w:ascii="Times New Roman" w:hAnsi="Times New Roman" w:cs="Times New Roman"/>
          <w:sz w:val="24"/>
          <w:szCs w:val="24"/>
        </w:rPr>
        <w:t xml:space="preserve">, Latvijas Universitāte – </w:t>
      </w:r>
      <w:r w:rsidRPr="00965276">
        <w:rPr>
          <w:rFonts w:ascii="Times New Roman" w:hAnsi="Times New Roman" w:cs="Times New Roman"/>
          <w:sz w:val="24"/>
          <w:szCs w:val="24"/>
        </w:rPr>
        <w:t xml:space="preserve">Ģeogrāfijas un zemes zinātnes </w:t>
      </w:r>
      <w:r>
        <w:rPr>
          <w:rFonts w:ascii="Times New Roman" w:hAnsi="Times New Roman" w:cs="Times New Roman"/>
          <w:sz w:val="24"/>
          <w:szCs w:val="24"/>
        </w:rPr>
        <w:t>studiju virzienā</w:t>
      </w:r>
      <w:r w:rsidRPr="0065532B">
        <w:rPr>
          <w:rFonts w:ascii="Times New Roman" w:hAnsi="Times New Roman" w:cs="Times New Roman"/>
          <w:sz w:val="24"/>
          <w:szCs w:val="24"/>
        </w:rPr>
        <w:t xml:space="preserve">, Rīgas Aeronavigācijas institūts – </w:t>
      </w:r>
      <w:r>
        <w:rPr>
          <w:rFonts w:ascii="Times New Roman" w:hAnsi="Times New Roman" w:cs="Times New Roman"/>
          <w:sz w:val="24"/>
          <w:szCs w:val="24"/>
        </w:rPr>
        <w:t>Transporta pakalpojumu studiju virzienā</w:t>
      </w:r>
      <w:r w:rsidRPr="0065532B">
        <w:rPr>
          <w:rFonts w:ascii="Times New Roman" w:hAnsi="Times New Roman" w:cs="Times New Roman"/>
          <w:sz w:val="24"/>
          <w:szCs w:val="24"/>
        </w:rPr>
        <w:t xml:space="preserve">, Rīgas Stradiņa universitāte – </w:t>
      </w:r>
      <w:r w:rsidRPr="00965276">
        <w:rPr>
          <w:rFonts w:ascii="Times New Roman" w:hAnsi="Times New Roman" w:cs="Times New Roman"/>
          <w:sz w:val="24"/>
          <w:szCs w:val="24"/>
        </w:rPr>
        <w:t>Veselības</w:t>
      </w:r>
      <w:r w:rsidRPr="0065532B">
        <w:rPr>
          <w:rFonts w:ascii="Times New Roman" w:hAnsi="Times New Roman" w:cs="Times New Roman"/>
          <w:sz w:val="24"/>
          <w:szCs w:val="24"/>
        </w:rPr>
        <w:t xml:space="preserve"> </w:t>
      </w:r>
      <w:r>
        <w:rPr>
          <w:rFonts w:ascii="Times New Roman" w:hAnsi="Times New Roman" w:cs="Times New Roman"/>
          <w:sz w:val="24"/>
          <w:szCs w:val="24"/>
        </w:rPr>
        <w:t>aprūpes</w:t>
      </w:r>
      <w:r w:rsidRPr="00043054">
        <w:rPr>
          <w:rFonts w:ascii="Times New Roman" w:hAnsi="Times New Roman" w:cs="Times New Roman"/>
          <w:sz w:val="24"/>
          <w:szCs w:val="24"/>
        </w:rPr>
        <w:t xml:space="preserve"> studiju virzienā</w:t>
      </w:r>
      <w:r w:rsidRPr="0065532B">
        <w:rPr>
          <w:rFonts w:ascii="Times New Roman" w:hAnsi="Times New Roman" w:cs="Times New Roman"/>
          <w:sz w:val="24"/>
          <w:szCs w:val="24"/>
        </w:rPr>
        <w:t xml:space="preserve">, Rīgas Tehniskā universitāte – </w:t>
      </w:r>
      <w:r>
        <w:rPr>
          <w:rFonts w:ascii="Times New Roman" w:hAnsi="Times New Roman" w:cs="Times New Roman"/>
          <w:sz w:val="24"/>
          <w:szCs w:val="24"/>
        </w:rPr>
        <w:t>Arhitektūras un būvniecības</w:t>
      </w:r>
      <w:r w:rsidRPr="004B48F7">
        <w:rPr>
          <w:rFonts w:ascii="Times New Roman" w:hAnsi="Times New Roman" w:cs="Times New Roman"/>
          <w:sz w:val="24"/>
          <w:szCs w:val="24"/>
        </w:rPr>
        <w:t xml:space="preserve"> studiju virzienā</w:t>
      </w:r>
      <w:r w:rsidRPr="0065532B">
        <w:rPr>
          <w:rFonts w:ascii="Times New Roman" w:hAnsi="Times New Roman" w:cs="Times New Roman"/>
          <w:sz w:val="24"/>
          <w:szCs w:val="24"/>
        </w:rPr>
        <w:t xml:space="preserve">, Ventspils Augstskola – </w:t>
      </w:r>
      <w:r>
        <w:rPr>
          <w:rFonts w:ascii="Times New Roman" w:hAnsi="Times New Roman" w:cs="Times New Roman"/>
          <w:sz w:val="24"/>
          <w:szCs w:val="24"/>
        </w:rPr>
        <w:t>Informācijas tehnoloģijas, datorikas, elektronikas, telekomunikācijas, datorvadības un datorzinātnes studiju virzienā</w:t>
      </w:r>
      <w:r w:rsidRPr="0065532B">
        <w:rPr>
          <w:rFonts w:ascii="Times New Roman" w:hAnsi="Times New Roman" w:cs="Times New Roman"/>
          <w:sz w:val="24"/>
          <w:szCs w:val="24"/>
        </w:rPr>
        <w:t xml:space="preserve">, Vidzemes </w:t>
      </w:r>
      <w:r w:rsidRPr="00B70E38">
        <w:rPr>
          <w:rFonts w:ascii="Times New Roman" w:hAnsi="Times New Roman" w:cs="Times New Roman"/>
          <w:color w:val="auto"/>
          <w:sz w:val="24"/>
          <w:szCs w:val="24"/>
        </w:rPr>
        <w:t>Augstskola – Viesnīcu un restorānu servisa, tūrisma un atpūtas organizācijas studiju virzienā).</w:t>
      </w:r>
      <w:r w:rsidRPr="006774B5">
        <w:rPr>
          <w:rFonts w:ascii="Times New Roman" w:hAnsi="Times New Roman" w:cs="Times New Roman"/>
          <w:color w:val="FF0000"/>
          <w:sz w:val="24"/>
          <w:szCs w:val="24"/>
          <w:lang w:eastAsia="en-US"/>
        </w:rPr>
        <w:t xml:space="preserve"> </w:t>
      </w:r>
      <w:r w:rsidRPr="00B70E38">
        <w:rPr>
          <w:rFonts w:ascii="Times New Roman" w:hAnsi="Times New Roman" w:cs="Times New Roman"/>
          <w:color w:val="auto"/>
          <w:sz w:val="24"/>
          <w:szCs w:val="24"/>
          <w:lang w:eastAsia="en-US"/>
        </w:rPr>
        <w:t xml:space="preserve">Šo augstskolu </w:t>
      </w:r>
      <w:r w:rsidRPr="00B70E38">
        <w:rPr>
          <w:rFonts w:ascii="Times New Roman" w:hAnsi="Times New Roman" w:cs="Times New Roman"/>
          <w:color w:val="auto"/>
          <w:sz w:val="24"/>
          <w:szCs w:val="24"/>
        </w:rPr>
        <w:t xml:space="preserve">dalība </w:t>
      </w:r>
      <w:r w:rsidRPr="00B70E38">
        <w:rPr>
          <w:rFonts w:ascii="Times New Roman" w:hAnsi="Times New Roman" w:cs="Times New Roman"/>
          <w:color w:val="auto"/>
          <w:sz w:val="24"/>
          <w:szCs w:val="24"/>
          <w:lang w:eastAsia="en-US"/>
        </w:rPr>
        <w:t xml:space="preserve">8.2.4. SAM </w:t>
      </w:r>
      <w:r w:rsidRPr="00B70E38">
        <w:rPr>
          <w:rFonts w:ascii="Times New Roman" w:hAnsi="Times New Roman" w:cs="Times New Roman"/>
          <w:color w:val="auto"/>
          <w:sz w:val="24"/>
          <w:szCs w:val="24"/>
        </w:rPr>
        <w:t xml:space="preserve">projekta īstenošanā nodrošinās to akadēmiskajam personālam </w:t>
      </w:r>
      <w:r w:rsidRPr="00B70E38">
        <w:rPr>
          <w:rFonts w:ascii="Times New Roman" w:hAnsi="Times New Roman" w:cs="Times New Roman"/>
          <w:color w:val="auto"/>
          <w:sz w:val="24"/>
          <w:szCs w:val="24"/>
        </w:rPr>
        <w:lastRenderedPageBreak/>
        <w:t xml:space="preserve">un administrācijai iespēju veikt </w:t>
      </w:r>
      <w:proofErr w:type="spellStart"/>
      <w:r w:rsidRPr="00B70E38">
        <w:rPr>
          <w:rFonts w:ascii="Times New Roman" w:hAnsi="Times New Roman" w:cs="Times New Roman"/>
          <w:color w:val="auto"/>
          <w:sz w:val="24"/>
          <w:szCs w:val="24"/>
        </w:rPr>
        <w:t>pilotakreditāciju</w:t>
      </w:r>
      <w:proofErr w:type="spellEnd"/>
      <w:r w:rsidRPr="00B70E38">
        <w:rPr>
          <w:rFonts w:ascii="Times New Roman" w:hAnsi="Times New Roman" w:cs="Times New Roman"/>
          <w:color w:val="auto"/>
          <w:sz w:val="24"/>
          <w:szCs w:val="24"/>
        </w:rPr>
        <w:t xml:space="preserve"> augstākās izglītības institūcijas izvēlētā studiju virzienā, iepazīties ar jauno akreditācijas kārtību un uzlabot augstākās izglītības novērtēšanas procesus. Minēto augstskolu pārstāvjiem būs iespēja piedalīties darba grupās par priekšlikumu izstrādi augstākās izglītības kvalitātes monitoringa sistēmas pilnveidei un procedūru īstenošanai un e–platformas attīstībai, sniedzot savā kompetencē esošus priekšlikumus. Augstskolu pārstāvji varēs piedalīties apmācībās un semināros augstākās izglītības institūciju ārējās un iekšējās kvalitātes nodrošināšanas jautājumos, gūto pieredzi un zināšanas izmantojot savā turpmākajā darbībā.</w:t>
      </w:r>
    </w:p>
    <w:p w14:paraId="15E89837" w14:textId="77777777" w:rsidR="00290F5E" w:rsidRPr="00B70E38" w:rsidRDefault="001079A9" w:rsidP="00290F5E">
      <w:pPr>
        <w:autoSpaceDE w:val="0"/>
        <w:autoSpaceDN w:val="0"/>
        <w:adjustRightInd w:val="0"/>
        <w:ind w:firstLine="720"/>
        <w:rPr>
          <w:rFonts w:eastAsia="Calibri"/>
          <w:szCs w:val="24"/>
          <w:lang w:eastAsia="lv-LV"/>
        </w:rPr>
      </w:pPr>
      <w:r w:rsidRPr="001079A9">
        <w:rPr>
          <w:rFonts w:eastAsia="Calibri"/>
          <w:szCs w:val="24"/>
          <w:lang w:eastAsia="lv-LV"/>
        </w:rPr>
        <w:t xml:space="preserve">8.1.1.SAM veikto darbību ietvaros var veidoties sinerģija un demarkācija ar 1.1.1.SAM pasākumu “P&amp;A infrastruktūras attīstīšana Viedās specializācijas jomās un zinātnisko institūciju institucionālās kapacitātes stiprināšana”, kura ietvaros plānots attīstīt P&amp;A infrastruktūru praktiskās pētniecības un tehnoloģiju </w:t>
      </w:r>
      <w:proofErr w:type="spellStart"/>
      <w:r w:rsidRPr="001079A9">
        <w:rPr>
          <w:rFonts w:eastAsia="Calibri"/>
          <w:szCs w:val="24"/>
          <w:lang w:eastAsia="lv-LV"/>
        </w:rPr>
        <w:t>pārneses</w:t>
      </w:r>
      <w:proofErr w:type="spellEnd"/>
      <w:r w:rsidRPr="001079A9">
        <w:rPr>
          <w:rFonts w:eastAsia="Calibri"/>
          <w:szCs w:val="24"/>
          <w:lang w:eastAsia="lv-LV"/>
        </w:rPr>
        <w:t xml:space="preserve"> īstenošanai zinātniskajās institūcijās atbilstoši RIS3, un šīs infrastruktūras pamata lietotāji būs zinātniskie darbinieki, savukārt 8.1.1.SAM ietvaros plānots modernizēt materiāltehnisko bāzi </w:t>
      </w:r>
      <w:r w:rsidR="00A46BFE">
        <w:rPr>
          <w:rFonts w:eastAsia="Calibri"/>
          <w:szCs w:val="24"/>
          <w:lang w:eastAsia="lv-LV"/>
        </w:rPr>
        <w:t>augstākās izglītības institūcijās</w:t>
      </w:r>
      <w:r w:rsidRPr="001079A9">
        <w:rPr>
          <w:rFonts w:eastAsia="Calibri"/>
          <w:szCs w:val="24"/>
          <w:lang w:eastAsia="lv-LV"/>
        </w:rPr>
        <w:t xml:space="preserve">, kas nepieciešama studiju programmu īstenošanai un zinātnisko darbību veikšanai arī doktora zinātniskā grāda ieguvei, un infrastruktūras pamata lietotāji būs studējošie un akadēmiskais personāls. </w:t>
      </w:r>
    </w:p>
    <w:p w14:paraId="1724317A" w14:textId="77777777" w:rsidR="00290F5E" w:rsidRPr="008A6A31" w:rsidRDefault="00290F5E" w:rsidP="00290F5E">
      <w:pPr>
        <w:pStyle w:val="FootnoteText"/>
        <w:ind w:firstLine="720"/>
        <w:rPr>
          <w:sz w:val="24"/>
          <w:szCs w:val="24"/>
        </w:rPr>
      </w:pPr>
      <w:r w:rsidRPr="008A6A31">
        <w:rPr>
          <w:sz w:val="24"/>
          <w:szCs w:val="24"/>
        </w:rPr>
        <w:t>Demarkācija tiks nodrošināta arī ar 8.1.4. SAM „</w:t>
      </w:r>
      <w:r w:rsidR="008A6A31" w:rsidRPr="008A6A31">
        <w:rPr>
          <w:sz w:val="24"/>
          <w:szCs w:val="24"/>
        </w:rPr>
        <w:t>Uzlabot pirmā līmeņa profesionālās augstākās izglītības STEM, t.sk. medicīnas un radošās industrijas, studiju mācību vidi koledžās</w:t>
      </w:r>
      <w:r w:rsidRPr="008A6A31">
        <w:rPr>
          <w:sz w:val="24"/>
          <w:szCs w:val="24"/>
        </w:rPr>
        <w:t xml:space="preserve">” (turpmāk </w:t>
      </w:r>
      <w:r w:rsidRPr="008A6A31">
        <w:rPr>
          <w:lang w:bidi="lo-LA"/>
        </w:rPr>
        <w:t>–</w:t>
      </w:r>
      <w:r w:rsidRPr="008A6A31">
        <w:rPr>
          <w:sz w:val="24"/>
          <w:szCs w:val="24"/>
        </w:rPr>
        <w:t xml:space="preserve"> 8.1.</w:t>
      </w:r>
      <w:r w:rsidR="008A6A31">
        <w:rPr>
          <w:sz w:val="24"/>
          <w:szCs w:val="24"/>
        </w:rPr>
        <w:t>4</w:t>
      </w:r>
      <w:r w:rsidRPr="008A6A31">
        <w:rPr>
          <w:sz w:val="24"/>
          <w:szCs w:val="24"/>
        </w:rPr>
        <w:t xml:space="preserve">. SAM). 8.1.1. SAM ietvaros </w:t>
      </w:r>
      <w:r w:rsidR="008A6A31">
        <w:rPr>
          <w:sz w:val="24"/>
          <w:szCs w:val="24"/>
        </w:rPr>
        <w:t xml:space="preserve">uz </w:t>
      </w:r>
      <w:r w:rsidRPr="008A6A31">
        <w:rPr>
          <w:sz w:val="24"/>
          <w:szCs w:val="24"/>
        </w:rPr>
        <w:t xml:space="preserve">atbalstu varēs </w:t>
      </w:r>
      <w:r w:rsidR="008A6A31">
        <w:rPr>
          <w:sz w:val="24"/>
          <w:szCs w:val="24"/>
        </w:rPr>
        <w:t xml:space="preserve">pretendēt </w:t>
      </w:r>
      <w:r w:rsidRPr="008A6A31">
        <w:rPr>
          <w:sz w:val="24"/>
          <w:szCs w:val="24"/>
        </w:rPr>
        <w:t>augstskolas, kas īsteno STEM, t.sk. medicīnas un radošas industrijas, studiju programmas</w:t>
      </w:r>
      <w:r w:rsidR="008A6A31">
        <w:rPr>
          <w:sz w:val="24"/>
          <w:szCs w:val="24"/>
        </w:rPr>
        <w:t xml:space="preserve">, kā arī </w:t>
      </w:r>
      <w:r w:rsidR="008A6A31" w:rsidRPr="008A6A31">
        <w:rPr>
          <w:sz w:val="24"/>
          <w:szCs w:val="24"/>
        </w:rPr>
        <w:t>augstskolu aģentūras</w:t>
      </w:r>
      <w:r w:rsidR="008A6A31">
        <w:rPr>
          <w:sz w:val="24"/>
          <w:szCs w:val="24"/>
        </w:rPr>
        <w:t xml:space="preserve"> –</w:t>
      </w:r>
      <w:r w:rsidR="008A6A31" w:rsidRPr="008A6A31">
        <w:rPr>
          <w:sz w:val="24"/>
          <w:szCs w:val="24"/>
        </w:rPr>
        <w:t xml:space="preserve"> koledžas, kas īsteno pirmā līmeņa profesionālās augstākās izglītības STEM, t.sk. medicīnas un radošās industrijas, studiju programmas. Savukārt 8.1.4.</w:t>
      </w:r>
      <w:r w:rsidR="009F6DBD">
        <w:rPr>
          <w:sz w:val="24"/>
          <w:szCs w:val="24"/>
        </w:rPr>
        <w:t xml:space="preserve"> </w:t>
      </w:r>
      <w:r w:rsidR="008A6A31" w:rsidRPr="008A6A31">
        <w:rPr>
          <w:sz w:val="24"/>
          <w:szCs w:val="24"/>
        </w:rPr>
        <w:t xml:space="preserve">SAM ietvaros </w:t>
      </w:r>
      <w:r w:rsidRPr="008A6A31">
        <w:rPr>
          <w:sz w:val="24"/>
          <w:szCs w:val="24"/>
        </w:rPr>
        <w:t xml:space="preserve">uz ERAF atbalstu var pretendēt </w:t>
      </w:r>
      <w:r w:rsidR="008A6A31" w:rsidRPr="008A6A31">
        <w:rPr>
          <w:sz w:val="24"/>
          <w:szCs w:val="24"/>
        </w:rPr>
        <w:t>koledžas, kas īsteno pirmā līmeņa profesionālās augstākās izglītības STEM, t.sk. medicīnas un radošās industrijas, studiju programmas un profesionālās vidējās izglītības vai arodizglītības programmas.</w:t>
      </w:r>
      <w:r w:rsidRPr="008A6A31">
        <w:rPr>
          <w:sz w:val="24"/>
          <w:szCs w:val="24"/>
        </w:rPr>
        <w:t xml:space="preserve"> </w:t>
      </w:r>
    </w:p>
    <w:p w14:paraId="628AD156" w14:textId="77777777" w:rsidR="00E37A77" w:rsidRDefault="00E37A77" w:rsidP="00290F5E">
      <w:pPr>
        <w:pStyle w:val="Default"/>
        <w:jc w:val="both"/>
        <w:rPr>
          <w:rFonts w:eastAsia="Times New Roman"/>
          <w:color w:val="auto"/>
          <w:lang w:eastAsia="en-US"/>
        </w:rPr>
        <w:sectPr w:rsidR="00E37A77" w:rsidSect="00500454">
          <w:pgSz w:w="11907" w:h="16840" w:code="9"/>
          <w:pgMar w:top="1134" w:right="1134" w:bottom="1134" w:left="1701" w:header="709" w:footer="709" w:gutter="0"/>
          <w:cols w:space="708"/>
          <w:docGrid w:linePitch="360"/>
        </w:sectPr>
      </w:pPr>
    </w:p>
    <w:p w14:paraId="028DBD0B" w14:textId="77777777" w:rsidR="002B567E" w:rsidRPr="00F010A1" w:rsidRDefault="00A94D09" w:rsidP="00A94D09">
      <w:pPr>
        <w:pStyle w:val="Heading1"/>
        <w:ind w:left="610"/>
      </w:pPr>
      <w:bookmarkStart w:id="35" w:name="_Toc457815683"/>
      <w:bookmarkStart w:id="36" w:name="_Toc385413139"/>
      <w:r>
        <w:lastRenderedPageBreak/>
        <w:t xml:space="preserve">5. </w:t>
      </w:r>
      <w:bookmarkStart w:id="37" w:name="_Toc409448078"/>
      <w:r w:rsidR="00C82EDF">
        <w:t>8.1.</w:t>
      </w:r>
      <w:r w:rsidR="00F33008">
        <w:t>1</w:t>
      </w:r>
      <w:r w:rsidR="00C82EDF">
        <w:t>.</w:t>
      </w:r>
      <w:r w:rsidR="002B567E" w:rsidRPr="00F010A1">
        <w:t xml:space="preserve"> </w:t>
      </w:r>
      <w:r w:rsidR="003E4ACC">
        <w:t>SAM</w:t>
      </w:r>
      <w:r w:rsidR="003E4ACC" w:rsidRPr="00F010A1">
        <w:t xml:space="preserve"> </w:t>
      </w:r>
      <w:r w:rsidR="002B567E" w:rsidRPr="00F010A1">
        <w:t>sākotnējās ietekmes noteikšana</w:t>
      </w:r>
      <w:bookmarkEnd w:id="35"/>
      <w:bookmarkEnd w:id="37"/>
    </w:p>
    <w:p w14:paraId="1299F896" w14:textId="77777777" w:rsidR="002B567E" w:rsidRPr="00F010A1" w:rsidRDefault="002B567E" w:rsidP="00BD4F3A">
      <w:pPr>
        <w:ind w:firstLine="720"/>
        <w:jc w:val="left"/>
        <w:rPr>
          <w:rFonts w:eastAsia="Calibri"/>
          <w:szCs w:val="22"/>
        </w:rPr>
      </w:pPr>
    </w:p>
    <w:p w14:paraId="37E23EB4" w14:textId="77777777" w:rsidR="00AC5A89" w:rsidRPr="00B70E38" w:rsidRDefault="001079A9" w:rsidP="00C82EDF">
      <w:pPr>
        <w:ind w:firstLine="720"/>
      </w:pPr>
      <w:r w:rsidRPr="001079A9">
        <w:rPr>
          <w:szCs w:val="24"/>
        </w:rPr>
        <w:t xml:space="preserve">8.1.1. </w:t>
      </w:r>
      <w:r w:rsidRPr="001079A9">
        <w:t>SAM</w:t>
      </w:r>
      <w:r w:rsidRPr="001079A9">
        <w:rPr>
          <w:szCs w:val="24"/>
        </w:rPr>
        <w:t xml:space="preserve"> īstenošanai </w:t>
      </w:r>
      <w:r w:rsidRPr="001079A9">
        <w:t xml:space="preserve">nav tiešas ietekmes </w:t>
      </w:r>
      <w:r w:rsidRPr="001079A9">
        <w:rPr>
          <w:b/>
        </w:rPr>
        <w:t>uz makroekonomisko vidi</w:t>
      </w:r>
      <w:r w:rsidRPr="001079A9">
        <w:t xml:space="preserve">, taču SAM aktivitātes ir vērstas uz augstākās izglītības kvalitātes un atbilstības uzlabošanu un zinošu un prasmīgu speciālistu sagatavošanu, lai veicinātu tautsaimniecības attīstību valstī kopumā. </w:t>
      </w:r>
    </w:p>
    <w:p w14:paraId="7D8C504F" w14:textId="77777777" w:rsidR="00E6556B" w:rsidRPr="00B70E38" w:rsidRDefault="001079A9" w:rsidP="00C82EDF">
      <w:pPr>
        <w:ind w:firstLine="720"/>
        <w:rPr>
          <w:szCs w:val="24"/>
        </w:rPr>
      </w:pPr>
      <w:r w:rsidRPr="001079A9">
        <w:rPr>
          <w:szCs w:val="24"/>
        </w:rPr>
        <w:t>8.1.1. SAM īstenošana atstās netiešu pozitīvu ietekmi</w:t>
      </w:r>
      <w:r w:rsidRPr="001079A9">
        <w:rPr>
          <w:b/>
          <w:szCs w:val="24"/>
        </w:rPr>
        <w:t xml:space="preserve"> uz uzņēmējdarbības vidi.</w:t>
      </w:r>
      <w:r w:rsidRPr="001079A9">
        <w:rPr>
          <w:szCs w:val="24"/>
        </w:rPr>
        <w:t xml:space="preserve"> </w:t>
      </w:r>
      <w:r w:rsidRPr="001079A9">
        <w:t xml:space="preserve">Saskaņā ar EM Darba tirgus vidēja un ilgtermiņa prognozēm 8.1.1. SAM ieguldījumi tiek plānoti infrastruktūras un aprīkojuma modernizācijā studiju programmās, kas atbilst tautsaimniecībai svarīgākajām nozarēm. 8.1.1. SAM investīciju ieguldījumi sekmēs studiju kvalitātes uzlabošanos, jo studiju procesā tiks izmantots mūsdienu prasībām atbilstošs aprīkojums un iekārtas STEM jomas studiju programmās. </w:t>
      </w:r>
      <w:r w:rsidRPr="001079A9">
        <w:rPr>
          <w:szCs w:val="24"/>
        </w:rPr>
        <w:t xml:space="preserve">Augstskolās studējošie apgūst darba tirgū pieprasītas profesijas un prasmes STEM jomā, tādējādi darba devējiem būs pieejams kvalificētāks, mūsdienu darba tirgus prasībām atbilstošāks darbaspēks. Tā kā daļa no STEM jomas studiju programmu absolventiem kļūs ne tikai par darba ņēmējiem, bet arī par darba devējiem, kvalitatīvāks studiju process veicinās uzņēmējdarbības attīstību, tajā skaitā jaunu uzņēmumu veidošanos. </w:t>
      </w:r>
    </w:p>
    <w:p w14:paraId="0AF1ED80" w14:textId="77777777" w:rsidR="003576A0" w:rsidRPr="00B70E38" w:rsidRDefault="001079A9" w:rsidP="00C82EDF">
      <w:pPr>
        <w:ind w:firstLine="720"/>
        <w:contextualSpacing/>
        <w:rPr>
          <w:szCs w:val="24"/>
        </w:rPr>
      </w:pPr>
      <w:r w:rsidRPr="001079A9">
        <w:rPr>
          <w:szCs w:val="24"/>
        </w:rPr>
        <w:t xml:space="preserve">Tāpat 8.1.1. SAM īstenošana atstās netiešu </w:t>
      </w:r>
      <w:r w:rsidRPr="001079A9">
        <w:t xml:space="preserve">pozitīvu ietekmi </w:t>
      </w:r>
      <w:r w:rsidRPr="001079A9">
        <w:rPr>
          <w:b/>
        </w:rPr>
        <w:t>uz ekonomisko un sociālo vidi</w:t>
      </w:r>
      <w:r w:rsidRPr="001079A9">
        <w:t xml:space="preserve"> – palielināsies augstāko izglītību ieguvušo studentu skaits, kas veicinās izglītotākas sabiedrības attīstību, palielināsies darbavietu skaits, pieaugs dažāda veida nodokļu ieņēmumi</w:t>
      </w:r>
      <w:r w:rsidRPr="001079A9">
        <w:rPr>
          <w:szCs w:val="24"/>
        </w:rPr>
        <w:t xml:space="preserve">. Studiju un zinātniskā darba infrastruktūras attīstība STEM jomā pozitīvi ietekmēs izglītības rezultātus, veicinot studējošo kompetenču attīstību un spēju pielāgoties mainīgajām dzīves situācijām un darba tirgus prasībām. STEM jomas programmu absolventi, studējot mūsdienīgā izglītības vidē, palielinās gan darba devēju skaitu, gan būs pieprasīti arī darba tirgū, tādējādi mazinot bezdarba līmeni. Studiju vides un kvalitātes uzlabošanās dos arī papildus sociālos ieguvumus </w:t>
      </w:r>
      <w:r w:rsidRPr="001079A9">
        <w:t>–</w:t>
      </w:r>
      <w:r w:rsidRPr="001079A9">
        <w:rPr>
          <w:szCs w:val="24"/>
        </w:rPr>
        <w:t xml:space="preserve"> kultūras līmeņa attīstību, sociālo saliedētību, drošāku sabiedrisko vidi. </w:t>
      </w:r>
    </w:p>
    <w:p w14:paraId="7E30F248" w14:textId="77777777" w:rsidR="00B35C73" w:rsidRPr="00B70E38" w:rsidRDefault="001079A9" w:rsidP="00C82EDF">
      <w:pPr>
        <w:ind w:firstLine="720"/>
        <w:contextualSpacing/>
        <w:rPr>
          <w:szCs w:val="24"/>
        </w:rPr>
      </w:pPr>
      <w:r w:rsidRPr="001079A9">
        <w:rPr>
          <w:szCs w:val="24"/>
        </w:rPr>
        <w:t xml:space="preserve">8.1.1. SAM īstenošana atstās netiešu pozitīvu ietekmi uz sabiedrības </w:t>
      </w:r>
      <w:r w:rsidRPr="001079A9">
        <w:rPr>
          <w:b/>
          <w:szCs w:val="24"/>
        </w:rPr>
        <w:t>veselības vidi</w:t>
      </w:r>
      <w:r w:rsidRPr="001079A9">
        <w:rPr>
          <w:szCs w:val="24"/>
        </w:rPr>
        <w:t xml:space="preserve"> – tā kā tiks uzlabota studiju un zinātniskā darba infrastruktūra veselības aprūpes jomas studiju programmās, tiks sagatavoti kvalitatīvāki veselības jomas speciālisti.</w:t>
      </w:r>
    </w:p>
    <w:p w14:paraId="36CBA97F" w14:textId="77777777" w:rsidR="00452B99" w:rsidRDefault="00452B99" w:rsidP="00BD4F3A">
      <w:pPr>
        <w:ind w:firstLine="720"/>
        <w:contextualSpacing/>
        <w:rPr>
          <w:b/>
          <w:szCs w:val="24"/>
        </w:rPr>
      </w:pPr>
    </w:p>
    <w:p w14:paraId="3E3231FF" w14:textId="77777777" w:rsidR="00BD4F3A" w:rsidRPr="00D33E5D" w:rsidRDefault="001079A9" w:rsidP="00BD4F3A">
      <w:pPr>
        <w:ind w:firstLine="720"/>
        <w:contextualSpacing/>
        <w:rPr>
          <w:b/>
          <w:szCs w:val="24"/>
        </w:rPr>
      </w:pPr>
      <w:r w:rsidRPr="00D33E5D">
        <w:rPr>
          <w:b/>
          <w:szCs w:val="24"/>
        </w:rPr>
        <w:t>Fiskālā ietekme uz valsts budžetu un pašvaldību budžetiem.</w:t>
      </w:r>
    </w:p>
    <w:p w14:paraId="26B4DAB5" w14:textId="77777777" w:rsidR="00FA7B7B" w:rsidRDefault="00FA7B7B" w:rsidP="00FA7B7B">
      <w:pPr>
        <w:ind w:firstLine="720"/>
        <w:rPr>
          <w:bCs/>
        </w:rPr>
      </w:pPr>
      <w:r w:rsidRPr="00D33E5D">
        <w:rPr>
          <w:lang w:bidi="lo-LA"/>
        </w:rPr>
        <w:t>8.1.</w:t>
      </w:r>
      <w:r w:rsidR="00D33E5D" w:rsidRPr="00D33E5D">
        <w:rPr>
          <w:lang w:bidi="lo-LA"/>
        </w:rPr>
        <w:t>1</w:t>
      </w:r>
      <w:r w:rsidRPr="00D33E5D">
        <w:rPr>
          <w:lang w:bidi="lo-LA"/>
        </w:rPr>
        <w:t>. SAM</w:t>
      </w:r>
      <w:r w:rsidRPr="00D33E5D">
        <w:rPr>
          <w:b/>
          <w:lang w:bidi="lo-LA"/>
        </w:rPr>
        <w:t xml:space="preserve"> plānotais</w:t>
      </w:r>
      <w:r w:rsidRPr="00D33E5D">
        <w:rPr>
          <w:lang w:bidi="lo-LA"/>
        </w:rPr>
        <w:t xml:space="preserve"> kopējais finansējums (kopējās attiecināmās izmaksas) ir </w:t>
      </w:r>
      <w:r w:rsidR="00D33E5D" w:rsidRPr="00D33E5D">
        <w:t>4</w:t>
      </w:r>
      <w:r w:rsidRPr="00D33E5D">
        <w:t xml:space="preserve">4 </w:t>
      </w:r>
      <w:r w:rsidR="00D33E5D" w:rsidRPr="00D33E5D">
        <w:t>641</w:t>
      </w:r>
      <w:r w:rsidRPr="001158FB">
        <w:t xml:space="preserve"> </w:t>
      </w:r>
      <w:r w:rsidR="00D33E5D">
        <w:t>656</w:t>
      </w:r>
      <w:r w:rsidRPr="001158FB">
        <w:t xml:space="preserve"> </w:t>
      </w:r>
      <w:proofErr w:type="spellStart"/>
      <w:r w:rsidRPr="001158FB">
        <w:rPr>
          <w:i/>
        </w:rPr>
        <w:t>euro</w:t>
      </w:r>
      <w:proofErr w:type="spellEnd"/>
      <w:r w:rsidRPr="001158FB">
        <w:t xml:space="preserve">, tai skaitā ERAF </w:t>
      </w:r>
      <w:r w:rsidR="00D33E5D">
        <w:t>37</w:t>
      </w:r>
      <w:r w:rsidRPr="001158FB">
        <w:t xml:space="preserve"> </w:t>
      </w:r>
      <w:r w:rsidR="00D33E5D">
        <w:t>945</w:t>
      </w:r>
      <w:r w:rsidRPr="001158FB">
        <w:t> 4</w:t>
      </w:r>
      <w:r w:rsidR="00D33E5D">
        <w:t>07</w:t>
      </w:r>
      <w:r w:rsidRPr="001158FB">
        <w:t xml:space="preserve"> </w:t>
      </w:r>
      <w:proofErr w:type="spellStart"/>
      <w:r w:rsidRPr="001158FB">
        <w:rPr>
          <w:i/>
        </w:rPr>
        <w:t>euro</w:t>
      </w:r>
      <w:proofErr w:type="spellEnd"/>
      <w:r w:rsidRPr="001158FB">
        <w:t xml:space="preserve"> un valsts budžeta finansējums </w:t>
      </w:r>
      <w:r w:rsidR="00D33E5D">
        <w:t>6</w:t>
      </w:r>
      <w:r w:rsidRPr="001158FB">
        <w:t> </w:t>
      </w:r>
      <w:r w:rsidR="00D33E5D">
        <w:t>696</w:t>
      </w:r>
      <w:r w:rsidRPr="001158FB">
        <w:t> </w:t>
      </w:r>
      <w:r w:rsidR="00D33E5D">
        <w:t>249</w:t>
      </w:r>
      <w:r w:rsidRPr="001158FB">
        <w:t xml:space="preserve"> </w:t>
      </w:r>
      <w:proofErr w:type="spellStart"/>
      <w:r w:rsidRPr="001158FB">
        <w:rPr>
          <w:i/>
        </w:rPr>
        <w:t>euro</w:t>
      </w:r>
      <w:proofErr w:type="spellEnd"/>
      <w:r w:rsidRPr="001158FB">
        <w:t>.</w:t>
      </w:r>
      <w:r w:rsidRPr="001158FB">
        <w:rPr>
          <w:bCs/>
        </w:rPr>
        <w:t xml:space="preserve"> </w:t>
      </w:r>
      <w:r>
        <w:rPr>
          <w:bCs/>
        </w:rPr>
        <w:t>Savukārt atbilstoši 8.1.</w:t>
      </w:r>
      <w:r w:rsidR="00D33E5D">
        <w:rPr>
          <w:bCs/>
        </w:rPr>
        <w:t>1</w:t>
      </w:r>
      <w:r>
        <w:rPr>
          <w:bCs/>
        </w:rPr>
        <w:t xml:space="preserve">. SAM piemērotajai snieguma rezervei, </w:t>
      </w:r>
      <w:r w:rsidRPr="00452B99">
        <w:rPr>
          <w:b/>
          <w:bCs/>
        </w:rPr>
        <w:t>pieejamais</w:t>
      </w:r>
      <w:r>
        <w:rPr>
          <w:bCs/>
        </w:rPr>
        <w:t xml:space="preserve"> </w:t>
      </w:r>
      <w:r w:rsidRPr="00FF1232">
        <w:rPr>
          <w:bCs/>
        </w:rPr>
        <w:t xml:space="preserve">kopējais attiecināmais finansējums vienošanos </w:t>
      </w:r>
      <w:r w:rsidR="00D33E5D" w:rsidRPr="00FF1232">
        <w:rPr>
          <w:bCs/>
        </w:rPr>
        <w:t xml:space="preserve">vai līgumu </w:t>
      </w:r>
      <w:r w:rsidRPr="00FF1232">
        <w:rPr>
          <w:bCs/>
        </w:rPr>
        <w:t>par projekta īstenošanu slēgšanai</w:t>
      </w:r>
      <w:r w:rsidRPr="00FF1232">
        <w:rPr>
          <w:b/>
          <w:bCs/>
        </w:rPr>
        <w:t xml:space="preserve"> </w:t>
      </w:r>
      <w:r w:rsidRPr="00FF1232">
        <w:t xml:space="preserve">ir </w:t>
      </w:r>
      <w:r w:rsidR="00D33E5D">
        <w:t>41 918 727</w:t>
      </w:r>
      <w:r w:rsidRPr="00FF1232">
        <w:t xml:space="preserve"> </w:t>
      </w:r>
      <w:proofErr w:type="spellStart"/>
      <w:r w:rsidRPr="00FF1232">
        <w:rPr>
          <w:i/>
          <w:iCs/>
        </w:rPr>
        <w:t>euro</w:t>
      </w:r>
      <w:proofErr w:type="spellEnd"/>
      <w:r w:rsidRPr="00FF1232">
        <w:t xml:space="preserve">, tai skaitā ERAF finansējums </w:t>
      </w:r>
      <w:r w:rsidR="00D33E5D">
        <w:t>35</w:t>
      </w:r>
      <w:r>
        <w:t> </w:t>
      </w:r>
      <w:r w:rsidR="00D33E5D">
        <w:t>630</w:t>
      </w:r>
      <w:r>
        <w:t> 9</w:t>
      </w:r>
      <w:r w:rsidR="00D33E5D">
        <w:t>18</w:t>
      </w:r>
      <w:r>
        <w:t xml:space="preserve"> </w:t>
      </w:r>
      <w:proofErr w:type="spellStart"/>
      <w:r w:rsidRPr="00FF1232">
        <w:rPr>
          <w:i/>
        </w:rPr>
        <w:t>euro</w:t>
      </w:r>
      <w:proofErr w:type="spellEnd"/>
      <w:r>
        <w:t xml:space="preserve"> </w:t>
      </w:r>
      <w:r w:rsidRPr="00FF1232">
        <w:t xml:space="preserve">un valsts budžeta līdzfinansējums </w:t>
      </w:r>
      <w:r w:rsidR="00D33E5D">
        <w:t>6</w:t>
      </w:r>
      <w:r>
        <w:t> </w:t>
      </w:r>
      <w:r w:rsidR="00D33E5D">
        <w:t>28</w:t>
      </w:r>
      <w:r>
        <w:t xml:space="preserve">7 </w:t>
      </w:r>
      <w:r w:rsidR="00D33E5D">
        <w:t>809</w:t>
      </w:r>
      <w:r w:rsidRPr="00FF1232">
        <w:t xml:space="preserve"> </w:t>
      </w:r>
      <w:proofErr w:type="spellStart"/>
      <w:r w:rsidRPr="00FF1232">
        <w:rPr>
          <w:i/>
          <w:iCs/>
        </w:rPr>
        <w:t>euro</w:t>
      </w:r>
      <w:proofErr w:type="spellEnd"/>
      <w:r w:rsidRPr="00FF1232">
        <w:t>.</w:t>
      </w:r>
    </w:p>
    <w:p w14:paraId="033707C8" w14:textId="77777777" w:rsidR="00FA7B7B" w:rsidRDefault="00FA7B7B" w:rsidP="00FA7B7B">
      <w:pPr>
        <w:ind w:firstLine="720"/>
        <w:rPr>
          <w:bCs/>
        </w:rPr>
      </w:pPr>
      <w:r>
        <w:rPr>
          <w:lang w:bidi="lo-LA"/>
        </w:rPr>
        <w:t>S</w:t>
      </w:r>
      <w:r w:rsidRPr="00A117B5">
        <w:rPr>
          <w:lang w:bidi="lo-LA"/>
        </w:rPr>
        <w:t xml:space="preserve">tarpposma vērtība 2018. gadam ir </w:t>
      </w:r>
      <w:r w:rsidR="00D33E5D" w:rsidRPr="00D33E5D">
        <w:rPr>
          <w:lang w:bidi="lo-LA"/>
        </w:rPr>
        <w:t>11 160 414</w:t>
      </w:r>
      <w:r w:rsidR="00D33E5D">
        <w:rPr>
          <w:rFonts w:eastAsiaTheme="minorHAnsi"/>
          <w:bCs/>
          <w:sz w:val="18"/>
          <w:szCs w:val="18"/>
        </w:rPr>
        <w:t xml:space="preserve"> </w:t>
      </w:r>
      <w:proofErr w:type="spellStart"/>
      <w:r w:rsidRPr="00A117B5">
        <w:rPr>
          <w:i/>
          <w:lang w:bidi="lo-LA"/>
        </w:rPr>
        <w:t>euro</w:t>
      </w:r>
      <w:proofErr w:type="spellEnd"/>
      <w:r>
        <w:rPr>
          <w:lang w:bidi="lo-LA"/>
        </w:rPr>
        <w:t xml:space="preserve"> (sertificēti izdevumi).</w:t>
      </w:r>
    </w:p>
    <w:p w14:paraId="713235B5" w14:textId="77777777" w:rsidR="00FA7B7B" w:rsidRDefault="00FA7B7B" w:rsidP="00FA7B7B">
      <w:pPr>
        <w:ind w:firstLine="720"/>
        <w:rPr>
          <w:lang w:bidi="lo-LA"/>
        </w:rPr>
      </w:pPr>
      <w:r w:rsidRPr="001158FB">
        <w:rPr>
          <w:lang w:bidi="lo-LA"/>
        </w:rPr>
        <w:t xml:space="preserve">Budžeta ieņēmumi ir finansējuma ERAF daļa 85 procentu apmērā no projekta attiecināmām izmaksām. Budžeta izdevumi ir kopējie projekta ieviešanai nepieciešamie publiskā finansējuma (ERAF un valsts budžeta) līdzekļi 100 procentu apmērā no projekta attiecināmām izmaksām. </w:t>
      </w:r>
    </w:p>
    <w:p w14:paraId="2E43477C" w14:textId="77777777" w:rsidR="00FA7B7B" w:rsidRDefault="00FA7B7B" w:rsidP="00FA7B7B">
      <w:pPr>
        <w:ind w:firstLine="720"/>
        <w:rPr>
          <w:lang w:bidi="lo-LA"/>
        </w:rPr>
      </w:pPr>
      <w:r>
        <w:rPr>
          <w:lang w:bidi="lo-LA"/>
        </w:rPr>
        <w:t>8.1.</w:t>
      </w:r>
      <w:r w:rsidR="00D33E5D">
        <w:rPr>
          <w:lang w:bidi="lo-LA"/>
        </w:rPr>
        <w:t>1</w:t>
      </w:r>
      <w:r>
        <w:rPr>
          <w:lang w:bidi="lo-LA"/>
        </w:rPr>
        <w:t>. SAM nav ietekmes uz pašvaldību budžetiem.</w:t>
      </w:r>
    </w:p>
    <w:p w14:paraId="661A2BA6" w14:textId="77777777" w:rsidR="00FA7B7B" w:rsidRDefault="00FA7B7B" w:rsidP="00FA7B7B">
      <w:pPr>
        <w:ind w:firstLine="720"/>
        <w:rPr>
          <w:lang w:bidi="lo-LA"/>
        </w:rPr>
      </w:pPr>
      <w:r w:rsidRPr="00F1487C">
        <w:rPr>
          <w:lang w:bidi="lo-LA"/>
        </w:rPr>
        <w:t xml:space="preserve">Projektus plānots īstenot 2 </w:t>
      </w:r>
      <w:r w:rsidRPr="00F1487C">
        <w:t>–</w:t>
      </w:r>
      <w:r w:rsidRPr="00F1487C">
        <w:rPr>
          <w:lang w:bidi="lo-LA"/>
        </w:rPr>
        <w:t xml:space="preserve"> 4 gadus. Noslēgt vienošanās</w:t>
      </w:r>
      <w:r w:rsidR="00D33E5D" w:rsidRPr="00F1487C">
        <w:rPr>
          <w:lang w:bidi="lo-LA"/>
        </w:rPr>
        <w:t xml:space="preserve"> vai līgumus</w:t>
      </w:r>
      <w:r w:rsidRPr="00F1487C">
        <w:rPr>
          <w:lang w:bidi="lo-LA"/>
        </w:rPr>
        <w:t xml:space="preserve"> par projektu īstenošanu plānots indikatīvi 2017.gada I</w:t>
      </w:r>
      <w:r w:rsidR="00F1487C" w:rsidRPr="00F1487C">
        <w:rPr>
          <w:lang w:bidi="lo-LA"/>
        </w:rPr>
        <w:t>I</w:t>
      </w:r>
      <w:r w:rsidRPr="00F1487C">
        <w:rPr>
          <w:lang w:bidi="lo-LA"/>
        </w:rPr>
        <w:t xml:space="preserve"> ceturksnī, savukārt izdevumu </w:t>
      </w:r>
      <w:proofErr w:type="spellStart"/>
      <w:r w:rsidR="00230195" w:rsidRPr="00F1487C">
        <w:rPr>
          <w:lang w:bidi="lo-LA"/>
        </w:rPr>
        <w:t>attiecināmības</w:t>
      </w:r>
      <w:proofErr w:type="spellEnd"/>
      <w:r w:rsidR="00230195" w:rsidRPr="00F1487C">
        <w:rPr>
          <w:lang w:bidi="lo-LA"/>
        </w:rPr>
        <w:t xml:space="preserve"> periods </w:t>
      </w:r>
      <w:r w:rsidR="00F1487C" w:rsidRPr="00F1487C">
        <w:rPr>
          <w:lang w:bidi="lo-LA"/>
        </w:rPr>
        <w:t>ir no</w:t>
      </w:r>
      <w:r w:rsidR="00230195" w:rsidRPr="00F1487C">
        <w:rPr>
          <w:lang w:bidi="lo-LA"/>
        </w:rPr>
        <w:t xml:space="preserve"> MK noteikumu </w:t>
      </w:r>
      <w:r w:rsidR="00F1487C" w:rsidRPr="00F1487C">
        <w:rPr>
          <w:lang w:bidi="lo-LA"/>
        </w:rPr>
        <w:t xml:space="preserve">Nr.561 spēkā stāšanās dienas- t.i., </w:t>
      </w:r>
      <w:r w:rsidR="00F1487C">
        <w:rPr>
          <w:lang w:bidi="lo-LA"/>
        </w:rPr>
        <w:t xml:space="preserve">no </w:t>
      </w:r>
      <w:r w:rsidR="00F1487C" w:rsidRPr="00F1487C">
        <w:rPr>
          <w:lang w:bidi="lo-LA"/>
        </w:rPr>
        <w:t>02.09.2016.</w:t>
      </w:r>
      <w:r w:rsidR="00F1487C" w:rsidRPr="00F1487C">
        <w:rPr>
          <w:szCs w:val="24"/>
        </w:rPr>
        <w:t xml:space="preserve"> (izņemot projekta iesniegumu pamatojošās dokumentācijas sagatavošanas izmaksas, būvprojekta izstrādes vai aktualizēšanas izmaksas,  neatkarīgas būvekspertīžu veikšanas un tehniskās apsekošanas izmaksas,  būvuzraudzības un autoruzraudzības izmaksas, kas ir attiecināmas ar 2016. gada 1. janvāri)</w:t>
      </w:r>
      <w:r w:rsidR="00230195" w:rsidRPr="00F1487C">
        <w:rPr>
          <w:lang w:bidi="lo-LA"/>
        </w:rPr>
        <w:t>.</w:t>
      </w:r>
    </w:p>
    <w:p w14:paraId="150963B6" w14:textId="77777777" w:rsidR="00FA7B7B" w:rsidRPr="001158FB" w:rsidRDefault="00FA7B7B" w:rsidP="00FA7B7B">
      <w:pPr>
        <w:ind w:firstLine="720"/>
        <w:rPr>
          <w:lang w:bidi="lo-LA"/>
        </w:rPr>
      </w:pPr>
      <w:r w:rsidRPr="001158FB">
        <w:rPr>
          <w:lang w:bidi="lo-LA"/>
        </w:rPr>
        <w:t>Budžeta ilgtermiņa saistībās 201</w:t>
      </w:r>
      <w:r>
        <w:rPr>
          <w:lang w:bidi="lo-LA"/>
        </w:rPr>
        <w:t>7</w:t>
      </w:r>
      <w:r w:rsidRPr="001158FB">
        <w:rPr>
          <w:lang w:bidi="lo-LA"/>
        </w:rPr>
        <w:t>., 201</w:t>
      </w:r>
      <w:r>
        <w:rPr>
          <w:lang w:bidi="lo-LA"/>
        </w:rPr>
        <w:t>8</w:t>
      </w:r>
      <w:r w:rsidRPr="001158FB">
        <w:rPr>
          <w:lang w:bidi="lo-LA"/>
        </w:rPr>
        <w:t>. un 201</w:t>
      </w:r>
      <w:r>
        <w:rPr>
          <w:lang w:bidi="lo-LA"/>
        </w:rPr>
        <w:t>9</w:t>
      </w:r>
      <w:r w:rsidRPr="001158FB">
        <w:rPr>
          <w:lang w:bidi="lo-LA"/>
        </w:rPr>
        <w:t>. gadam šobrīd finansējums projektiem nav paredzēts. 8.1.</w:t>
      </w:r>
      <w:r w:rsidR="00D33E5D">
        <w:rPr>
          <w:lang w:bidi="lo-LA"/>
        </w:rPr>
        <w:t>1</w:t>
      </w:r>
      <w:r w:rsidRPr="001158FB">
        <w:rPr>
          <w:lang w:bidi="lo-LA"/>
        </w:rPr>
        <w:t>.</w:t>
      </w:r>
      <w:r>
        <w:rPr>
          <w:lang w:bidi="lo-LA"/>
        </w:rPr>
        <w:t xml:space="preserve"> </w:t>
      </w:r>
      <w:r w:rsidRPr="001158FB">
        <w:rPr>
          <w:lang w:bidi="lo-LA"/>
        </w:rPr>
        <w:t>SAM projekt</w:t>
      </w:r>
      <w:r>
        <w:rPr>
          <w:lang w:bidi="lo-LA"/>
        </w:rPr>
        <w:t>u</w:t>
      </w:r>
      <w:r w:rsidRPr="001158FB">
        <w:rPr>
          <w:lang w:bidi="lo-LA"/>
        </w:rPr>
        <w:t xml:space="preserve"> īstenošanai nepieciešamais finansējums tiks </w:t>
      </w:r>
      <w:r w:rsidRPr="001158FB">
        <w:rPr>
          <w:lang w:bidi="lo-LA"/>
        </w:rPr>
        <w:lastRenderedPageBreak/>
        <w:t>iestrādāts budžeta ilgtermiņa saistībās likumprojekta “Par vidēja termiņa budžeta ietvaru 2017., 2018. un 2019.gadam” sagatavošanas laikā.</w:t>
      </w:r>
      <w:r w:rsidRPr="001158FB" w:rsidDel="00B078F4">
        <w:rPr>
          <w:lang w:bidi="lo-LA"/>
        </w:rPr>
        <w:t xml:space="preserve"> </w:t>
      </w:r>
    </w:p>
    <w:p w14:paraId="2442FFE1" w14:textId="77777777" w:rsidR="00FA7B7B" w:rsidRDefault="00FA7B7B" w:rsidP="00FA7B7B">
      <w:pPr>
        <w:ind w:firstLine="720"/>
        <w:rPr>
          <w:szCs w:val="24"/>
        </w:rPr>
      </w:pPr>
    </w:p>
    <w:p w14:paraId="395F2E82" w14:textId="77777777" w:rsidR="00FA7B7B" w:rsidRPr="006E045E" w:rsidRDefault="00FA7B7B" w:rsidP="00FA7B7B">
      <w:pPr>
        <w:ind w:firstLine="720"/>
        <w:rPr>
          <w:b/>
        </w:rPr>
      </w:pPr>
      <w:r w:rsidRPr="006E045E">
        <w:rPr>
          <w:b/>
        </w:rPr>
        <w:t xml:space="preserve">Ietekme uz administratīvajām procedūrām un to izmaksām. </w:t>
      </w:r>
    </w:p>
    <w:p w14:paraId="13880DEA" w14:textId="77777777" w:rsidR="00FA7B7B" w:rsidRPr="006E045E" w:rsidRDefault="00FA7B7B" w:rsidP="00FA7B7B">
      <w:pPr>
        <w:shd w:val="clear" w:color="auto" w:fill="FFFFFF"/>
        <w:ind w:right="113" w:firstLine="720"/>
      </w:pPr>
      <w:r w:rsidRPr="006E045E">
        <w:t>Kopumā sabiedrības grupām un institūcijām 8.1.1. SAM ietvaros plānotais tiesiskais regulējums nemaina tiesības un pienākumus, kā arī veicamās darbības.</w:t>
      </w:r>
    </w:p>
    <w:p w14:paraId="658A97EE" w14:textId="77777777" w:rsidR="00FA7B7B" w:rsidRPr="006E045E" w:rsidRDefault="00283A75" w:rsidP="00FA7B7B">
      <w:pPr>
        <w:ind w:firstLine="720"/>
        <w:rPr>
          <w:szCs w:val="24"/>
        </w:rPr>
      </w:pPr>
      <w:r>
        <w:t xml:space="preserve">8.1.1. SAM ietvaros finansējuma saņēmējs nodrošina </w:t>
      </w:r>
      <w:r w:rsidR="00F26327">
        <w:t>MK noteikumos Nr. 561</w:t>
      </w:r>
      <w:r w:rsidR="008D4501">
        <w:t xml:space="preserve"> </w:t>
      </w:r>
      <w:r w:rsidR="00092C0A">
        <w:t>noteiktos</w:t>
      </w:r>
      <w:r>
        <w:t xml:space="preserve"> informācijas sniegšanas pasākumus (</w:t>
      </w:r>
      <w:r w:rsidR="00FA7B7B" w:rsidRPr="006E045E">
        <w:t xml:space="preserve">iesniedz projekta iesniegumu). Detalizēts </w:t>
      </w:r>
      <w:r w:rsidR="006E045E" w:rsidRPr="006E045E">
        <w:t xml:space="preserve">administratīvo </w:t>
      </w:r>
      <w:r w:rsidR="00FA7B7B" w:rsidRPr="006E045E">
        <w:t xml:space="preserve">izmaksu aprēķins ir atspoguļots </w:t>
      </w:r>
      <w:r w:rsidR="00F26327">
        <w:t xml:space="preserve">MK noteikumu Nr. 561 </w:t>
      </w:r>
      <w:r w:rsidR="006E045E" w:rsidRPr="006E045E">
        <w:t>anotācijā</w:t>
      </w:r>
      <w:r w:rsidR="008D4501" w:rsidRPr="008D4501">
        <w:rPr>
          <w:rStyle w:val="FootnoteReference"/>
          <w:szCs w:val="24"/>
        </w:rPr>
        <w:footnoteReference w:id="42"/>
      </w:r>
      <w:r w:rsidR="006E045E" w:rsidRPr="006E045E">
        <w:t>.</w:t>
      </w:r>
    </w:p>
    <w:p w14:paraId="10F38212" w14:textId="77777777" w:rsidR="00FA7B7B" w:rsidRDefault="00FA7B7B" w:rsidP="00FA7B7B">
      <w:pPr>
        <w:ind w:firstLine="720"/>
        <w:rPr>
          <w:szCs w:val="24"/>
        </w:rPr>
      </w:pPr>
    </w:p>
    <w:p w14:paraId="68D1A2A3" w14:textId="77777777" w:rsidR="00FA7B7B" w:rsidRDefault="00FA7B7B" w:rsidP="00FA7B7B">
      <w:pPr>
        <w:ind w:firstLine="720"/>
        <w:rPr>
          <w:szCs w:val="24"/>
        </w:rPr>
      </w:pPr>
      <w:r>
        <w:rPr>
          <w:szCs w:val="24"/>
        </w:rPr>
        <w:t>8.1.1.</w:t>
      </w:r>
      <w:r w:rsidRPr="002A5CB4">
        <w:rPr>
          <w:szCs w:val="24"/>
        </w:rPr>
        <w:t xml:space="preserve"> </w:t>
      </w:r>
      <w:r>
        <w:rPr>
          <w:szCs w:val="24"/>
        </w:rPr>
        <w:t>SAM</w:t>
      </w:r>
      <w:r w:rsidRPr="002A5CB4">
        <w:rPr>
          <w:szCs w:val="24"/>
        </w:rPr>
        <w:t xml:space="preserve"> īstenošanai </w:t>
      </w:r>
      <w:r w:rsidRPr="00FA3B19">
        <w:rPr>
          <w:b/>
          <w:szCs w:val="24"/>
        </w:rPr>
        <w:t>nav ietekmes</w:t>
      </w:r>
      <w:r w:rsidRPr="003A041B">
        <w:rPr>
          <w:szCs w:val="24"/>
        </w:rPr>
        <w:t xml:space="preserve"> </w:t>
      </w:r>
      <w:r w:rsidRPr="009F616F">
        <w:rPr>
          <w:szCs w:val="24"/>
        </w:rPr>
        <w:t xml:space="preserve">uz </w:t>
      </w:r>
      <w:r w:rsidRPr="003A041B">
        <w:rPr>
          <w:szCs w:val="24"/>
        </w:rPr>
        <w:t>esošo tiesību normu sistēmu un Latvijas Republikas starptautiskajām saistībām, pārvaldes iestāžu funkcijām un cilvēkresursiem, valsts un pašvaldību informācijas sistēmām.</w:t>
      </w:r>
    </w:p>
    <w:p w14:paraId="4D592699" w14:textId="77777777" w:rsidR="00FA7B7B" w:rsidRDefault="00FA7B7B" w:rsidP="00FA7B7B">
      <w:pPr>
        <w:ind w:firstLine="720"/>
        <w:rPr>
          <w:szCs w:val="24"/>
        </w:rPr>
      </w:pPr>
    </w:p>
    <w:p w14:paraId="702A9E2F" w14:textId="77777777" w:rsidR="00FA7B7B" w:rsidRDefault="00FA7B7B" w:rsidP="00FA7B7B">
      <w:pPr>
        <w:ind w:firstLine="720"/>
        <w:rPr>
          <w:rFonts w:eastAsia="SimSun"/>
          <w:b/>
          <w:color w:val="365F91"/>
          <w:sz w:val="32"/>
          <w:szCs w:val="32"/>
          <w:lang w:eastAsia="zh-TW"/>
        </w:rPr>
      </w:pPr>
      <w:r w:rsidRPr="00C0314F">
        <w:rPr>
          <w:b/>
          <w:szCs w:val="24"/>
        </w:rPr>
        <w:t>8.1.</w:t>
      </w:r>
      <w:r w:rsidR="00D33E5D">
        <w:rPr>
          <w:b/>
          <w:szCs w:val="24"/>
        </w:rPr>
        <w:t>1</w:t>
      </w:r>
      <w:r w:rsidRPr="00C0314F">
        <w:rPr>
          <w:b/>
          <w:szCs w:val="24"/>
        </w:rPr>
        <w:t>.SAM atbilstība valsts atbalsta definīcijai un paredzamā negatīvā ietekme uz konkurenci un tirdzniecību</w:t>
      </w:r>
    </w:p>
    <w:p w14:paraId="2E0372C7" w14:textId="77777777" w:rsidR="00FA7B7B" w:rsidRPr="00BC0006" w:rsidRDefault="00FA7B7B" w:rsidP="00FA7B7B">
      <w:pPr>
        <w:ind w:firstLine="720"/>
        <w:rPr>
          <w:rFonts w:eastAsia="SimSun"/>
          <w:szCs w:val="24"/>
          <w:lang w:eastAsia="zh-TW"/>
        </w:rPr>
      </w:pPr>
      <w:r w:rsidRPr="00BC0006">
        <w:rPr>
          <w:rFonts w:eastAsia="SimSun"/>
          <w:szCs w:val="24"/>
          <w:lang w:eastAsia="zh-TW"/>
        </w:rPr>
        <w:t>8.1.</w:t>
      </w:r>
      <w:r w:rsidR="00D33E5D">
        <w:rPr>
          <w:rFonts w:eastAsia="SimSun"/>
          <w:szCs w:val="24"/>
          <w:lang w:eastAsia="zh-TW"/>
        </w:rPr>
        <w:t>1</w:t>
      </w:r>
      <w:r w:rsidRPr="00BC0006">
        <w:rPr>
          <w:rFonts w:eastAsia="SimSun"/>
          <w:szCs w:val="24"/>
          <w:lang w:eastAsia="zh-TW"/>
        </w:rPr>
        <w:t xml:space="preserve">.SAM ietvaros nav plānots atbalsts, ko varētu uzskatīt par valsts atbalstu, un tam nav tiešas ietekmes uz </w:t>
      </w:r>
      <w:r w:rsidRPr="00400396">
        <w:rPr>
          <w:szCs w:val="24"/>
        </w:rPr>
        <w:t>konkurenci un tirdzniecību.</w:t>
      </w:r>
    </w:p>
    <w:p w14:paraId="5556FFF4" w14:textId="77777777" w:rsidR="00EF36ED" w:rsidRPr="00891BDB" w:rsidRDefault="00EF36ED" w:rsidP="00BD4F3A">
      <w:pPr>
        <w:ind w:firstLine="720"/>
        <w:rPr>
          <w:szCs w:val="24"/>
          <w:highlight w:val="cyan"/>
        </w:rPr>
      </w:pPr>
    </w:p>
    <w:p w14:paraId="05A60E4F" w14:textId="77777777" w:rsidR="00784C7E" w:rsidRPr="008F35A6" w:rsidRDefault="00784C7E" w:rsidP="00BD4F3A">
      <w:pPr>
        <w:ind w:firstLine="720"/>
        <w:rPr>
          <w:szCs w:val="24"/>
        </w:rPr>
      </w:pPr>
    </w:p>
    <w:p w14:paraId="4E7F97EF" w14:textId="77777777" w:rsidR="00784C7E" w:rsidRPr="008F35A6" w:rsidRDefault="001079A9" w:rsidP="00BD4F3A">
      <w:pPr>
        <w:ind w:firstLine="720"/>
        <w:rPr>
          <w:b/>
          <w:szCs w:val="24"/>
        </w:rPr>
      </w:pPr>
      <w:r w:rsidRPr="008F35A6">
        <w:rPr>
          <w:b/>
          <w:szCs w:val="24"/>
        </w:rPr>
        <w:t>Ietekme uz zinātniskās darbības vidi</w:t>
      </w:r>
    </w:p>
    <w:p w14:paraId="0FF47E40" w14:textId="77777777" w:rsidR="00FA7B7B" w:rsidRDefault="00FA7B7B" w:rsidP="00FA7B7B">
      <w:pPr>
        <w:autoSpaceDE w:val="0"/>
        <w:autoSpaceDN w:val="0"/>
        <w:adjustRightInd w:val="0"/>
        <w:spacing w:after="120"/>
        <w:ind w:firstLine="720"/>
        <w:rPr>
          <w:color w:val="000000"/>
          <w:szCs w:val="24"/>
        </w:rPr>
      </w:pPr>
      <w:r w:rsidRPr="008F35A6">
        <w:rPr>
          <w:color w:val="000000"/>
          <w:szCs w:val="24"/>
        </w:rPr>
        <w:t>Ievērojot, ka daļa augstskolu ir arī zinātniskās institūcijas, 8.1.1.SAM īstenošana sekmēs pētniecībā balstītu augstāko izglītību un ciešāku augstākās izglītības integrāciju ar pētniecību, tādējādi arī radot netiešu ietekmi uz zinātniskās darbības vidi.</w:t>
      </w:r>
      <w:r>
        <w:rPr>
          <w:color w:val="000000"/>
          <w:szCs w:val="24"/>
        </w:rPr>
        <w:t xml:space="preserve"> </w:t>
      </w:r>
    </w:p>
    <w:p w14:paraId="319C093C" w14:textId="77777777" w:rsidR="00F1487C" w:rsidRDefault="00F1487C">
      <w:pPr>
        <w:autoSpaceDE w:val="0"/>
        <w:autoSpaceDN w:val="0"/>
        <w:adjustRightInd w:val="0"/>
        <w:ind w:firstLine="720"/>
        <w:rPr>
          <w:szCs w:val="24"/>
        </w:rPr>
      </w:pPr>
    </w:p>
    <w:p w14:paraId="4A1B0E2D" w14:textId="77777777" w:rsidR="00F5532E" w:rsidRDefault="00361D47">
      <w:pPr>
        <w:autoSpaceDE w:val="0"/>
        <w:autoSpaceDN w:val="0"/>
        <w:adjustRightInd w:val="0"/>
        <w:ind w:firstLine="720"/>
        <w:rPr>
          <w:szCs w:val="24"/>
        </w:rPr>
      </w:pPr>
      <w:r>
        <w:rPr>
          <w:szCs w:val="24"/>
        </w:rPr>
        <w:t>8.1.1.</w:t>
      </w:r>
      <w:r w:rsidRPr="002A5CB4">
        <w:rPr>
          <w:szCs w:val="24"/>
        </w:rPr>
        <w:t xml:space="preserve"> </w:t>
      </w:r>
      <w:r>
        <w:rPr>
          <w:szCs w:val="24"/>
        </w:rPr>
        <w:t>SAM</w:t>
      </w:r>
      <w:r w:rsidRPr="002A5CB4">
        <w:rPr>
          <w:szCs w:val="24"/>
        </w:rPr>
        <w:t xml:space="preserve"> </w:t>
      </w:r>
      <w:r>
        <w:rPr>
          <w:szCs w:val="24"/>
        </w:rPr>
        <w:t xml:space="preserve">ietvaros plānotie ieguldījumi veicinās </w:t>
      </w:r>
      <w:r w:rsidRPr="00CC42DB">
        <w:rPr>
          <w:b/>
          <w:szCs w:val="24"/>
        </w:rPr>
        <w:t xml:space="preserve">stratēģijā </w:t>
      </w:r>
      <w:r w:rsidR="000C7ACC" w:rsidRPr="00CC42DB">
        <w:rPr>
          <w:b/>
          <w:szCs w:val="24"/>
        </w:rPr>
        <w:t>„</w:t>
      </w:r>
      <w:r w:rsidRPr="00CC42DB">
        <w:rPr>
          <w:b/>
          <w:szCs w:val="24"/>
        </w:rPr>
        <w:t>Eiropa 2020: stratēģija gudrai, ilgtspējīgai un integrējošai izaugsmei”</w:t>
      </w:r>
      <w:r>
        <w:rPr>
          <w:szCs w:val="24"/>
        </w:rPr>
        <w:t xml:space="preserve"> (turpmāk – </w:t>
      </w:r>
      <w:r w:rsidR="00051908" w:rsidRPr="00051908">
        <w:rPr>
          <w:szCs w:val="24"/>
        </w:rPr>
        <w:t>„</w:t>
      </w:r>
      <w:r>
        <w:rPr>
          <w:szCs w:val="24"/>
        </w:rPr>
        <w:t xml:space="preserve">Eiropa 2020”) </w:t>
      </w:r>
      <w:r w:rsidRPr="00361D47">
        <w:rPr>
          <w:szCs w:val="24"/>
        </w:rPr>
        <w:t>ietvert</w:t>
      </w:r>
      <w:r>
        <w:rPr>
          <w:szCs w:val="24"/>
        </w:rPr>
        <w:t>o</w:t>
      </w:r>
      <w:r w:rsidRPr="00361D47">
        <w:rPr>
          <w:szCs w:val="24"/>
        </w:rPr>
        <w:t xml:space="preserve"> </w:t>
      </w:r>
      <w:r>
        <w:rPr>
          <w:szCs w:val="24"/>
        </w:rPr>
        <w:t xml:space="preserve">mērķu sasniegšanu. Viens no </w:t>
      </w:r>
      <w:r w:rsidR="000C7ACC" w:rsidRPr="000C7ACC">
        <w:rPr>
          <w:szCs w:val="24"/>
        </w:rPr>
        <w:t>„</w:t>
      </w:r>
      <w:r>
        <w:rPr>
          <w:szCs w:val="24"/>
        </w:rPr>
        <w:t xml:space="preserve">Eiropa 2020” pamatmērķiem paredz, ka 2020.gadā </w:t>
      </w:r>
      <w:r w:rsidRPr="00361D47">
        <w:rPr>
          <w:szCs w:val="24"/>
        </w:rPr>
        <w:t>vismaz 40 % jaunākās paaudzes iedzīvotāju jābūt augstākajai izglītībai</w:t>
      </w:r>
      <w:r>
        <w:rPr>
          <w:szCs w:val="24"/>
        </w:rPr>
        <w:t>. Lai gan Latvijas n</w:t>
      </w:r>
      <w:r w:rsidRPr="00361D47">
        <w:rPr>
          <w:szCs w:val="24"/>
        </w:rPr>
        <w:t>acionālais mērķis</w:t>
      </w:r>
      <w:r w:rsidR="00F00A7C">
        <w:rPr>
          <w:rStyle w:val="FootnoteReference"/>
          <w:szCs w:val="24"/>
        </w:rPr>
        <w:footnoteReference w:id="43"/>
      </w:r>
      <w:r w:rsidR="005108EE">
        <w:rPr>
          <w:szCs w:val="24"/>
        </w:rPr>
        <w:t xml:space="preserve"> </w:t>
      </w:r>
      <w:r w:rsidRPr="00361D47">
        <w:rPr>
          <w:szCs w:val="24"/>
        </w:rPr>
        <w:t>jau šobrīd sasniegts</w:t>
      </w:r>
      <w:r>
        <w:rPr>
          <w:szCs w:val="24"/>
        </w:rPr>
        <w:t xml:space="preserve"> (</w:t>
      </w:r>
      <w:r w:rsidRPr="00361D47">
        <w:rPr>
          <w:szCs w:val="24"/>
        </w:rPr>
        <w:t>2015.gadā sasniedzot 41,2%</w:t>
      </w:r>
      <w:r>
        <w:rPr>
          <w:szCs w:val="24"/>
        </w:rPr>
        <w:t xml:space="preserve">), </w:t>
      </w:r>
      <w:r w:rsidRPr="00361D47">
        <w:rPr>
          <w:szCs w:val="24"/>
        </w:rPr>
        <w:t>pateicoties iepriekšējos gados pieaugošajam studējošo skaitam gan valsts budžeta finansētās, gan arī maksas studiju programmās</w:t>
      </w:r>
      <w:r w:rsidR="00A35531">
        <w:rPr>
          <w:szCs w:val="24"/>
        </w:rPr>
        <w:t>, t</w:t>
      </w:r>
      <w:r w:rsidRPr="00361D47">
        <w:rPr>
          <w:szCs w:val="24"/>
        </w:rPr>
        <w:t xml:space="preserve">omēr turpmākajos gados, ņemot vērā iedzīvotāju vecuma struktūras īpatnības, šis īpatsvars varētu samazināties. </w:t>
      </w:r>
      <w:r w:rsidR="00A35531">
        <w:rPr>
          <w:szCs w:val="24"/>
        </w:rPr>
        <w:t>Līdz ar to 8.1.1. SAM ietvaros plānotie ieguldījumi augstskolu STEM jomas infrastruktūras modernizācijā</w:t>
      </w:r>
      <w:r w:rsidR="00F00A7C">
        <w:rPr>
          <w:szCs w:val="24"/>
        </w:rPr>
        <w:t xml:space="preserve"> </w:t>
      </w:r>
      <w:r w:rsidR="00A91FEA">
        <w:rPr>
          <w:szCs w:val="24"/>
        </w:rPr>
        <w:t xml:space="preserve">pozitīvi ietekmēs </w:t>
      </w:r>
      <w:r w:rsidR="000C7ACC" w:rsidRPr="000C7ACC">
        <w:rPr>
          <w:szCs w:val="24"/>
        </w:rPr>
        <w:t>„</w:t>
      </w:r>
      <w:r w:rsidR="00A91FEA">
        <w:rPr>
          <w:szCs w:val="24"/>
        </w:rPr>
        <w:t>Eiropa 2020” minētā mērķa sasniegšanu.</w:t>
      </w:r>
      <w:r w:rsidRPr="00361D47">
        <w:rPr>
          <w:szCs w:val="24"/>
        </w:rPr>
        <w:t xml:space="preserve"> </w:t>
      </w:r>
    </w:p>
    <w:p w14:paraId="0AFBA3DA" w14:textId="77777777" w:rsidR="008662A9" w:rsidRPr="00F00A7C" w:rsidRDefault="00502A3E">
      <w:pPr>
        <w:jc w:val="left"/>
        <w:rPr>
          <w:szCs w:val="24"/>
        </w:rPr>
      </w:pPr>
      <w:r w:rsidRPr="00502A3E">
        <w:rPr>
          <w:szCs w:val="24"/>
        </w:rPr>
        <w:br w:type="page"/>
      </w:r>
    </w:p>
    <w:p w14:paraId="72C98AF4" w14:textId="77777777" w:rsidR="002B567E" w:rsidRPr="00A94D09" w:rsidRDefault="00A94D09" w:rsidP="00A94D09">
      <w:pPr>
        <w:pStyle w:val="Heading1"/>
        <w:jc w:val="center"/>
      </w:pPr>
      <w:bookmarkStart w:id="38" w:name="_Toc409448079"/>
      <w:bookmarkStart w:id="39" w:name="_Toc457815684"/>
      <w:r>
        <w:lastRenderedPageBreak/>
        <w:t xml:space="preserve">6. </w:t>
      </w:r>
      <w:r w:rsidR="002B567E" w:rsidRPr="00A94D09">
        <w:t>Nepieciešamie dati ietekmes izvērtēšanai un uzraudzības nodrošināšanai</w:t>
      </w:r>
      <w:bookmarkEnd w:id="36"/>
      <w:bookmarkEnd w:id="38"/>
      <w:bookmarkEnd w:id="39"/>
    </w:p>
    <w:p w14:paraId="38E4ABA7" w14:textId="77777777" w:rsidR="005A6AF3" w:rsidRDefault="005A6AF3" w:rsidP="005A6AF3">
      <w:pPr>
        <w:ind w:firstLine="567"/>
      </w:pPr>
    </w:p>
    <w:p w14:paraId="3799E6A2" w14:textId="77777777" w:rsidR="002B567E" w:rsidRDefault="00EF36ED" w:rsidP="001925D6">
      <w:pPr>
        <w:ind w:firstLine="720"/>
        <w:rPr>
          <w:bCs/>
        </w:rPr>
      </w:pPr>
      <w:r w:rsidRPr="002A5CB4">
        <w:t xml:space="preserve">Saskaņā ar </w:t>
      </w:r>
      <w:r w:rsidR="005A6AF3" w:rsidRPr="009F616F">
        <w:rPr>
          <w:szCs w:val="24"/>
        </w:rPr>
        <w:t xml:space="preserve">SIA "Ernst &amp; </w:t>
      </w:r>
      <w:proofErr w:type="spellStart"/>
      <w:r w:rsidR="005A6AF3" w:rsidRPr="009F616F">
        <w:rPr>
          <w:szCs w:val="24"/>
        </w:rPr>
        <w:t>Young</w:t>
      </w:r>
      <w:proofErr w:type="spellEnd"/>
      <w:r w:rsidR="005A6AF3" w:rsidRPr="009F616F">
        <w:rPr>
          <w:szCs w:val="24"/>
        </w:rPr>
        <w:t xml:space="preserve"> </w:t>
      </w:r>
      <w:proofErr w:type="spellStart"/>
      <w:r w:rsidR="005A6AF3" w:rsidRPr="009F616F">
        <w:rPr>
          <w:szCs w:val="24"/>
        </w:rPr>
        <w:t>Baltic</w:t>
      </w:r>
      <w:proofErr w:type="spellEnd"/>
      <w:r w:rsidR="005A6AF3" w:rsidRPr="009F616F">
        <w:rPr>
          <w:szCs w:val="24"/>
        </w:rPr>
        <w:t xml:space="preserve">" veikto </w:t>
      </w:r>
      <w:proofErr w:type="spellStart"/>
      <w:r w:rsidR="005A6AF3" w:rsidRPr="009F616F">
        <w:rPr>
          <w:szCs w:val="24"/>
        </w:rPr>
        <w:t>izvērtējumu</w:t>
      </w:r>
      <w:proofErr w:type="spellEnd"/>
      <w:r w:rsidR="005A6AF3" w:rsidRPr="009F616F">
        <w:rPr>
          <w:szCs w:val="24"/>
        </w:rPr>
        <w:t xml:space="preserve"> </w:t>
      </w:r>
      <w:r w:rsidR="005A6AF3" w:rsidRPr="009F616F">
        <w:rPr>
          <w:i/>
          <w:szCs w:val="24"/>
        </w:rPr>
        <w:t>“Datu pieejamība ES Kohēzijas politikas 2014. – 2020. gada plānošanas perioda Darbības programmas ietekmes izvērtēšanai Latvijā”</w:t>
      </w:r>
      <w:r w:rsidR="005A6AF3">
        <w:rPr>
          <w:rStyle w:val="FootnoteReference"/>
          <w:i/>
          <w:szCs w:val="24"/>
        </w:rPr>
        <w:footnoteReference w:id="44"/>
      </w:r>
      <w:r w:rsidRPr="002A5CB4">
        <w:t xml:space="preserve">, </w:t>
      </w:r>
      <w:r w:rsidR="005A6AF3">
        <w:t xml:space="preserve">dati </w:t>
      </w:r>
      <w:r w:rsidR="00531920">
        <w:t>8.1.</w:t>
      </w:r>
      <w:r w:rsidR="00D33E5D">
        <w:t>1</w:t>
      </w:r>
      <w:r w:rsidR="00531920">
        <w:t xml:space="preserve">. </w:t>
      </w:r>
      <w:r w:rsidR="003F68F7">
        <w:t>SAM</w:t>
      </w:r>
      <w:r w:rsidR="003F68F7" w:rsidRPr="00F010A1">
        <w:t xml:space="preserve"> </w:t>
      </w:r>
      <w:r w:rsidR="005A6AF3" w:rsidRPr="00F010A1">
        <w:t>ietekmes izvērtēšanai un uzraudzības nodrošināšanai</w:t>
      </w:r>
      <w:r w:rsidR="005A6AF3" w:rsidRPr="002A5CB4">
        <w:t xml:space="preserve"> </w:t>
      </w:r>
      <w:r w:rsidR="005A6AF3">
        <w:t>ir pieejami. S</w:t>
      </w:r>
      <w:r w:rsidR="005A6AF3" w:rsidRPr="002A5CB4">
        <w:t xml:space="preserve">tatistiskā informācija </w:t>
      </w:r>
      <w:r w:rsidRPr="002A5CB4">
        <w:t xml:space="preserve">tiek </w:t>
      </w:r>
      <w:r w:rsidRPr="00F73F7B">
        <w:t xml:space="preserve">apkopota </w:t>
      </w:r>
      <w:r w:rsidR="0042398F" w:rsidRPr="00F73F7B">
        <w:t>IZM</w:t>
      </w:r>
      <w:r w:rsidR="00F73F7B" w:rsidRPr="00F73F7B">
        <w:t xml:space="preserve"> ikgadējos</w:t>
      </w:r>
      <w:r w:rsidR="0042398F" w:rsidRPr="00F73F7B">
        <w:t xml:space="preserve"> pārskat</w:t>
      </w:r>
      <w:r w:rsidR="00F73F7B">
        <w:t>o</w:t>
      </w:r>
      <w:r w:rsidR="0042398F" w:rsidRPr="00F73F7B">
        <w:t xml:space="preserve">s </w:t>
      </w:r>
      <w:r w:rsidR="00F73F7B" w:rsidRPr="00F73F7B">
        <w:rPr>
          <w:bCs/>
        </w:rPr>
        <w:t>par Latvijas augstāko izglītību</w:t>
      </w:r>
      <w:r w:rsidR="005A6AF3">
        <w:rPr>
          <w:bCs/>
        </w:rPr>
        <w:t>.</w:t>
      </w:r>
    </w:p>
    <w:p w14:paraId="26319AD6" w14:textId="77777777" w:rsidR="002B6D2D" w:rsidRDefault="002B6D2D" w:rsidP="002B6D2D">
      <w:pPr>
        <w:jc w:val="left"/>
        <w:rPr>
          <w:szCs w:val="24"/>
          <w:lang w:eastAsia="lt-LT"/>
        </w:rPr>
      </w:pPr>
    </w:p>
    <w:p w14:paraId="580DD03E" w14:textId="77777777" w:rsidR="002B6D2D" w:rsidRDefault="002B6D2D" w:rsidP="002B6D2D">
      <w:pPr>
        <w:jc w:val="left"/>
        <w:rPr>
          <w:szCs w:val="24"/>
          <w:lang w:eastAsia="lt-LT"/>
        </w:rPr>
      </w:pPr>
    </w:p>
    <w:p w14:paraId="24FAC5D3" w14:textId="77777777" w:rsidR="00F14DBF" w:rsidRDefault="00F14DBF" w:rsidP="002B6D2D">
      <w:pPr>
        <w:jc w:val="left"/>
        <w:rPr>
          <w:szCs w:val="24"/>
        </w:rPr>
      </w:pPr>
      <w:r>
        <w:rPr>
          <w:szCs w:val="24"/>
        </w:rPr>
        <w:t>Pielikumi:</w:t>
      </w:r>
    </w:p>
    <w:p w14:paraId="4383E753" w14:textId="77777777" w:rsidR="00262677" w:rsidRPr="00262677" w:rsidRDefault="00262677" w:rsidP="00B47005">
      <w:pPr>
        <w:pStyle w:val="ListParagraph"/>
        <w:numPr>
          <w:ilvl w:val="0"/>
          <w:numId w:val="21"/>
        </w:numPr>
        <w:tabs>
          <w:tab w:val="left" w:pos="426"/>
        </w:tabs>
        <w:ind w:left="425" w:hanging="426"/>
        <w:contextualSpacing/>
        <w:rPr>
          <w:szCs w:val="24"/>
        </w:rPr>
      </w:pPr>
      <w:r w:rsidRPr="00262677">
        <w:rPr>
          <w:szCs w:val="24"/>
        </w:rPr>
        <w:t xml:space="preserve">Augstskolās īstenotās STEM jomas studiju programmas un tajās studējošo skaits 2015./2016. </w:t>
      </w:r>
      <w:proofErr w:type="spellStart"/>
      <w:r w:rsidRPr="00262677">
        <w:rPr>
          <w:szCs w:val="24"/>
        </w:rPr>
        <w:t>ak.gadā</w:t>
      </w:r>
      <w:proofErr w:type="spellEnd"/>
      <w:r w:rsidRPr="00262677">
        <w:rPr>
          <w:szCs w:val="24"/>
        </w:rPr>
        <w:t>, tai skaitā STEM jomas studiju programmu īpatsvars, uz kurām attiecās modernizācijas darbi 3.1.2.1.1.apakšaktivitātes ietvaros (datne: IZM_SN_p1_811_SAM);</w:t>
      </w:r>
    </w:p>
    <w:p w14:paraId="364E336B" w14:textId="77777777" w:rsidR="00F14DBF" w:rsidRPr="00262677" w:rsidRDefault="008D4501" w:rsidP="00B47005">
      <w:pPr>
        <w:pStyle w:val="ListParagraph"/>
        <w:numPr>
          <w:ilvl w:val="0"/>
          <w:numId w:val="21"/>
        </w:numPr>
        <w:tabs>
          <w:tab w:val="left" w:pos="426"/>
        </w:tabs>
        <w:ind w:left="425" w:hanging="426"/>
        <w:contextualSpacing/>
        <w:rPr>
          <w:szCs w:val="24"/>
        </w:rPr>
      </w:pPr>
      <w:r w:rsidRPr="008D4501">
        <w:rPr>
          <w:szCs w:val="24"/>
        </w:rPr>
        <w:t>Investīcijas 2007.-2013.gada plānošanas periodā augstskolu infrastruktūrā</w:t>
      </w:r>
      <w:r>
        <w:rPr>
          <w:szCs w:val="24"/>
        </w:rPr>
        <w:t xml:space="preserve"> </w:t>
      </w:r>
      <w:r w:rsidR="00262677" w:rsidRPr="00262677">
        <w:rPr>
          <w:szCs w:val="24"/>
        </w:rPr>
        <w:t xml:space="preserve">(ERAF, KPFI un </w:t>
      </w:r>
      <w:r>
        <w:rPr>
          <w:szCs w:val="24"/>
        </w:rPr>
        <w:t>ETS</w:t>
      </w:r>
      <w:r w:rsidR="00262677" w:rsidRPr="00262677">
        <w:rPr>
          <w:szCs w:val="24"/>
        </w:rPr>
        <w:t>) (datne: IZM_SN_p</w:t>
      </w:r>
      <w:r>
        <w:rPr>
          <w:szCs w:val="24"/>
        </w:rPr>
        <w:t>2</w:t>
      </w:r>
      <w:r w:rsidR="00262677" w:rsidRPr="00262677">
        <w:rPr>
          <w:szCs w:val="24"/>
        </w:rPr>
        <w:t>_81</w:t>
      </w:r>
      <w:r>
        <w:rPr>
          <w:szCs w:val="24"/>
        </w:rPr>
        <w:t>1</w:t>
      </w:r>
      <w:r w:rsidR="00262677" w:rsidRPr="00262677">
        <w:rPr>
          <w:szCs w:val="24"/>
        </w:rPr>
        <w:t>_SAM);</w:t>
      </w:r>
    </w:p>
    <w:p w14:paraId="711768A9" w14:textId="77777777" w:rsidR="00722156" w:rsidRDefault="00722156" w:rsidP="00E85785">
      <w:pPr>
        <w:pStyle w:val="ListParagraph"/>
        <w:tabs>
          <w:tab w:val="left" w:pos="426"/>
        </w:tabs>
        <w:ind w:left="425"/>
        <w:contextualSpacing/>
        <w:rPr>
          <w:szCs w:val="24"/>
        </w:rPr>
      </w:pPr>
    </w:p>
    <w:p w14:paraId="2A16FE9A" w14:textId="77777777" w:rsidR="009E0EA4" w:rsidRDefault="009E0EA4" w:rsidP="00E85785">
      <w:pPr>
        <w:pStyle w:val="ListParagraph"/>
        <w:tabs>
          <w:tab w:val="left" w:pos="426"/>
        </w:tabs>
        <w:ind w:left="425"/>
        <w:contextualSpacing/>
        <w:rPr>
          <w:szCs w:val="24"/>
        </w:rPr>
      </w:pPr>
    </w:p>
    <w:p w14:paraId="4F32204D" w14:textId="77777777" w:rsidR="009E0EA4" w:rsidRPr="009E0EA4" w:rsidRDefault="009E0EA4" w:rsidP="009E0EA4">
      <w:pPr>
        <w:pStyle w:val="ListParagraph"/>
        <w:tabs>
          <w:tab w:val="left" w:pos="426"/>
        </w:tabs>
        <w:ind w:left="425"/>
        <w:contextualSpacing/>
        <w:rPr>
          <w:szCs w:val="24"/>
        </w:rPr>
      </w:pPr>
    </w:p>
    <w:sectPr w:rsidR="009E0EA4" w:rsidRPr="009E0EA4" w:rsidSect="00500454">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43861" w14:textId="77777777" w:rsidR="00026D8E" w:rsidRDefault="00026D8E" w:rsidP="002B567E">
      <w:r>
        <w:separator/>
      </w:r>
    </w:p>
  </w:endnote>
  <w:endnote w:type="continuationSeparator" w:id="0">
    <w:p w14:paraId="69C59B9C" w14:textId="77777777" w:rsidR="00026D8E" w:rsidRDefault="00026D8E" w:rsidP="002B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EYInterstate Light">
    <w:altName w:val="Times New Roman"/>
    <w:charset w:val="BA"/>
    <w:family w:val="auto"/>
    <w:pitch w:val="variable"/>
    <w:sig w:usb0="00000001"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EYInterstate">
    <w:altName w:val="Calibri"/>
    <w:charset w:val="BA"/>
    <w:family w:val="auto"/>
    <w:pitch w:val="variable"/>
    <w:sig w:usb0="800002AF" w:usb1="5000204A" w:usb2="00000000" w:usb3="00000000" w:csb0="0000009F" w:csb1="00000000"/>
  </w:font>
  <w:font w:name="Segoe UI Semibold">
    <w:panose1 w:val="020B0702040204020203"/>
    <w:charset w:val="BA"/>
    <w:family w:val="swiss"/>
    <w:pitch w:val="variable"/>
    <w:sig w:usb0="E4002EFF" w:usb1="C000E47F" w:usb2="00000009" w:usb3="00000000" w:csb0="000001FF"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BA"/>
    <w:family w:val="swiss"/>
    <w:pitch w:val="variable"/>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C7BDD" w14:textId="77777777" w:rsidR="00B930B0" w:rsidRDefault="00B930B0">
    <w:pPr>
      <w:pStyle w:val="Footer"/>
      <w:jc w:val="center"/>
    </w:pPr>
    <w:r w:rsidRPr="00557B49">
      <w:rPr>
        <w:sz w:val="24"/>
        <w:szCs w:val="24"/>
      </w:rPr>
      <w:fldChar w:fldCharType="begin"/>
    </w:r>
    <w:r w:rsidRPr="00557B49">
      <w:rPr>
        <w:sz w:val="24"/>
        <w:szCs w:val="24"/>
      </w:rPr>
      <w:instrText xml:space="preserve"> PAGE   \* MERGEFORMAT </w:instrText>
    </w:r>
    <w:r w:rsidRPr="00557B49">
      <w:rPr>
        <w:sz w:val="24"/>
        <w:szCs w:val="24"/>
      </w:rPr>
      <w:fldChar w:fldCharType="separate"/>
    </w:r>
    <w:r w:rsidR="003C3BBE">
      <w:rPr>
        <w:noProof/>
        <w:sz w:val="24"/>
        <w:szCs w:val="24"/>
      </w:rPr>
      <w:t>2</w:t>
    </w:r>
    <w:r w:rsidRPr="00557B49">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2500"/>
      <w:docPartObj>
        <w:docPartGallery w:val="Page Numbers (Bottom of Page)"/>
        <w:docPartUnique/>
      </w:docPartObj>
    </w:sdtPr>
    <w:sdtEndPr/>
    <w:sdtContent>
      <w:p w14:paraId="0294A875" w14:textId="77777777" w:rsidR="00B930B0" w:rsidRDefault="00B930B0">
        <w:pPr>
          <w:pStyle w:val="Footer"/>
          <w:jc w:val="center"/>
        </w:pPr>
        <w:r>
          <w:fldChar w:fldCharType="begin"/>
        </w:r>
        <w:r>
          <w:instrText xml:space="preserve"> PAGE   \* MERGEFORMAT </w:instrText>
        </w:r>
        <w:r>
          <w:fldChar w:fldCharType="separate"/>
        </w:r>
        <w:r w:rsidR="003C3BBE">
          <w:rPr>
            <w:noProof/>
          </w:rPr>
          <w:t>26</w:t>
        </w:r>
        <w:r>
          <w:rPr>
            <w:noProof/>
          </w:rPr>
          <w:fldChar w:fldCharType="end"/>
        </w:r>
      </w:p>
    </w:sdtContent>
  </w:sdt>
  <w:p w14:paraId="1C0F43C2" w14:textId="77777777" w:rsidR="00B930B0" w:rsidRPr="00B12888" w:rsidRDefault="00B930B0" w:rsidP="00B12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71835" w14:textId="77777777" w:rsidR="00026D8E" w:rsidRDefault="00026D8E" w:rsidP="002B567E">
      <w:r>
        <w:separator/>
      </w:r>
    </w:p>
  </w:footnote>
  <w:footnote w:type="continuationSeparator" w:id="0">
    <w:p w14:paraId="0B9B61BA" w14:textId="77777777" w:rsidR="00026D8E" w:rsidRDefault="00026D8E" w:rsidP="002B567E">
      <w:r>
        <w:continuationSeparator/>
      </w:r>
    </w:p>
  </w:footnote>
  <w:footnote w:id="1">
    <w:p w14:paraId="15042F32" w14:textId="77777777" w:rsidR="00B930B0" w:rsidRPr="00915019" w:rsidRDefault="00B930B0" w:rsidP="0028052D">
      <w:pPr>
        <w:pStyle w:val="Default"/>
        <w:rPr>
          <w:sz w:val="20"/>
          <w:szCs w:val="20"/>
        </w:rPr>
      </w:pPr>
      <w:r w:rsidRPr="00915019">
        <w:rPr>
          <w:rStyle w:val="FootnoteReference"/>
          <w:sz w:val="20"/>
          <w:szCs w:val="20"/>
        </w:rPr>
        <w:footnoteRef/>
      </w:r>
      <w:r w:rsidRPr="00915019">
        <w:rPr>
          <w:sz w:val="20"/>
          <w:szCs w:val="20"/>
        </w:rPr>
        <w:t xml:space="preserve"> </w:t>
      </w:r>
      <w:proofErr w:type="spellStart"/>
      <w:r w:rsidRPr="00915019">
        <w:rPr>
          <w:rFonts w:eastAsia="Times New Roman"/>
          <w:i/>
          <w:color w:val="auto"/>
          <w:sz w:val="20"/>
          <w:szCs w:val="20"/>
        </w:rPr>
        <w:t>Science</w:t>
      </w:r>
      <w:proofErr w:type="spellEnd"/>
      <w:r w:rsidRPr="00915019">
        <w:rPr>
          <w:rFonts w:eastAsia="Times New Roman"/>
          <w:i/>
          <w:color w:val="auto"/>
          <w:sz w:val="20"/>
          <w:szCs w:val="20"/>
        </w:rPr>
        <w:t xml:space="preserve">, </w:t>
      </w:r>
      <w:proofErr w:type="spellStart"/>
      <w:r w:rsidRPr="00915019">
        <w:rPr>
          <w:rFonts w:eastAsia="Times New Roman"/>
          <w:i/>
          <w:color w:val="auto"/>
          <w:sz w:val="20"/>
          <w:szCs w:val="20"/>
        </w:rPr>
        <w:t>Technology</w:t>
      </w:r>
      <w:proofErr w:type="spellEnd"/>
      <w:r w:rsidRPr="00915019">
        <w:rPr>
          <w:rFonts w:eastAsia="Times New Roman"/>
          <w:i/>
          <w:color w:val="auto"/>
          <w:sz w:val="20"/>
          <w:szCs w:val="20"/>
        </w:rPr>
        <w:t xml:space="preserve">, Engineering </w:t>
      </w:r>
      <w:proofErr w:type="spellStart"/>
      <w:r w:rsidRPr="00915019">
        <w:rPr>
          <w:rFonts w:eastAsia="Times New Roman"/>
          <w:i/>
          <w:color w:val="auto"/>
          <w:sz w:val="20"/>
          <w:szCs w:val="20"/>
        </w:rPr>
        <w:t>and</w:t>
      </w:r>
      <w:proofErr w:type="spellEnd"/>
      <w:r w:rsidRPr="00915019">
        <w:rPr>
          <w:rFonts w:eastAsia="Times New Roman"/>
          <w:i/>
          <w:color w:val="auto"/>
          <w:sz w:val="20"/>
          <w:szCs w:val="20"/>
        </w:rPr>
        <w:t xml:space="preserve"> </w:t>
      </w:r>
      <w:proofErr w:type="spellStart"/>
      <w:r w:rsidRPr="00915019">
        <w:rPr>
          <w:rFonts w:eastAsia="Times New Roman"/>
          <w:i/>
          <w:color w:val="auto"/>
          <w:sz w:val="20"/>
          <w:szCs w:val="20"/>
        </w:rPr>
        <w:t>Mathematics</w:t>
      </w:r>
      <w:proofErr w:type="spellEnd"/>
      <w:r w:rsidRPr="00915019">
        <w:rPr>
          <w:rFonts w:eastAsia="Times New Roman"/>
          <w:color w:val="auto"/>
          <w:sz w:val="20"/>
          <w:szCs w:val="20"/>
        </w:rPr>
        <w:t xml:space="preserve"> – zinātne, tehnoloģijas, inženierzinātnes, matemātika</w:t>
      </w:r>
      <w:r w:rsidRPr="00915019">
        <w:rPr>
          <w:sz w:val="20"/>
          <w:szCs w:val="20"/>
        </w:rPr>
        <w:t xml:space="preserve"> </w:t>
      </w:r>
    </w:p>
  </w:footnote>
  <w:footnote w:id="2">
    <w:p w14:paraId="5C9341F1" w14:textId="77777777" w:rsidR="00B930B0" w:rsidRDefault="00B930B0" w:rsidP="0028052D">
      <w:pPr>
        <w:pStyle w:val="FootnoteText"/>
      </w:pPr>
      <w:r>
        <w:rPr>
          <w:rStyle w:val="FootnoteReference"/>
        </w:rPr>
        <w:footnoteRef/>
      </w:r>
      <w:r>
        <w:t xml:space="preserve"> Ietverta Zinātnes, tehnoloģijas attīstības un inovācijas pamatnostādnēs 2014.-2020.gadam, </w:t>
      </w:r>
      <w:r w:rsidRPr="00506BB1">
        <w:t xml:space="preserve">pieejamas </w:t>
      </w:r>
      <w:hyperlink r:id="rId1" w:history="1">
        <w:r w:rsidRPr="00565444">
          <w:rPr>
            <w:rStyle w:val="Hyperlink"/>
          </w:rPr>
          <w:t>http://polsis.mk.gov.lv/view.do?id=4608</w:t>
        </w:r>
      </w:hyperlink>
      <w:r>
        <w:t>.</w:t>
      </w:r>
    </w:p>
  </w:footnote>
  <w:footnote w:id="3">
    <w:p w14:paraId="18559DE9" w14:textId="77777777" w:rsidR="00B930B0" w:rsidRDefault="00B930B0" w:rsidP="0028052D">
      <w:pPr>
        <w:pStyle w:val="FootnoteText"/>
      </w:pPr>
      <w:r w:rsidRPr="00506BB1">
        <w:rPr>
          <w:rStyle w:val="FootnoteReference"/>
        </w:rPr>
        <w:footnoteRef/>
      </w:r>
      <w:r w:rsidRPr="00506BB1">
        <w:t xml:space="preserve"> Zinātnes, tehnoloģijas attīstības un inovācijas pamatnostādnes 2014.</w:t>
      </w:r>
      <w:r>
        <w:t>-</w:t>
      </w:r>
      <w:r w:rsidRPr="00506BB1">
        <w:t xml:space="preserve">2020.gadam, pieejamas </w:t>
      </w:r>
      <w:hyperlink r:id="rId2" w:history="1">
        <w:r w:rsidRPr="00906376">
          <w:rPr>
            <w:rStyle w:val="Hyperlink"/>
            <w:lang w:val="en-US"/>
          </w:rPr>
          <w:t>http://polsis.mk.gov.lv/view.do?id=4608</w:t>
        </w:r>
      </w:hyperlink>
      <w:r>
        <w:rPr>
          <w:lang w:val="en-US"/>
        </w:rPr>
        <w:t xml:space="preserve"> </w:t>
      </w:r>
    </w:p>
  </w:footnote>
  <w:footnote w:id="4">
    <w:p w14:paraId="2797A194" w14:textId="77777777" w:rsidR="00B930B0" w:rsidRDefault="00B930B0" w:rsidP="00C6374B">
      <w:pPr>
        <w:pStyle w:val="FootnoteText"/>
      </w:pPr>
      <w:r>
        <w:rPr>
          <w:rStyle w:val="FootnoteReference"/>
        </w:rPr>
        <w:footnoteRef/>
      </w:r>
      <w:r>
        <w:t xml:space="preserve"> </w:t>
      </w:r>
      <w:r w:rsidRPr="00101F8D">
        <w:t>Atbilstoši Ministru Kabineta 2014.gada 7.janvāra sēdes protokola Nr.1. 40.§ 2.punktam „STEM” (</w:t>
      </w:r>
      <w:proofErr w:type="spellStart"/>
      <w:r w:rsidRPr="00101F8D">
        <w:rPr>
          <w:i/>
          <w:iCs/>
        </w:rPr>
        <w:t>Science</w:t>
      </w:r>
      <w:proofErr w:type="spellEnd"/>
      <w:r w:rsidRPr="00101F8D">
        <w:rPr>
          <w:i/>
          <w:iCs/>
        </w:rPr>
        <w:t xml:space="preserve">, </w:t>
      </w:r>
      <w:proofErr w:type="spellStart"/>
      <w:r w:rsidRPr="00101F8D">
        <w:rPr>
          <w:i/>
          <w:iCs/>
        </w:rPr>
        <w:t>Technology</w:t>
      </w:r>
      <w:proofErr w:type="spellEnd"/>
      <w:r w:rsidRPr="00101F8D">
        <w:rPr>
          <w:i/>
          <w:iCs/>
        </w:rPr>
        <w:t xml:space="preserve">, Engineering </w:t>
      </w:r>
      <w:proofErr w:type="spellStart"/>
      <w:r w:rsidRPr="00101F8D">
        <w:rPr>
          <w:i/>
          <w:iCs/>
        </w:rPr>
        <w:t>and</w:t>
      </w:r>
      <w:proofErr w:type="spellEnd"/>
      <w:r w:rsidRPr="00101F8D">
        <w:rPr>
          <w:i/>
          <w:iCs/>
        </w:rPr>
        <w:t xml:space="preserve"> </w:t>
      </w:r>
      <w:proofErr w:type="spellStart"/>
      <w:r w:rsidRPr="00101F8D">
        <w:rPr>
          <w:i/>
          <w:iCs/>
        </w:rPr>
        <w:t>Mathematics</w:t>
      </w:r>
      <w:proofErr w:type="spellEnd"/>
      <w:r w:rsidRPr="00101F8D">
        <w:rPr>
          <w:i/>
          <w:iCs/>
        </w:rPr>
        <w:t xml:space="preserve"> – </w:t>
      </w:r>
      <w:r w:rsidRPr="00101F8D">
        <w:t>zinātne, tehnoloģijas, inženierzinātnes,</w:t>
      </w:r>
      <w:r>
        <w:t xml:space="preserve"> </w:t>
      </w:r>
      <w:r w:rsidRPr="00101F8D">
        <w:t>matemātika</w:t>
      </w:r>
      <w:r w:rsidRPr="00101F8D">
        <w:rPr>
          <w:lang w:eastAsia="ja-JP"/>
        </w:rPr>
        <w:t xml:space="preserve">) </w:t>
      </w:r>
      <w:r w:rsidRPr="00101F8D">
        <w:t>skaidrojums papildināts ar</w:t>
      </w:r>
      <w:r>
        <w:t xml:space="preserve"> vārdiem</w:t>
      </w:r>
      <w:r w:rsidRPr="00101F8D">
        <w:t xml:space="preserve"> „medicīna un radošās industrijas”.</w:t>
      </w:r>
    </w:p>
  </w:footnote>
  <w:footnote w:id="5">
    <w:p w14:paraId="7F1E6B80" w14:textId="77777777" w:rsidR="00B930B0" w:rsidRDefault="00B930B0" w:rsidP="00C6374B">
      <w:pPr>
        <w:pStyle w:val="FootnoteText"/>
      </w:pPr>
      <w:r>
        <w:rPr>
          <w:rStyle w:val="FootnoteReference"/>
        </w:rPr>
        <w:footnoteRef/>
      </w:r>
      <w:r>
        <w:t xml:space="preserve"> Radošo industriju izglītības jomas definētas, ņemot vērā termina „radošās industrijas” sniegto skaidrojumu Kultūrpolitikas pamatnostādnēs 2014.-2020.gadam „Radošā Latvija” (2.pielikumā) un izvērtējot tā atbilstību pret </w:t>
      </w:r>
      <w:r w:rsidRPr="00BE3D95">
        <w:t>MK 02.12.2008. noteikumu Nr.990 „Noteikumi par Latvijas izglītības klasifikāciju” (2.pielikumā) ietverto studiju programmu klasifikāciju izglītības tematiskajās grupās un tematiskajās jomās</w:t>
      </w:r>
      <w:r>
        <w:t>.</w:t>
      </w:r>
    </w:p>
  </w:footnote>
  <w:footnote w:id="6">
    <w:p w14:paraId="4D0F0B4E" w14:textId="77777777" w:rsidR="00B930B0" w:rsidRDefault="00B930B0">
      <w:pPr>
        <w:pStyle w:val="FootnoteText"/>
      </w:pPr>
      <w:r>
        <w:rPr>
          <w:rStyle w:val="FootnoteReference"/>
        </w:rPr>
        <w:footnoteRef/>
      </w:r>
      <w:r>
        <w:t xml:space="preserve"> </w:t>
      </w:r>
      <w:r w:rsidRPr="00ED6B0F">
        <w:t>Pārskats par Latvijas augstāko izglītību 201</w:t>
      </w:r>
      <w:r>
        <w:t>5</w:t>
      </w:r>
      <w:r w:rsidRPr="00ED6B0F">
        <w:t>.gadā, pieejams</w:t>
      </w:r>
      <w:r w:rsidRPr="00ED6B0F">
        <w:rPr>
          <w:rStyle w:val="Strong"/>
        </w:rPr>
        <w:t xml:space="preserve"> </w:t>
      </w:r>
      <w:r w:rsidRPr="001350B8">
        <w:t>http://izm.gov.lv/lv/publikacijas-un-statistika/statistika-par-izglitibu/statistika-par-augstako-izglitibu</w:t>
      </w:r>
    </w:p>
  </w:footnote>
  <w:footnote w:id="7">
    <w:p w14:paraId="55318846" w14:textId="77777777" w:rsidR="00B930B0" w:rsidRDefault="00B930B0">
      <w:pPr>
        <w:pStyle w:val="FootnoteText"/>
      </w:pPr>
      <w:r>
        <w:rPr>
          <w:rStyle w:val="FootnoteReference"/>
        </w:rPr>
        <w:footnoteRef/>
      </w:r>
      <w:r>
        <w:t xml:space="preserve"> 2007./2008.ak.gada sākumā Latvijas augstskolās studēja 114998 studenti, bet 2015./2016.ak. gada sākumā  73504 studenti (</w:t>
      </w:r>
      <w:hyperlink r:id="rId3" w:history="1">
        <w:r w:rsidRPr="00FD3057">
          <w:rPr>
            <w:rStyle w:val="Hyperlink"/>
          </w:rPr>
          <w:t>http://izm.gov.lv/lv/publikacijas-un-statistika/statistika-par-izglitibu/statistika-par-augstako-izglitibu</w:t>
        </w:r>
      </w:hyperlink>
      <w:r>
        <w:t xml:space="preserve">) </w:t>
      </w:r>
    </w:p>
  </w:footnote>
  <w:footnote w:id="8">
    <w:p w14:paraId="6845D692" w14:textId="77777777" w:rsidR="00B930B0" w:rsidRDefault="00B930B0">
      <w:pPr>
        <w:pStyle w:val="FootnoteText"/>
      </w:pPr>
      <w:r>
        <w:rPr>
          <w:rStyle w:val="FootnoteReference"/>
        </w:rPr>
        <w:footnoteRef/>
      </w:r>
      <w:r>
        <w:t xml:space="preserve"> Saskaņā ar </w:t>
      </w:r>
      <w:r w:rsidRPr="00BE3D95">
        <w:t>MK 02.12.2008. noteikum</w:t>
      </w:r>
      <w:r>
        <w:t>iem</w:t>
      </w:r>
      <w:r w:rsidRPr="00BE3D95">
        <w:t xml:space="preserve"> Nr.990 „Noteikumi par Latvijas izglītības klasifikāciju”</w:t>
      </w:r>
      <w:r>
        <w:t xml:space="preserve">, pieejams </w:t>
      </w:r>
      <w:hyperlink r:id="rId4" w:history="1">
        <w:r w:rsidRPr="00D17A8A">
          <w:rPr>
            <w:rStyle w:val="Hyperlink"/>
          </w:rPr>
          <w:t>http://likumi.lv/doc.php?id=184810</w:t>
        </w:r>
      </w:hyperlink>
    </w:p>
  </w:footnote>
  <w:footnote w:id="9">
    <w:p w14:paraId="5A458384" w14:textId="77777777" w:rsidR="00B930B0" w:rsidRDefault="00B930B0">
      <w:pPr>
        <w:pStyle w:val="FootnoteText"/>
      </w:pPr>
      <w:r>
        <w:rPr>
          <w:rStyle w:val="FootnoteReference"/>
        </w:rPr>
        <w:footnoteRef/>
      </w:r>
      <w:r>
        <w:t xml:space="preserve"> </w:t>
      </w:r>
      <w:proofErr w:type="spellStart"/>
      <w:r>
        <w:t>Pamatstudiju</w:t>
      </w:r>
      <w:proofErr w:type="spellEnd"/>
      <w:r>
        <w:t xml:space="preserve"> programmas ir 1. līmeņa profesionālās augstākās izglītības (koledžas) programmas (koda 1.un 2.cipars ir „41’”), akadēmiskā bakalaura studiju programmas (koda 1.un 2.cipars ir „43”) un 2.līmeņa profesionālās augstākās izglītības studiju programmas (5.līmeņa profesionālā kvalifikācija un profesionālā bakalaura grāds vai 5.līmeņa profesionālā kvalifikācija, koda 1.un 2.cipars ir „42”). Augstākā līmeņa programmas ir akadēmiskā maģistra programmas (koda 1.un 2.cipars ir „45”), profesionālā maģistra programmas (koda 1.un 2.cipars ir „47”), 2.līmeņa profesionālās augstākās izglītības studiju programmas (kodu 1.un 2.cipars ir „4”, „46”, „49”) kā arī doktora studiju programmas (koda 1.un 2.cipars ir „51”) (saskaņā ar </w:t>
      </w:r>
      <w:r w:rsidRPr="00BE3D95">
        <w:t>MK 02.12.2008. noteikum</w:t>
      </w:r>
      <w:r>
        <w:t>iem</w:t>
      </w:r>
      <w:r w:rsidRPr="00BE3D95">
        <w:t xml:space="preserve"> Nr.990 „Noteikumi par Latvijas izglītības klasifikāciju</w:t>
      </w:r>
      <w:r>
        <w:t>).</w:t>
      </w:r>
    </w:p>
  </w:footnote>
  <w:footnote w:id="10">
    <w:p w14:paraId="37D34F0C" w14:textId="77777777" w:rsidR="00B930B0" w:rsidRDefault="00B930B0" w:rsidP="004D5CCF">
      <w:pPr>
        <w:pStyle w:val="FootnoteText"/>
      </w:pPr>
      <w:r>
        <w:rPr>
          <w:rStyle w:val="FootnoteReference"/>
        </w:rPr>
        <w:footnoteRef/>
      </w:r>
      <w:r>
        <w:t xml:space="preserve"> </w:t>
      </w:r>
      <w:r w:rsidRPr="00012582">
        <w:t>http://www.oecd-ilibrary.org/education/education-in-latvia_9789264250628-en</w:t>
      </w:r>
    </w:p>
  </w:footnote>
  <w:footnote w:id="11">
    <w:p w14:paraId="408C4F02" w14:textId="77777777" w:rsidR="00B930B0" w:rsidRDefault="00B930B0" w:rsidP="00F82B9A">
      <w:pPr>
        <w:pStyle w:val="FootnoteText"/>
      </w:pPr>
      <w:r>
        <w:rPr>
          <w:rStyle w:val="FootnoteReference"/>
        </w:rPr>
        <w:footnoteRef/>
      </w:r>
      <w:r>
        <w:t xml:space="preserve"> </w:t>
      </w:r>
      <w:r w:rsidRPr="000B2200">
        <w:t xml:space="preserve">Pētījums „Publisko individuālo pakalpojumu klāsta </w:t>
      </w:r>
      <w:proofErr w:type="spellStart"/>
      <w:r w:rsidRPr="000B2200">
        <w:t>izvērtējums</w:t>
      </w:r>
      <w:proofErr w:type="spellEnd"/>
      <w:r w:rsidRPr="000B2200">
        <w:t xml:space="preserve"> atbilstoši </w:t>
      </w:r>
      <w:proofErr w:type="spellStart"/>
      <w:r w:rsidRPr="000B2200">
        <w:t>apdzīvojumam</w:t>
      </w:r>
      <w:proofErr w:type="spellEnd"/>
      <w:r w:rsidRPr="000B2200">
        <w:t>” (2014)</w:t>
      </w:r>
      <w:r>
        <w:t xml:space="preserve">, pieejams </w:t>
      </w:r>
      <w:hyperlink r:id="rId5" w:history="1">
        <w:r w:rsidRPr="004C2EF1">
          <w:rPr>
            <w:rStyle w:val="Hyperlink"/>
          </w:rPr>
          <w:t>http://www.varam.gov.lv/lat/aktual/preses_relizes/?doc=19982</w:t>
        </w:r>
      </w:hyperlink>
      <w:r>
        <w:t xml:space="preserve">. </w:t>
      </w:r>
    </w:p>
  </w:footnote>
  <w:footnote w:id="12">
    <w:p w14:paraId="61BFDCC9" w14:textId="77777777" w:rsidR="00B930B0" w:rsidRDefault="00B930B0">
      <w:pPr>
        <w:pStyle w:val="FootnoteText"/>
      </w:pPr>
      <w:r>
        <w:rPr>
          <w:rStyle w:val="FootnoteReference"/>
        </w:rPr>
        <w:footnoteRef/>
      </w:r>
      <w:r>
        <w:t xml:space="preserve"> </w:t>
      </w:r>
      <w:r w:rsidRPr="00D31102">
        <w:t>https://www.em.gov.lv/files/tautsaimniecibas_attistiba/dsp/EMZino_06_160616.pdf</w:t>
      </w:r>
    </w:p>
  </w:footnote>
  <w:footnote w:id="13">
    <w:p w14:paraId="1885FBCA" w14:textId="77777777" w:rsidR="00B930B0" w:rsidRDefault="00B930B0" w:rsidP="004572BD">
      <w:pPr>
        <w:pStyle w:val="FootnoteText"/>
      </w:pPr>
      <w:r>
        <w:rPr>
          <w:rStyle w:val="FootnoteReference"/>
        </w:rPr>
        <w:footnoteRef/>
      </w:r>
      <w:r>
        <w:t xml:space="preserve"> </w:t>
      </w:r>
      <w:r w:rsidRPr="009D5BB6">
        <w:t>http://polsis.mk.gov.lv/docSearch.do?searchtype=ows&amp;clearnav=true</w:t>
      </w:r>
    </w:p>
  </w:footnote>
  <w:footnote w:id="14">
    <w:p w14:paraId="67193605" w14:textId="77777777" w:rsidR="00B930B0" w:rsidRDefault="00B930B0" w:rsidP="00D42476">
      <w:pPr>
        <w:pStyle w:val="FootnoteText"/>
      </w:pPr>
      <w:r>
        <w:rPr>
          <w:rStyle w:val="FootnoteReference"/>
        </w:rPr>
        <w:footnoteRef/>
      </w:r>
      <w:r>
        <w:t xml:space="preserve"> </w:t>
      </w:r>
      <w:r w:rsidRPr="00AD5682">
        <w:t>http://polsis.mk.gov.lv/LoadAtt/file39192.pdf</w:t>
      </w:r>
    </w:p>
  </w:footnote>
  <w:footnote w:id="15">
    <w:p w14:paraId="4D3A3C27" w14:textId="77777777" w:rsidR="00B930B0" w:rsidRDefault="00B930B0" w:rsidP="000F1ADE">
      <w:pPr>
        <w:pStyle w:val="FootnoteText"/>
      </w:pPr>
      <w:r>
        <w:rPr>
          <w:rStyle w:val="FootnoteReference"/>
        </w:rPr>
        <w:footnoteRef/>
      </w:r>
      <w:r>
        <w:t xml:space="preserve"> Kopējais valsts budžeta finansēto studiju vietu skaits 2016.gadā ir 23 443</w:t>
      </w:r>
    </w:p>
  </w:footnote>
  <w:footnote w:id="16">
    <w:p w14:paraId="4E2271F1" w14:textId="77777777" w:rsidR="00B930B0" w:rsidRPr="006A6930" w:rsidRDefault="00B930B0" w:rsidP="000F1ADE">
      <w:pPr>
        <w:autoSpaceDE w:val="0"/>
        <w:autoSpaceDN w:val="0"/>
        <w:adjustRightInd w:val="0"/>
        <w:rPr>
          <w:sz w:val="20"/>
        </w:rPr>
      </w:pPr>
      <w:r w:rsidRPr="006A6930">
        <w:rPr>
          <w:rStyle w:val="FootnoteReference"/>
          <w:sz w:val="20"/>
        </w:rPr>
        <w:footnoteRef/>
      </w:r>
      <w:r w:rsidRPr="006A6930">
        <w:rPr>
          <w:sz w:val="20"/>
        </w:rPr>
        <w:t xml:space="preserve"> </w:t>
      </w:r>
      <w:hyperlink r:id="rId6" w:history="1">
        <w:r w:rsidRPr="006A6930">
          <w:rPr>
            <w:rStyle w:val="Hyperlink"/>
            <w:sz w:val="20"/>
          </w:rPr>
          <w:t>http://www.izm.gov.lv/images/izglitiba_augst/06.pdf</w:t>
        </w:r>
      </w:hyperlink>
    </w:p>
  </w:footnote>
  <w:footnote w:id="17">
    <w:p w14:paraId="1A7A1939" w14:textId="77777777" w:rsidR="00B930B0" w:rsidRDefault="00B930B0" w:rsidP="000F1ADE">
      <w:pPr>
        <w:pStyle w:val="FootnoteText"/>
      </w:pPr>
      <w:r>
        <w:rPr>
          <w:rStyle w:val="FootnoteReference"/>
        </w:rPr>
        <w:footnoteRef/>
      </w:r>
      <w:r>
        <w:t xml:space="preserve"> </w:t>
      </w:r>
      <w:r w:rsidRPr="00F4509A">
        <w:t>http://likumi.lv/ta/id/274944-par-jauna-augstakas-izglitibas-finansesanas-modela-ieviesanu-latvija</w:t>
      </w:r>
    </w:p>
  </w:footnote>
  <w:footnote w:id="18">
    <w:p w14:paraId="59265E0C" w14:textId="77777777" w:rsidR="00B930B0" w:rsidRDefault="00B930B0" w:rsidP="00F72FB0">
      <w:pPr>
        <w:pStyle w:val="FootnoteText"/>
      </w:pPr>
      <w:r>
        <w:rPr>
          <w:rStyle w:val="FootnoteReference"/>
        </w:rPr>
        <w:footnoteRef/>
      </w:r>
      <w:r>
        <w:t xml:space="preserve"> </w:t>
      </w:r>
      <w:r w:rsidRPr="00EE5762">
        <w:t>http://www.varam.gov.lv/lat/fondi/ets/</w:t>
      </w:r>
    </w:p>
  </w:footnote>
  <w:footnote w:id="19">
    <w:p w14:paraId="2FF2D0FF" w14:textId="77777777" w:rsidR="00B930B0" w:rsidRPr="002D23B1" w:rsidRDefault="00B930B0" w:rsidP="00F72FB0">
      <w:pPr>
        <w:pStyle w:val="FootnoteText"/>
      </w:pPr>
      <w:r>
        <w:rPr>
          <w:rStyle w:val="FootnoteReference"/>
        </w:rPr>
        <w:footnoteRef/>
      </w:r>
      <w:r>
        <w:t xml:space="preserve"> </w:t>
      </w:r>
      <w:r w:rsidRPr="00BC5E09">
        <w:rPr>
          <w:bCs/>
          <w:szCs w:val="24"/>
          <w:lang w:eastAsia="lv-LV"/>
        </w:rPr>
        <w:t xml:space="preserve">Ministru kabineta </w:t>
      </w:r>
      <w:r w:rsidRPr="00B524B2">
        <w:rPr>
          <w:szCs w:val="24"/>
          <w:lang w:eastAsia="lv-LV"/>
        </w:rPr>
        <w:t>2009.gada 24.marta</w:t>
      </w:r>
      <w:r w:rsidRPr="00BC5E09">
        <w:rPr>
          <w:szCs w:val="24"/>
          <w:lang w:eastAsia="lv-LV"/>
        </w:rPr>
        <w:t xml:space="preserve"> </w:t>
      </w:r>
      <w:r w:rsidRPr="00BC5E09">
        <w:rPr>
          <w:bCs/>
          <w:szCs w:val="24"/>
          <w:lang w:eastAsia="lv-LV"/>
        </w:rPr>
        <w:t>noteikumi Nr.265</w:t>
      </w:r>
      <w:r w:rsidRPr="00B524B2">
        <w:rPr>
          <w:szCs w:val="24"/>
          <w:lang w:eastAsia="lv-LV"/>
        </w:rPr>
        <w:t xml:space="preserve"> </w:t>
      </w:r>
      <w:r w:rsidRPr="00B524B2">
        <w:rPr>
          <w:bCs/>
          <w:szCs w:val="24"/>
          <w:lang w:eastAsia="lv-LV"/>
        </w:rPr>
        <w:t>„</w:t>
      </w:r>
      <w:r w:rsidRPr="00BC5E09">
        <w:rPr>
          <w:bCs/>
          <w:szCs w:val="24"/>
          <w:lang w:eastAsia="lv-LV"/>
        </w:rPr>
        <w:t>Not</w:t>
      </w:r>
      <w:r w:rsidRPr="00B524B2">
        <w:rPr>
          <w:bCs/>
          <w:szCs w:val="24"/>
          <w:lang w:eastAsia="lv-LV"/>
        </w:rPr>
        <w:t>eikumi</w:t>
      </w:r>
      <w:r>
        <w:rPr>
          <w:bCs/>
          <w:szCs w:val="24"/>
          <w:lang w:eastAsia="lv-LV"/>
        </w:rPr>
        <w:t xml:space="preserve"> par </w:t>
      </w:r>
      <w:r w:rsidRPr="002D23B1">
        <w:rPr>
          <w:iCs/>
        </w:rPr>
        <w:t xml:space="preserve">darbības </w:t>
      </w:r>
      <w:r w:rsidRPr="002D23B1">
        <w:rPr>
          <w:bCs/>
          <w:lang w:eastAsia="lv-LV"/>
        </w:rPr>
        <w:t xml:space="preserve">programmas „Infrastruktūra un pakalpojumi” papildinājuma </w:t>
      </w:r>
      <w:r w:rsidRPr="002D23B1">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sidRPr="002D23B1">
        <w:rPr>
          <w:bCs/>
          <w:lang w:eastAsia="lv-LV"/>
        </w:rPr>
        <w:t xml:space="preserve"> </w:t>
      </w:r>
      <w:r w:rsidRPr="00B06725">
        <w:rPr>
          <w:bCs/>
          <w:lang w:eastAsia="lv-LV"/>
        </w:rPr>
        <w:t>3.1.2.1.1.</w:t>
      </w:r>
      <w:r w:rsidRPr="002D23B1">
        <w:rPr>
          <w:bCs/>
          <w:lang w:eastAsia="lv-LV"/>
        </w:rPr>
        <w:t xml:space="preserve"> </w:t>
      </w:r>
      <w:proofErr w:type="spellStart"/>
      <w:r w:rsidRPr="002D23B1">
        <w:rPr>
          <w:bCs/>
          <w:lang w:eastAsia="lv-LV"/>
        </w:rPr>
        <w:t>apakšaktivitāti</w:t>
      </w:r>
      <w:proofErr w:type="spellEnd"/>
      <w:r w:rsidRPr="002D23B1">
        <w:rPr>
          <w:bCs/>
          <w:lang w:eastAsia="lv-LV"/>
        </w:rPr>
        <w:t xml:space="preserve"> „Augstākās izglītības iestāžu telpu un iekārtu modernizēšana studiju programmu kvalitātes uzlabošanai, tajā skaitā nodrošinot izglītības programmu apgūšanas iespējas arī personām ar funkcionāliem traucējumiem””</w:t>
      </w:r>
    </w:p>
  </w:footnote>
  <w:footnote w:id="20">
    <w:p w14:paraId="114889ED" w14:textId="77777777" w:rsidR="00B930B0" w:rsidRPr="008A5472" w:rsidRDefault="00B930B0" w:rsidP="00F72FB0">
      <w:pPr>
        <w:pStyle w:val="FootnoteText"/>
        <w:rPr>
          <w:b/>
        </w:rPr>
      </w:pPr>
      <w:r>
        <w:rPr>
          <w:rStyle w:val="FootnoteReference"/>
        </w:rPr>
        <w:footnoteRef/>
      </w:r>
      <w:r>
        <w:t xml:space="preserve"> Ministru kabineta 2010.</w:t>
      </w:r>
      <w:r w:rsidRPr="008A5472">
        <w:t>gada 5. janvāra noteikumi Nr. 1</w:t>
      </w:r>
      <w:r w:rsidRPr="008A5472">
        <w:rPr>
          <w:b/>
        </w:rPr>
        <w:t xml:space="preserve"> </w:t>
      </w:r>
      <w:hyperlink r:id="rId7" w:tgtFrame="_blank" w:history="1">
        <w:r w:rsidRPr="008A5472">
          <w:rPr>
            <w:rStyle w:val="Strong"/>
            <w:b w:val="0"/>
          </w:rPr>
          <w:t>"Klimata pārmaiņu finanšu instrumenta finansēto projektu atklāta konkursa "Energoefektivitātes paaugstināšana augstākās izglītības iestāžu ēkās" nolikums"</w:t>
        </w:r>
      </w:hyperlink>
    </w:p>
  </w:footnote>
  <w:footnote w:id="21">
    <w:p w14:paraId="26E000EC" w14:textId="77777777" w:rsidR="00B930B0" w:rsidRDefault="00B930B0" w:rsidP="00F72FB0">
      <w:pPr>
        <w:pStyle w:val="FootnoteText"/>
      </w:pPr>
      <w:r>
        <w:rPr>
          <w:rStyle w:val="FootnoteReference"/>
        </w:rPr>
        <w:footnoteRef/>
      </w:r>
      <w:r>
        <w:t xml:space="preserve"> </w:t>
      </w:r>
      <w:r w:rsidRPr="004B0283">
        <w:t>Ministru kabineta 2012.gada 14.augusta noteikumi Nr.559 „Klimata pārmaiņu finanšu instrumenta finansēto projektu atklāta konkursa „Kompleksi risinājumi siltumnīcefekta gāzu emisiju samazināšanai” nolikums”</w:t>
      </w:r>
    </w:p>
  </w:footnote>
  <w:footnote w:id="22">
    <w:p w14:paraId="7A901D92" w14:textId="77777777" w:rsidR="00B930B0" w:rsidRDefault="00B930B0" w:rsidP="00F72FB0">
      <w:pPr>
        <w:pStyle w:val="FootnoteText"/>
      </w:pPr>
      <w:r>
        <w:rPr>
          <w:rStyle w:val="FootnoteReference"/>
        </w:rPr>
        <w:footnoteRef/>
      </w:r>
      <w:r>
        <w:t xml:space="preserve"> </w:t>
      </w:r>
      <w:r w:rsidRPr="00D165BB">
        <w:t>http://www.esfondi.lv/upload/00-publikacijas/izm_02.pdf</w:t>
      </w:r>
    </w:p>
  </w:footnote>
  <w:footnote w:id="23">
    <w:p w14:paraId="05CB60F4" w14:textId="77777777" w:rsidR="00B930B0" w:rsidRDefault="00B930B0" w:rsidP="00F72FB0">
      <w:pPr>
        <w:pStyle w:val="FootnoteText"/>
      </w:pPr>
      <w:r>
        <w:rPr>
          <w:rStyle w:val="FootnoteReference"/>
        </w:rPr>
        <w:footnoteRef/>
      </w:r>
      <w:r>
        <w:t xml:space="preserve"> Ar </w:t>
      </w:r>
      <w:r w:rsidRPr="008D400D">
        <w:t xml:space="preserve">14.01.2016. Valsts ieņēmumu dienesta 19.10.2015. lēmumu Nr.8.72.2/L-42671 darbība izbeigta, http://company.lursoft.lv/vadibas-un-sociala-darba-augstskola-attistiba/40103020433 </w:t>
      </w:r>
    </w:p>
  </w:footnote>
  <w:footnote w:id="24">
    <w:p w14:paraId="66532E4E" w14:textId="77777777" w:rsidR="00B930B0" w:rsidRDefault="00B930B0" w:rsidP="00F72FB0">
      <w:pPr>
        <w:pStyle w:val="FootnoteText"/>
      </w:pPr>
      <w:r>
        <w:rPr>
          <w:rStyle w:val="FootnoteReference"/>
        </w:rPr>
        <w:footnoteRef/>
      </w:r>
      <w:r>
        <w:t xml:space="preserve"> Sk. sākotnējā novērtējuma 2.pielikuma </w:t>
      </w:r>
      <w:r w:rsidRPr="00704572">
        <w:t xml:space="preserve">2.sadaļu „3.1.2.1.1.apakšaktivitātes ietvaros īstenotie </w:t>
      </w:r>
      <w:r>
        <w:t>augstskolu</w:t>
      </w:r>
      <w:r w:rsidRPr="00704572">
        <w:t xml:space="preserve"> projekti”</w:t>
      </w:r>
      <w:r>
        <w:t>.</w:t>
      </w:r>
    </w:p>
  </w:footnote>
  <w:footnote w:id="25">
    <w:p w14:paraId="202452FC" w14:textId="77777777" w:rsidR="00B930B0" w:rsidRDefault="00B930B0" w:rsidP="00F72FB0">
      <w:pPr>
        <w:pStyle w:val="FootnoteText"/>
      </w:pPr>
      <w:r>
        <w:rPr>
          <w:rStyle w:val="FootnoteReference"/>
        </w:rPr>
        <w:footnoteRef/>
      </w:r>
      <w:r>
        <w:t xml:space="preserve"> Prioritārie virzieni tika noteikti </w:t>
      </w:r>
      <w:r w:rsidRPr="00BC5E09">
        <w:rPr>
          <w:bCs/>
          <w:szCs w:val="24"/>
          <w:lang w:eastAsia="lv-LV"/>
        </w:rPr>
        <w:t xml:space="preserve">Ministru kabineta </w:t>
      </w:r>
      <w:r w:rsidRPr="00B524B2">
        <w:rPr>
          <w:szCs w:val="24"/>
          <w:lang w:eastAsia="lv-LV"/>
        </w:rPr>
        <w:t>2009.gada 24.marta</w:t>
      </w:r>
      <w:r w:rsidRPr="00BC5E09">
        <w:rPr>
          <w:szCs w:val="24"/>
          <w:lang w:eastAsia="lv-LV"/>
        </w:rPr>
        <w:t xml:space="preserve"> </w:t>
      </w:r>
      <w:r>
        <w:rPr>
          <w:bCs/>
          <w:szCs w:val="24"/>
          <w:lang w:eastAsia="lv-LV"/>
        </w:rPr>
        <w:t>noteikumu</w:t>
      </w:r>
      <w:r w:rsidRPr="00BC5E09">
        <w:rPr>
          <w:bCs/>
          <w:szCs w:val="24"/>
          <w:lang w:eastAsia="lv-LV"/>
        </w:rPr>
        <w:t xml:space="preserve"> Nr.265</w:t>
      </w:r>
      <w:r w:rsidRPr="00B524B2">
        <w:rPr>
          <w:szCs w:val="24"/>
          <w:lang w:eastAsia="lv-LV"/>
        </w:rPr>
        <w:t xml:space="preserve"> </w:t>
      </w:r>
      <w:r w:rsidRPr="00B524B2">
        <w:rPr>
          <w:bCs/>
          <w:szCs w:val="24"/>
          <w:lang w:eastAsia="lv-LV"/>
        </w:rPr>
        <w:t>„</w:t>
      </w:r>
      <w:r w:rsidRPr="00BC5E09">
        <w:rPr>
          <w:bCs/>
          <w:szCs w:val="24"/>
          <w:lang w:eastAsia="lv-LV"/>
        </w:rPr>
        <w:t>Not</w:t>
      </w:r>
      <w:r w:rsidRPr="00B524B2">
        <w:rPr>
          <w:bCs/>
          <w:szCs w:val="24"/>
          <w:lang w:eastAsia="lv-LV"/>
        </w:rPr>
        <w:t>eikumi</w:t>
      </w:r>
      <w:r>
        <w:rPr>
          <w:bCs/>
          <w:szCs w:val="24"/>
          <w:lang w:eastAsia="lv-LV"/>
        </w:rPr>
        <w:t xml:space="preserve"> par </w:t>
      </w:r>
      <w:r w:rsidRPr="002D23B1">
        <w:rPr>
          <w:iCs/>
        </w:rPr>
        <w:t xml:space="preserve">darbības </w:t>
      </w:r>
      <w:r w:rsidRPr="002D23B1">
        <w:rPr>
          <w:bCs/>
          <w:lang w:eastAsia="lv-LV"/>
        </w:rPr>
        <w:t xml:space="preserve">programmas „Infrastruktūra un pakalpojumi” papildinājuma </w:t>
      </w:r>
      <w:r w:rsidRPr="002D23B1">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sidRPr="002D23B1">
        <w:rPr>
          <w:bCs/>
          <w:lang w:eastAsia="lv-LV"/>
        </w:rPr>
        <w:t xml:space="preserve"> </w:t>
      </w:r>
      <w:r w:rsidRPr="00B06725">
        <w:rPr>
          <w:bCs/>
          <w:lang w:eastAsia="lv-LV"/>
        </w:rPr>
        <w:t>3.1.2.1.1.</w:t>
      </w:r>
      <w:r w:rsidRPr="002D23B1">
        <w:rPr>
          <w:bCs/>
          <w:lang w:eastAsia="lv-LV"/>
        </w:rPr>
        <w:t xml:space="preserve"> </w:t>
      </w:r>
      <w:proofErr w:type="spellStart"/>
      <w:r w:rsidRPr="002D23B1">
        <w:rPr>
          <w:bCs/>
          <w:lang w:eastAsia="lv-LV"/>
        </w:rPr>
        <w:t>apakšaktivitāti</w:t>
      </w:r>
      <w:proofErr w:type="spellEnd"/>
      <w:r w:rsidRPr="002D23B1">
        <w:rPr>
          <w:bCs/>
          <w:lang w:eastAsia="lv-LV"/>
        </w:rPr>
        <w:t xml:space="preserve"> „Augstākās izglītības iestāžu telpu un iekārtu modernizēšana studiju programmu kvalitātes uzlabošanai, tajā skaitā nodrošinot izglītības programmu apgūšanas iespējas arī personām ar funkcionāliem traucējumiem””</w:t>
      </w:r>
      <w:r>
        <w:t xml:space="preserve"> 38.16.apakšpunktā.</w:t>
      </w:r>
    </w:p>
  </w:footnote>
  <w:footnote w:id="26">
    <w:p w14:paraId="2C904F8F" w14:textId="77777777" w:rsidR="00B930B0" w:rsidRDefault="00B930B0" w:rsidP="00F72FB0">
      <w:pPr>
        <w:pStyle w:val="FootnoteText"/>
      </w:pPr>
      <w:r>
        <w:rPr>
          <w:rStyle w:val="FootnoteReference"/>
        </w:rPr>
        <w:footnoteRef/>
      </w:r>
      <w:r w:rsidRPr="00926D3A">
        <w:t xml:space="preserve"> </w:t>
      </w:r>
      <w:r>
        <w:t>2007./2008. akadēmiskajā gadā.</w:t>
      </w:r>
    </w:p>
  </w:footnote>
  <w:footnote w:id="27">
    <w:p w14:paraId="3748FBC3" w14:textId="77777777" w:rsidR="00B930B0" w:rsidRDefault="00B930B0" w:rsidP="00F72FB0">
      <w:pPr>
        <w:pStyle w:val="FootnoteText"/>
      </w:pPr>
      <w:r>
        <w:rPr>
          <w:rStyle w:val="FootnoteReference"/>
        </w:rPr>
        <w:footnoteRef/>
      </w:r>
      <w:r w:rsidRPr="00926D3A">
        <w:t xml:space="preserve"> </w:t>
      </w:r>
      <w:r>
        <w:t>2006./2007. akadēmiskajā gadā.</w:t>
      </w:r>
    </w:p>
  </w:footnote>
  <w:footnote w:id="28">
    <w:p w14:paraId="05EF4761" w14:textId="77777777" w:rsidR="00B930B0" w:rsidRDefault="00B930B0" w:rsidP="00F72FB0">
      <w:pPr>
        <w:pStyle w:val="FootnoteText"/>
      </w:pPr>
      <w:r>
        <w:rPr>
          <w:rStyle w:val="FootnoteReference"/>
        </w:rPr>
        <w:footnoteRef/>
      </w:r>
      <w:r w:rsidRPr="00926D3A">
        <w:t xml:space="preserve"> </w:t>
      </w:r>
      <w:r>
        <w:t>2007./2008. akadēmiskajā gadā.</w:t>
      </w:r>
    </w:p>
  </w:footnote>
  <w:footnote w:id="29">
    <w:p w14:paraId="4791F80E" w14:textId="77777777" w:rsidR="00B930B0" w:rsidRDefault="00B930B0" w:rsidP="00F72FB0">
      <w:pPr>
        <w:pStyle w:val="FootnoteText"/>
      </w:pPr>
      <w:r>
        <w:rPr>
          <w:rStyle w:val="FootnoteReference"/>
        </w:rPr>
        <w:footnoteRef/>
      </w:r>
      <w:r>
        <w:t xml:space="preserve"> Darbības programmas „Infrastruktūra un pakalpojumi” papildinājums, </w:t>
      </w:r>
      <w:r w:rsidRPr="003D2C5E">
        <w:t>http://www.esfondi.lv/page.php?id=548</w:t>
      </w:r>
    </w:p>
  </w:footnote>
  <w:footnote w:id="30">
    <w:p w14:paraId="45E6042E" w14:textId="77777777" w:rsidR="00B930B0" w:rsidRDefault="00B930B0" w:rsidP="00C77F01">
      <w:pPr>
        <w:pStyle w:val="FootnoteText"/>
      </w:pPr>
      <w:r>
        <w:rPr>
          <w:rStyle w:val="FootnoteReference"/>
        </w:rPr>
        <w:footnoteRef/>
      </w:r>
      <w:r>
        <w:t xml:space="preserve"> Sk. sākotnējā novērtējuma 2.pielikuma </w:t>
      </w:r>
      <w:r w:rsidRPr="005D65AC">
        <w:t xml:space="preserve">2.sadaļu „3.1.2.1.1.apakšaktivitātes ietvaros īstenotie </w:t>
      </w:r>
      <w:r>
        <w:t>augstskolu</w:t>
      </w:r>
      <w:r w:rsidRPr="005D65AC">
        <w:t xml:space="preserve"> projekti” (2.izklājlapa)</w:t>
      </w:r>
      <w:r>
        <w:t>.</w:t>
      </w:r>
    </w:p>
  </w:footnote>
  <w:footnote w:id="31">
    <w:p w14:paraId="243B4369" w14:textId="77777777" w:rsidR="00B930B0" w:rsidRDefault="00B930B0" w:rsidP="00C77F01">
      <w:pPr>
        <w:pStyle w:val="FootnoteText"/>
      </w:pPr>
      <w:r>
        <w:rPr>
          <w:rStyle w:val="FootnoteReference"/>
        </w:rPr>
        <w:footnoteRef/>
      </w:r>
      <w:r>
        <w:t xml:space="preserve"> Sk. </w:t>
      </w:r>
      <w:r w:rsidRPr="00BC5E09">
        <w:rPr>
          <w:bCs/>
          <w:szCs w:val="24"/>
          <w:lang w:eastAsia="lv-LV"/>
        </w:rPr>
        <w:t xml:space="preserve">Ministru kabineta </w:t>
      </w:r>
      <w:r w:rsidRPr="00B524B2">
        <w:rPr>
          <w:szCs w:val="24"/>
          <w:lang w:eastAsia="lv-LV"/>
        </w:rPr>
        <w:t>2009.gada 24.marta</w:t>
      </w:r>
      <w:r w:rsidRPr="00BC5E09">
        <w:rPr>
          <w:szCs w:val="24"/>
          <w:lang w:eastAsia="lv-LV"/>
        </w:rPr>
        <w:t xml:space="preserve"> </w:t>
      </w:r>
      <w:r>
        <w:rPr>
          <w:bCs/>
          <w:szCs w:val="24"/>
          <w:lang w:eastAsia="lv-LV"/>
        </w:rPr>
        <w:t>noteikumu</w:t>
      </w:r>
      <w:r w:rsidRPr="00BC5E09">
        <w:rPr>
          <w:bCs/>
          <w:szCs w:val="24"/>
          <w:lang w:eastAsia="lv-LV"/>
        </w:rPr>
        <w:t xml:space="preserve"> Nr.265</w:t>
      </w:r>
      <w:r w:rsidRPr="00B524B2">
        <w:rPr>
          <w:szCs w:val="24"/>
          <w:lang w:eastAsia="lv-LV"/>
        </w:rPr>
        <w:t xml:space="preserve"> </w:t>
      </w:r>
      <w:r w:rsidRPr="00B524B2">
        <w:rPr>
          <w:bCs/>
          <w:szCs w:val="24"/>
          <w:lang w:eastAsia="lv-LV"/>
        </w:rPr>
        <w:t>„</w:t>
      </w:r>
      <w:r w:rsidRPr="00BC5E09">
        <w:rPr>
          <w:bCs/>
          <w:szCs w:val="24"/>
          <w:lang w:eastAsia="lv-LV"/>
        </w:rPr>
        <w:t>Not</w:t>
      </w:r>
      <w:r w:rsidRPr="00B524B2">
        <w:rPr>
          <w:bCs/>
          <w:szCs w:val="24"/>
          <w:lang w:eastAsia="lv-LV"/>
        </w:rPr>
        <w:t>eikumi</w:t>
      </w:r>
      <w:r>
        <w:rPr>
          <w:bCs/>
          <w:szCs w:val="24"/>
          <w:lang w:eastAsia="lv-LV"/>
        </w:rPr>
        <w:t xml:space="preserve"> par </w:t>
      </w:r>
      <w:r w:rsidRPr="002D23B1">
        <w:rPr>
          <w:iCs/>
        </w:rPr>
        <w:t xml:space="preserve">darbības </w:t>
      </w:r>
      <w:r w:rsidRPr="002D23B1">
        <w:rPr>
          <w:bCs/>
          <w:lang w:eastAsia="lv-LV"/>
        </w:rPr>
        <w:t xml:space="preserve">programmas „Infrastruktūra un pakalpojumi” papildinājuma </w:t>
      </w:r>
      <w:r w:rsidRPr="002D23B1">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sidRPr="002D23B1">
        <w:rPr>
          <w:bCs/>
          <w:lang w:eastAsia="lv-LV"/>
        </w:rPr>
        <w:t xml:space="preserve"> </w:t>
      </w:r>
      <w:r w:rsidRPr="00B06725">
        <w:rPr>
          <w:bCs/>
          <w:lang w:eastAsia="lv-LV"/>
        </w:rPr>
        <w:t>3.1.2.1.1.</w:t>
      </w:r>
      <w:r w:rsidRPr="002D23B1">
        <w:rPr>
          <w:bCs/>
          <w:lang w:eastAsia="lv-LV"/>
        </w:rPr>
        <w:t xml:space="preserve"> </w:t>
      </w:r>
      <w:proofErr w:type="spellStart"/>
      <w:r w:rsidRPr="002D23B1">
        <w:rPr>
          <w:bCs/>
          <w:lang w:eastAsia="lv-LV"/>
        </w:rPr>
        <w:t>apakšaktivitāti</w:t>
      </w:r>
      <w:proofErr w:type="spellEnd"/>
      <w:r w:rsidRPr="002D23B1">
        <w:rPr>
          <w:bCs/>
          <w:lang w:eastAsia="lv-LV"/>
        </w:rPr>
        <w:t xml:space="preserve"> „Augstākās izglītības iestāžu telpu un iekārtu modernizēšana studiju programmu kvalitātes uzlabošanai, tajā skaitā nodrošinot izglītības programmu apgūšanas iespējas arī personām ar funkcionāliem traucējumiem””</w:t>
      </w:r>
      <w:r>
        <w:t xml:space="preserve"> 39. un 40.punktu.</w:t>
      </w:r>
    </w:p>
  </w:footnote>
  <w:footnote w:id="32">
    <w:p w14:paraId="1095DFCD" w14:textId="77777777" w:rsidR="00B930B0" w:rsidRPr="004B5357" w:rsidRDefault="00B930B0" w:rsidP="00C77F01">
      <w:pPr>
        <w:pStyle w:val="FootnoteText"/>
      </w:pPr>
      <w:r>
        <w:rPr>
          <w:rStyle w:val="FootnoteReference"/>
        </w:rPr>
        <w:footnoteRef/>
      </w:r>
      <w:r>
        <w:t xml:space="preserve"> Sk. </w:t>
      </w:r>
      <w:r w:rsidRPr="00BC5E09">
        <w:rPr>
          <w:bCs/>
          <w:szCs w:val="24"/>
          <w:lang w:eastAsia="lv-LV"/>
        </w:rPr>
        <w:t xml:space="preserve">Ministru kabineta </w:t>
      </w:r>
      <w:r w:rsidRPr="00B524B2">
        <w:rPr>
          <w:szCs w:val="24"/>
          <w:lang w:eastAsia="lv-LV"/>
        </w:rPr>
        <w:t>2009.gada 24.marta</w:t>
      </w:r>
      <w:r w:rsidRPr="00BC5E09">
        <w:rPr>
          <w:szCs w:val="24"/>
          <w:lang w:eastAsia="lv-LV"/>
        </w:rPr>
        <w:t xml:space="preserve"> </w:t>
      </w:r>
      <w:r>
        <w:rPr>
          <w:bCs/>
          <w:szCs w:val="24"/>
          <w:lang w:eastAsia="lv-LV"/>
        </w:rPr>
        <w:t>noteikumu</w:t>
      </w:r>
      <w:r w:rsidRPr="00BC5E09">
        <w:rPr>
          <w:bCs/>
          <w:szCs w:val="24"/>
          <w:lang w:eastAsia="lv-LV"/>
        </w:rPr>
        <w:t xml:space="preserve"> Nr.265</w:t>
      </w:r>
      <w:r w:rsidRPr="00B524B2">
        <w:rPr>
          <w:szCs w:val="24"/>
          <w:lang w:eastAsia="lv-LV"/>
        </w:rPr>
        <w:t xml:space="preserve"> </w:t>
      </w:r>
      <w:r w:rsidRPr="00B524B2">
        <w:rPr>
          <w:bCs/>
          <w:szCs w:val="24"/>
          <w:lang w:eastAsia="lv-LV"/>
        </w:rPr>
        <w:t>„</w:t>
      </w:r>
      <w:r w:rsidRPr="00BC5E09">
        <w:rPr>
          <w:bCs/>
          <w:szCs w:val="24"/>
          <w:lang w:eastAsia="lv-LV"/>
        </w:rPr>
        <w:t>Not</w:t>
      </w:r>
      <w:r w:rsidRPr="00B524B2">
        <w:rPr>
          <w:bCs/>
          <w:szCs w:val="24"/>
          <w:lang w:eastAsia="lv-LV"/>
        </w:rPr>
        <w:t>eikumi</w:t>
      </w:r>
      <w:r>
        <w:rPr>
          <w:bCs/>
          <w:szCs w:val="24"/>
          <w:lang w:eastAsia="lv-LV"/>
        </w:rPr>
        <w:t xml:space="preserve"> par </w:t>
      </w:r>
      <w:r w:rsidRPr="002D23B1">
        <w:rPr>
          <w:iCs/>
        </w:rPr>
        <w:t xml:space="preserve">darbības </w:t>
      </w:r>
      <w:r w:rsidRPr="002D23B1">
        <w:rPr>
          <w:bCs/>
          <w:lang w:eastAsia="lv-LV"/>
        </w:rPr>
        <w:t xml:space="preserve">programmas „Infrastruktūra un pakalpojumi” papildinājuma </w:t>
      </w:r>
      <w:r w:rsidRPr="002D23B1">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sidRPr="002D23B1">
        <w:rPr>
          <w:bCs/>
          <w:lang w:eastAsia="lv-LV"/>
        </w:rPr>
        <w:t xml:space="preserve"> </w:t>
      </w:r>
      <w:r w:rsidRPr="00B06725">
        <w:rPr>
          <w:bCs/>
          <w:lang w:eastAsia="lv-LV"/>
        </w:rPr>
        <w:t>3.1.2.1.1.</w:t>
      </w:r>
      <w:r w:rsidRPr="002D23B1">
        <w:rPr>
          <w:bCs/>
          <w:lang w:eastAsia="lv-LV"/>
        </w:rPr>
        <w:t xml:space="preserve"> </w:t>
      </w:r>
      <w:proofErr w:type="spellStart"/>
      <w:r w:rsidRPr="002D23B1">
        <w:rPr>
          <w:bCs/>
          <w:lang w:eastAsia="lv-LV"/>
        </w:rPr>
        <w:t>apakšaktivitāti</w:t>
      </w:r>
      <w:proofErr w:type="spellEnd"/>
      <w:r w:rsidRPr="002D23B1">
        <w:rPr>
          <w:bCs/>
          <w:lang w:eastAsia="lv-LV"/>
        </w:rPr>
        <w:t xml:space="preserve"> „Augstākās izglītības iestāžu telpu un iekārtu modernizēšana studiju programmu kvalitātes uzlabošanai, tajā skaitā nodrošinot izglītības programmu apgūšanas </w:t>
      </w:r>
      <w:r w:rsidRPr="00133762">
        <w:rPr>
          <w:bCs/>
          <w:lang w:eastAsia="lv-LV"/>
        </w:rPr>
        <w:t>iespējas arī personām ar funkcionāliem traucējumiem””</w:t>
      </w:r>
      <w:r w:rsidRPr="00133762">
        <w:t xml:space="preserve"> </w:t>
      </w:r>
      <w:r w:rsidRPr="004B5357">
        <w:t>38.16.4., 39.14.apakšpunktu un 40.punktu.</w:t>
      </w:r>
    </w:p>
  </w:footnote>
  <w:footnote w:id="33">
    <w:p w14:paraId="60B767FA" w14:textId="77777777" w:rsidR="00B930B0" w:rsidRDefault="00B930B0" w:rsidP="003F6FB5">
      <w:pPr>
        <w:pStyle w:val="FootnoteText"/>
      </w:pPr>
      <w:r>
        <w:rPr>
          <w:rStyle w:val="FootnoteReference"/>
        </w:rPr>
        <w:footnoteRef/>
      </w:r>
      <w:r>
        <w:t xml:space="preserve"> </w:t>
      </w:r>
      <w:r w:rsidRPr="00193141">
        <w:t>http://kpfi.lv/index.php?page=par-kpfi-projektu</w:t>
      </w:r>
    </w:p>
  </w:footnote>
  <w:footnote w:id="34">
    <w:p w14:paraId="771CDDF9" w14:textId="77777777" w:rsidR="00B930B0" w:rsidRDefault="00B930B0" w:rsidP="003F6FB5">
      <w:pPr>
        <w:pStyle w:val="FootnoteText"/>
      </w:pPr>
      <w:r>
        <w:rPr>
          <w:rStyle w:val="FootnoteReference"/>
        </w:rPr>
        <w:footnoteRef/>
      </w:r>
      <w:r>
        <w:t xml:space="preserve"> LVIF dati</w:t>
      </w:r>
    </w:p>
  </w:footnote>
  <w:footnote w:id="35">
    <w:p w14:paraId="297C98D6" w14:textId="77777777" w:rsidR="00B930B0" w:rsidRDefault="00B930B0" w:rsidP="003F6FB5">
      <w:pPr>
        <w:pStyle w:val="FootnoteText"/>
      </w:pPr>
      <w:r>
        <w:rPr>
          <w:rStyle w:val="FootnoteReference"/>
        </w:rPr>
        <w:footnoteRef/>
      </w:r>
      <w:r>
        <w:t xml:space="preserve"> LVIF dati</w:t>
      </w:r>
    </w:p>
  </w:footnote>
  <w:footnote w:id="36">
    <w:p w14:paraId="2C001B7E" w14:textId="77777777" w:rsidR="00B930B0" w:rsidRDefault="00B930B0" w:rsidP="00E545A0">
      <w:pPr>
        <w:pStyle w:val="FootnoteText"/>
      </w:pPr>
      <w:r>
        <w:rPr>
          <w:rStyle w:val="FootnoteReference"/>
        </w:rPr>
        <w:footnoteRef/>
      </w:r>
      <w:r>
        <w:t xml:space="preserve"> </w:t>
      </w:r>
      <w:r w:rsidRPr="00EE5762">
        <w:t>http://www.varam.gov.lv/lat/fondi/ets/</w:t>
      </w:r>
    </w:p>
  </w:footnote>
  <w:footnote w:id="37">
    <w:p w14:paraId="1B2B6AC5" w14:textId="77777777" w:rsidR="00B930B0" w:rsidRDefault="00B930B0">
      <w:pPr>
        <w:pStyle w:val="FootnoteText"/>
      </w:pPr>
      <w:r>
        <w:rPr>
          <w:rStyle w:val="FootnoteReference"/>
        </w:rPr>
        <w:footnoteRef/>
      </w:r>
      <w:r>
        <w:t xml:space="preserve"> Informācija iegūta no ETS programmu sekretariātiem</w:t>
      </w:r>
    </w:p>
  </w:footnote>
  <w:footnote w:id="38">
    <w:p w14:paraId="6BABD1AB" w14:textId="77777777" w:rsidR="00B930B0" w:rsidRPr="005948C2" w:rsidRDefault="00B930B0" w:rsidP="009F7F1E">
      <w:pPr>
        <w:pStyle w:val="FootnoteText"/>
        <w:jc w:val="left"/>
      </w:pPr>
      <w:r>
        <w:rPr>
          <w:rStyle w:val="FootnoteReference"/>
        </w:rPr>
        <w:footnoteRef/>
      </w:r>
      <w:r>
        <w:t xml:space="preserve"> </w:t>
      </w:r>
      <w:r w:rsidRPr="005948C2">
        <w:t xml:space="preserve">23.04.2014. </w:t>
      </w:r>
      <w:r w:rsidRPr="005948C2">
        <w:rPr>
          <w:color w:val="000000"/>
        </w:rPr>
        <w:t>Diskusiju kopsavilkums, http://www.viaa.gov.lv/lat/zinatnes_inovacijas_progr/viedas_specializacijas_iev/diskusiju_materiali/?year=2014</w:t>
      </w:r>
    </w:p>
  </w:footnote>
  <w:footnote w:id="39">
    <w:p w14:paraId="39977F9D" w14:textId="77777777" w:rsidR="00B930B0" w:rsidRDefault="00B930B0">
      <w:pPr>
        <w:pStyle w:val="FootnoteText"/>
      </w:pPr>
      <w:r>
        <w:rPr>
          <w:rStyle w:val="FootnoteReference"/>
        </w:rPr>
        <w:footnoteRef/>
      </w:r>
      <w:r>
        <w:t xml:space="preserve"> Pieejams: </w:t>
      </w:r>
      <w:r w:rsidRPr="006B58BB">
        <w:t>http://likumi.lv/ta/id/284471</w:t>
      </w:r>
    </w:p>
  </w:footnote>
  <w:footnote w:id="40">
    <w:p w14:paraId="0407727F" w14:textId="77777777" w:rsidR="00B930B0" w:rsidRDefault="00B930B0" w:rsidP="00E300E7">
      <w:pPr>
        <w:pStyle w:val="FootnoteText"/>
      </w:pPr>
      <w:r>
        <w:rPr>
          <w:rStyle w:val="FootnoteReference"/>
        </w:rPr>
        <w:footnoteRef/>
      </w:r>
      <w:r>
        <w:t xml:space="preserve"> Pieejams: </w:t>
      </w:r>
      <w:r w:rsidRPr="006B58BB">
        <w:t>http://likumi.lv/ta/id/284471</w:t>
      </w:r>
    </w:p>
  </w:footnote>
  <w:footnote w:id="41">
    <w:p w14:paraId="2CC0180D" w14:textId="77777777" w:rsidR="00B930B0" w:rsidRDefault="00B930B0" w:rsidP="00145FA8">
      <w:pPr>
        <w:pStyle w:val="FootnoteText"/>
      </w:pPr>
      <w:r>
        <w:rPr>
          <w:rStyle w:val="FootnoteReference"/>
        </w:rPr>
        <w:footnoteRef/>
      </w:r>
      <w:r>
        <w:t xml:space="preserve"> Pieejams: </w:t>
      </w:r>
      <w:r w:rsidRPr="00A23332">
        <w:t>http://likumi.lv/ta/id/284471</w:t>
      </w:r>
    </w:p>
  </w:footnote>
  <w:footnote w:id="42">
    <w:p w14:paraId="6067811D" w14:textId="77777777" w:rsidR="00B930B0" w:rsidRDefault="00B930B0" w:rsidP="008D4501">
      <w:pPr>
        <w:pStyle w:val="FootnoteText"/>
      </w:pPr>
      <w:r>
        <w:rPr>
          <w:rStyle w:val="FootnoteReference"/>
        </w:rPr>
        <w:footnoteRef/>
      </w:r>
      <w:r>
        <w:t xml:space="preserve"> Pieejams: </w:t>
      </w:r>
      <w:r w:rsidRPr="00F26327">
        <w:t xml:space="preserve">http://tap.mk.gov.lv/doc/2016_08/IZMAnot_811_SAM_11082016.1708.docx </w:t>
      </w:r>
    </w:p>
  </w:footnote>
  <w:footnote w:id="43">
    <w:p w14:paraId="7DD11FEE" w14:textId="77777777" w:rsidR="00B930B0" w:rsidRDefault="00B930B0">
      <w:pPr>
        <w:pStyle w:val="FootnoteText"/>
      </w:pPr>
      <w:r>
        <w:rPr>
          <w:rStyle w:val="FootnoteReference"/>
        </w:rPr>
        <w:footnoteRef/>
      </w:r>
      <w:r>
        <w:t xml:space="preserve"> 2020. gadā </w:t>
      </w:r>
      <w:r w:rsidRPr="00F00A7C">
        <w:t>Latvijā iedzīvotāju īpatsvars ar augstāko izglītību 30</w:t>
      </w:r>
      <w:r>
        <w:t xml:space="preserve"> </w:t>
      </w:r>
      <w:r w:rsidRPr="00F00A7C">
        <w:t>–</w:t>
      </w:r>
      <w:r>
        <w:t xml:space="preserve"> </w:t>
      </w:r>
      <w:r w:rsidRPr="00F00A7C">
        <w:t>34 gadu vecuma grupā</w:t>
      </w:r>
      <w:r>
        <w:t xml:space="preserve"> 34 – 36% (</w:t>
      </w:r>
      <w:r w:rsidRPr="00F00A7C">
        <w:t>https://www.em.gov.lv/files/tautsaimniecibas_attistiba/LV_NRP_1.pdf</w:t>
      </w:r>
      <w:r>
        <w:t>)</w:t>
      </w:r>
    </w:p>
  </w:footnote>
  <w:footnote w:id="44">
    <w:p w14:paraId="5AC2EAF7" w14:textId="77777777" w:rsidR="00B930B0" w:rsidRDefault="00B930B0" w:rsidP="00CC154E">
      <w:pPr>
        <w:pStyle w:val="FootnoteText"/>
        <w:jc w:val="left"/>
      </w:pPr>
      <w:r>
        <w:rPr>
          <w:rStyle w:val="FootnoteReference"/>
        </w:rPr>
        <w:footnoteRef/>
      </w:r>
      <w:r>
        <w:t xml:space="preserve"> </w:t>
      </w:r>
      <w:proofErr w:type="spellStart"/>
      <w:r w:rsidRPr="00784E71">
        <w:t>Izvērtējums</w:t>
      </w:r>
      <w:proofErr w:type="spellEnd"/>
      <w:r w:rsidRPr="00784E71">
        <w:t xml:space="preserve"> pieejams: </w:t>
      </w:r>
      <w:hyperlink r:id="rId8" w:history="1">
        <w:r w:rsidRPr="00784E71">
          <w:rPr>
            <w:rStyle w:val="Hyperlink"/>
          </w:rPr>
          <w:t>http://www.esfondi.lv/upload/Petijumi_un_izvertejumi/apraksti/Petijuma_izvertesanas_zinojums_31012014.pdf</w:t>
        </w:r>
      </w:hyperlink>
      <w:r>
        <w:t>, sk. 287., 288.lpp.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4ABC" w14:textId="77777777" w:rsidR="00B930B0" w:rsidRDefault="00B930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44B376" w14:textId="77777777" w:rsidR="00B930B0" w:rsidRDefault="00B93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DE38" w14:textId="77777777" w:rsidR="00B930B0" w:rsidRDefault="00B930B0" w:rsidP="00EE2636">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D7728" w14:textId="77777777" w:rsidR="00B930B0" w:rsidRPr="00B12888" w:rsidRDefault="00B930B0" w:rsidP="00B12888">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181"/>
    <w:multiLevelType w:val="hybridMultilevel"/>
    <w:tmpl w:val="EF0ADF7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BFC6156"/>
    <w:multiLevelType w:val="hybridMultilevel"/>
    <w:tmpl w:val="E858232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C252527"/>
    <w:multiLevelType w:val="hybridMultilevel"/>
    <w:tmpl w:val="B2EA4180"/>
    <w:lvl w:ilvl="0" w:tplc="1102BE46">
      <w:start w:val="1"/>
      <w:numFmt w:val="bullet"/>
      <w:lvlText w:val="•"/>
      <w:lvlJc w:val="left"/>
      <w:pPr>
        <w:tabs>
          <w:tab w:val="num" w:pos="720"/>
        </w:tabs>
        <w:ind w:left="720" w:hanging="360"/>
      </w:pPr>
      <w:rPr>
        <w:rFonts w:ascii="Arial" w:hAnsi="Arial" w:hint="default"/>
      </w:rPr>
    </w:lvl>
    <w:lvl w:ilvl="1" w:tplc="07941E2E" w:tentative="1">
      <w:start w:val="1"/>
      <w:numFmt w:val="bullet"/>
      <w:lvlText w:val="•"/>
      <w:lvlJc w:val="left"/>
      <w:pPr>
        <w:tabs>
          <w:tab w:val="num" w:pos="1440"/>
        </w:tabs>
        <w:ind w:left="1440" w:hanging="360"/>
      </w:pPr>
      <w:rPr>
        <w:rFonts w:ascii="Arial" w:hAnsi="Arial" w:hint="default"/>
      </w:rPr>
    </w:lvl>
    <w:lvl w:ilvl="2" w:tplc="559A7424" w:tentative="1">
      <w:start w:val="1"/>
      <w:numFmt w:val="bullet"/>
      <w:lvlText w:val="•"/>
      <w:lvlJc w:val="left"/>
      <w:pPr>
        <w:tabs>
          <w:tab w:val="num" w:pos="2160"/>
        </w:tabs>
        <w:ind w:left="2160" w:hanging="360"/>
      </w:pPr>
      <w:rPr>
        <w:rFonts w:ascii="Arial" w:hAnsi="Arial" w:hint="default"/>
      </w:rPr>
    </w:lvl>
    <w:lvl w:ilvl="3" w:tplc="F80C9116" w:tentative="1">
      <w:start w:val="1"/>
      <w:numFmt w:val="bullet"/>
      <w:lvlText w:val="•"/>
      <w:lvlJc w:val="left"/>
      <w:pPr>
        <w:tabs>
          <w:tab w:val="num" w:pos="2880"/>
        </w:tabs>
        <w:ind w:left="2880" w:hanging="360"/>
      </w:pPr>
      <w:rPr>
        <w:rFonts w:ascii="Arial" w:hAnsi="Arial" w:hint="default"/>
      </w:rPr>
    </w:lvl>
    <w:lvl w:ilvl="4" w:tplc="892E4EEC" w:tentative="1">
      <w:start w:val="1"/>
      <w:numFmt w:val="bullet"/>
      <w:lvlText w:val="•"/>
      <w:lvlJc w:val="left"/>
      <w:pPr>
        <w:tabs>
          <w:tab w:val="num" w:pos="3600"/>
        </w:tabs>
        <w:ind w:left="3600" w:hanging="360"/>
      </w:pPr>
      <w:rPr>
        <w:rFonts w:ascii="Arial" w:hAnsi="Arial" w:hint="default"/>
      </w:rPr>
    </w:lvl>
    <w:lvl w:ilvl="5" w:tplc="42EE0AC2" w:tentative="1">
      <w:start w:val="1"/>
      <w:numFmt w:val="bullet"/>
      <w:lvlText w:val="•"/>
      <w:lvlJc w:val="left"/>
      <w:pPr>
        <w:tabs>
          <w:tab w:val="num" w:pos="4320"/>
        </w:tabs>
        <w:ind w:left="4320" w:hanging="360"/>
      </w:pPr>
      <w:rPr>
        <w:rFonts w:ascii="Arial" w:hAnsi="Arial" w:hint="default"/>
      </w:rPr>
    </w:lvl>
    <w:lvl w:ilvl="6" w:tplc="1316AF04" w:tentative="1">
      <w:start w:val="1"/>
      <w:numFmt w:val="bullet"/>
      <w:lvlText w:val="•"/>
      <w:lvlJc w:val="left"/>
      <w:pPr>
        <w:tabs>
          <w:tab w:val="num" w:pos="5040"/>
        </w:tabs>
        <w:ind w:left="5040" w:hanging="360"/>
      </w:pPr>
      <w:rPr>
        <w:rFonts w:ascii="Arial" w:hAnsi="Arial" w:hint="default"/>
      </w:rPr>
    </w:lvl>
    <w:lvl w:ilvl="7" w:tplc="9C68D9F2" w:tentative="1">
      <w:start w:val="1"/>
      <w:numFmt w:val="bullet"/>
      <w:lvlText w:val="•"/>
      <w:lvlJc w:val="left"/>
      <w:pPr>
        <w:tabs>
          <w:tab w:val="num" w:pos="5760"/>
        </w:tabs>
        <w:ind w:left="5760" w:hanging="360"/>
      </w:pPr>
      <w:rPr>
        <w:rFonts w:ascii="Arial" w:hAnsi="Arial" w:hint="default"/>
      </w:rPr>
    </w:lvl>
    <w:lvl w:ilvl="8" w:tplc="A81E1F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04398E"/>
    <w:multiLevelType w:val="hybridMultilevel"/>
    <w:tmpl w:val="A6440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6B5453"/>
    <w:multiLevelType w:val="hybridMultilevel"/>
    <w:tmpl w:val="71AEA42C"/>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171B0956"/>
    <w:multiLevelType w:val="hybridMultilevel"/>
    <w:tmpl w:val="BE2648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A12CCB"/>
    <w:multiLevelType w:val="hybridMultilevel"/>
    <w:tmpl w:val="574693F6"/>
    <w:lvl w:ilvl="0" w:tplc="0426000F">
      <w:start w:val="1"/>
      <w:numFmt w:val="decimal"/>
      <w:lvlText w:val="%1."/>
      <w:lvlJc w:val="left"/>
      <w:pPr>
        <w:ind w:left="970" w:hanging="360"/>
      </w:pPr>
    </w:lvl>
    <w:lvl w:ilvl="1" w:tplc="04260019">
      <w:start w:val="1"/>
      <w:numFmt w:val="lowerLetter"/>
      <w:lvlText w:val="%2."/>
      <w:lvlJc w:val="left"/>
      <w:pPr>
        <w:ind w:left="1690" w:hanging="360"/>
      </w:pPr>
    </w:lvl>
    <w:lvl w:ilvl="2" w:tplc="0426001B">
      <w:start w:val="1"/>
      <w:numFmt w:val="lowerRoman"/>
      <w:lvlText w:val="%3."/>
      <w:lvlJc w:val="right"/>
      <w:pPr>
        <w:ind w:left="2410" w:hanging="180"/>
      </w:pPr>
    </w:lvl>
    <w:lvl w:ilvl="3" w:tplc="0426000F" w:tentative="1">
      <w:start w:val="1"/>
      <w:numFmt w:val="decimal"/>
      <w:lvlText w:val="%4."/>
      <w:lvlJc w:val="left"/>
      <w:pPr>
        <w:ind w:left="3130" w:hanging="360"/>
      </w:pPr>
    </w:lvl>
    <w:lvl w:ilvl="4" w:tplc="04260019" w:tentative="1">
      <w:start w:val="1"/>
      <w:numFmt w:val="lowerLetter"/>
      <w:lvlText w:val="%5."/>
      <w:lvlJc w:val="left"/>
      <w:pPr>
        <w:ind w:left="3850" w:hanging="360"/>
      </w:pPr>
    </w:lvl>
    <w:lvl w:ilvl="5" w:tplc="0426001B" w:tentative="1">
      <w:start w:val="1"/>
      <w:numFmt w:val="lowerRoman"/>
      <w:lvlText w:val="%6."/>
      <w:lvlJc w:val="right"/>
      <w:pPr>
        <w:ind w:left="4570" w:hanging="180"/>
      </w:pPr>
    </w:lvl>
    <w:lvl w:ilvl="6" w:tplc="0426000F" w:tentative="1">
      <w:start w:val="1"/>
      <w:numFmt w:val="decimal"/>
      <w:lvlText w:val="%7."/>
      <w:lvlJc w:val="left"/>
      <w:pPr>
        <w:ind w:left="5290" w:hanging="360"/>
      </w:pPr>
    </w:lvl>
    <w:lvl w:ilvl="7" w:tplc="04260019" w:tentative="1">
      <w:start w:val="1"/>
      <w:numFmt w:val="lowerLetter"/>
      <w:lvlText w:val="%8."/>
      <w:lvlJc w:val="left"/>
      <w:pPr>
        <w:ind w:left="6010" w:hanging="360"/>
      </w:pPr>
    </w:lvl>
    <w:lvl w:ilvl="8" w:tplc="0426001B" w:tentative="1">
      <w:start w:val="1"/>
      <w:numFmt w:val="lowerRoman"/>
      <w:lvlText w:val="%9."/>
      <w:lvlJc w:val="right"/>
      <w:pPr>
        <w:ind w:left="6730" w:hanging="180"/>
      </w:pPr>
    </w:lvl>
  </w:abstractNum>
  <w:abstractNum w:abstractNumId="7" w15:restartNumberingAfterBreak="0">
    <w:nsid w:val="19726876"/>
    <w:multiLevelType w:val="hybridMultilevel"/>
    <w:tmpl w:val="93A4A61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8" w15:restartNumberingAfterBreak="0">
    <w:nsid w:val="1A8339AA"/>
    <w:multiLevelType w:val="hybridMultilevel"/>
    <w:tmpl w:val="BE44BB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CC43D3E"/>
    <w:multiLevelType w:val="hybridMultilevel"/>
    <w:tmpl w:val="4E22F358"/>
    <w:lvl w:ilvl="0" w:tplc="04260017">
      <w:start w:val="1"/>
      <w:numFmt w:val="lowerLetter"/>
      <w:lvlText w:val="%1)"/>
      <w:lvlJc w:val="left"/>
      <w:pPr>
        <w:ind w:left="1440" w:hanging="360"/>
      </w:pPr>
      <w:rPr>
        <w:rFonts w:hint="default"/>
        <w:color w:val="auto"/>
        <w:sz w:val="23"/>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CFD4322"/>
    <w:multiLevelType w:val="hybridMultilevel"/>
    <w:tmpl w:val="775692F2"/>
    <w:lvl w:ilvl="0" w:tplc="04260011">
      <w:start w:val="1"/>
      <w:numFmt w:val="decimal"/>
      <w:lvlText w:val="%1)"/>
      <w:lvlJc w:val="left"/>
      <w:pPr>
        <w:ind w:left="1346" w:hanging="360"/>
      </w:pPr>
      <w:rPr>
        <w:rFonts w:hint="default"/>
      </w:rPr>
    </w:lvl>
    <w:lvl w:ilvl="1" w:tplc="04260003">
      <w:start w:val="1"/>
      <w:numFmt w:val="bullet"/>
      <w:lvlText w:val="o"/>
      <w:lvlJc w:val="left"/>
      <w:pPr>
        <w:ind w:left="2066" w:hanging="360"/>
      </w:pPr>
      <w:rPr>
        <w:rFonts w:ascii="Courier New" w:hAnsi="Courier New" w:cs="Courier New" w:hint="default"/>
      </w:rPr>
    </w:lvl>
    <w:lvl w:ilvl="2" w:tplc="04260005" w:tentative="1">
      <w:start w:val="1"/>
      <w:numFmt w:val="bullet"/>
      <w:lvlText w:val=""/>
      <w:lvlJc w:val="left"/>
      <w:pPr>
        <w:ind w:left="2786" w:hanging="360"/>
      </w:pPr>
      <w:rPr>
        <w:rFonts w:ascii="Wingdings" w:hAnsi="Wingdings" w:hint="default"/>
      </w:rPr>
    </w:lvl>
    <w:lvl w:ilvl="3" w:tplc="04260001" w:tentative="1">
      <w:start w:val="1"/>
      <w:numFmt w:val="bullet"/>
      <w:lvlText w:val=""/>
      <w:lvlJc w:val="left"/>
      <w:pPr>
        <w:ind w:left="3506" w:hanging="360"/>
      </w:pPr>
      <w:rPr>
        <w:rFonts w:ascii="Symbol" w:hAnsi="Symbol" w:hint="default"/>
      </w:rPr>
    </w:lvl>
    <w:lvl w:ilvl="4" w:tplc="04260003" w:tentative="1">
      <w:start w:val="1"/>
      <w:numFmt w:val="bullet"/>
      <w:lvlText w:val="o"/>
      <w:lvlJc w:val="left"/>
      <w:pPr>
        <w:ind w:left="4226" w:hanging="360"/>
      </w:pPr>
      <w:rPr>
        <w:rFonts w:ascii="Courier New" w:hAnsi="Courier New" w:cs="Courier New" w:hint="default"/>
      </w:rPr>
    </w:lvl>
    <w:lvl w:ilvl="5" w:tplc="04260005" w:tentative="1">
      <w:start w:val="1"/>
      <w:numFmt w:val="bullet"/>
      <w:lvlText w:val=""/>
      <w:lvlJc w:val="left"/>
      <w:pPr>
        <w:ind w:left="4946" w:hanging="360"/>
      </w:pPr>
      <w:rPr>
        <w:rFonts w:ascii="Wingdings" w:hAnsi="Wingdings" w:hint="default"/>
      </w:rPr>
    </w:lvl>
    <w:lvl w:ilvl="6" w:tplc="04260001" w:tentative="1">
      <w:start w:val="1"/>
      <w:numFmt w:val="bullet"/>
      <w:lvlText w:val=""/>
      <w:lvlJc w:val="left"/>
      <w:pPr>
        <w:ind w:left="5666" w:hanging="360"/>
      </w:pPr>
      <w:rPr>
        <w:rFonts w:ascii="Symbol" w:hAnsi="Symbol" w:hint="default"/>
      </w:rPr>
    </w:lvl>
    <w:lvl w:ilvl="7" w:tplc="04260003" w:tentative="1">
      <w:start w:val="1"/>
      <w:numFmt w:val="bullet"/>
      <w:lvlText w:val="o"/>
      <w:lvlJc w:val="left"/>
      <w:pPr>
        <w:ind w:left="6386" w:hanging="360"/>
      </w:pPr>
      <w:rPr>
        <w:rFonts w:ascii="Courier New" w:hAnsi="Courier New" w:cs="Courier New" w:hint="default"/>
      </w:rPr>
    </w:lvl>
    <w:lvl w:ilvl="8" w:tplc="04260005" w:tentative="1">
      <w:start w:val="1"/>
      <w:numFmt w:val="bullet"/>
      <w:lvlText w:val=""/>
      <w:lvlJc w:val="left"/>
      <w:pPr>
        <w:ind w:left="7106" w:hanging="360"/>
      </w:pPr>
      <w:rPr>
        <w:rFonts w:ascii="Wingdings" w:hAnsi="Wingdings" w:hint="default"/>
      </w:rPr>
    </w:lvl>
  </w:abstractNum>
  <w:abstractNum w:abstractNumId="11" w15:restartNumberingAfterBreak="0">
    <w:nsid w:val="23D30ADC"/>
    <w:multiLevelType w:val="hybridMultilevel"/>
    <w:tmpl w:val="A4A2696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FD6661"/>
    <w:multiLevelType w:val="hybridMultilevel"/>
    <w:tmpl w:val="D8524B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0504EB"/>
    <w:multiLevelType w:val="hybridMultilevel"/>
    <w:tmpl w:val="EF923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DC4283"/>
    <w:multiLevelType w:val="hybridMultilevel"/>
    <w:tmpl w:val="AB648670"/>
    <w:lvl w:ilvl="0" w:tplc="723038D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ADC725D"/>
    <w:multiLevelType w:val="hybridMultilevel"/>
    <w:tmpl w:val="4C3E69DA"/>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6" w15:restartNumberingAfterBreak="0">
    <w:nsid w:val="2DF3703E"/>
    <w:multiLevelType w:val="multilevel"/>
    <w:tmpl w:val="9D9263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6FE6822"/>
    <w:multiLevelType w:val="multilevel"/>
    <w:tmpl w:val="144AB428"/>
    <w:lvl w:ilvl="0">
      <w:start w:val="1"/>
      <w:numFmt w:val="decimal"/>
      <w:pStyle w:val="NVPtekstas"/>
      <w:lvlText w:val="%1."/>
      <w:lvlJc w:val="left"/>
      <w:pPr>
        <w:tabs>
          <w:tab w:val="num" w:pos="927"/>
        </w:tabs>
        <w:ind w:left="927" w:hanging="360"/>
      </w:pPr>
      <w:rPr>
        <w:rFonts w:hint="default"/>
        <w:b w:val="0"/>
        <w:i w:val="0"/>
      </w:rPr>
    </w:lvl>
    <w:lvl w:ilvl="1">
      <w:start w:val="1"/>
      <w:numFmt w:val="decimal"/>
      <w:pStyle w:val="NVPpapunkciai"/>
      <w:lvlText w:val="%1.%2."/>
      <w:lvlJc w:val="left"/>
      <w:pPr>
        <w:tabs>
          <w:tab w:val="num" w:pos="1146"/>
        </w:tabs>
        <w:ind w:left="858" w:hanging="432"/>
      </w:pPr>
      <w:rPr>
        <w:rFonts w:hint="default"/>
        <w:b w:val="0"/>
        <w:i w:val="0"/>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2597"/>
        </w:tabs>
        <w:ind w:left="2165" w:hanging="648"/>
      </w:pPr>
      <w:rPr>
        <w:rFonts w:hint="default"/>
      </w:rPr>
    </w:lvl>
    <w:lvl w:ilvl="4">
      <w:start w:val="1"/>
      <w:numFmt w:val="decimal"/>
      <w:lvlText w:val="%1.%2.%3.%4.%5."/>
      <w:lvlJc w:val="left"/>
      <w:pPr>
        <w:tabs>
          <w:tab w:val="num" w:pos="3317"/>
        </w:tabs>
        <w:ind w:left="2669" w:hanging="792"/>
      </w:pPr>
      <w:rPr>
        <w:rFonts w:hint="default"/>
      </w:rPr>
    </w:lvl>
    <w:lvl w:ilvl="5">
      <w:start w:val="1"/>
      <w:numFmt w:val="decimal"/>
      <w:lvlText w:val="%1.%2.%3.%4.%5.%6."/>
      <w:lvlJc w:val="left"/>
      <w:pPr>
        <w:tabs>
          <w:tab w:val="num" w:pos="3677"/>
        </w:tabs>
        <w:ind w:left="3173" w:hanging="936"/>
      </w:pPr>
      <w:rPr>
        <w:rFonts w:hint="default"/>
      </w:rPr>
    </w:lvl>
    <w:lvl w:ilvl="6">
      <w:start w:val="1"/>
      <w:numFmt w:val="decimal"/>
      <w:lvlText w:val="%1.%2.%3.%4.%5.%6.%7."/>
      <w:lvlJc w:val="left"/>
      <w:pPr>
        <w:tabs>
          <w:tab w:val="num" w:pos="4397"/>
        </w:tabs>
        <w:ind w:left="3677" w:hanging="1080"/>
      </w:pPr>
      <w:rPr>
        <w:rFonts w:hint="default"/>
      </w:rPr>
    </w:lvl>
    <w:lvl w:ilvl="7">
      <w:start w:val="1"/>
      <w:numFmt w:val="decimal"/>
      <w:lvlText w:val="%1.%2.%3.%4.%5.%6.%7.%8."/>
      <w:lvlJc w:val="left"/>
      <w:pPr>
        <w:tabs>
          <w:tab w:val="num" w:pos="5117"/>
        </w:tabs>
        <w:ind w:left="4181" w:hanging="1224"/>
      </w:pPr>
      <w:rPr>
        <w:rFonts w:hint="default"/>
      </w:rPr>
    </w:lvl>
    <w:lvl w:ilvl="8">
      <w:start w:val="1"/>
      <w:numFmt w:val="decimal"/>
      <w:lvlText w:val="%1.%2.%3.%4.%5.%6.%7.%8.%9."/>
      <w:lvlJc w:val="left"/>
      <w:pPr>
        <w:tabs>
          <w:tab w:val="num" w:pos="5477"/>
        </w:tabs>
        <w:ind w:left="4757" w:hanging="1440"/>
      </w:pPr>
      <w:rPr>
        <w:rFonts w:hint="default"/>
      </w:rPr>
    </w:lvl>
  </w:abstractNum>
  <w:abstractNum w:abstractNumId="18" w15:restartNumberingAfterBreak="0">
    <w:nsid w:val="3A237F64"/>
    <w:multiLevelType w:val="hybridMultilevel"/>
    <w:tmpl w:val="09A8C3F6"/>
    <w:lvl w:ilvl="0" w:tplc="723038DE">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9" w15:restartNumberingAfterBreak="0">
    <w:nsid w:val="3CAD7C82"/>
    <w:multiLevelType w:val="multilevel"/>
    <w:tmpl w:val="362CC47E"/>
    <w:lvl w:ilvl="0">
      <w:start w:val="1"/>
      <w:numFmt w:val="bullet"/>
      <w:pStyle w:val="EYBulletedList1"/>
      <w:lvlText w:val="►"/>
      <w:lvlJc w:val="left"/>
      <w:pPr>
        <w:tabs>
          <w:tab w:val="num" w:pos="288"/>
        </w:tabs>
        <w:ind w:left="288" w:hanging="288"/>
      </w:pPr>
      <w:rPr>
        <w:rFonts w:ascii="Arial" w:hAnsi="Arial" w:hint="default"/>
        <w:b w:val="0"/>
        <w:i w:val="0"/>
        <w:color w:val="FFD200"/>
        <w:sz w:val="20"/>
        <w:szCs w:val="20"/>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0" w15:restartNumberingAfterBreak="0">
    <w:nsid w:val="3CE31D75"/>
    <w:multiLevelType w:val="hybridMultilevel"/>
    <w:tmpl w:val="B2CE1D1C"/>
    <w:lvl w:ilvl="0" w:tplc="3D16D234">
      <w:start w:val="1"/>
      <w:numFmt w:val="decimal"/>
      <w:pStyle w:val="Stils2"/>
      <w:lvlText w:val="(%1)"/>
      <w:lvlJc w:val="left"/>
      <w:pPr>
        <w:ind w:left="360" w:hanging="360"/>
      </w:pPr>
      <w:rPr>
        <w:rFonts w:ascii="Times New Roman" w:hAnsi="Times New Roman" w:cs="Times New Roman" w:hint="default"/>
        <w:b w:val="0"/>
        <w:i w:val="0"/>
        <w:strike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432ED1"/>
    <w:multiLevelType w:val="hybridMultilevel"/>
    <w:tmpl w:val="7BD62B98"/>
    <w:lvl w:ilvl="0" w:tplc="111261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9F8017D"/>
    <w:multiLevelType w:val="hybridMultilevel"/>
    <w:tmpl w:val="80FCCFF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D213E04"/>
    <w:multiLevelType w:val="hybridMultilevel"/>
    <w:tmpl w:val="D30ACE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8C0ABB"/>
    <w:multiLevelType w:val="hybridMultilevel"/>
    <w:tmpl w:val="5B2E7590"/>
    <w:lvl w:ilvl="0" w:tplc="13E46CA4">
      <w:start w:val="1"/>
      <w:numFmt w:val="decimal"/>
      <w:lvlText w:val="%1)"/>
      <w:lvlJc w:val="left"/>
      <w:pPr>
        <w:ind w:left="1557" w:hanging="48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5" w15:restartNumberingAfterBreak="0">
    <w:nsid w:val="4F007326"/>
    <w:multiLevelType w:val="hybridMultilevel"/>
    <w:tmpl w:val="9CDE5C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8A0B5C"/>
    <w:multiLevelType w:val="hybridMultilevel"/>
    <w:tmpl w:val="029EA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E50A65"/>
    <w:multiLevelType w:val="hybridMultilevel"/>
    <w:tmpl w:val="076AECF2"/>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596678DC"/>
    <w:multiLevelType w:val="multilevel"/>
    <w:tmpl w:val="9A48373C"/>
    <w:lvl w:ilvl="0">
      <w:start w:val="1"/>
      <w:numFmt w:val="decimal"/>
      <w:pStyle w:val="EE-paragrCharChar"/>
      <w:lvlText w:val="%1."/>
      <w:lvlJc w:val="left"/>
      <w:pPr>
        <w:ind w:left="360" w:hanging="360"/>
      </w:pPr>
      <w:rPr>
        <w:b w:val="0"/>
        <w:i w:val="0"/>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618A2FD4"/>
    <w:multiLevelType w:val="hybridMultilevel"/>
    <w:tmpl w:val="12B64B2E"/>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30" w15:restartNumberingAfterBreak="0">
    <w:nsid w:val="61D5036B"/>
    <w:multiLevelType w:val="hybridMultilevel"/>
    <w:tmpl w:val="BFAE19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5B7631"/>
    <w:multiLevelType w:val="hybridMultilevel"/>
    <w:tmpl w:val="66D8D124"/>
    <w:lvl w:ilvl="0" w:tplc="C3504E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5C5E4D"/>
    <w:multiLevelType w:val="hybridMultilevel"/>
    <w:tmpl w:val="FCD877C6"/>
    <w:lvl w:ilvl="0" w:tplc="723038D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997209D"/>
    <w:multiLevelType w:val="hybridMultilevel"/>
    <w:tmpl w:val="B49E9564"/>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1E937BA"/>
    <w:multiLevelType w:val="hybridMultilevel"/>
    <w:tmpl w:val="80FCCFF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5E24072"/>
    <w:multiLevelType w:val="hybridMultilevel"/>
    <w:tmpl w:val="50A8B194"/>
    <w:lvl w:ilvl="0" w:tplc="049C2780">
      <w:numFmt w:val="bullet"/>
      <w:lvlText w:val="-"/>
      <w:lvlJc w:val="left"/>
      <w:pPr>
        <w:ind w:left="720" w:hanging="360"/>
      </w:pPr>
      <w:rPr>
        <w:rFonts w:ascii="Times New Roman" w:hAnsi="Times New Roman" w:cs="Times New Roman" w:hint="default"/>
        <w:color w:val="auto"/>
        <w:sz w:val="23"/>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7C93405"/>
    <w:multiLevelType w:val="hybridMultilevel"/>
    <w:tmpl w:val="DC6809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8F30D8"/>
    <w:multiLevelType w:val="multilevel"/>
    <w:tmpl w:val="1EA4C156"/>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7B1824B4"/>
    <w:multiLevelType w:val="hybridMultilevel"/>
    <w:tmpl w:val="F4AC0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B373A"/>
    <w:multiLevelType w:val="hybridMultilevel"/>
    <w:tmpl w:val="1FC89AB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37"/>
  </w:num>
  <w:num w:numId="2">
    <w:abstractNumId w:val="19"/>
  </w:num>
  <w:num w:numId="3">
    <w:abstractNumId w:val="20"/>
  </w:num>
  <w:num w:numId="4">
    <w:abstractNumId w:val="6"/>
  </w:num>
  <w:num w:numId="5">
    <w:abstractNumId w:val="17"/>
  </w:num>
  <w:num w:numId="6">
    <w:abstractNumId w:val="15"/>
  </w:num>
  <w:num w:numId="7">
    <w:abstractNumId w:val="28"/>
  </w:num>
  <w:num w:numId="8">
    <w:abstractNumId w:val="5"/>
  </w:num>
  <w:num w:numId="9">
    <w:abstractNumId w:val="12"/>
  </w:num>
  <w:num w:numId="10">
    <w:abstractNumId w:val="22"/>
  </w:num>
  <w:num w:numId="11">
    <w:abstractNumId w:val="34"/>
  </w:num>
  <w:num w:numId="12">
    <w:abstractNumId w:val="27"/>
  </w:num>
  <w:num w:numId="13">
    <w:abstractNumId w:val="2"/>
  </w:num>
  <w:num w:numId="14">
    <w:abstractNumId w:val="23"/>
  </w:num>
  <w:num w:numId="15">
    <w:abstractNumId w:val="10"/>
  </w:num>
  <w:num w:numId="16">
    <w:abstractNumId w:val="25"/>
  </w:num>
  <w:num w:numId="17">
    <w:abstractNumId w:val="13"/>
  </w:num>
  <w:num w:numId="18">
    <w:abstractNumId w:val="26"/>
  </w:num>
  <w:num w:numId="19">
    <w:abstractNumId w:val="35"/>
  </w:num>
  <w:num w:numId="20">
    <w:abstractNumId w:val="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6"/>
  </w:num>
  <w:num w:numId="24">
    <w:abstractNumId w:val="16"/>
  </w:num>
  <w:num w:numId="25">
    <w:abstractNumId w:val="21"/>
  </w:num>
  <w:num w:numId="26">
    <w:abstractNumId w:val="11"/>
  </w:num>
  <w:num w:numId="27">
    <w:abstractNumId w:val="1"/>
  </w:num>
  <w:num w:numId="28">
    <w:abstractNumId w:val="24"/>
  </w:num>
  <w:num w:numId="29">
    <w:abstractNumId w:val="33"/>
  </w:num>
  <w:num w:numId="30">
    <w:abstractNumId w:val="29"/>
  </w:num>
  <w:num w:numId="31">
    <w:abstractNumId w:val="31"/>
  </w:num>
  <w:num w:numId="32">
    <w:abstractNumId w:val="0"/>
  </w:num>
  <w:num w:numId="33">
    <w:abstractNumId w:val="4"/>
  </w:num>
  <w:num w:numId="34">
    <w:abstractNumId w:val="8"/>
  </w:num>
  <w:num w:numId="35">
    <w:abstractNumId w:val="7"/>
  </w:num>
  <w:num w:numId="36">
    <w:abstractNumId w:val="3"/>
  </w:num>
  <w:num w:numId="37">
    <w:abstractNumId w:val="38"/>
  </w:num>
  <w:num w:numId="38">
    <w:abstractNumId w:val="32"/>
  </w:num>
  <w:num w:numId="39">
    <w:abstractNumId w:val="14"/>
  </w:num>
  <w:num w:numId="4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7E"/>
    <w:rsid w:val="000003FD"/>
    <w:rsid w:val="000016C8"/>
    <w:rsid w:val="00001948"/>
    <w:rsid w:val="00002D05"/>
    <w:rsid w:val="000038D0"/>
    <w:rsid w:val="00003F8C"/>
    <w:rsid w:val="000055B6"/>
    <w:rsid w:val="00005677"/>
    <w:rsid w:val="0000746D"/>
    <w:rsid w:val="000115AD"/>
    <w:rsid w:val="0001165D"/>
    <w:rsid w:val="000116FE"/>
    <w:rsid w:val="00012582"/>
    <w:rsid w:val="00012948"/>
    <w:rsid w:val="00013C49"/>
    <w:rsid w:val="00015E01"/>
    <w:rsid w:val="00016798"/>
    <w:rsid w:val="00017912"/>
    <w:rsid w:val="000200F2"/>
    <w:rsid w:val="000201C8"/>
    <w:rsid w:val="0002024B"/>
    <w:rsid w:val="000208EE"/>
    <w:rsid w:val="00021348"/>
    <w:rsid w:val="00021CDF"/>
    <w:rsid w:val="000251BE"/>
    <w:rsid w:val="00025CB6"/>
    <w:rsid w:val="000269A7"/>
    <w:rsid w:val="00026D8E"/>
    <w:rsid w:val="00027288"/>
    <w:rsid w:val="000278B2"/>
    <w:rsid w:val="0003038E"/>
    <w:rsid w:val="00030D6D"/>
    <w:rsid w:val="00030FDB"/>
    <w:rsid w:val="000317ED"/>
    <w:rsid w:val="00031F59"/>
    <w:rsid w:val="0003228D"/>
    <w:rsid w:val="0003249B"/>
    <w:rsid w:val="000327F9"/>
    <w:rsid w:val="00033E3B"/>
    <w:rsid w:val="000356C9"/>
    <w:rsid w:val="000358F3"/>
    <w:rsid w:val="00035D98"/>
    <w:rsid w:val="00036E9B"/>
    <w:rsid w:val="0003756B"/>
    <w:rsid w:val="00040CB2"/>
    <w:rsid w:val="00041F8B"/>
    <w:rsid w:val="000423B7"/>
    <w:rsid w:val="00042BB8"/>
    <w:rsid w:val="00044C50"/>
    <w:rsid w:val="000451AD"/>
    <w:rsid w:val="00046C16"/>
    <w:rsid w:val="00047639"/>
    <w:rsid w:val="0004767E"/>
    <w:rsid w:val="00047BEC"/>
    <w:rsid w:val="00047C8B"/>
    <w:rsid w:val="00050766"/>
    <w:rsid w:val="00050AB9"/>
    <w:rsid w:val="00051630"/>
    <w:rsid w:val="00051908"/>
    <w:rsid w:val="0005223B"/>
    <w:rsid w:val="0005245B"/>
    <w:rsid w:val="00052FBF"/>
    <w:rsid w:val="000530FF"/>
    <w:rsid w:val="00053AF8"/>
    <w:rsid w:val="000556E2"/>
    <w:rsid w:val="00055864"/>
    <w:rsid w:val="00056507"/>
    <w:rsid w:val="000573B4"/>
    <w:rsid w:val="000579B9"/>
    <w:rsid w:val="00057E2F"/>
    <w:rsid w:val="00062F94"/>
    <w:rsid w:val="0006370D"/>
    <w:rsid w:val="0006415D"/>
    <w:rsid w:val="00064168"/>
    <w:rsid w:val="000646D0"/>
    <w:rsid w:val="00064F69"/>
    <w:rsid w:val="00065896"/>
    <w:rsid w:val="00065C38"/>
    <w:rsid w:val="000660A5"/>
    <w:rsid w:val="00066173"/>
    <w:rsid w:val="0006717C"/>
    <w:rsid w:val="00067AAE"/>
    <w:rsid w:val="000721FF"/>
    <w:rsid w:val="000723C7"/>
    <w:rsid w:val="00072C10"/>
    <w:rsid w:val="00073538"/>
    <w:rsid w:val="00075125"/>
    <w:rsid w:val="000752D3"/>
    <w:rsid w:val="00077598"/>
    <w:rsid w:val="00077616"/>
    <w:rsid w:val="00081DDA"/>
    <w:rsid w:val="00084219"/>
    <w:rsid w:val="0008460D"/>
    <w:rsid w:val="0008469B"/>
    <w:rsid w:val="00085E28"/>
    <w:rsid w:val="000870DA"/>
    <w:rsid w:val="000870F1"/>
    <w:rsid w:val="00087E32"/>
    <w:rsid w:val="0009241C"/>
    <w:rsid w:val="00092C0A"/>
    <w:rsid w:val="0009371C"/>
    <w:rsid w:val="00095178"/>
    <w:rsid w:val="00095388"/>
    <w:rsid w:val="000959D3"/>
    <w:rsid w:val="00095C0B"/>
    <w:rsid w:val="00095D8A"/>
    <w:rsid w:val="00097347"/>
    <w:rsid w:val="000A1280"/>
    <w:rsid w:val="000A1528"/>
    <w:rsid w:val="000A1639"/>
    <w:rsid w:val="000A1C57"/>
    <w:rsid w:val="000A5374"/>
    <w:rsid w:val="000A6D77"/>
    <w:rsid w:val="000A6F52"/>
    <w:rsid w:val="000B07F7"/>
    <w:rsid w:val="000B145B"/>
    <w:rsid w:val="000B2BE5"/>
    <w:rsid w:val="000B45EB"/>
    <w:rsid w:val="000B4D85"/>
    <w:rsid w:val="000B517E"/>
    <w:rsid w:val="000B6EBD"/>
    <w:rsid w:val="000B725C"/>
    <w:rsid w:val="000B7926"/>
    <w:rsid w:val="000C0C4F"/>
    <w:rsid w:val="000C3FAF"/>
    <w:rsid w:val="000C4653"/>
    <w:rsid w:val="000C46E3"/>
    <w:rsid w:val="000C4FEC"/>
    <w:rsid w:val="000C5388"/>
    <w:rsid w:val="000C6628"/>
    <w:rsid w:val="000C7ACC"/>
    <w:rsid w:val="000C7B95"/>
    <w:rsid w:val="000D016C"/>
    <w:rsid w:val="000D0237"/>
    <w:rsid w:val="000D15A0"/>
    <w:rsid w:val="000D2273"/>
    <w:rsid w:val="000D22DF"/>
    <w:rsid w:val="000D465A"/>
    <w:rsid w:val="000D469F"/>
    <w:rsid w:val="000D4F04"/>
    <w:rsid w:val="000D5FE1"/>
    <w:rsid w:val="000E11B9"/>
    <w:rsid w:val="000E2257"/>
    <w:rsid w:val="000E26EB"/>
    <w:rsid w:val="000E2CFA"/>
    <w:rsid w:val="000E4154"/>
    <w:rsid w:val="000E4B5E"/>
    <w:rsid w:val="000E5720"/>
    <w:rsid w:val="000E5BBD"/>
    <w:rsid w:val="000E5E06"/>
    <w:rsid w:val="000E79ED"/>
    <w:rsid w:val="000F1ADE"/>
    <w:rsid w:val="000F1F0B"/>
    <w:rsid w:val="000F206D"/>
    <w:rsid w:val="000F26FC"/>
    <w:rsid w:val="000F2ADB"/>
    <w:rsid w:val="000F3AEC"/>
    <w:rsid w:val="000F5820"/>
    <w:rsid w:val="000F6866"/>
    <w:rsid w:val="000F7163"/>
    <w:rsid w:val="000F7B54"/>
    <w:rsid w:val="001004D7"/>
    <w:rsid w:val="00100F93"/>
    <w:rsid w:val="00101251"/>
    <w:rsid w:val="0010166D"/>
    <w:rsid w:val="00101F8D"/>
    <w:rsid w:val="00102EDE"/>
    <w:rsid w:val="001045D1"/>
    <w:rsid w:val="001046E9"/>
    <w:rsid w:val="00104A24"/>
    <w:rsid w:val="00104BB5"/>
    <w:rsid w:val="00104EBC"/>
    <w:rsid w:val="00105511"/>
    <w:rsid w:val="00105EEE"/>
    <w:rsid w:val="001064B3"/>
    <w:rsid w:val="001079A9"/>
    <w:rsid w:val="00107D5D"/>
    <w:rsid w:val="0011013E"/>
    <w:rsid w:val="0011205F"/>
    <w:rsid w:val="0011311F"/>
    <w:rsid w:val="001158FB"/>
    <w:rsid w:val="00115E4B"/>
    <w:rsid w:val="00116260"/>
    <w:rsid w:val="0011631D"/>
    <w:rsid w:val="001175BC"/>
    <w:rsid w:val="00117C15"/>
    <w:rsid w:val="00120677"/>
    <w:rsid w:val="00120B11"/>
    <w:rsid w:val="00120BB9"/>
    <w:rsid w:val="00120F49"/>
    <w:rsid w:val="001210B3"/>
    <w:rsid w:val="00122511"/>
    <w:rsid w:val="001225A3"/>
    <w:rsid w:val="00122954"/>
    <w:rsid w:val="001244EF"/>
    <w:rsid w:val="00124F37"/>
    <w:rsid w:val="00125226"/>
    <w:rsid w:val="00125AB5"/>
    <w:rsid w:val="001269A4"/>
    <w:rsid w:val="00127404"/>
    <w:rsid w:val="0013050C"/>
    <w:rsid w:val="0013088E"/>
    <w:rsid w:val="00130CB8"/>
    <w:rsid w:val="00131CD8"/>
    <w:rsid w:val="00132352"/>
    <w:rsid w:val="001323F8"/>
    <w:rsid w:val="00132479"/>
    <w:rsid w:val="0013295D"/>
    <w:rsid w:val="00132E80"/>
    <w:rsid w:val="00133762"/>
    <w:rsid w:val="00133BF1"/>
    <w:rsid w:val="00133C7B"/>
    <w:rsid w:val="001350B8"/>
    <w:rsid w:val="0013571B"/>
    <w:rsid w:val="001368A8"/>
    <w:rsid w:val="001373F3"/>
    <w:rsid w:val="0013747D"/>
    <w:rsid w:val="00142583"/>
    <w:rsid w:val="001431F3"/>
    <w:rsid w:val="001432B0"/>
    <w:rsid w:val="00143E05"/>
    <w:rsid w:val="00144EAF"/>
    <w:rsid w:val="00145FA8"/>
    <w:rsid w:val="00147F31"/>
    <w:rsid w:val="00150BBE"/>
    <w:rsid w:val="001538A5"/>
    <w:rsid w:val="001558BF"/>
    <w:rsid w:val="00160804"/>
    <w:rsid w:val="0016123F"/>
    <w:rsid w:val="0016135B"/>
    <w:rsid w:val="001614B4"/>
    <w:rsid w:val="00162292"/>
    <w:rsid w:val="00162FF1"/>
    <w:rsid w:val="0016435E"/>
    <w:rsid w:val="001647DA"/>
    <w:rsid w:val="00164887"/>
    <w:rsid w:val="0016513B"/>
    <w:rsid w:val="0016535A"/>
    <w:rsid w:val="00165829"/>
    <w:rsid w:val="00165900"/>
    <w:rsid w:val="00166860"/>
    <w:rsid w:val="00166E9F"/>
    <w:rsid w:val="00166F51"/>
    <w:rsid w:val="00167054"/>
    <w:rsid w:val="0016732B"/>
    <w:rsid w:val="00171695"/>
    <w:rsid w:val="0017216A"/>
    <w:rsid w:val="001727A8"/>
    <w:rsid w:val="0017294C"/>
    <w:rsid w:val="00172DFC"/>
    <w:rsid w:val="00172EA3"/>
    <w:rsid w:val="00174E8E"/>
    <w:rsid w:val="0017521F"/>
    <w:rsid w:val="00175261"/>
    <w:rsid w:val="00175F1F"/>
    <w:rsid w:val="001760C7"/>
    <w:rsid w:val="00176DD5"/>
    <w:rsid w:val="00181280"/>
    <w:rsid w:val="001817B1"/>
    <w:rsid w:val="00183BC3"/>
    <w:rsid w:val="00186159"/>
    <w:rsid w:val="0018626E"/>
    <w:rsid w:val="00186D1E"/>
    <w:rsid w:val="001873AC"/>
    <w:rsid w:val="00191DA2"/>
    <w:rsid w:val="00191F17"/>
    <w:rsid w:val="001925D6"/>
    <w:rsid w:val="001929E6"/>
    <w:rsid w:val="00192DE2"/>
    <w:rsid w:val="00193141"/>
    <w:rsid w:val="001933E7"/>
    <w:rsid w:val="00195C15"/>
    <w:rsid w:val="00197B71"/>
    <w:rsid w:val="001A0156"/>
    <w:rsid w:val="001A0EAF"/>
    <w:rsid w:val="001A0EBB"/>
    <w:rsid w:val="001A1BA7"/>
    <w:rsid w:val="001A1F40"/>
    <w:rsid w:val="001A23EE"/>
    <w:rsid w:val="001A2BB7"/>
    <w:rsid w:val="001A347E"/>
    <w:rsid w:val="001A3EAE"/>
    <w:rsid w:val="001A4E91"/>
    <w:rsid w:val="001A62BB"/>
    <w:rsid w:val="001A66CE"/>
    <w:rsid w:val="001A68C2"/>
    <w:rsid w:val="001A76D9"/>
    <w:rsid w:val="001A7C59"/>
    <w:rsid w:val="001B2C5A"/>
    <w:rsid w:val="001B35B9"/>
    <w:rsid w:val="001B4215"/>
    <w:rsid w:val="001B5784"/>
    <w:rsid w:val="001B7821"/>
    <w:rsid w:val="001C0044"/>
    <w:rsid w:val="001C01ED"/>
    <w:rsid w:val="001C06FF"/>
    <w:rsid w:val="001C1300"/>
    <w:rsid w:val="001C2023"/>
    <w:rsid w:val="001C23CF"/>
    <w:rsid w:val="001C28EA"/>
    <w:rsid w:val="001C39C9"/>
    <w:rsid w:val="001C55B2"/>
    <w:rsid w:val="001C70D1"/>
    <w:rsid w:val="001C770E"/>
    <w:rsid w:val="001C7F41"/>
    <w:rsid w:val="001D2211"/>
    <w:rsid w:val="001D2669"/>
    <w:rsid w:val="001D2B1F"/>
    <w:rsid w:val="001D35A0"/>
    <w:rsid w:val="001D4721"/>
    <w:rsid w:val="001D4EF3"/>
    <w:rsid w:val="001D51D3"/>
    <w:rsid w:val="001D6EF3"/>
    <w:rsid w:val="001E08EA"/>
    <w:rsid w:val="001E14E9"/>
    <w:rsid w:val="001E16D6"/>
    <w:rsid w:val="001E1E8F"/>
    <w:rsid w:val="001E2FF9"/>
    <w:rsid w:val="001E30C2"/>
    <w:rsid w:val="001E4540"/>
    <w:rsid w:val="001E5247"/>
    <w:rsid w:val="001E5879"/>
    <w:rsid w:val="001F098F"/>
    <w:rsid w:val="001F2414"/>
    <w:rsid w:val="001F27A0"/>
    <w:rsid w:val="001F2EF7"/>
    <w:rsid w:val="001F3981"/>
    <w:rsid w:val="001F4D79"/>
    <w:rsid w:val="001F6DA8"/>
    <w:rsid w:val="002017D0"/>
    <w:rsid w:val="002018BF"/>
    <w:rsid w:val="00202D81"/>
    <w:rsid w:val="00202F69"/>
    <w:rsid w:val="0020353E"/>
    <w:rsid w:val="00204617"/>
    <w:rsid w:val="00205CC1"/>
    <w:rsid w:val="00210467"/>
    <w:rsid w:val="002107AB"/>
    <w:rsid w:val="00213958"/>
    <w:rsid w:val="002149F2"/>
    <w:rsid w:val="00220483"/>
    <w:rsid w:val="00220907"/>
    <w:rsid w:val="00220A4B"/>
    <w:rsid w:val="00220D4C"/>
    <w:rsid w:val="00222E0C"/>
    <w:rsid w:val="00223BA4"/>
    <w:rsid w:val="0022485B"/>
    <w:rsid w:val="0022587D"/>
    <w:rsid w:val="00225DD5"/>
    <w:rsid w:val="00226CE8"/>
    <w:rsid w:val="00230195"/>
    <w:rsid w:val="002303B9"/>
    <w:rsid w:val="00230790"/>
    <w:rsid w:val="00231D10"/>
    <w:rsid w:val="00233378"/>
    <w:rsid w:val="00235AA2"/>
    <w:rsid w:val="00235B0A"/>
    <w:rsid w:val="00235B4B"/>
    <w:rsid w:val="00235B7B"/>
    <w:rsid w:val="00235EF5"/>
    <w:rsid w:val="0024017D"/>
    <w:rsid w:val="002410A4"/>
    <w:rsid w:val="0024209B"/>
    <w:rsid w:val="00244193"/>
    <w:rsid w:val="00245410"/>
    <w:rsid w:val="002454A3"/>
    <w:rsid w:val="0024754C"/>
    <w:rsid w:val="002549A4"/>
    <w:rsid w:val="002558E1"/>
    <w:rsid w:val="002571F6"/>
    <w:rsid w:val="00260133"/>
    <w:rsid w:val="002612B6"/>
    <w:rsid w:val="00262677"/>
    <w:rsid w:val="0026400F"/>
    <w:rsid w:val="00264583"/>
    <w:rsid w:val="00264ECD"/>
    <w:rsid w:val="00266C91"/>
    <w:rsid w:val="00270F03"/>
    <w:rsid w:val="002739DC"/>
    <w:rsid w:val="00273F13"/>
    <w:rsid w:val="0028052D"/>
    <w:rsid w:val="00280AAC"/>
    <w:rsid w:val="00281137"/>
    <w:rsid w:val="00281229"/>
    <w:rsid w:val="00282575"/>
    <w:rsid w:val="00283759"/>
    <w:rsid w:val="00283A75"/>
    <w:rsid w:val="002849E7"/>
    <w:rsid w:val="00285F74"/>
    <w:rsid w:val="00286CB5"/>
    <w:rsid w:val="0028703F"/>
    <w:rsid w:val="0028705F"/>
    <w:rsid w:val="00287A9D"/>
    <w:rsid w:val="00287EF8"/>
    <w:rsid w:val="00287F70"/>
    <w:rsid w:val="00290F5E"/>
    <w:rsid w:val="0029244C"/>
    <w:rsid w:val="002938B0"/>
    <w:rsid w:val="00293D46"/>
    <w:rsid w:val="0029544A"/>
    <w:rsid w:val="00295D20"/>
    <w:rsid w:val="0029673C"/>
    <w:rsid w:val="0029730E"/>
    <w:rsid w:val="002A018C"/>
    <w:rsid w:val="002A0211"/>
    <w:rsid w:val="002A022F"/>
    <w:rsid w:val="002A2084"/>
    <w:rsid w:val="002A2262"/>
    <w:rsid w:val="002A2C1F"/>
    <w:rsid w:val="002A2DDC"/>
    <w:rsid w:val="002A3885"/>
    <w:rsid w:val="002A4A81"/>
    <w:rsid w:val="002A5574"/>
    <w:rsid w:val="002A5CF2"/>
    <w:rsid w:val="002A603F"/>
    <w:rsid w:val="002A60F4"/>
    <w:rsid w:val="002A6A69"/>
    <w:rsid w:val="002A737F"/>
    <w:rsid w:val="002B0D8D"/>
    <w:rsid w:val="002B3A01"/>
    <w:rsid w:val="002B567E"/>
    <w:rsid w:val="002B6007"/>
    <w:rsid w:val="002B6373"/>
    <w:rsid w:val="002B65A6"/>
    <w:rsid w:val="002B683A"/>
    <w:rsid w:val="002B6931"/>
    <w:rsid w:val="002B6D2D"/>
    <w:rsid w:val="002C02F5"/>
    <w:rsid w:val="002C0BB2"/>
    <w:rsid w:val="002C2C24"/>
    <w:rsid w:val="002C616B"/>
    <w:rsid w:val="002C73AC"/>
    <w:rsid w:val="002D0042"/>
    <w:rsid w:val="002D00DC"/>
    <w:rsid w:val="002D0A8F"/>
    <w:rsid w:val="002D1AE4"/>
    <w:rsid w:val="002D2269"/>
    <w:rsid w:val="002D23B1"/>
    <w:rsid w:val="002D2A33"/>
    <w:rsid w:val="002D365C"/>
    <w:rsid w:val="002D6980"/>
    <w:rsid w:val="002D74E6"/>
    <w:rsid w:val="002D7808"/>
    <w:rsid w:val="002D7BC1"/>
    <w:rsid w:val="002D7CC2"/>
    <w:rsid w:val="002E2C5D"/>
    <w:rsid w:val="002E56ED"/>
    <w:rsid w:val="002E571D"/>
    <w:rsid w:val="002E575F"/>
    <w:rsid w:val="002F0419"/>
    <w:rsid w:val="002F043D"/>
    <w:rsid w:val="002F0C56"/>
    <w:rsid w:val="002F196A"/>
    <w:rsid w:val="002F1C38"/>
    <w:rsid w:val="002F2B3F"/>
    <w:rsid w:val="002F3DEE"/>
    <w:rsid w:val="002F3E66"/>
    <w:rsid w:val="002F45AF"/>
    <w:rsid w:val="002F470D"/>
    <w:rsid w:val="002F5211"/>
    <w:rsid w:val="002F6545"/>
    <w:rsid w:val="002F66F4"/>
    <w:rsid w:val="00300656"/>
    <w:rsid w:val="00300B63"/>
    <w:rsid w:val="0030141B"/>
    <w:rsid w:val="00302A5E"/>
    <w:rsid w:val="00303D13"/>
    <w:rsid w:val="0030429C"/>
    <w:rsid w:val="00305412"/>
    <w:rsid w:val="00306097"/>
    <w:rsid w:val="00306BCC"/>
    <w:rsid w:val="00306ECA"/>
    <w:rsid w:val="00307AB3"/>
    <w:rsid w:val="00310337"/>
    <w:rsid w:val="00310898"/>
    <w:rsid w:val="00310D7B"/>
    <w:rsid w:val="00313640"/>
    <w:rsid w:val="00313AED"/>
    <w:rsid w:val="0031432A"/>
    <w:rsid w:val="0031543B"/>
    <w:rsid w:val="003162FE"/>
    <w:rsid w:val="00316840"/>
    <w:rsid w:val="00316CDD"/>
    <w:rsid w:val="0032055B"/>
    <w:rsid w:val="00320C44"/>
    <w:rsid w:val="003221A5"/>
    <w:rsid w:val="003242F3"/>
    <w:rsid w:val="00325273"/>
    <w:rsid w:val="003256D4"/>
    <w:rsid w:val="003263CB"/>
    <w:rsid w:val="00326D16"/>
    <w:rsid w:val="00326E0E"/>
    <w:rsid w:val="00327A75"/>
    <w:rsid w:val="00330059"/>
    <w:rsid w:val="00330093"/>
    <w:rsid w:val="00331D42"/>
    <w:rsid w:val="00332032"/>
    <w:rsid w:val="00332F65"/>
    <w:rsid w:val="00334204"/>
    <w:rsid w:val="00334E7A"/>
    <w:rsid w:val="00335C15"/>
    <w:rsid w:val="003369B9"/>
    <w:rsid w:val="00336E18"/>
    <w:rsid w:val="003418A7"/>
    <w:rsid w:val="00343DEE"/>
    <w:rsid w:val="00344A77"/>
    <w:rsid w:val="00345579"/>
    <w:rsid w:val="00345E5E"/>
    <w:rsid w:val="00346380"/>
    <w:rsid w:val="0034743E"/>
    <w:rsid w:val="00350586"/>
    <w:rsid w:val="003508FF"/>
    <w:rsid w:val="00350F6D"/>
    <w:rsid w:val="003521A7"/>
    <w:rsid w:val="003525E4"/>
    <w:rsid w:val="00352670"/>
    <w:rsid w:val="00353D8C"/>
    <w:rsid w:val="003573C0"/>
    <w:rsid w:val="003576A0"/>
    <w:rsid w:val="00357719"/>
    <w:rsid w:val="00360508"/>
    <w:rsid w:val="00360A50"/>
    <w:rsid w:val="00361CD3"/>
    <w:rsid w:val="00361D47"/>
    <w:rsid w:val="00362BE6"/>
    <w:rsid w:val="00363BEE"/>
    <w:rsid w:val="00364C82"/>
    <w:rsid w:val="00366E02"/>
    <w:rsid w:val="0037081D"/>
    <w:rsid w:val="00371FBA"/>
    <w:rsid w:val="00373431"/>
    <w:rsid w:val="003734B1"/>
    <w:rsid w:val="00373A8D"/>
    <w:rsid w:val="00373AC1"/>
    <w:rsid w:val="00375426"/>
    <w:rsid w:val="00377094"/>
    <w:rsid w:val="0037783B"/>
    <w:rsid w:val="00377B67"/>
    <w:rsid w:val="003805A9"/>
    <w:rsid w:val="00381258"/>
    <w:rsid w:val="003812D8"/>
    <w:rsid w:val="00381916"/>
    <w:rsid w:val="00381A48"/>
    <w:rsid w:val="00381D21"/>
    <w:rsid w:val="00383336"/>
    <w:rsid w:val="00384FD6"/>
    <w:rsid w:val="00385318"/>
    <w:rsid w:val="00386D68"/>
    <w:rsid w:val="00390E30"/>
    <w:rsid w:val="00391B77"/>
    <w:rsid w:val="00392C59"/>
    <w:rsid w:val="00394722"/>
    <w:rsid w:val="0039492D"/>
    <w:rsid w:val="003969AB"/>
    <w:rsid w:val="00397924"/>
    <w:rsid w:val="00397F10"/>
    <w:rsid w:val="003A041B"/>
    <w:rsid w:val="003A1344"/>
    <w:rsid w:val="003A26C6"/>
    <w:rsid w:val="003A3F4D"/>
    <w:rsid w:val="003A46CF"/>
    <w:rsid w:val="003A7E25"/>
    <w:rsid w:val="003B0723"/>
    <w:rsid w:val="003B0FEE"/>
    <w:rsid w:val="003B1A1D"/>
    <w:rsid w:val="003B2295"/>
    <w:rsid w:val="003B2B2B"/>
    <w:rsid w:val="003B303B"/>
    <w:rsid w:val="003B4C4B"/>
    <w:rsid w:val="003B5DC0"/>
    <w:rsid w:val="003B6AAD"/>
    <w:rsid w:val="003B6D2D"/>
    <w:rsid w:val="003C04F0"/>
    <w:rsid w:val="003C10AD"/>
    <w:rsid w:val="003C1549"/>
    <w:rsid w:val="003C32B1"/>
    <w:rsid w:val="003C3BBE"/>
    <w:rsid w:val="003C3D72"/>
    <w:rsid w:val="003C4BF4"/>
    <w:rsid w:val="003C6C7D"/>
    <w:rsid w:val="003D11CD"/>
    <w:rsid w:val="003D1752"/>
    <w:rsid w:val="003D2BD1"/>
    <w:rsid w:val="003D2C5E"/>
    <w:rsid w:val="003D2F5D"/>
    <w:rsid w:val="003D4DD5"/>
    <w:rsid w:val="003D521E"/>
    <w:rsid w:val="003D59D6"/>
    <w:rsid w:val="003D5C42"/>
    <w:rsid w:val="003D7256"/>
    <w:rsid w:val="003E1862"/>
    <w:rsid w:val="003E3DE2"/>
    <w:rsid w:val="003E4168"/>
    <w:rsid w:val="003E4176"/>
    <w:rsid w:val="003E4ACC"/>
    <w:rsid w:val="003E5EF7"/>
    <w:rsid w:val="003E5F05"/>
    <w:rsid w:val="003E666B"/>
    <w:rsid w:val="003E7131"/>
    <w:rsid w:val="003E7514"/>
    <w:rsid w:val="003E7584"/>
    <w:rsid w:val="003E7D23"/>
    <w:rsid w:val="003F0171"/>
    <w:rsid w:val="003F34D8"/>
    <w:rsid w:val="003F436A"/>
    <w:rsid w:val="003F43D4"/>
    <w:rsid w:val="003F68F7"/>
    <w:rsid w:val="003F6FB5"/>
    <w:rsid w:val="004007C3"/>
    <w:rsid w:val="00400EE4"/>
    <w:rsid w:val="004044F0"/>
    <w:rsid w:val="0040464E"/>
    <w:rsid w:val="004048B7"/>
    <w:rsid w:val="00405487"/>
    <w:rsid w:val="0040644A"/>
    <w:rsid w:val="004069C2"/>
    <w:rsid w:val="004071FA"/>
    <w:rsid w:val="00407E9A"/>
    <w:rsid w:val="00410462"/>
    <w:rsid w:val="00410D96"/>
    <w:rsid w:val="004115FB"/>
    <w:rsid w:val="0041198E"/>
    <w:rsid w:val="004143B6"/>
    <w:rsid w:val="00414528"/>
    <w:rsid w:val="004147B6"/>
    <w:rsid w:val="0041489F"/>
    <w:rsid w:val="0041678E"/>
    <w:rsid w:val="004170F5"/>
    <w:rsid w:val="00420175"/>
    <w:rsid w:val="00421255"/>
    <w:rsid w:val="00422009"/>
    <w:rsid w:val="00422282"/>
    <w:rsid w:val="00423904"/>
    <w:rsid w:val="0042398F"/>
    <w:rsid w:val="00424BE9"/>
    <w:rsid w:val="00425100"/>
    <w:rsid w:val="00425355"/>
    <w:rsid w:val="00425757"/>
    <w:rsid w:val="00426B19"/>
    <w:rsid w:val="00430C3D"/>
    <w:rsid w:val="00430CC6"/>
    <w:rsid w:val="00430E88"/>
    <w:rsid w:val="00431D05"/>
    <w:rsid w:val="00432CF9"/>
    <w:rsid w:val="00432D9A"/>
    <w:rsid w:val="00433442"/>
    <w:rsid w:val="0043380E"/>
    <w:rsid w:val="00433C58"/>
    <w:rsid w:val="00434240"/>
    <w:rsid w:val="004349F3"/>
    <w:rsid w:val="00434CB2"/>
    <w:rsid w:val="00434FE7"/>
    <w:rsid w:val="00436191"/>
    <w:rsid w:val="004367A0"/>
    <w:rsid w:val="00436933"/>
    <w:rsid w:val="00436E19"/>
    <w:rsid w:val="00437F50"/>
    <w:rsid w:val="004400DF"/>
    <w:rsid w:val="00440344"/>
    <w:rsid w:val="00441356"/>
    <w:rsid w:val="00441748"/>
    <w:rsid w:val="00441A0D"/>
    <w:rsid w:val="00442032"/>
    <w:rsid w:val="004420A3"/>
    <w:rsid w:val="00443F85"/>
    <w:rsid w:val="0044442F"/>
    <w:rsid w:val="004457ED"/>
    <w:rsid w:val="00445E73"/>
    <w:rsid w:val="00450856"/>
    <w:rsid w:val="004510AF"/>
    <w:rsid w:val="00452557"/>
    <w:rsid w:val="00452B99"/>
    <w:rsid w:val="00453591"/>
    <w:rsid w:val="00454374"/>
    <w:rsid w:val="004544F2"/>
    <w:rsid w:val="00456F88"/>
    <w:rsid w:val="004571EC"/>
    <w:rsid w:val="004572BD"/>
    <w:rsid w:val="00457850"/>
    <w:rsid w:val="00461564"/>
    <w:rsid w:val="00462352"/>
    <w:rsid w:val="0046252F"/>
    <w:rsid w:val="004627CA"/>
    <w:rsid w:val="00463069"/>
    <w:rsid w:val="00463308"/>
    <w:rsid w:val="00463E7E"/>
    <w:rsid w:val="00464C8A"/>
    <w:rsid w:val="00465F93"/>
    <w:rsid w:val="00466DD6"/>
    <w:rsid w:val="004707F4"/>
    <w:rsid w:val="00472BB3"/>
    <w:rsid w:val="00474B0F"/>
    <w:rsid w:val="00474D3E"/>
    <w:rsid w:val="004753A1"/>
    <w:rsid w:val="0047601B"/>
    <w:rsid w:val="004760F1"/>
    <w:rsid w:val="004779F6"/>
    <w:rsid w:val="00480C65"/>
    <w:rsid w:val="0048185C"/>
    <w:rsid w:val="00481A95"/>
    <w:rsid w:val="00482455"/>
    <w:rsid w:val="00483674"/>
    <w:rsid w:val="004837FF"/>
    <w:rsid w:val="00483B8A"/>
    <w:rsid w:val="00484246"/>
    <w:rsid w:val="00485F2D"/>
    <w:rsid w:val="00490A0F"/>
    <w:rsid w:val="0049296A"/>
    <w:rsid w:val="00495717"/>
    <w:rsid w:val="00495E02"/>
    <w:rsid w:val="0049640A"/>
    <w:rsid w:val="00496514"/>
    <w:rsid w:val="00496BDF"/>
    <w:rsid w:val="004A0582"/>
    <w:rsid w:val="004A1D92"/>
    <w:rsid w:val="004A26C2"/>
    <w:rsid w:val="004A2D75"/>
    <w:rsid w:val="004A442B"/>
    <w:rsid w:val="004A63C2"/>
    <w:rsid w:val="004A6612"/>
    <w:rsid w:val="004A6D56"/>
    <w:rsid w:val="004A7E9B"/>
    <w:rsid w:val="004B0283"/>
    <w:rsid w:val="004B0EA7"/>
    <w:rsid w:val="004B3794"/>
    <w:rsid w:val="004B5357"/>
    <w:rsid w:val="004B5CC5"/>
    <w:rsid w:val="004B5D3E"/>
    <w:rsid w:val="004C085F"/>
    <w:rsid w:val="004C259B"/>
    <w:rsid w:val="004C3E08"/>
    <w:rsid w:val="004C43CE"/>
    <w:rsid w:val="004C44F7"/>
    <w:rsid w:val="004C47E9"/>
    <w:rsid w:val="004C593E"/>
    <w:rsid w:val="004C6053"/>
    <w:rsid w:val="004C62D6"/>
    <w:rsid w:val="004C665C"/>
    <w:rsid w:val="004C6C44"/>
    <w:rsid w:val="004C7BF5"/>
    <w:rsid w:val="004D124C"/>
    <w:rsid w:val="004D1ECF"/>
    <w:rsid w:val="004D3063"/>
    <w:rsid w:val="004D3A94"/>
    <w:rsid w:val="004D3BA0"/>
    <w:rsid w:val="004D3D21"/>
    <w:rsid w:val="004D3D30"/>
    <w:rsid w:val="004D3F88"/>
    <w:rsid w:val="004D44C9"/>
    <w:rsid w:val="004D4825"/>
    <w:rsid w:val="004D5CCF"/>
    <w:rsid w:val="004D6F3A"/>
    <w:rsid w:val="004E076B"/>
    <w:rsid w:val="004E0CBC"/>
    <w:rsid w:val="004E1841"/>
    <w:rsid w:val="004E1B89"/>
    <w:rsid w:val="004E272E"/>
    <w:rsid w:val="004E30FC"/>
    <w:rsid w:val="004E36AC"/>
    <w:rsid w:val="004E57D5"/>
    <w:rsid w:val="004E66C3"/>
    <w:rsid w:val="004E767E"/>
    <w:rsid w:val="004E7891"/>
    <w:rsid w:val="004F0C21"/>
    <w:rsid w:val="004F2011"/>
    <w:rsid w:val="004F2012"/>
    <w:rsid w:val="004F2923"/>
    <w:rsid w:val="004F2F6B"/>
    <w:rsid w:val="004F3841"/>
    <w:rsid w:val="004F3843"/>
    <w:rsid w:val="004F39CA"/>
    <w:rsid w:val="004F3A84"/>
    <w:rsid w:val="004F521B"/>
    <w:rsid w:val="004F5624"/>
    <w:rsid w:val="004F63F8"/>
    <w:rsid w:val="004F7A4A"/>
    <w:rsid w:val="00500454"/>
    <w:rsid w:val="005011E4"/>
    <w:rsid w:val="00501423"/>
    <w:rsid w:val="005016F0"/>
    <w:rsid w:val="00502A3E"/>
    <w:rsid w:val="00503B86"/>
    <w:rsid w:val="0050452E"/>
    <w:rsid w:val="00504AA0"/>
    <w:rsid w:val="00504FD7"/>
    <w:rsid w:val="00506A15"/>
    <w:rsid w:val="00507DB4"/>
    <w:rsid w:val="00510168"/>
    <w:rsid w:val="005108EE"/>
    <w:rsid w:val="00511327"/>
    <w:rsid w:val="00511A6B"/>
    <w:rsid w:val="00511A99"/>
    <w:rsid w:val="00513772"/>
    <w:rsid w:val="00513BDE"/>
    <w:rsid w:val="005148F1"/>
    <w:rsid w:val="00514EBA"/>
    <w:rsid w:val="0051562E"/>
    <w:rsid w:val="00515E58"/>
    <w:rsid w:val="00516B1A"/>
    <w:rsid w:val="00516C99"/>
    <w:rsid w:val="00517719"/>
    <w:rsid w:val="005177D8"/>
    <w:rsid w:val="00517BF1"/>
    <w:rsid w:val="005201C2"/>
    <w:rsid w:val="00520797"/>
    <w:rsid w:val="00521498"/>
    <w:rsid w:val="00521C8D"/>
    <w:rsid w:val="00523586"/>
    <w:rsid w:val="0052688A"/>
    <w:rsid w:val="00527791"/>
    <w:rsid w:val="0052789D"/>
    <w:rsid w:val="00530651"/>
    <w:rsid w:val="00531920"/>
    <w:rsid w:val="00531AAA"/>
    <w:rsid w:val="00532FF6"/>
    <w:rsid w:val="00533286"/>
    <w:rsid w:val="0053391E"/>
    <w:rsid w:val="00533B60"/>
    <w:rsid w:val="00534CEC"/>
    <w:rsid w:val="005371C2"/>
    <w:rsid w:val="00540A0F"/>
    <w:rsid w:val="00541868"/>
    <w:rsid w:val="00541A4B"/>
    <w:rsid w:val="00542221"/>
    <w:rsid w:val="00542525"/>
    <w:rsid w:val="00542DE7"/>
    <w:rsid w:val="00543F35"/>
    <w:rsid w:val="005453D2"/>
    <w:rsid w:val="005465C8"/>
    <w:rsid w:val="00546FA4"/>
    <w:rsid w:val="005508B6"/>
    <w:rsid w:val="00550D1E"/>
    <w:rsid w:val="00551646"/>
    <w:rsid w:val="0055175F"/>
    <w:rsid w:val="00551E9D"/>
    <w:rsid w:val="00553C66"/>
    <w:rsid w:val="00555241"/>
    <w:rsid w:val="005574E2"/>
    <w:rsid w:val="005614B1"/>
    <w:rsid w:val="005624D5"/>
    <w:rsid w:val="00562C90"/>
    <w:rsid w:val="00563D2C"/>
    <w:rsid w:val="00563F02"/>
    <w:rsid w:val="005653E8"/>
    <w:rsid w:val="00565444"/>
    <w:rsid w:val="005672EE"/>
    <w:rsid w:val="00567B0E"/>
    <w:rsid w:val="005704A3"/>
    <w:rsid w:val="00570FCD"/>
    <w:rsid w:val="00572021"/>
    <w:rsid w:val="0057209C"/>
    <w:rsid w:val="005735DA"/>
    <w:rsid w:val="00573C30"/>
    <w:rsid w:val="00575650"/>
    <w:rsid w:val="00576ACD"/>
    <w:rsid w:val="0058077D"/>
    <w:rsid w:val="0058230C"/>
    <w:rsid w:val="005824CA"/>
    <w:rsid w:val="00585B3C"/>
    <w:rsid w:val="00586437"/>
    <w:rsid w:val="005868CC"/>
    <w:rsid w:val="00587ADD"/>
    <w:rsid w:val="00591574"/>
    <w:rsid w:val="0059466C"/>
    <w:rsid w:val="005948C2"/>
    <w:rsid w:val="00594D0B"/>
    <w:rsid w:val="00594F0F"/>
    <w:rsid w:val="00594F18"/>
    <w:rsid w:val="00595415"/>
    <w:rsid w:val="005A02C7"/>
    <w:rsid w:val="005A0509"/>
    <w:rsid w:val="005A1E8A"/>
    <w:rsid w:val="005A1FC1"/>
    <w:rsid w:val="005A21C1"/>
    <w:rsid w:val="005A268A"/>
    <w:rsid w:val="005A278F"/>
    <w:rsid w:val="005A30C2"/>
    <w:rsid w:val="005A4293"/>
    <w:rsid w:val="005A451B"/>
    <w:rsid w:val="005A46C2"/>
    <w:rsid w:val="005A6AF3"/>
    <w:rsid w:val="005B0A73"/>
    <w:rsid w:val="005B1E7A"/>
    <w:rsid w:val="005B28C5"/>
    <w:rsid w:val="005B3B1E"/>
    <w:rsid w:val="005B4246"/>
    <w:rsid w:val="005B701C"/>
    <w:rsid w:val="005B7914"/>
    <w:rsid w:val="005B7CC9"/>
    <w:rsid w:val="005B7D1F"/>
    <w:rsid w:val="005C3597"/>
    <w:rsid w:val="005C3992"/>
    <w:rsid w:val="005C3F13"/>
    <w:rsid w:val="005C4171"/>
    <w:rsid w:val="005C512F"/>
    <w:rsid w:val="005C5B4C"/>
    <w:rsid w:val="005C639A"/>
    <w:rsid w:val="005D01F7"/>
    <w:rsid w:val="005D1700"/>
    <w:rsid w:val="005D2459"/>
    <w:rsid w:val="005D4113"/>
    <w:rsid w:val="005D5C78"/>
    <w:rsid w:val="005D656B"/>
    <w:rsid w:val="005D65AC"/>
    <w:rsid w:val="005D6E37"/>
    <w:rsid w:val="005D7256"/>
    <w:rsid w:val="005E03A5"/>
    <w:rsid w:val="005E03C2"/>
    <w:rsid w:val="005E1DF2"/>
    <w:rsid w:val="005E28CB"/>
    <w:rsid w:val="005E3CFF"/>
    <w:rsid w:val="005E3D64"/>
    <w:rsid w:val="005E4942"/>
    <w:rsid w:val="005E5675"/>
    <w:rsid w:val="005E61A5"/>
    <w:rsid w:val="005E743B"/>
    <w:rsid w:val="005F020E"/>
    <w:rsid w:val="005F1ECA"/>
    <w:rsid w:val="005F2DFD"/>
    <w:rsid w:val="005F3109"/>
    <w:rsid w:val="005F534B"/>
    <w:rsid w:val="005F5A20"/>
    <w:rsid w:val="005F6143"/>
    <w:rsid w:val="005F6604"/>
    <w:rsid w:val="005F683F"/>
    <w:rsid w:val="005F70CE"/>
    <w:rsid w:val="005F7561"/>
    <w:rsid w:val="005F76A8"/>
    <w:rsid w:val="005F781F"/>
    <w:rsid w:val="005F78DE"/>
    <w:rsid w:val="005F7E0C"/>
    <w:rsid w:val="00600E65"/>
    <w:rsid w:val="00601242"/>
    <w:rsid w:val="00601987"/>
    <w:rsid w:val="0060290C"/>
    <w:rsid w:val="00602991"/>
    <w:rsid w:val="00602CEC"/>
    <w:rsid w:val="0060481D"/>
    <w:rsid w:val="00604846"/>
    <w:rsid w:val="00604929"/>
    <w:rsid w:val="00604953"/>
    <w:rsid w:val="00604B4E"/>
    <w:rsid w:val="00605BE8"/>
    <w:rsid w:val="00605DEA"/>
    <w:rsid w:val="006060E9"/>
    <w:rsid w:val="006074BB"/>
    <w:rsid w:val="006108BF"/>
    <w:rsid w:val="0061169A"/>
    <w:rsid w:val="006116FF"/>
    <w:rsid w:val="00611818"/>
    <w:rsid w:val="00611DFF"/>
    <w:rsid w:val="00613344"/>
    <w:rsid w:val="00613D2D"/>
    <w:rsid w:val="006151D3"/>
    <w:rsid w:val="00615B73"/>
    <w:rsid w:val="00616164"/>
    <w:rsid w:val="006171EB"/>
    <w:rsid w:val="006219BC"/>
    <w:rsid w:val="00621D96"/>
    <w:rsid w:val="00622517"/>
    <w:rsid w:val="00622C39"/>
    <w:rsid w:val="00624533"/>
    <w:rsid w:val="00624FC6"/>
    <w:rsid w:val="00627998"/>
    <w:rsid w:val="006279E4"/>
    <w:rsid w:val="00630DB9"/>
    <w:rsid w:val="0063183B"/>
    <w:rsid w:val="006329B8"/>
    <w:rsid w:val="0063354C"/>
    <w:rsid w:val="00633839"/>
    <w:rsid w:val="00636966"/>
    <w:rsid w:val="00637224"/>
    <w:rsid w:val="00637BCB"/>
    <w:rsid w:val="00640D88"/>
    <w:rsid w:val="00640F05"/>
    <w:rsid w:val="00641858"/>
    <w:rsid w:val="006426A8"/>
    <w:rsid w:val="006454CC"/>
    <w:rsid w:val="0064621E"/>
    <w:rsid w:val="006468CF"/>
    <w:rsid w:val="00647350"/>
    <w:rsid w:val="00647870"/>
    <w:rsid w:val="00647BBA"/>
    <w:rsid w:val="006501B7"/>
    <w:rsid w:val="0065254F"/>
    <w:rsid w:val="00652B32"/>
    <w:rsid w:val="00653893"/>
    <w:rsid w:val="00654E27"/>
    <w:rsid w:val="00655278"/>
    <w:rsid w:val="0065532B"/>
    <w:rsid w:val="00655888"/>
    <w:rsid w:val="00656163"/>
    <w:rsid w:val="00657622"/>
    <w:rsid w:val="00661AF6"/>
    <w:rsid w:val="00661D10"/>
    <w:rsid w:val="0066237C"/>
    <w:rsid w:val="0066340E"/>
    <w:rsid w:val="00663BAF"/>
    <w:rsid w:val="00665676"/>
    <w:rsid w:val="00665830"/>
    <w:rsid w:val="0066599E"/>
    <w:rsid w:val="00665AD1"/>
    <w:rsid w:val="00666419"/>
    <w:rsid w:val="00666727"/>
    <w:rsid w:val="00666A9C"/>
    <w:rsid w:val="006678EB"/>
    <w:rsid w:val="0067069B"/>
    <w:rsid w:val="00671705"/>
    <w:rsid w:val="0067200B"/>
    <w:rsid w:val="00672181"/>
    <w:rsid w:val="006723E1"/>
    <w:rsid w:val="00674E1E"/>
    <w:rsid w:val="00676436"/>
    <w:rsid w:val="00676AB3"/>
    <w:rsid w:val="00676C05"/>
    <w:rsid w:val="006774B5"/>
    <w:rsid w:val="00681818"/>
    <w:rsid w:val="00681DF7"/>
    <w:rsid w:val="006851AF"/>
    <w:rsid w:val="006861ED"/>
    <w:rsid w:val="00687645"/>
    <w:rsid w:val="00691C54"/>
    <w:rsid w:val="006925C9"/>
    <w:rsid w:val="00693B93"/>
    <w:rsid w:val="00694805"/>
    <w:rsid w:val="006963A5"/>
    <w:rsid w:val="006967EE"/>
    <w:rsid w:val="006A17B5"/>
    <w:rsid w:val="006A2F68"/>
    <w:rsid w:val="006A4308"/>
    <w:rsid w:val="006A5B77"/>
    <w:rsid w:val="006A79BA"/>
    <w:rsid w:val="006B01D9"/>
    <w:rsid w:val="006B0CA0"/>
    <w:rsid w:val="006B0F56"/>
    <w:rsid w:val="006B1496"/>
    <w:rsid w:val="006B1B0B"/>
    <w:rsid w:val="006B2719"/>
    <w:rsid w:val="006B2A4A"/>
    <w:rsid w:val="006B43D6"/>
    <w:rsid w:val="006B4BCE"/>
    <w:rsid w:val="006B54A9"/>
    <w:rsid w:val="006B57BB"/>
    <w:rsid w:val="006B58BB"/>
    <w:rsid w:val="006B6B0E"/>
    <w:rsid w:val="006B73FC"/>
    <w:rsid w:val="006C0130"/>
    <w:rsid w:val="006C0E84"/>
    <w:rsid w:val="006C15B5"/>
    <w:rsid w:val="006C195E"/>
    <w:rsid w:val="006C1C98"/>
    <w:rsid w:val="006C208C"/>
    <w:rsid w:val="006C2BD6"/>
    <w:rsid w:val="006C3CDD"/>
    <w:rsid w:val="006C4693"/>
    <w:rsid w:val="006C51CB"/>
    <w:rsid w:val="006C6C3C"/>
    <w:rsid w:val="006C6CA1"/>
    <w:rsid w:val="006C7108"/>
    <w:rsid w:val="006C7F3A"/>
    <w:rsid w:val="006D317E"/>
    <w:rsid w:val="006D7493"/>
    <w:rsid w:val="006D78BA"/>
    <w:rsid w:val="006E032B"/>
    <w:rsid w:val="006E045E"/>
    <w:rsid w:val="006E06D3"/>
    <w:rsid w:val="006E1352"/>
    <w:rsid w:val="006E1FD7"/>
    <w:rsid w:val="006E2BC8"/>
    <w:rsid w:val="006E3ED2"/>
    <w:rsid w:val="006E5673"/>
    <w:rsid w:val="006F02B8"/>
    <w:rsid w:val="006F13DA"/>
    <w:rsid w:val="006F2B50"/>
    <w:rsid w:val="006F2E7B"/>
    <w:rsid w:val="006F3543"/>
    <w:rsid w:val="0070047D"/>
    <w:rsid w:val="0070215B"/>
    <w:rsid w:val="00704572"/>
    <w:rsid w:val="00704BED"/>
    <w:rsid w:val="00704C64"/>
    <w:rsid w:val="00705D72"/>
    <w:rsid w:val="0070677B"/>
    <w:rsid w:val="00706EAA"/>
    <w:rsid w:val="00710B76"/>
    <w:rsid w:val="0071106E"/>
    <w:rsid w:val="00712067"/>
    <w:rsid w:val="007125C6"/>
    <w:rsid w:val="00712F57"/>
    <w:rsid w:val="00715B1D"/>
    <w:rsid w:val="00715B21"/>
    <w:rsid w:val="00716328"/>
    <w:rsid w:val="00716D66"/>
    <w:rsid w:val="00717F87"/>
    <w:rsid w:val="0072100B"/>
    <w:rsid w:val="00721420"/>
    <w:rsid w:val="00721BAE"/>
    <w:rsid w:val="00721D01"/>
    <w:rsid w:val="00722156"/>
    <w:rsid w:val="0072251B"/>
    <w:rsid w:val="00723D60"/>
    <w:rsid w:val="007244FC"/>
    <w:rsid w:val="0072792D"/>
    <w:rsid w:val="00732DC0"/>
    <w:rsid w:val="007347F0"/>
    <w:rsid w:val="007348F6"/>
    <w:rsid w:val="00734B28"/>
    <w:rsid w:val="00736276"/>
    <w:rsid w:val="0073781F"/>
    <w:rsid w:val="0074021B"/>
    <w:rsid w:val="007402CB"/>
    <w:rsid w:val="00740445"/>
    <w:rsid w:val="00745B0F"/>
    <w:rsid w:val="00746396"/>
    <w:rsid w:val="00746FEE"/>
    <w:rsid w:val="00750C33"/>
    <w:rsid w:val="00750C83"/>
    <w:rsid w:val="00751939"/>
    <w:rsid w:val="00752CA6"/>
    <w:rsid w:val="00753DB7"/>
    <w:rsid w:val="00754550"/>
    <w:rsid w:val="007560A0"/>
    <w:rsid w:val="00757319"/>
    <w:rsid w:val="007577A4"/>
    <w:rsid w:val="007600AB"/>
    <w:rsid w:val="007616CE"/>
    <w:rsid w:val="00761FB9"/>
    <w:rsid w:val="00762944"/>
    <w:rsid w:val="00763278"/>
    <w:rsid w:val="007643D5"/>
    <w:rsid w:val="0076462A"/>
    <w:rsid w:val="00764CD6"/>
    <w:rsid w:val="0076652B"/>
    <w:rsid w:val="007666BF"/>
    <w:rsid w:val="0076682D"/>
    <w:rsid w:val="00770D5E"/>
    <w:rsid w:val="007711DA"/>
    <w:rsid w:val="0077125C"/>
    <w:rsid w:val="007715D7"/>
    <w:rsid w:val="00771A2A"/>
    <w:rsid w:val="0077316F"/>
    <w:rsid w:val="007735E6"/>
    <w:rsid w:val="00774672"/>
    <w:rsid w:val="007747DF"/>
    <w:rsid w:val="007750AF"/>
    <w:rsid w:val="00775DED"/>
    <w:rsid w:val="00776B58"/>
    <w:rsid w:val="00776CD3"/>
    <w:rsid w:val="00776E8B"/>
    <w:rsid w:val="00777101"/>
    <w:rsid w:val="0077739C"/>
    <w:rsid w:val="00777850"/>
    <w:rsid w:val="00777F72"/>
    <w:rsid w:val="00777FAC"/>
    <w:rsid w:val="00780605"/>
    <w:rsid w:val="00780CC0"/>
    <w:rsid w:val="0078132A"/>
    <w:rsid w:val="007823DA"/>
    <w:rsid w:val="00782434"/>
    <w:rsid w:val="00782832"/>
    <w:rsid w:val="00783360"/>
    <w:rsid w:val="00784C7E"/>
    <w:rsid w:val="00790A53"/>
    <w:rsid w:val="0079136B"/>
    <w:rsid w:val="007946C7"/>
    <w:rsid w:val="0079655F"/>
    <w:rsid w:val="00796BB3"/>
    <w:rsid w:val="00797F6F"/>
    <w:rsid w:val="007A020A"/>
    <w:rsid w:val="007A05A7"/>
    <w:rsid w:val="007A1103"/>
    <w:rsid w:val="007A37DE"/>
    <w:rsid w:val="007A43B2"/>
    <w:rsid w:val="007A4752"/>
    <w:rsid w:val="007A53E6"/>
    <w:rsid w:val="007A5E22"/>
    <w:rsid w:val="007A69C2"/>
    <w:rsid w:val="007A77C1"/>
    <w:rsid w:val="007B2E4E"/>
    <w:rsid w:val="007B6550"/>
    <w:rsid w:val="007B66E1"/>
    <w:rsid w:val="007B6E0E"/>
    <w:rsid w:val="007B74CA"/>
    <w:rsid w:val="007B7D6D"/>
    <w:rsid w:val="007C030C"/>
    <w:rsid w:val="007C0431"/>
    <w:rsid w:val="007C2800"/>
    <w:rsid w:val="007C3D3C"/>
    <w:rsid w:val="007C3E0B"/>
    <w:rsid w:val="007C406D"/>
    <w:rsid w:val="007C44FA"/>
    <w:rsid w:val="007C59FC"/>
    <w:rsid w:val="007C6D47"/>
    <w:rsid w:val="007D05CB"/>
    <w:rsid w:val="007D1D82"/>
    <w:rsid w:val="007D2907"/>
    <w:rsid w:val="007D2946"/>
    <w:rsid w:val="007D44CC"/>
    <w:rsid w:val="007D6925"/>
    <w:rsid w:val="007D6C7C"/>
    <w:rsid w:val="007D7178"/>
    <w:rsid w:val="007D7C4A"/>
    <w:rsid w:val="007E0AA0"/>
    <w:rsid w:val="007E1B31"/>
    <w:rsid w:val="007E2481"/>
    <w:rsid w:val="007E4EFE"/>
    <w:rsid w:val="007E7549"/>
    <w:rsid w:val="007E758B"/>
    <w:rsid w:val="007F06E8"/>
    <w:rsid w:val="007F0FBE"/>
    <w:rsid w:val="007F2D89"/>
    <w:rsid w:val="007F3F75"/>
    <w:rsid w:val="007F3FCF"/>
    <w:rsid w:val="007F5827"/>
    <w:rsid w:val="007F5862"/>
    <w:rsid w:val="007F603F"/>
    <w:rsid w:val="007F62E3"/>
    <w:rsid w:val="007F6313"/>
    <w:rsid w:val="007F72EA"/>
    <w:rsid w:val="007F763E"/>
    <w:rsid w:val="00801217"/>
    <w:rsid w:val="00801C95"/>
    <w:rsid w:val="0080206C"/>
    <w:rsid w:val="008029F0"/>
    <w:rsid w:val="00802CA8"/>
    <w:rsid w:val="00802F70"/>
    <w:rsid w:val="00803D57"/>
    <w:rsid w:val="00806B86"/>
    <w:rsid w:val="008071D5"/>
    <w:rsid w:val="008078FA"/>
    <w:rsid w:val="00807A51"/>
    <w:rsid w:val="00807B08"/>
    <w:rsid w:val="008101E7"/>
    <w:rsid w:val="00811A98"/>
    <w:rsid w:val="008143D6"/>
    <w:rsid w:val="0081532B"/>
    <w:rsid w:val="00816266"/>
    <w:rsid w:val="00816515"/>
    <w:rsid w:val="008173B2"/>
    <w:rsid w:val="008178E9"/>
    <w:rsid w:val="00820E0A"/>
    <w:rsid w:val="00820F72"/>
    <w:rsid w:val="00821941"/>
    <w:rsid w:val="008235EF"/>
    <w:rsid w:val="0082394C"/>
    <w:rsid w:val="008240B5"/>
    <w:rsid w:val="00824504"/>
    <w:rsid w:val="00824FF5"/>
    <w:rsid w:val="008254DA"/>
    <w:rsid w:val="008316EB"/>
    <w:rsid w:val="008328F3"/>
    <w:rsid w:val="00832CF3"/>
    <w:rsid w:val="0083344C"/>
    <w:rsid w:val="008336E0"/>
    <w:rsid w:val="0083414F"/>
    <w:rsid w:val="00834B53"/>
    <w:rsid w:val="00837D78"/>
    <w:rsid w:val="00842CCB"/>
    <w:rsid w:val="00843B5B"/>
    <w:rsid w:val="00843C11"/>
    <w:rsid w:val="00843CEC"/>
    <w:rsid w:val="008441A8"/>
    <w:rsid w:val="00844A86"/>
    <w:rsid w:val="008450CC"/>
    <w:rsid w:val="00846D31"/>
    <w:rsid w:val="00847C7E"/>
    <w:rsid w:val="00850584"/>
    <w:rsid w:val="00851B00"/>
    <w:rsid w:val="00853630"/>
    <w:rsid w:val="00853BDA"/>
    <w:rsid w:val="00853C2F"/>
    <w:rsid w:val="00854861"/>
    <w:rsid w:val="008569C4"/>
    <w:rsid w:val="00860A08"/>
    <w:rsid w:val="0086184E"/>
    <w:rsid w:val="0086244D"/>
    <w:rsid w:val="008629D1"/>
    <w:rsid w:val="008636C8"/>
    <w:rsid w:val="00864520"/>
    <w:rsid w:val="008660FD"/>
    <w:rsid w:val="008662A9"/>
    <w:rsid w:val="008675A0"/>
    <w:rsid w:val="00867AC4"/>
    <w:rsid w:val="0087141C"/>
    <w:rsid w:val="00873C8A"/>
    <w:rsid w:val="00874B45"/>
    <w:rsid w:val="00875A89"/>
    <w:rsid w:val="00877923"/>
    <w:rsid w:val="0088074C"/>
    <w:rsid w:val="008807FF"/>
    <w:rsid w:val="008808CD"/>
    <w:rsid w:val="00880C92"/>
    <w:rsid w:val="008818F2"/>
    <w:rsid w:val="00882332"/>
    <w:rsid w:val="00882627"/>
    <w:rsid w:val="00882813"/>
    <w:rsid w:val="00883B7F"/>
    <w:rsid w:val="0088434D"/>
    <w:rsid w:val="008855FC"/>
    <w:rsid w:val="00885E19"/>
    <w:rsid w:val="00887F91"/>
    <w:rsid w:val="00890231"/>
    <w:rsid w:val="008902CB"/>
    <w:rsid w:val="00890A10"/>
    <w:rsid w:val="0089120D"/>
    <w:rsid w:val="00891793"/>
    <w:rsid w:val="00891BDB"/>
    <w:rsid w:val="0089278F"/>
    <w:rsid w:val="00892A01"/>
    <w:rsid w:val="00892AA2"/>
    <w:rsid w:val="00895379"/>
    <w:rsid w:val="0089582C"/>
    <w:rsid w:val="008A0BB5"/>
    <w:rsid w:val="008A0C28"/>
    <w:rsid w:val="008A21CD"/>
    <w:rsid w:val="008A35F0"/>
    <w:rsid w:val="008A51B6"/>
    <w:rsid w:val="008A5472"/>
    <w:rsid w:val="008A6A31"/>
    <w:rsid w:val="008A78EB"/>
    <w:rsid w:val="008B0D0E"/>
    <w:rsid w:val="008B13F3"/>
    <w:rsid w:val="008B2340"/>
    <w:rsid w:val="008B2397"/>
    <w:rsid w:val="008B28A8"/>
    <w:rsid w:val="008B2E8C"/>
    <w:rsid w:val="008B34C6"/>
    <w:rsid w:val="008B3A5E"/>
    <w:rsid w:val="008B6146"/>
    <w:rsid w:val="008B77DF"/>
    <w:rsid w:val="008C0EB3"/>
    <w:rsid w:val="008C10A1"/>
    <w:rsid w:val="008C1691"/>
    <w:rsid w:val="008C24D6"/>
    <w:rsid w:val="008C3F68"/>
    <w:rsid w:val="008C45B4"/>
    <w:rsid w:val="008C4D6F"/>
    <w:rsid w:val="008C56DA"/>
    <w:rsid w:val="008C7853"/>
    <w:rsid w:val="008D11A9"/>
    <w:rsid w:val="008D1455"/>
    <w:rsid w:val="008D176F"/>
    <w:rsid w:val="008D39D4"/>
    <w:rsid w:val="008D4501"/>
    <w:rsid w:val="008D6EA4"/>
    <w:rsid w:val="008D6FCC"/>
    <w:rsid w:val="008D795F"/>
    <w:rsid w:val="008D7B2E"/>
    <w:rsid w:val="008D7D01"/>
    <w:rsid w:val="008E0A57"/>
    <w:rsid w:val="008E1F12"/>
    <w:rsid w:val="008E30EE"/>
    <w:rsid w:val="008E3C5F"/>
    <w:rsid w:val="008E4710"/>
    <w:rsid w:val="008E714D"/>
    <w:rsid w:val="008E7215"/>
    <w:rsid w:val="008F0FAD"/>
    <w:rsid w:val="008F1977"/>
    <w:rsid w:val="008F1A3C"/>
    <w:rsid w:val="008F31B1"/>
    <w:rsid w:val="008F35A6"/>
    <w:rsid w:val="008F3BB6"/>
    <w:rsid w:val="008F6206"/>
    <w:rsid w:val="009009F2"/>
    <w:rsid w:val="00901158"/>
    <w:rsid w:val="0090124D"/>
    <w:rsid w:val="00901E5B"/>
    <w:rsid w:val="00901F61"/>
    <w:rsid w:val="00903EFB"/>
    <w:rsid w:val="00904CF9"/>
    <w:rsid w:val="00905418"/>
    <w:rsid w:val="0090543B"/>
    <w:rsid w:val="009056AE"/>
    <w:rsid w:val="00905E30"/>
    <w:rsid w:val="00910A8F"/>
    <w:rsid w:val="00911960"/>
    <w:rsid w:val="00913221"/>
    <w:rsid w:val="00913243"/>
    <w:rsid w:val="009136CA"/>
    <w:rsid w:val="0091395E"/>
    <w:rsid w:val="00914B59"/>
    <w:rsid w:val="00914EAF"/>
    <w:rsid w:val="00915A59"/>
    <w:rsid w:val="00915CB6"/>
    <w:rsid w:val="00915F43"/>
    <w:rsid w:val="009172EC"/>
    <w:rsid w:val="009176D7"/>
    <w:rsid w:val="00917BE6"/>
    <w:rsid w:val="009200E7"/>
    <w:rsid w:val="0092010E"/>
    <w:rsid w:val="00921352"/>
    <w:rsid w:val="00921FBD"/>
    <w:rsid w:val="00922312"/>
    <w:rsid w:val="00924B83"/>
    <w:rsid w:val="009266D1"/>
    <w:rsid w:val="009300F7"/>
    <w:rsid w:val="009307B6"/>
    <w:rsid w:val="0093232E"/>
    <w:rsid w:val="009327A3"/>
    <w:rsid w:val="00934864"/>
    <w:rsid w:val="00934DB8"/>
    <w:rsid w:val="00934F5E"/>
    <w:rsid w:val="00935674"/>
    <w:rsid w:val="009363A9"/>
    <w:rsid w:val="0093640B"/>
    <w:rsid w:val="00936904"/>
    <w:rsid w:val="009369D1"/>
    <w:rsid w:val="0093780B"/>
    <w:rsid w:val="00937EEC"/>
    <w:rsid w:val="00940280"/>
    <w:rsid w:val="0094032E"/>
    <w:rsid w:val="00940DD0"/>
    <w:rsid w:val="009411E8"/>
    <w:rsid w:val="00941261"/>
    <w:rsid w:val="00941809"/>
    <w:rsid w:val="00942049"/>
    <w:rsid w:val="00942D07"/>
    <w:rsid w:val="00943379"/>
    <w:rsid w:val="009433DD"/>
    <w:rsid w:val="00944510"/>
    <w:rsid w:val="0094530D"/>
    <w:rsid w:val="009454D6"/>
    <w:rsid w:val="009478B7"/>
    <w:rsid w:val="00947B72"/>
    <w:rsid w:val="0095033E"/>
    <w:rsid w:val="00950521"/>
    <w:rsid w:val="0095125A"/>
    <w:rsid w:val="009513CA"/>
    <w:rsid w:val="009515D4"/>
    <w:rsid w:val="00951F1A"/>
    <w:rsid w:val="009522A4"/>
    <w:rsid w:val="00952768"/>
    <w:rsid w:val="0095503A"/>
    <w:rsid w:val="009573A0"/>
    <w:rsid w:val="00960C60"/>
    <w:rsid w:val="00960C92"/>
    <w:rsid w:val="00960ECD"/>
    <w:rsid w:val="009614EB"/>
    <w:rsid w:val="0096343A"/>
    <w:rsid w:val="00965276"/>
    <w:rsid w:val="00965748"/>
    <w:rsid w:val="00966EF0"/>
    <w:rsid w:val="00967C19"/>
    <w:rsid w:val="00970AAF"/>
    <w:rsid w:val="00970DD7"/>
    <w:rsid w:val="00972724"/>
    <w:rsid w:val="009741D9"/>
    <w:rsid w:val="00974715"/>
    <w:rsid w:val="00975BC4"/>
    <w:rsid w:val="00976030"/>
    <w:rsid w:val="009767E2"/>
    <w:rsid w:val="00976D1B"/>
    <w:rsid w:val="0097798D"/>
    <w:rsid w:val="00980892"/>
    <w:rsid w:val="009808A5"/>
    <w:rsid w:val="009810A2"/>
    <w:rsid w:val="009810E3"/>
    <w:rsid w:val="00983987"/>
    <w:rsid w:val="009846FE"/>
    <w:rsid w:val="00984EBF"/>
    <w:rsid w:val="00985166"/>
    <w:rsid w:val="00985E08"/>
    <w:rsid w:val="00985E60"/>
    <w:rsid w:val="0098650E"/>
    <w:rsid w:val="00987077"/>
    <w:rsid w:val="00991BC9"/>
    <w:rsid w:val="009933AA"/>
    <w:rsid w:val="009948E4"/>
    <w:rsid w:val="00995E5A"/>
    <w:rsid w:val="00996396"/>
    <w:rsid w:val="009A20E5"/>
    <w:rsid w:val="009A24A4"/>
    <w:rsid w:val="009A426C"/>
    <w:rsid w:val="009A5F98"/>
    <w:rsid w:val="009A6331"/>
    <w:rsid w:val="009A7775"/>
    <w:rsid w:val="009B094D"/>
    <w:rsid w:val="009B0D86"/>
    <w:rsid w:val="009B0DD1"/>
    <w:rsid w:val="009B18DF"/>
    <w:rsid w:val="009B1CB3"/>
    <w:rsid w:val="009B31BD"/>
    <w:rsid w:val="009B408D"/>
    <w:rsid w:val="009B467F"/>
    <w:rsid w:val="009B4D3A"/>
    <w:rsid w:val="009B4E90"/>
    <w:rsid w:val="009B7314"/>
    <w:rsid w:val="009B7597"/>
    <w:rsid w:val="009C008A"/>
    <w:rsid w:val="009C08A1"/>
    <w:rsid w:val="009C1409"/>
    <w:rsid w:val="009C34E1"/>
    <w:rsid w:val="009C40FA"/>
    <w:rsid w:val="009C438E"/>
    <w:rsid w:val="009C46B0"/>
    <w:rsid w:val="009C58F2"/>
    <w:rsid w:val="009C5959"/>
    <w:rsid w:val="009C5B7E"/>
    <w:rsid w:val="009C70EB"/>
    <w:rsid w:val="009C7434"/>
    <w:rsid w:val="009D0A75"/>
    <w:rsid w:val="009D28A7"/>
    <w:rsid w:val="009E0EA4"/>
    <w:rsid w:val="009E1F76"/>
    <w:rsid w:val="009E32ED"/>
    <w:rsid w:val="009E387E"/>
    <w:rsid w:val="009E3DC3"/>
    <w:rsid w:val="009E4662"/>
    <w:rsid w:val="009E4D97"/>
    <w:rsid w:val="009E5066"/>
    <w:rsid w:val="009E53C9"/>
    <w:rsid w:val="009E59C1"/>
    <w:rsid w:val="009F1594"/>
    <w:rsid w:val="009F189F"/>
    <w:rsid w:val="009F1B4C"/>
    <w:rsid w:val="009F208A"/>
    <w:rsid w:val="009F2948"/>
    <w:rsid w:val="009F616F"/>
    <w:rsid w:val="009F6DBD"/>
    <w:rsid w:val="009F7F1E"/>
    <w:rsid w:val="00A00F5E"/>
    <w:rsid w:val="00A025F5"/>
    <w:rsid w:val="00A02FDC"/>
    <w:rsid w:val="00A030CD"/>
    <w:rsid w:val="00A031D5"/>
    <w:rsid w:val="00A03FEA"/>
    <w:rsid w:val="00A047F2"/>
    <w:rsid w:val="00A0607A"/>
    <w:rsid w:val="00A06514"/>
    <w:rsid w:val="00A07A25"/>
    <w:rsid w:val="00A1116B"/>
    <w:rsid w:val="00A11205"/>
    <w:rsid w:val="00A117B5"/>
    <w:rsid w:val="00A1215D"/>
    <w:rsid w:val="00A123DC"/>
    <w:rsid w:val="00A14045"/>
    <w:rsid w:val="00A1442A"/>
    <w:rsid w:val="00A144BE"/>
    <w:rsid w:val="00A14DF2"/>
    <w:rsid w:val="00A15AB0"/>
    <w:rsid w:val="00A15E33"/>
    <w:rsid w:val="00A164AE"/>
    <w:rsid w:val="00A20D10"/>
    <w:rsid w:val="00A216A6"/>
    <w:rsid w:val="00A21C2A"/>
    <w:rsid w:val="00A23226"/>
    <w:rsid w:val="00A23332"/>
    <w:rsid w:val="00A248A5"/>
    <w:rsid w:val="00A24EAC"/>
    <w:rsid w:val="00A254DF"/>
    <w:rsid w:val="00A255C3"/>
    <w:rsid w:val="00A276F7"/>
    <w:rsid w:val="00A279AB"/>
    <w:rsid w:val="00A30303"/>
    <w:rsid w:val="00A31926"/>
    <w:rsid w:val="00A326E5"/>
    <w:rsid w:val="00A334E6"/>
    <w:rsid w:val="00A35531"/>
    <w:rsid w:val="00A4002B"/>
    <w:rsid w:val="00A40FA3"/>
    <w:rsid w:val="00A41C82"/>
    <w:rsid w:val="00A4228E"/>
    <w:rsid w:val="00A424F0"/>
    <w:rsid w:val="00A4259C"/>
    <w:rsid w:val="00A44146"/>
    <w:rsid w:val="00A44FE6"/>
    <w:rsid w:val="00A46752"/>
    <w:rsid w:val="00A46BFE"/>
    <w:rsid w:val="00A47017"/>
    <w:rsid w:val="00A47518"/>
    <w:rsid w:val="00A479F4"/>
    <w:rsid w:val="00A507AC"/>
    <w:rsid w:val="00A50BC5"/>
    <w:rsid w:val="00A50CEB"/>
    <w:rsid w:val="00A524D3"/>
    <w:rsid w:val="00A530AB"/>
    <w:rsid w:val="00A540F8"/>
    <w:rsid w:val="00A55247"/>
    <w:rsid w:val="00A56FDF"/>
    <w:rsid w:val="00A62B45"/>
    <w:rsid w:val="00A637F0"/>
    <w:rsid w:val="00A64B35"/>
    <w:rsid w:val="00A64CBD"/>
    <w:rsid w:val="00A650A1"/>
    <w:rsid w:val="00A65730"/>
    <w:rsid w:val="00A65F62"/>
    <w:rsid w:val="00A7067F"/>
    <w:rsid w:val="00A709F3"/>
    <w:rsid w:val="00A71B34"/>
    <w:rsid w:val="00A71D14"/>
    <w:rsid w:val="00A71FC3"/>
    <w:rsid w:val="00A72921"/>
    <w:rsid w:val="00A74549"/>
    <w:rsid w:val="00A74834"/>
    <w:rsid w:val="00A74A0F"/>
    <w:rsid w:val="00A77525"/>
    <w:rsid w:val="00A80B20"/>
    <w:rsid w:val="00A81E68"/>
    <w:rsid w:val="00A8213E"/>
    <w:rsid w:val="00A83039"/>
    <w:rsid w:val="00A8422C"/>
    <w:rsid w:val="00A84713"/>
    <w:rsid w:val="00A85AF0"/>
    <w:rsid w:val="00A85FF7"/>
    <w:rsid w:val="00A86842"/>
    <w:rsid w:val="00A86AD1"/>
    <w:rsid w:val="00A87CE3"/>
    <w:rsid w:val="00A910A0"/>
    <w:rsid w:val="00A91562"/>
    <w:rsid w:val="00A91F38"/>
    <w:rsid w:val="00A91FEA"/>
    <w:rsid w:val="00A92B1F"/>
    <w:rsid w:val="00A93790"/>
    <w:rsid w:val="00A93DF7"/>
    <w:rsid w:val="00A9495D"/>
    <w:rsid w:val="00A94D09"/>
    <w:rsid w:val="00A95489"/>
    <w:rsid w:val="00A9621F"/>
    <w:rsid w:val="00A97429"/>
    <w:rsid w:val="00AA040F"/>
    <w:rsid w:val="00AA37AA"/>
    <w:rsid w:val="00AA4D5A"/>
    <w:rsid w:val="00AA4D93"/>
    <w:rsid w:val="00AA5370"/>
    <w:rsid w:val="00AA548F"/>
    <w:rsid w:val="00AA5AA3"/>
    <w:rsid w:val="00AA644D"/>
    <w:rsid w:val="00AB128E"/>
    <w:rsid w:val="00AB13A3"/>
    <w:rsid w:val="00AB1F74"/>
    <w:rsid w:val="00AB35DF"/>
    <w:rsid w:val="00AB4895"/>
    <w:rsid w:val="00AB4ACB"/>
    <w:rsid w:val="00AB5566"/>
    <w:rsid w:val="00AB6BAF"/>
    <w:rsid w:val="00AC1673"/>
    <w:rsid w:val="00AC30BF"/>
    <w:rsid w:val="00AC32E0"/>
    <w:rsid w:val="00AC3901"/>
    <w:rsid w:val="00AC3D51"/>
    <w:rsid w:val="00AC4ACB"/>
    <w:rsid w:val="00AC4C4A"/>
    <w:rsid w:val="00AC5213"/>
    <w:rsid w:val="00AC5A89"/>
    <w:rsid w:val="00AC624B"/>
    <w:rsid w:val="00AC649E"/>
    <w:rsid w:val="00AC6A8F"/>
    <w:rsid w:val="00AD0283"/>
    <w:rsid w:val="00AD0703"/>
    <w:rsid w:val="00AD0BF9"/>
    <w:rsid w:val="00AD0CFB"/>
    <w:rsid w:val="00AD2511"/>
    <w:rsid w:val="00AD4762"/>
    <w:rsid w:val="00AD4C01"/>
    <w:rsid w:val="00AD5B70"/>
    <w:rsid w:val="00AD5CAA"/>
    <w:rsid w:val="00AD64DA"/>
    <w:rsid w:val="00AD715D"/>
    <w:rsid w:val="00AE04FF"/>
    <w:rsid w:val="00AE1436"/>
    <w:rsid w:val="00AE1DC3"/>
    <w:rsid w:val="00AE286C"/>
    <w:rsid w:val="00AE31E8"/>
    <w:rsid w:val="00AE421C"/>
    <w:rsid w:val="00AE50E9"/>
    <w:rsid w:val="00AE5492"/>
    <w:rsid w:val="00AE5F59"/>
    <w:rsid w:val="00AE617F"/>
    <w:rsid w:val="00AE6865"/>
    <w:rsid w:val="00AE72D2"/>
    <w:rsid w:val="00AE7FDF"/>
    <w:rsid w:val="00AF0BDF"/>
    <w:rsid w:val="00AF0FA4"/>
    <w:rsid w:val="00AF133C"/>
    <w:rsid w:val="00AF159A"/>
    <w:rsid w:val="00AF1B5C"/>
    <w:rsid w:val="00AF4A69"/>
    <w:rsid w:val="00AF5DCE"/>
    <w:rsid w:val="00B01119"/>
    <w:rsid w:val="00B01140"/>
    <w:rsid w:val="00B02942"/>
    <w:rsid w:val="00B029C4"/>
    <w:rsid w:val="00B034F7"/>
    <w:rsid w:val="00B03657"/>
    <w:rsid w:val="00B036BF"/>
    <w:rsid w:val="00B03774"/>
    <w:rsid w:val="00B04524"/>
    <w:rsid w:val="00B04965"/>
    <w:rsid w:val="00B04D33"/>
    <w:rsid w:val="00B0521C"/>
    <w:rsid w:val="00B0526F"/>
    <w:rsid w:val="00B062CD"/>
    <w:rsid w:val="00B06725"/>
    <w:rsid w:val="00B06783"/>
    <w:rsid w:val="00B0785B"/>
    <w:rsid w:val="00B07A38"/>
    <w:rsid w:val="00B10E18"/>
    <w:rsid w:val="00B112CF"/>
    <w:rsid w:val="00B12888"/>
    <w:rsid w:val="00B15517"/>
    <w:rsid w:val="00B15A19"/>
    <w:rsid w:val="00B15F4B"/>
    <w:rsid w:val="00B1645A"/>
    <w:rsid w:val="00B1752A"/>
    <w:rsid w:val="00B2033A"/>
    <w:rsid w:val="00B20859"/>
    <w:rsid w:val="00B23CE9"/>
    <w:rsid w:val="00B23FCD"/>
    <w:rsid w:val="00B24C55"/>
    <w:rsid w:val="00B26570"/>
    <w:rsid w:val="00B27BC8"/>
    <w:rsid w:val="00B32741"/>
    <w:rsid w:val="00B3283D"/>
    <w:rsid w:val="00B3489D"/>
    <w:rsid w:val="00B351EC"/>
    <w:rsid w:val="00B35C73"/>
    <w:rsid w:val="00B36164"/>
    <w:rsid w:val="00B413D5"/>
    <w:rsid w:val="00B4322A"/>
    <w:rsid w:val="00B44686"/>
    <w:rsid w:val="00B4499C"/>
    <w:rsid w:val="00B45AC0"/>
    <w:rsid w:val="00B45E18"/>
    <w:rsid w:val="00B46D9F"/>
    <w:rsid w:val="00B47005"/>
    <w:rsid w:val="00B50160"/>
    <w:rsid w:val="00B505CA"/>
    <w:rsid w:val="00B50A97"/>
    <w:rsid w:val="00B524B2"/>
    <w:rsid w:val="00B5397B"/>
    <w:rsid w:val="00B56107"/>
    <w:rsid w:val="00B56892"/>
    <w:rsid w:val="00B5720A"/>
    <w:rsid w:val="00B6261D"/>
    <w:rsid w:val="00B62CCB"/>
    <w:rsid w:val="00B641E3"/>
    <w:rsid w:val="00B66581"/>
    <w:rsid w:val="00B66829"/>
    <w:rsid w:val="00B66A15"/>
    <w:rsid w:val="00B66CB5"/>
    <w:rsid w:val="00B676E5"/>
    <w:rsid w:val="00B678CA"/>
    <w:rsid w:val="00B70E38"/>
    <w:rsid w:val="00B7129C"/>
    <w:rsid w:val="00B71676"/>
    <w:rsid w:val="00B7210B"/>
    <w:rsid w:val="00B722C8"/>
    <w:rsid w:val="00B72902"/>
    <w:rsid w:val="00B749CF"/>
    <w:rsid w:val="00B75187"/>
    <w:rsid w:val="00B75F32"/>
    <w:rsid w:val="00B81DAD"/>
    <w:rsid w:val="00B82931"/>
    <w:rsid w:val="00B82C43"/>
    <w:rsid w:val="00B82CAF"/>
    <w:rsid w:val="00B83C53"/>
    <w:rsid w:val="00B846F9"/>
    <w:rsid w:val="00B84877"/>
    <w:rsid w:val="00B84BFF"/>
    <w:rsid w:val="00B84EFE"/>
    <w:rsid w:val="00B85F48"/>
    <w:rsid w:val="00B86944"/>
    <w:rsid w:val="00B87E3F"/>
    <w:rsid w:val="00B87E4E"/>
    <w:rsid w:val="00B90377"/>
    <w:rsid w:val="00B906BD"/>
    <w:rsid w:val="00B920FA"/>
    <w:rsid w:val="00B925AC"/>
    <w:rsid w:val="00B930B0"/>
    <w:rsid w:val="00B93BB8"/>
    <w:rsid w:val="00B95537"/>
    <w:rsid w:val="00B9728B"/>
    <w:rsid w:val="00B97BCA"/>
    <w:rsid w:val="00B97D9C"/>
    <w:rsid w:val="00BA146F"/>
    <w:rsid w:val="00BA222F"/>
    <w:rsid w:val="00BA2886"/>
    <w:rsid w:val="00BA2895"/>
    <w:rsid w:val="00BA3779"/>
    <w:rsid w:val="00BA3978"/>
    <w:rsid w:val="00BA3CB3"/>
    <w:rsid w:val="00BA51CE"/>
    <w:rsid w:val="00BA65DB"/>
    <w:rsid w:val="00BA673A"/>
    <w:rsid w:val="00BA7676"/>
    <w:rsid w:val="00BA771F"/>
    <w:rsid w:val="00BB04D8"/>
    <w:rsid w:val="00BB1AC8"/>
    <w:rsid w:val="00BB260E"/>
    <w:rsid w:val="00BB3D50"/>
    <w:rsid w:val="00BB4197"/>
    <w:rsid w:val="00BB6F5E"/>
    <w:rsid w:val="00BB705B"/>
    <w:rsid w:val="00BC0C4C"/>
    <w:rsid w:val="00BC0C5B"/>
    <w:rsid w:val="00BC1A53"/>
    <w:rsid w:val="00BC468F"/>
    <w:rsid w:val="00BC5E09"/>
    <w:rsid w:val="00BC690C"/>
    <w:rsid w:val="00BC7618"/>
    <w:rsid w:val="00BD1BAD"/>
    <w:rsid w:val="00BD2C86"/>
    <w:rsid w:val="00BD2CA8"/>
    <w:rsid w:val="00BD3A70"/>
    <w:rsid w:val="00BD3C6F"/>
    <w:rsid w:val="00BD4580"/>
    <w:rsid w:val="00BD46DF"/>
    <w:rsid w:val="00BD4F3A"/>
    <w:rsid w:val="00BD4F7D"/>
    <w:rsid w:val="00BD5F87"/>
    <w:rsid w:val="00BD6B98"/>
    <w:rsid w:val="00BD74E9"/>
    <w:rsid w:val="00BD7A41"/>
    <w:rsid w:val="00BE0A88"/>
    <w:rsid w:val="00BE2384"/>
    <w:rsid w:val="00BE2D2A"/>
    <w:rsid w:val="00BE3273"/>
    <w:rsid w:val="00BE332F"/>
    <w:rsid w:val="00BE3D95"/>
    <w:rsid w:val="00BE41C9"/>
    <w:rsid w:val="00BE4521"/>
    <w:rsid w:val="00BE484E"/>
    <w:rsid w:val="00BE4FD0"/>
    <w:rsid w:val="00BE7151"/>
    <w:rsid w:val="00BF0839"/>
    <w:rsid w:val="00BF2855"/>
    <w:rsid w:val="00BF5CE5"/>
    <w:rsid w:val="00BF6377"/>
    <w:rsid w:val="00C00BDF"/>
    <w:rsid w:val="00C0295A"/>
    <w:rsid w:val="00C02CEA"/>
    <w:rsid w:val="00C0329A"/>
    <w:rsid w:val="00C03727"/>
    <w:rsid w:val="00C04172"/>
    <w:rsid w:val="00C04D3C"/>
    <w:rsid w:val="00C0577D"/>
    <w:rsid w:val="00C06916"/>
    <w:rsid w:val="00C07C4D"/>
    <w:rsid w:val="00C1026A"/>
    <w:rsid w:val="00C11D3C"/>
    <w:rsid w:val="00C12020"/>
    <w:rsid w:val="00C13013"/>
    <w:rsid w:val="00C1462E"/>
    <w:rsid w:val="00C155E1"/>
    <w:rsid w:val="00C1712D"/>
    <w:rsid w:val="00C17856"/>
    <w:rsid w:val="00C17FC4"/>
    <w:rsid w:val="00C20DCC"/>
    <w:rsid w:val="00C2171B"/>
    <w:rsid w:val="00C2248E"/>
    <w:rsid w:val="00C23C2D"/>
    <w:rsid w:val="00C24D83"/>
    <w:rsid w:val="00C26387"/>
    <w:rsid w:val="00C26389"/>
    <w:rsid w:val="00C266F0"/>
    <w:rsid w:val="00C27BD8"/>
    <w:rsid w:val="00C30C46"/>
    <w:rsid w:val="00C326FE"/>
    <w:rsid w:val="00C347E2"/>
    <w:rsid w:val="00C34C34"/>
    <w:rsid w:val="00C3594A"/>
    <w:rsid w:val="00C36236"/>
    <w:rsid w:val="00C37095"/>
    <w:rsid w:val="00C40A87"/>
    <w:rsid w:val="00C40E1B"/>
    <w:rsid w:val="00C40F89"/>
    <w:rsid w:val="00C42C90"/>
    <w:rsid w:val="00C43701"/>
    <w:rsid w:val="00C43DD6"/>
    <w:rsid w:val="00C44F7F"/>
    <w:rsid w:val="00C45269"/>
    <w:rsid w:val="00C453AE"/>
    <w:rsid w:val="00C45822"/>
    <w:rsid w:val="00C50849"/>
    <w:rsid w:val="00C53BA4"/>
    <w:rsid w:val="00C54250"/>
    <w:rsid w:val="00C54BAD"/>
    <w:rsid w:val="00C55782"/>
    <w:rsid w:val="00C5661D"/>
    <w:rsid w:val="00C60218"/>
    <w:rsid w:val="00C6029A"/>
    <w:rsid w:val="00C603BA"/>
    <w:rsid w:val="00C60B66"/>
    <w:rsid w:val="00C61330"/>
    <w:rsid w:val="00C61E9C"/>
    <w:rsid w:val="00C62BBB"/>
    <w:rsid w:val="00C63203"/>
    <w:rsid w:val="00C6374B"/>
    <w:rsid w:val="00C637FE"/>
    <w:rsid w:val="00C638C8"/>
    <w:rsid w:val="00C63F1C"/>
    <w:rsid w:val="00C6434A"/>
    <w:rsid w:val="00C64DEA"/>
    <w:rsid w:val="00C6522D"/>
    <w:rsid w:val="00C663BA"/>
    <w:rsid w:val="00C665A1"/>
    <w:rsid w:val="00C66A59"/>
    <w:rsid w:val="00C67C24"/>
    <w:rsid w:val="00C7018E"/>
    <w:rsid w:val="00C719A2"/>
    <w:rsid w:val="00C72FB0"/>
    <w:rsid w:val="00C74538"/>
    <w:rsid w:val="00C745D7"/>
    <w:rsid w:val="00C74676"/>
    <w:rsid w:val="00C7468B"/>
    <w:rsid w:val="00C74965"/>
    <w:rsid w:val="00C76077"/>
    <w:rsid w:val="00C7682D"/>
    <w:rsid w:val="00C77F01"/>
    <w:rsid w:val="00C80BD1"/>
    <w:rsid w:val="00C80DEE"/>
    <w:rsid w:val="00C82A74"/>
    <w:rsid w:val="00C82B75"/>
    <w:rsid w:val="00C82DB0"/>
    <w:rsid w:val="00C82EDF"/>
    <w:rsid w:val="00C841B3"/>
    <w:rsid w:val="00C849E7"/>
    <w:rsid w:val="00C859FF"/>
    <w:rsid w:val="00C85BDB"/>
    <w:rsid w:val="00C86B3B"/>
    <w:rsid w:val="00C86FC5"/>
    <w:rsid w:val="00C87960"/>
    <w:rsid w:val="00C901A5"/>
    <w:rsid w:val="00C9038C"/>
    <w:rsid w:val="00C9130B"/>
    <w:rsid w:val="00C919C7"/>
    <w:rsid w:val="00C91D34"/>
    <w:rsid w:val="00C92963"/>
    <w:rsid w:val="00C92EEE"/>
    <w:rsid w:val="00C93E92"/>
    <w:rsid w:val="00C94339"/>
    <w:rsid w:val="00C9461E"/>
    <w:rsid w:val="00C94B9C"/>
    <w:rsid w:val="00C95A47"/>
    <w:rsid w:val="00CA038A"/>
    <w:rsid w:val="00CA06F3"/>
    <w:rsid w:val="00CA0C87"/>
    <w:rsid w:val="00CA186A"/>
    <w:rsid w:val="00CA1B61"/>
    <w:rsid w:val="00CA1C08"/>
    <w:rsid w:val="00CA21FD"/>
    <w:rsid w:val="00CA29C2"/>
    <w:rsid w:val="00CA4CB7"/>
    <w:rsid w:val="00CA4F81"/>
    <w:rsid w:val="00CA59DA"/>
    <w:rsid w:val="00CA62A2"/>
    <w:rsid w:val="00CB01D9"/>
    <w:rsid w:val="00CB1071"/>
    <w:rsid w:val="00CB1359"/>
    <w:rsid w:val="00CB3666"/>
    <w:rsid w:val="00CB37D9"/>
    <w:rsid w:val="00CB3BA8"/>
    <w:rsid w:val="00CB55CF"/>
    <w:rsid w:val="00CB5648"/>
    <w:rsid w:val="00CB6312"/>
    <w:rsid w:val="00CB68D2"/>
    <w:rsid w:val="00CB69C2"/>
    <w:rsid w:val="00CB6FC9"/>
    <w:rsid w:val="00CB77BA"/>
    <w:rsid w:val="00CC1296"/>
    <w:rsid w:val="00CC154E"/>
    <w:rsid w:val="00CC1A5C"/>
    <w:rsid w:val="00CC1B1A"/>
    <w:rsid w:val="00CC2DC4"/>
    <w:rsid w:val="00CC42DB"/>
    <w:rsid w:val="00CC479D"/>
    <w:rsid w:val="00CC4B6E"/>
    <w:rsid w:val="00CC628C"/>
    <w:rsid w:val="00CC75B4"/>
    <w:rsid w:val="00CD0E2C"/>
    <w:rsid w:val="00CD10F8"/>
    <w:rsid w:val="00CD1CA7"/>
    <w:rsid w:val="00CD26EB"/>
    <w:rsid w:val="00CD39D4"/>
    <w:rsid w:val="00CD3B45"/>
    <w:rsid w:val="00CD47EC"/>
    <w:rsid w:val="00CD5AF1"/>
    <w:rsid w:val="00CD6738"/>
    <w:rsid w:val="00CD72C5"/>
    <w:rsid w:val="00CD7815"/>
    <w:rsid w:val="00CD7A7F"/>
    <w:rsid w:val="00CD7FF3"/>
    <w:rsid w:val="00CE15D2"/>
    <w:rsid w:val="00CE1700"/>
    <w:rsid w:val="00CE229B"/>
    <w:rsid w:val="00CE2878"/>
    <w:rsid w:val="00CE3A49"/>
    <w:rsid w:val="00CE41FA"/>
    <w:rsid w:val="00CE4641"/>
    <w:rsid w:val="00CE59D3"/>
    <w:rsid w:val="00CE5DA0"/>
    <w:rsid w:val="00CE743D"/>
    <w:rsid w:val="00CE78AC"/>
    <w:rsid w:val="00CF0282"/>
    <w:rsid w:val="00CF0F0C"/>
    <w:rsid w:val="00CF3B9C"/>
    <w:rsid w:val="00CF658D"/>
    <w:rsid w:val="00CF7315"/>
    <w:rsid w:val="00CF7B0E"/>
    <w:rsid w:val="00D00A0D"/>
    <w:rsid w:val="00D02641"/>
    <w:rsid w:val="00D02785"/>
    <w:rsid w:val="00D0300D"/>
    <w:rsid w:val="00D036C9"/>
    <w:rsid w:val="00D03903"/>
    <w:rsid w:val="00D055DF"/>
    <w:rsid w:val="00D05E1C"/>
    <w:rsid w:val="00D06A3C"/>
    <w:rsid w:val="00D06ED9"/>
    <w:rsid w:val="00D102C5"/>
    <w:rsid w:val="00D1101C"/>
    <w:rsid w:val="00D11D57"/>
    <w:rsid w:val="00D14275"/>
    <w:rsid w:val="00D15E86"/>
    <w:rsid w:val="00D1667A"/>
    <w:rsid w:val="00D16BBB"/>
    <w:rsid w:val="00D2280C"/>
    <w:rsid w:val="00D22901"/>
    <w:rsid w:val="00D22968"/>
    <w:rsid w:val="00D23A26"/>
    <w:rsid w:val="00D24235"/>
    <w:rsid w:val="00D24CFE"/>
    <w:rsid w:val="00D2566B"/>
    <w:rsid w:val="00D25E62"/>
    <w:rsid w:val="00D26CE1"/>
    <w:rsid w:val="00D27428"/>
    <w:rsid w:val="00D3058A"/>
    <w:rsid w:val="00D30601"/>
    <w:rsid w:val="00D30A7B"/>
    <w:rsid w:val="00D31102"/>
    <w:rsid w:val="00D322EE"/>
    <w:rsid w:val="00D32B77"/>
    <w:rsid w:val="00D32FE7"/>
    <w:rsid w:val="00D33D79"/>
    <w:rsid w:val="00D33E5D"/>
    <w:rsid w:val="00D34B97"/>
    <w:rsid w:val="00D35747"/>
    <w:rsid w:val="00D3580A"/>
    <w:rsid w:val="00D3709C"/>
    <w:rsid w:val="00D3797F"/>
    <w:rsid w:val="00D37BB9"/>
    <w:rsid w:val="00D40179"/>
    <w:rsid w:val="00D4037F"/>
    <w:rsid w:val="00D416C1"/>
    <w:rsid w:val="00D42345"/>
    <w:rsid w:val="00D42476"/>
    <w:rsid w:val="00D42688"/>
    <w:rsid w:val="00D44B9E"/>
    <w:rsid w:val="00D44EEB"/>
    <w:rsid w:val="00D452C8"/>
    <w:rsid w:val="00D4596A"/>
    <w:rsid w:val="00D46A94"/>
    <w:rsid w:val="00D47888"/>
    <w:rsid w:val="00D47E0E"/>
    <w:rsid w:val="00D508E3"/>
    <w:rsid w:val="00D50910"/>
    <w:rsid w:val="00D50D6F"/>
    <w:rsid w:val="00D53983"/>
    <w:rsid w:val="00D53E5C"/>
    <w:rsid w:val="00D544FF"/>
    <w:rsid w:val="00D55731"/>
    <w:rsid w:val="00D56A25"/>
    <w:rsid w:val="00D56DBC"/>
    <w:rsid w:val="00D57246"/>
    <w:rsid w:val="00D573DA"/>
    <w:rsid w:val="00D5797B"/>
    <w:rsid w:val="00D61537"/>
    <w:rsid w:val="00D643EC"/>
    <w:rsid w:val="00D705F8"/>
    <w:rsid w:val="00D70E31"/>
    <w:rsid w:val="00D716A1"/>
    <w:rsid w:val="00D71733"/>
    <w:rsid w:val="00D72832"/>
    <w:rsid w:val="00D7283F"/>
    <w:rsid w:val="00D72C7B"/>
    <w:rsid w:val="00D74261"/>
    <w:rsid w:val="00D74CD8"/>
    <w:rsid w:val="00D75C43"/>
    <w:rsid w:val="00D77D5B"/>
    <w:rsid w:val="00D804C7"/>
    <w:rsid w:val="00D807D4"/>
    <w:rsid w:val="00D81BEC"/>
    <w:rsid w:val="00D81D79"/>
    <w:rsid w:val="00D823F1"/>
    <w:rsid w:val="00D83269"/>
    <w:rsid w:val="00D83638"/>
    <w:rsid w:val="00D85F8E"/>
    <w:rsid w:val="00D863E2"/>
    <w:rsid w:val="00D868A7"/>
    <w:rsid w:val="00D86FCA"/>
    <w:rsid w:val="00D90AC3"/>
    <w:rsid w:val="00D92155"/>
    <w:rsid w:val="00D92663"/>
    <w:rsid w:val="00D93672"/>
    <w:rsid w:val="00D9436D"/>
    <w:rsid w:val="00D947F5"/>
    <w:rsid w:val="00D950C9"/>
    <w:rsid w:val="00D9522C"/>
    <w:rsid w:val="00D95DA0"/>
    <w:rsid w:val="00D962E5"/>
    <w:rsid w:val="00D975D8"/>
    <w:rsid w:val="00D97610"/>
    <w:rsid w:val="00DA1482"/>
    <w:rsid w:val="00DA25D4"/>
    <w:rsid w:val="00DA2C80"/>
    <w:rsid w:val="00DA31A5"/>
    <w:rsid w:val="00DA33B4"/>
    <w:rsid w:val="00DA5561"/>
    <w:rsid w:val="00DA6C8C"/>
    <w:rsid w:val="00DA741C"/>
    <w:rsid w:val="00DA7461"/>
    <w:rsid w:val="00DA78AB"/>
    <w:rsid w:val="00DB0404"/>
    <w:rsid w:val="00DB0F31"/>
    <w:rsid w:val="00DB1230"/>
    <w:rsid w:val="00DB1C5F"/>
    <w:rsid w:val="00DB1FE0"/>
    <w:rsid w:val="00DB2422"/>
    <w:rsid w:val="00DB33CF"/>
    <w:rsid w:val="00DB4E13"/>
    <w:rsid w:val="00DB6723"/>
    <w:rsid w:val="00DB7FA6"/>
    <w:rsid w:val="00DC1A11"/>
    <w:rsid w:val="00DC3B6C"/>
    <w:rsid w:val="00DC5651"/>
    <w:rsid w:val="00DC56D6"/>
    <w:rsid w:val="00DC6AC9"/>
    <w:rsid w:val="00DC7B74"/>
    <w:rsid w:val="00DC7ECF"/>
    <w:rsid w:val="00DD07F2"/>
    <w:rsid w:val="00DD21C3"/>
    <w:rsid w:val="00DD2477"/>
    <w:rsid w:val="00DD266B"/>
    <w:rsid w:val="00DD2A4A"/>
    <w:rsid w:val="00DD2BD3"/>
    <w:rsid w:val="00DD41AA"/>
    <w:rsid w:val="00DD6363"/>
    <w:rsid w:val="00DD6A3D"/>
    <w:rsid w:val="00DD6C86"/>
    <w:rsid w:val="00DD6D83"/>
    <w:rsid w:val="00DE006E"/>
    <w:rsid w:val="00DE066B"/>
    <w:rsid w:val="00DE16BD"/>
    <w:rsid w:val="00DE2A62"/>
    <w:rsid w:val="00DE3289"/>
    <w:rsid w:val="00DE35A4"/>
    <w:rsid w:val="00DE4DB2"/>
    <w:rsid w:val="00DE5D4C"/>
    <w:rsid w:val="00DE60F0"/>
    <w:rsid w:val="00DE7FA6"/>
    <w:rsid w:val="00DF0013"/>
    <w:rsid w:val="00DF0FB9"/>
    <w:rsid w:val="00DF1115"/>
    <w:rsid w:val="00DF1607"/>
    <w:rsid w:val="00DF1670"/>
    <w:rsid w:val="00DF2785"/>
    <w:rsid w:val="00DF33A5"/>
    <w:rsid w:val="00DF37A7"/>
    <w:rsid w:val="00DF3DE9"/>
    <w:rsid w:val="00DF5380"/>
    <w:rsid w:val="00DF57C3"/>
    <w:rsid w:val="00DF680E"/>
    <w:rsid w:val="00E00957"/>
    <w:rsid w:val="00E00C6A"/>
    <w:rsid w:val="00E01ABF"/>
    <w:rsid w:val="00E01E49"/>
    <w:rsid w:val="00E038F2"/>
    <w:rsid w:val="00E064F8"/>
    <w:rsid w:val="00E06649"/>
    <w:rsid w:val="00E071A1"/>
    <w:rsid w:val="00E071BB"/>
    <w:rsid w:val="00E07EE3"/>
    <w:rsid w:val="00E102B3"/>
    <w:rsid w:val="00E106EB"/>
    <w:rsid w:val="00E10754"/>
    <w:rsid w:val="00E11B5A"/>
    <w:rsid w:val="00E11BCC"/>
    <w:rsid w:val="00E1222F"/>
    <w:rsid w:val="00E129AA"/>
    <w:rsid w:val="00E14065"/>
    <w:rsid w:val="00E14948"/>
    <w:rsid w:val="00E156D3"/>
    <w:rsid w:val="00E168C9"/>
    <w:rsid w:val="00E16EAD"/>
    <w:rsid w:val="00E177B1"/>
    <w:rsid w:val="00E2068F"/>
    <w:rsid w:val="00E212A8"/>
    <w:rsid w:val="00E24BC3"/>
    <w:rsid w:val="00E25E62"/>
    <w:rsid w:val="00E262A7"/>
    <w:rsid w:val="00E27194"/>
    <w:rsid w:val="00E30034"/>
    <w:rsid w:val="00E300E7"/>
    <w:rsid w:val="00E30AA3"/>
    <w:rsid w:val="00E30AB6"/>
    <w:rsid w:val="00E310CB"/>
    <w:rsid w:val="00E3134D"/>
    <w:rsid w:val="00E32613"/>
    <w:rsid w:val="00E345FA"/>
    <w:rsid w:val="00E364F0"/>
    <w:rsid w:val="00E36F8F"/>
    <w:rsid w:val="00E371AF"/>
    <w:rsid w:val="00E37A77"/>
    <w:rsid w:val="00E40BE8"/>
    <w:rsid w:val="00E41167"/>
    <w:rsid w:val="00E41B36"/>
    <w:rsid w:val="00E43AE1"/>
    <w:rsid w:val="00E445CE"/>
    <w:rsid w:val="00E4648E"/>
    <w:rsid w:val="00E4711B"/>
    <w:rsid w:val="00E50BC2"/>
    <w:rsid w:val="00E5164E"/>
    <w:rsid w:val="00E53159"/>
    <w:rsid w:val="00E531B5"/>
    <w:rsid w:val="00E53735"/>
    <w:rsid w:val="00E545A0"/>
    <w:rsid w:val="00E56027"/>
    <w:rsid w:val="00E573A8"/>
    <w:rsid w:val="00E57816"/>
    <w:rsid w:val="00E57B52"/>
    <w:rsid w:val="00E57EA9"/>
    <w:rsid w:val="00E63543"/>
    <w:rsid w:val="00E645C8"/>
    <w:rsid w:val="00E6542D"/>
    <w:rsid w:val="00E6556B"/>
    <w:rsid w:val="00E65E5F"/>
    <w:rsid w:val="00E660D9"/>
    <w:rsid w:val="00E66BB5"/>
    <w:rsid w:val="00E67E75"/>
    <w:rsid w:val="00E70674"/>
    <w:rsid w:val="00E70B3E"/>
    <w:rsid w:val="00E70FA3"/>
    <w:rsid w:val="00E720C8"/>
    <w:rsid w:val="00E73799"/>
    <w:rsid w:val="00E75795"/>
    <w:rsid w:val="00E75B41"/>
    <w:rsid w:val="00E75F73"/>
    <w:rsid w:val="00E76BE7"/>
    <w:rsid w:val="00E76EB7"/>
    <w:rsid w:val="00E7720E"/>
    <w:rsid w:val="00E77238"/>
    <w:rsid w:val="00E80F0C"/>
    <w:rsid w:val="00E81980"/>
    <w:rsid w:val="00E82697"/>
    <w:rsid w:val="00E8383E"/>
    <w:rsid w:val="00E84BA1"/>
    <w:rsid w:val="00E85658"/>
    <w:rsid w:val="00E85785"/>
    <w:rsid w:val="00E86562"/>
    <w:rsid w:val="00E90950"/>
    <w:rsid w:val="00E916FF"/>
    <w:rsid w:val="00E93A2B"/>
    <w:rsid w:val="00E9683B"/>
    <w:rsid w:val="00E97617"/>
    <w:rsid w:val="00E97B40"/>
    <w:rsid w:val="00EA0C03"/>
    <w:rsid w:val="00EA0D07"/>
    <w:rsid w:val="00EA0E48"/>
    <w:rsid w:val="00EA10B9"/>
    <w:rsid w:val="00EA1362"/>
    <w:rsid w:val="00EA3977"/>
    <w:rsid w:val="00EA445D"/>
    <w:rsid w:val="00EA601B"/>
    <w:rsid w:val="00EB125B"/>
    <w:rsid w:val="00EB1420"/>
    <w:rsid w:val="00EB15F2"/>
    <w:rsid w:val="00EB3D70"/>
    <w:rsid w:val="00EB4086"/>
    <w:rsid w:val="00EB5DF4"/>
    <w:rsid w:val="00EB708D"/>
    <w:rsid w:val="00EC03A3"/>
    <w:rsid w:val="00EC0670"/>
    <w:rsid w:val="00EC0764"/>
    <w:rsid w:val="00EC10D4"/>
    <w:rsid w:val="00EC2148"/>
    <w:rsid w:val="00EC2A2F"/>
    <w:rsid w:val="00EC6770"/>
    <w:rsid w:val="00EC6B90"/>
    <w:rsid w:val="00EC7108"/>
    <w:rsid w:val="00ED16CD"/>
    <w:rsid w:val="00ED32CE"/>
    <w:rsid w:val="00ED3750"/>
    <w:rsid w:val="00ED4BE9"/>
    <w:rsid w:val="00ED4D28"/>
    <w:rsid w:val="00ED4FFD"/>
    <w:rsid w:val="00ED65D0"/>
    <w:rsid w:val="00ED7FE8"/>
    <w:rsid w:val="00EE016F"/>
    <w:rsid w:val="00EE2636"/>
    <w:rsid w:val="00EE2D8A"/>
    <w:rsid w:val="00EE46FD"/>
    <w:rsid w:val="00EE54FE"/>
    <w:rsid w:val="00EE5762"/>
    <w:rsid w:val="00EE6071"/>
    <w:rsid w:val="00EE6CE9"/>
    <w:rsid w:val="00EE6DA0"/>
    <w:rsid w:val="00EE7E61"/>
    <w:rsid w:val="00EF2968"/>
    <w:rsid w:val="00EF2EEA"/>
    <w:rsid w:val="00EF3242"/>
    <w:rsid w:val="00EF36ED"/>
    <w:rsid w:val="00EF5D39"/>
    <w:rsid w:val="00EF6282"/>
    <w:rsid w:val="00EF7DC1"/>
    <w:rsid w:val="00EF7EA0"/>
    <w:rsid w:val="00F0047D"/>
    <w:rsid w:val="00F00A0A"/>
    <w:rsid w:val="00F00A7C"/>
    <w:rsid w:val="00F00D14"/>
    <w:rsid w:val="00F00D3C"/>
    <w:rsid w:val="00F012B0"/>
    <w:rsid w:val="00F013B9"/>
    <w:rsid w:val="00F022AA"/>
    <w:rsid w:val="00F037A7"/>
    <w:rsid w:val="00F037E5"/>
    <w:rsid w:val="00F04B37"/>
    <w:rsid w:val="00F04D7B"/>
    <w:rsid w:val="00F0693F"/>
    <w:rsid w:val="00F074DB"/>
    <w:rsid w:val="00F07509"/>
    <w:rsid w:val="00F07A96"/>
    <w:rsid w:val="00F10F21"/>
    <w:rsid w:val="00F1154C"/>
    <w:rsid w:val="00F139B9"/>
    <w:rsid w:val="00F13F4D"/>
    <w:rsid w:val="00F1487C"/>
    <w:rsid w:val="00F14A97"/>
    <w:rsid w:val="00F14DBF"/>
    <w:rsid w:val="00F1631A"/>
    <w:rsid w:val="00F1705C"/>
    <w:rsid w:val="00F17810"/>
    <w:rsid w:val="00F17EB8"/>
    <w:rsid w:val="00F20496"/>
    <w:rsid w:val="00F230E8"/>
    <w:rsid w:val="00F2362B"/>
    <w:rsid w:val="00F242CB"/>
    <w:rsid w:val="00F24B57"/>
    <w:rsid w:val="00F260CA"/>
    <w:rsid w:val="00F26327"/>
    <w:rsid w:val="00F26FFA"/>
    <w:rsid w:val="00F304CE"/>
    <w:rsid w:val="00F30E84"/>
    <w:rsid w:val="00F3117B"/>
    <w:rsid w:val="00F315B6"/>
    <w:rsid w:val="00F31770"/>
    <w:rsid w:val="00F31B7D"/>
    <w:rsid w:val="00F322FE"/>
    <w:rsid w:val="00F33003"/>
    <w:rsid w:val="00F33008"/>
    <w:rsid w:val="00F33531"/>
    <w:rsid w:val="00F34603"/>
    <w:rsid w:val="00F347C0"/>
    <w:rsid w:val="00F3499A"/>
    <w:rsid w:val="00F34F24"/>
    <w:rsid w:val="00F355B1"/>
    <w:rsid w:val="00F355D4"/>
    <w:rsid w:val="00F35741"/>
    <w:rsid w:val="00F358E2"/>
    <w:rsid w:val="00F36444"/>
    <w:rsid w:val="00F37A3B"/>
    <w:rsid w:val="00F40565"/>
    <w:rsid w:val="00F405BC"/>
    <w:rsid w:val="00F4168F"/>
    <w:rsid w:val="00F4452B"/>
    <w:rsid w:val="00F44820"/>
    <w:rsid w:val="00F44966"/>
    <w:rsid w:val="00F45C6D"/>
    <w:rsid w:val="00F460C6"/>
    <w:rsid w:val="00F462FE"/>
    <w:rsid w:val="00F465CE"/>
    <w:rsid w:val="00F4731B"/>
    <w:rsid w:val="00F47B00"/>
    <w:rsid w:val="00F47C40"/>
    <w:rsid w:val="00F51386"/>
    <w:rsid w:val="00F536D8"/>
    <w:rsid w:val="00F5532E"/>
    <w:rsid w:val="00F56F8F"/>
    <w:rsid w:val="00F57058"/>
    <w:rsid w:val="00F57FF9"/>
    <w:rsid w:val="00F6004F"/>
    <w:rsid w:val="00F62388"/>
    <w:rsid w:val="00F62C21"/>
    <w:rsid w:val="00F641CD"/>
    <w:rsid w:val="00F6425D"/>
    <w:rsid w:val="00F64935"/>
    <w:rsid w:val="00F64C63"/>
    <w:rsid w:val="00F6773F"/>
    <w:rsid w:val="00F703B3"/>
    <w:rsid w:val="00F71286"/>
    <w:rsid w:val="00F72BB4"/>
    <w:rsid w:val="00F72FB0"/>
    <w:rsid w:val="00F7350F"/>
    <w:rsid w:val="00F73B3B"/>
    <w:rsid w:val="00F73F7B"/>
    <w:rsid w:val="00F74432"/>
    <w:rsid w:val="00F74FD7"/>
    <w:rsid w:val="00F75F49"/>
    <w:rsid w:val="00F77C48"/>
    <w:rsid w:val="00F812C6"/>
    <w:rsid w:val="00F82230"/>
    <w:rsid w:val="00F82824"/>
    <w:rsid w:val="00F82922"/>
    <w:rsid w:val="00F82B9A"/>
    <w:rsid w:val="00F82F41"/>
    <w:rsid w:val="00F83678"/>
    <w:rsid w:val="00F85C78"/>
    <w:rsid w:val="00F865C8"/>
    <w:rsid w:val="00F910F0"/>
    <w:rsid w:val="00F915C2"/>
    <w:rsid w:val="00F935C6"/>
    <w:rsid w:val="00F95372"/>
    <w:rsid w:val="00F959F4"/>
    <w:rsid w:val="00F9705B"/>
    <w:rsid w:val="00F97188"/>
    <w:rsid w:val="00F97631"/>
    <w:rsid w:val="00F97A77"/>
    <w:rsid w:val="00FA178F"/>
    <w:rsid w:val="00FA3B19"/>
    <w:rsid w:val="00FA46C0"/>
    <w:rsid w:val="00FA63FE"/>
    <w:rsid w:val="00FA687F"/>
    <w:rsid w:val="00FA69B6"/>
    <w:rsid w:val="00FA69BC"/>
    <w:rsid w:val="00FA7B7B"/>
    <w:rsid w:val="00FB0F7D"/>
    <w:rsid w:val="00FB1416"/>
    <w:rsid w:val="00FB2BED"/>
    <w:rsid w:val="00FB3E0A"/>
    <w:rsid w:val="00FB3E42"/>
    <w:rsid w:val="00FB455C"/>
    <w:rsid w:val="00FB46D8"/>
    <w:rsid w:val="00FB4B79"/>
    <w:rsid w:val="00FB600E"/>
    <w:rsid w:val="00FB6EAE"/>
    <w:rsid w:val="00FC005B"/>
    <w:rsid w:val="00FC0F51"/>
    <w:rsid w:val="00FC108C"/>
    <w:rsid w:val="00FC22A6"/>
    <w:rsid w:val="00FC35D5"/>
    <w:rsid w:val="00FC3859"/>
    <w:rsid w:val="00FC41F0"/>
    <w:rsid w:val="00FC4566"/>
    <w:rsid w:val="00FC57D2"/>
    <w:rsid w:val="00FC5DA6"/>
    <w:rsid w:val="00FC7F66"/>
    <w:rsid w:val="00FD0734"/>
    <w:rsid w:val="00FD07AC"/>
    <w:rsid w:val="00FD0AB1"/>
    <w:rsid w:val="00FD1146"/>
    <w:rsid w:val="00FD1553"/>
    <w:rsid w:val="00FD2A0C"/>
    <w:rsid w:val="00FD48C9"/>
    <w:rsid w:val="00FD4C6C"/>
    <w:rsid w:val="00FD4F64"/>
    <w:rsid w:val="00FD5A4D"/>
    <w:rsid w:val="00FD5E1C"/>
    <w:rsid w:val="00FD77D3"/>
    <w:rsid w:val="00FD7871"/>
    <w:rsid w:val="00FE13E6"/>
    <w:rsid w:val="00FE2E42"/>
    <w:rsid w:val="00FE3352"/>
    <w:rsid w:val="00FE4750"/>
    <w:rsid w:val="00FE4C62"/>
    <w:rsid w:val="00FE5A2E"/>
    <w:rsid w:val="00FE5A54"/>
    <w:rsid w:val="00FE6DA5"/>
    <w:rsid w:val="00FF1232"/>
    <w:rsid w:val="00FF1EE0"/>
    <w:rsid w:val="00FF3ED8"/>
    <w:rsid w:val="00FF4AE5"/>
    <w:rsid w:val="00FF5DD8"/>
    <w:rsid w:val="00FF6FA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6BAFC"/>
  <w15:docId w15:val="{41D10C2B-1863-4108-B8BB-BDB2F9FB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7E"/>
    <w:pPr>
      <w:jc w:val="both"/>
    </w:pPr>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1D51D3"/>
    <w:pPr>
      <w:keepNext/>
      <w:keepLines/>
      <w:spacing w:before="240" w:line="276" w:lineRule="auto"/>
      <w:jc w:val="left"/>
      <w:outlineLvl w:val="0"/>
    </w:pPr>
    <w:rPr>
      <w:rFonts w:eastAsia="SimSun"/>
      <w:b/>
      <w:color w:val="365F91"/>
      <w:sz w:val="32"/>
      <w:szCs w:val="32"/>
      <w:lang w:eastAsia="zh-TW"/>
    </w:rPr>
  </w:style>
  <w:style w:type="paragraph" w:styleId="Heading2">
    <w:name w:val="heading 2"/>
    <w:basedOn w:val="Normal"/>
    <w:next w:val="Normal"/>
    <w:link w:val="Heading2Char"/>
    <w:autoRedefine/>
    <w:uiPriority w:val="9"/>
    <w:unhideWhenUsed/>
    <w:qFormat/>
    <w:rsid w:val="00D93672"/>
    <w:pPr>
      <w:keepNext/>
      <w:jc w:val="center"/>
      <w:outlineLvl w:val="1"/>
    </w:pPr>
    <w:rPr>
      <w:b/>
      <w:bCs/>
      <w:iCs/>
      <w:color w:val="1F497D" w:themeColor="text2"/>
      <w:sz w:val="28"/>
      <w:szCs w:val="24"/>
    </w:rPr>
  </w:style>
  <w:style w:type="paragraph" w:styleId="Heading3">
    <w:name w:val="heading 3"/>
    <w:basedOn w:val="Normal"/>
    <w:next w:val="Normal"/>
    <w:link w:val="Heading3Char"/>
    <w:uiPriority w:val="9"/>
    <w:unhideWhenUsed/>
    <w:qFormat/>
    <w:rsid w:val="00A94D09"/>
    <w:pPr>
      <w:keepNext/>
      <w:keepLines/>
      <w:spacing w:before="20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67E"/>
    <w:pPr>
      <w:tabs>
        <w:tab w:val="center" w:pos="4153"/>
        <w:tab w:val="right" w:pos="8306"/>
      </w:tabs>
    </w:pPr>
    <w:rPr>
      <w:sz w:val="18"/>
    </w:rPr>
  </w:style>
  <w:style w:type="character" w:customStyle="1" w:styleId="HeaderChar">
    <w:name w:val="Header Char"/>
    <w:basedOn w:val="DefaultParagraphFont"/>
    <w:link w:val="Header"/>
    <w:uiPriority w:val="99"/>
    <w:rsid w:val="002B567E"/>
    <w:rPr>
      <w:rFonts w:ascii="Times New Roman" w:eastAsia="Times New Roman" w:hAnsi="Times New Roman" w:cs="Times New Roman"/>
      <w:sz w:val="18"/>
      <w:szCs w:val="20"/>
    </w:rPr>
  </w:style>
  <w:style w:type="paragraph" w:styleId="Footer">
    <w:name w:val="footer"/>
    <w:basedOn w:val="Normal"/>
    <w:link w:val="FooterChar"/>
    <w:uiPriority w:val="99"/>
    <w:rsid w:val="002B567E"/>
    <w:pPr>
      <w:tabs>
        <w:tab w:val="center" w:pos="4153"/>
        <w:tab w:val="right" w:pos="8306"/>
      </w:tabs>
    </w:pPr>
    <w:rPr>
      <w:sz w:val="18"/>
    </w:rPr>
  </w:style>
  <w:style w:type="character" w:customStyle="1" w:styleId="FooterChar">
    <w:name w:val="Footer Char"/>
    <w:basedOn w:val="DefaultParagraphFont"/>
    <w:link w:val="Footer"/>
    <w:uiPriority w:val="99"/>
    <w:rsid w:val="002B567E"/>
    <w:rPr>
      <w:rFonts w:ascii="Times New Roman" w:eastAsia="Times New Roman" w:hAnsi="Times New Roman" w:cs="Times New Roman"/>
      <w:sz w:val="18"/>
      <w:szCs w:val="20"/>
    </w:rPr>
  </w:style>
  <w:style w:type="character" w:styleId="PageNumber">
    <w:name w:val="page number"/>
    <w:rsid w:val="002B567E"/>
    <w:rPr>
      <w:rFonts w:ascii="Times New Roman" w:hAnsi="Times New Roman"/>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rsid w:val="002B567E"/>
    <w:rPr>
      <w:sz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rsid w:val="002B567E"/>
    <w:rPr>
      <w:rFonts w:ascii="Times New Roman" w:eastAsia="Times New Roman" w:hAnsi="Times New Roman" w:cs="Times New Roman"/>
      <w:sz w:val="20"/>
      <w:szCs w:val="20"/>
    </w:rPr>
  </w:style>
  <w:style w:type="character" w:styleId="FootnoteReference">
    <w:name w:val="footnote reference"/>
    <w:aliases w:val="Footnote Reference Number,SUPERS,Footnote symbol,Footnote Refernece,ftref,Footnote Reference Superscript,Vēres atsauce,stylish,BVI fnr,Fußnotenzeichen_Raxen,callout,Odwołanie przypisu,Footnotes refss,Ref,de nota al pie,Times 10 Point"/>
    <w:link w:val="CharCharCharChar"/>
    <w:uiPriority w:val="99"/>
    <w:rsid w:val="002B567E"/>
    <w:rPr>
      <w:rFonts w:ascii="Times New Roman" w:hAnsi="Times New Roman"/>
      <w:vertAlign w:val="superscript"/>
    </w:rPr>
  </w:style>
  <w:style w:type="character" w:styleId="Hyperlink">
    <w:name w:val="Hyperlink"/>
    <w:uiPriority w:val="99"/>
    <w:rsid w:val="002B567E"/>
    <w:rPr>
      <w:color w:val="0000FF"/>
      <w:u w:val="single"/>
    </w:rPr>
  </w:style>
  <w:style w:type="table" w:customStyle="1" w:styleId="TableGrid1">
    <w:name w:val="Table Grid1"/>
    <w:basedOn w:val="TableNormal"/>
    <w:uiPriority w:val="39"/>
    <w:rsid w:val="002B567E"/>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5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51D3"/>
    <w:rPr>
      <w:rFonts w:ascii="Times New Roman" w:eastAsia="SimSun" w:hAnsi="Times New Roman"/>
      <w:b/>
      <w:color w:val="365F91"/>
      <w:sz w:val="32"/>
      <w:szCs w:val="32"/>
      <w:lang w:eastAsia="zh-TW"/>
    </w:rPr>
  </w:style>
  <w:style w:type="paragraph" w:styleId="NormalWeb">
    <w:name w:val="Normal (Web)"/>
    <w:basedOn w:val="Normal"/>
    <w:uiPriority w:val="99"/>
    <w:unhideWhenUsed/>
    <w:rsid w:val="00CD3B45"/>
    <w:pPr>
      <w:spacing w:before="100" w:beforeAutospacing="1" w:after="100" w:afterAutospacing="1"/>
      <w:jc w:val="left"/>
    </w:pPr>
    <w:rPr>
      <w:szCs w:val="24"/>
      <w:lang w:eastAsia="lv-LV"/>
    </w:rPr>
  </w:style>
  <w:style w:type="character" w:styleId="Strong">
    <w:name w:val="Strong"/>
    <w:basedOn w:val="DefaultParagraphFont"/>
    <w:uiPriority w:val="22"/>
    <w:qFormat/>
    <w:rsid w:val="00CD3B45"/>
    <w:rPr>
      <w:b/>
      <w:bCs/>
    </w:rPr>
  </w:style>
  <w:style w:type="paragraph" w:customStyle="1" w:styleId="Default">
    <w:name w:val="Default"/>
    <w:rsid w:val="00ED4BE9"/>
    <w:pPr>
      <w:autoSpaceDE w:val="0"/>
      <w:autoSpaceDN w:val="0"/>
      <w:adjustRightInd w:val="0"/>
    </w:pPr>
    <w:rPr>
      <w:rFonts w:ascii="Times New Roman" w:hAnsi="Times New Roman"/>
      <w:color w:val="000000"/>
      <w:sz w:val="24"/>
      <w:szCs w:val="24"/>
    </w:rPr>
  </w:style>
  <w:style w:type="paragraph" w:customStyle="1" w:styleId="EYBodytextwithparaspace">
    <w:name w:val="EY Body text (with para space)"/>
    <w:basedOn w:val="Normal"/>
    <w:link w:val="EYBodytextwithparaspaceChar"/>
    <w:rsid w:val="00A254DF"/>
    <w:pPr>
      <w:numPr>
        <w:ilvl w:val="4"/>
        <w:numId w:val="1"/>
      </w:numPr>
      <w:spacing w:after="240"/>
      <w:jc w:val="left"/>
    </w:pPr>
    <w:rPr>
      <w:rFonts w:ascii="EYInterstate Light" w:hAnsi="EYInterstate Light"/>
      <w:kern w:val="12"/>
      <w:sz w:val="20"/>
      <w:szCs w:val="24"/>
    </w:rPr>
  </w:style>
  <w:style w:type="character" w:customStyle="1" w:styleId="EYBodytextwithparaspaceChar">
    <w:name w:val="EY Body text (with para space) Char"/>
    <w:basedOn w:val="DefaultParagraphFont"/>
    <w:link w:val="EYBodytextwithparaspace"/>
    <w:rsid w:val="00A254DF"/>
    <w:rPr>
      <w:rFonts w:ascii="EYInterstate Light" w:eastAsia="Times New Roman" w:hAnsi="EYInterstate Light"/>
      <w:kern w:val="12"/>
      <w:szCs w:val="24"/>
      <w:lang w:eastAsia="en-US"/>
    </w:rPr>
  </w:style>
  <w:style w:type="character" w:customStyle="1" w:styleId="Heading2Char">
    <w:name w:val="Heading 2 Char"/>
    <w:basedOn w:val="DefaultParagraphFont"/>
    <w:link w:val="Heading2"/>
    <w:uiPriority w:val="9"/>
    <w:rsid w:val="00D93672"/>
    <w:rPr>
      <w:rFonts w:ascii="Times New Roman" w:eastAsia="Times New Roman" w:hAnsi="Times New Roman"/>
      <w:b/>
      <w:bCs/>
      <w:iCs/>
      <w:color w:val="1F497D" w:themeColor="text2"/>
      <w:sz w:val="28"/>
      <w:szCs w:val="24"/>
      <w:lang w:eastAsia="en-US"/>
    </w:rPr>
  </w:style>
  <w:style w:type="paragraph" w:customStyle="1" w:styleId="EYBulletedList1">
    <w:name w:val="EY Bulleted List 1"/>
    <w:rsid w:val="00A524D3"/>
    <w:pPr>
      <w:numPr>
        <w:numId w:val="2"/>
      </w:numPr>
    </w:pPr>
    <w:rPr>
      <w:rFonts w:ascii="EYInterstate Light" w:eastAsia="Times New Roman" w:hAnsi="EYInterstate Light"/>
      <w:kern w:val="12"/>
      <w:szCs w:val="24"/>
      <w:lang w:eastAsia="en-US"/>
    </w:rPr>
  </w:style>
  <w:style w:type="paragraph" w:customStyle="1" w:styleId="EYBulletedList2">
    <w:name w:val="EY Bulleted List 2"/>
    <w:rsid w:val="00A524D3"/>
    <w:pPr>
      <w:numPr>
        <w:ilvl w:val="1"/>
        <w:numId w:val="2"/>
      </w:numPr>
    </w:pPr>
    <w:rPr>
      <w:rFonts w:ascii="EYInterstate Light" w:eastAsia="Times New Roman" w:hAnsi="EYInterstate Light"/>
      <w:kern w:val="12"/>
      <w:szCs w:val="24"/>
      <w:lang w:eastAsia="en-US"/>
    </w:rPr>
  </w:style>
  <w:style w:type="paragraph" w:customStyle="1" w:styleId="EYBulletedList3">
    <w:name w:val="EY Bulleted List 3"/>
    <w:rsid w:val="00A524D3"/>
    <w:pPr>
      <w:numPr>
        <w:ilvl w:val="2"/>
        <w:numId w:val="2"/>
      </w:numPr>
    </w:pPr>
    <w:rPr>
      <w:rFonts w:ascii="EYInterstate Light" w:eastAsia="Times New Roman" w:hAnsi="EYInterstate Light"/>
      <w:kern w:val="12"/>
      <w:szCs w:val="24"/>
      <w:lang w:eastAsia="en-US"/>
    </w:rPr>
  </w:style>
  <w:style w:type="paragraph" w:customStyle="1" w:styleId="EYBodyText">
    <w:name w:val="EY Body Text"/>
    <w:basedOn w:val="Header"/>
    <w:link w:val="EYBodyTextChar"/>
    <w:qFormat/>
    <w:rsid w:val="00A524D3"/>
    <w:pPr>
      <w:tabs>
        <w:tab w:val="clear" w:pos="4153"/>
        <w:tab w:val="clear" w:pos="8306"/>
      </w:tabs>
      <w:spacing w:before="120" w:after="120"/>
      <w:jc w:val="left"/>
    </w:pPr>
    <w:rPr>
      <w:rFonts w:ascii="EYInterstate Light" w:hAnsi="EYInterstate Light"/>
      <w:sz w:val="20"/>
      <w:szCs w:val="24"/>
      <w:lang w:eastAsia="lv-LV"/>
    </w:rPr>
  </w:style>
  <w:style w:type="character" w:customStyle="1" w:styleId="EYBodyTextChar">
    <w:name w:val="EY Body Text Char"/>
    <w:basedOn w:val="DefaultParagraphFont"/>
    <w:link w:val="EYBodyText"/>
    <w:rsid w:val="00A524D3"/>
    <w:rPr>
      <w:rFonts w:ascii="EYInterstate Light" w:eastAsia="Times New Roman" w:hAnsi="EYInterstate Light"/>
      <w:szCs w:val="24"/>
    </w:rPr>
  </w:style>
  <w:style w:type="paragraph" w:styleId="BodyText">
    <w:name w:val="Body Text"/>
    <w:basedOn w:val="Normal"/>
    <w:link w:val="BodyTextChar"/>
    <w:unhideWhenUsed/>
    <w:rsid w:val="00A524D3"/>
    <w:pPr>
      <w:spacing w:after="120"/>
    </w:pPr>
  </w:style>
  <w:style w:type="character" w:customStyle="1" w:styleId="BodyTextChar">
    <w:name w:val="Body Text Char"/>
    <w:basedOn w:val="DefaultParagraphFont"/>
    <w:link w:val="BodyText"/>
    <w:rsid w:val="00A524D3"/>
    <w:rPr>
      <w:rFonts w:ascii="Times New Roman" w:eastAsia="Times New Roman" w:hAnsi="Times New Roman"/>
      <w:sz w:val="24"/>
      <w:lang w:eastAsia="en-US"/>
    </w:rPr>
  </w:style>
  <w:style w:type="paragraph" w:styleId="ListParagraph">
    <w:name w:val="List Paragraph"/>
    <w:aliases w:val="2,Strip,H&amp;P List Paragraph,Colorful List - Accent 12,Colorful List - Accent 11"/>
    <w:basedOn w:val="Normal"/>
    <w:link w:val="ListParagraphChar"/>
    <w:uiPriority w:val="34"/>
    <w:qFormat/>
    <w:rsid w:val="00A93790"/>
    <w:pPr>
      <w:ind w:left="720"/>
    </w:pPr>
  </w:style>
  <w:style w:type="paragraph" w:customStyle="1" w:styleId="tv2131">
    <w:name w:val="tv2131"/>
    <w:basedOn w:val="Normal"/>
    <w:rsid w:val="00B10E18"/>
    <w:pPr>
      <w:spacing w:line="360" w:lineRule="auto"/>
      <w:ind w:firstLine="300"/>
      <w:jc w:val="left"/>
    </w:pPr>
    <w:rPr>
      <w:color w:val="414142"/>
      <w:sz w:val="20"/>
      <w:lang w:eastAsia="lv-LV"/>
    </w:rPr>
  </w:style>
  <w:style w:type="paragraph" w:styleId="TOCHeading">
    <w:name w:val="TOC Heading"/>
    <w:basedOn w:val="Heading1"/>
    <w:next w:val="Normal"/>
    <w:uiPriority w:val="39"/>
    <w:semiHidden/>
    <w:unhideWhenUsed/>
    <w:qFormat/>
    <w:rsid w:val="00132479"/>
    <w:pPr>
      <w:spacing w:before="480"/>
      <w:outlineLvl w:val="9"/>
    </w:pPr>
    <w:rPr>
      <w:rFonts w:eastAsia="Times New Roman"/>
      <w:bCs/>
      <w:sz w:val="28"/>
      <w:szCs w:val="28"/>
      <w:lang w:val="en-US" w:eastAsia="en-US"/>
    </w:rPr>
  </w:style>
  <w:style w:type="paragraph" w:styleId="TOC2">
    <w:name w:val="toc 2"/>
    <w:basedOn w:val="Normal"/>
    <w:next w:val="Normal"/>
    <w:autoRedefine/>
    <w:uiPriority w:val="39"/>
    <w:unhideWhenUsed/>
    <w:qFormat/>
    <w:rsid w:val="00132479"/>
    <w:pPr>
      <w:spacing w:after="100" w:line="276" w:lineRule="auto"/>
      <w:ind w:left="220"/>
      <w:jc w:val="left"/>
    </w:pPr>
    <w:rPr>
      <w:rFonts w:ascii="Calibri" w:hAnsi="Calibri"/>
      <w:sz w:val="22"/>
      <w:szCs w:val="22"/>
      <w:lang w:val="en-US"/>
    </w:rPr>
  </w:style>
  <w:style w:type="paragraph" w:styleId="TOC1">
    <w:name w:val="toc 1"/>
    <w:basedOn w:val="Normal"/>
    <w:next w:val="Normal"/>
    <w:autoRedefine/>
    <w:uiPriority w:val="39"/>
    <w:unhideWhenUsed/>
    <w:qFormat/>
    <w:rsid w:val="004115FB"/>
    <w:pPr>
      <w:tabs>
        <w:tab w:val="left" w:pos="440"/>
        <w:tab w:val="right" w:leader="dot" w:pos="8637"/>
      </w:tabs>
      <w:spacing w:after="100" w:line="276" w:lineRule="auto"/>
      <w:jc w:val="left"/>
    </w:pPr>
    <w:rPr>
      <w:noProof/>
      <w:szCs w:val="24"/>
    </w:rPr>
  </w:style>
  <w:style w:type="paragraph" w:styleId="TOC3">
    <w:name w:val="toc 3"/>
    <w:basedOn w:val="Normal"/>
    <w:next w:val="Normal"/>
    <w:autoRedefine/>
    <w:uiPriority w:val="39"/>
    <w:unhideWhenUsed/>
    <w:qFormat/>
    <w:rsid w:val="00132479"/>
    <w:pPr>
      <w:spacing w:after="100" w:line="276" w:lineRule="auto"/>
      <w:ind w:left="440"/>
      <w:jc w:val="left"/>
    </w:pPr>
    <w:rPr>
      <w:rFonts w:ascii="Calibri" w:hAnsi="Calibri"/>
      <w:sz w:val="22"/>
      <w:szCs w:val="22"/>
      <w:lang w:val="en-US"/>
    </w:rPr>
  </w:style>
  <w:style w:type="paragraph" w:styleId="BalloonText">
    <w:name w:val="Balloon Text"/>
    <w:basedOn w:val="Normal"/>
    <w:link w:val="BalloonTextChar"/>
    <w:uiPriority w:val="99"/>
    <w:semiHidden/>
    <w:unhideWhenUsed/>
    <w:rsid w:val="00132479"/>
    <w:rPr>
      <w:rFonts w:ascii="Tahoma" w:hAnsi="Tahoma" w:cs="Tahoma"/>
      <w:sz w:val="16"/>
      <w:szCs w:val="16"/>
    </w:rPr>
  </w:style>
  <w:style w:type="character" w:customStyle="1" w:styleId="BalloonTextChar">
    <w:name w:val="Balloon Text Char"/>
    <w:basedOn w:val="DefaultParagraphFont"/>
    <w:link w:val="BalloonText"/>
    <w:uiPriority w:val="99"/>
    <w:semiHidden/>
    <w:rsid w:val="00132479"/>
    <w:rPr>
      <w:rFonts w:ascii="Tahoma" w:eastAsia="Times New Roman" w:hAnsi="Tahoma" w:cs="Tahoma"/>
      <w:sz w:val="16"/>
      <w:szCs w:val="16"/>
      <w:lang w:eastAsia="en-US"/>
    </w:rPr>
  </w:style>
  <w:style w:type="paragraph" w:styleId="NoSpacing">
    <w:name w:val="No Spacing"/>
    <w:uiPriority w:val="1"/>
    <w:qFormat/>
    <w:rsid w:val="00132479"/>
    <w:pPr>
      <w:jc w:val="both"/>
    </w:pPr>
    <w:rPr>
      <w:rFonts w:ascii="Times New Roman" w:eastAsia="Times New Roman" w:hAnsi="Times New Roman"/>
      <w:sz w:val="24"/>
      <w:lang w:eastAsia="en-US"/>
    </w:rPr>
  </w:style>
  <w:style w:type="paragraph" w:customStyle="1" w:styleId="Bullet1">
    <w:name w:val="Bullet1"/>
    <w:basedOn w:val="ListBullet"/>
    <w:qFormat/>
    <w:rsid w:val="002D23B1"/>
    <w:pPr>
      <w:tabs>
        <w:tab w:val="left" w:pos="840"/>
      </w:tabs>
      <w:spacing w:before="60" w:after="60"/>
      <w:ind w:left="840" w:right="-29" w:hanging="420"/>
      <w:contextualSpacing w:val="0"/>
    </w:pPr>
    <w:rPr>
      <w:sz w:val="28"/>
      <w:szCs w:val="28"/>
      <w:lang w:eastAsia="lv-LV"/>
    </w:rPr>
  </w:style>
  <w:style w:type="paragraph" w:customStyle="1" w:styleId="abbreviationslist">
    <w:name w:val="abbreviations list"/>
    <w:basedOn w:val="Normal"/>
    <w:qFormat/>
    <w:rsid w:val="002D23B1"/>
    <w:pPr>
      <w:spacing w:before="60" w:after="60"/>
      <w:ind w:right="-29"/>
    </w:pPr>
    <w:rPr>
      <w:sz w:val="26"/>
      <w:szCs w:val="26"/>
      <w:lang w:eastAsia="lv-LV"/>
    </w:rPr>
  </w:style>
  <w:style w:type="paragraph" w:customStyle="1" w:styleId="Bullet11">
    <w:name w:val="Bullet 11"/>
    <w:basedOn w:val="Bullet1"/>
    <w:rsid w:val="002D23B1"/>
    <w:pPr>
      <w:ind w:left="780" w:hanging="360"/>
    </w:pPr>
  </w:style>
  <w:style w:type="paragraph" w:styleId="ListBullet">
    <w:name w:val="List Bullet"/>
    <w:basedOn w:val="Normal"/>
    <w:uiPriority w:val="99"/>
    <w:semiHidden/>
    <w:unhideWhenUsed/>
    <w:rsid w:val="002D23B1"/>
    <w:pPr>
      <w:ind w:left="780" w:hanging="360"/>
      <w:contextualSpacing/>
    </w:pPr>
  </w:style>
  <w:style w:type="paragraph" w:customStyle="1" w:styleId="tv213">
    <w:name w:val="tv213"/>
    <w:basedOn w:val="Normal"/>
    <w:rsid w:val="00320C44"/>
    <w:pPr>
      <w:spacing w:before="100" w:beforeAutospacing="1" w:after="100" w:afterAutospacing="1"/>
      <w:jc w:val="left"/>
    </w:pPr>
    <w:rPr>
      <w:szCs w:val="24"/>
      <w:lang w:eastAsia="lv-LV"/>
    </w:rPr>
  </w:style>
  <w:style w:type="character" w:customStyle="1" w:styleId="FooterChar1">
    <w:name w:val="Footer Char1"/>
    <w:uiPriority w:val="99"/>
    <w:semiHidden/>
    <w:locked/>
    <w:rsid w:val="00890231"/>
    <w:rPr>
      <w:rFonts w:ascii="Calibri" w:hAnsi="Calibri" w:cs="Times New Roman"/>
      <w:sz w:val="22"/>
      <w:szCs w:val="22"/>
      <w:lang w:val="lv-LV" w:eastAsia="en-US" w:bidi="ar-SA"/>
    </w:rPr>
  </w:style>
  <w:style w:type="character" w:styleId="CommentReference">
    <w:name w:val="annotation reference"/>
    <w:basedOn w:val="DefaultParagraphFont"/>
    <w:uiPriority w:val="99"/>
    <w:semiHidden/>
    <w:unhideWhenUsed/>
    <w:rsid w:val="00ED3750"/>
    <w:rPr>
      <w:sz w:val="16"/>
      <w:szCs w:val="16"/>
    </w:rPr>
  </w:style>
  <w:style w:type="paragraph" w:styleId="CommentText">
    <w:name w:val="annotation text"/>
    <w:basedOn w:val="Normal"/>
    <w:link w:val="CommentTextChar"/>
    <w:uiPriority w:val="99"/>
    <w:unhideWhenUsed/>
    <w:rsid w:val="00ED3750"/>
    <w:rPr>
      <w:sz w:val="20"/>
    </w:rPr>
  </w:style>
  <w:style w:type="character" w:customStyle="1" w:styleId="CommentTextChar">
    <w:name w:val="Comment Text Char"/>
    <w:basedOn w:val="DefaultParagraphFont"/>
    <w:link w:val="CommentText"/>
    <w:uiPriority w:val="99"/>
    <w:rsid w:val="00ED3750"/>
    <w:rPr>
      <w:rFonts w:ascii="Times New Roman" w:eastAsia="Times New Roman" w:hAnsi="Times New Roman"/>
      <w:lang w:eastAsia="en-US"/>
    </w:rPr>
  </w:style>
  <w:style w:type="paragraph" w:styleId="CommentSubject">
    <w:name w:val="annotation subject"/>
    <w:basedOn w:val="CommentText"/>
    <w:next w:val="CommentText"/>
    <w:link w:val="CommentSubjectChar"/>
    <w:unhideWhenUsed/>
    <w:rsid w:val="00ED3750"/>
    <w:rPr>
      <w:b/>
      <w:bCs/>
    </w:rPr>
  </w:style>
  <w:style w:type="character" w:customStyle="1" w:styleId="CommentSubjectChar">
    <w:name w:val="Comment Subject Char"/>
    <w:basedOn w:val="CommentTextChar"/>
    <w:link w:val="CommentSubject"/>
    <w:rsid w:val="00ED3750"/>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4F521B"/>
    <w:rPr>
      <w:color w:val="800080"/>
      <w:u w:val="single"/>
    </w:rPr>
  </w:style>
  <w:style w:type="paragraph" w:customStyle="1" w:styleId="Normal1">
    <w:name w:val="Normal1"/>
    <w:rsid w:val="00055864"/>
    <w:rPr>
      <w:rFonts w:eastAsia="Times New Roman" w:cs="Calibri"/>
      <w:color w:val="000000"/>
      <w:sz w:val="22"/>
      <w:szCs w:val="22"/>
    </w:rPr>
  </w:style>
  <w:style w:type="paragraph" w:customStyle="1" w:styleId="Stils2">
    <w:name w:val="Stils2"/>
    <w:basedOn w:val="Normal"/>
    <w:autoRedefine/>
    <w:rsid w:val="00122511"/>
    <w:pPr>
      <w:numPr>
        <w:numId w:val="3"/>
      </w:numPr>
    </w:pPr>
    <w:rPr>
      <w:snapToGrid w:val="0"/>
      <w:szCs w:val="24"/>
      <w:lang w:eastAsia="lv-LV"/>
    </w:rPr>
  </w:style>
  <w:style w:type="paragraph" w:customStyle="1" w:styleId="tv2132">
    <w:name w:val="tv2132"/>
    <w:basedOn w:val="Normal"/>
    <w:rsid w:val="00210467"/>
    <w:pPr>
      <w:spacing w:line="360" w:lineRule="auto"/>
      <w:ind w:firstLine="250"/>
      <w:jc w:val="left"/>
    </w:pPr>
    <w:rPr>
      <w:color w:val="414142"/>
      <w:sz w:val="16"/>
      <w:szCs w:val="16"/>
      <w:lang w:eastAsia="lv-LV"/>
    </w:rPr>
  </w:style>
  <w:style w:type="character" w:styleId="Emphasis">
    <w:name w:val="Emphasis"/>
    <w:basedOn w:val="DefaultParagraphFont"/>
    <w:uiPriority w:val="20"/>
    <w:qFormat/>
    <w:rsid w:val="00E27194"/>
    <w:rPr>
      <w:i/>
      <w:iCs/>
    </w:rPr>
  </w:style>
  <w:style w:type="paragraph" w:customStyle="1" w:styleId="NVPtekstas">
    <w:name w:val="NVP tekstas"/>
    <w:rsid w:val="00400EE4"/>
    <w:pPr>
      <w:numPr>
        <w:numId w:val="5"/>
      </w:numPr>
      <w:jc w:val="both"/>
    </w:pPr>
    <w:rPr>
      <w:rFonts w:ascii="Times New Roman" w:eastAsia="Times New Roman" w:hAnsi="Times New Roman"/>
      <w:sz w:val="22"/>
      <w:szCs w:val="22"/>
      <w:lang w:val="lt-LT" w:eastAsia="en-US"/>
    </w:rPr>
  </w:style>
  <w:style w:type="paragraph" w:customStyle="1" w:styleId="NVPpapunkciai">
    <w:name w:val="NVP papunkciai"/>
    <w:basedOn w:val="NVPtekstas"/>
    <w:rsid w:val="00400EE4"/>
    <w:pPr>
      <w:numPr>
        <w:ilvl w:val="1"/>
      </w:numPr>
    </w:pPr>
  </w:style>
  <w:style w:type="character" w:customStyle="1" w:styleId="st">
    <w:name w:val="st"/>
    <w:basedOn w:val="DefaultParagraphFont"/>
    <w:rsid w:val="00DA78AB"/>
  </w:style>
  <w:style w:type="character" w:customStyle="1" w:styleId="EE-paragrCharCharChar1">
    <w:name w:val="EE-paragr Char Char Char1"/>
    <w:link w:val="EE-paragrCharChar"/>
    <w:locked/>
    <w:rsid w:val="003D2C5E"/>
    <w:rPr>
      <w:bCs/>
      <w:sz w:val="24"/>
      <w:szCs w:val="24"/>
    </w:rPr>
  </w:style>
  <w:style w:type="paragraph" w:customStyle="1" w:styleId="EE-paragrCharChar">
    <w:name w:val="EE-paragr Char Char"/>
    <w:basedOn w:val="Normal"/>
    <w:link w:val="EE-paragrCharCharChar1"/>
    <w:autoRedefine/>
    <w:rsid w:val="003D2C5E"/>
    <w:pPr>
      <w:numPr>
        <w:numId w:val="7"/>
      </w:numPr>
      <w:tabs>
        <w:tab w:val="left" w:pos="284"/>
      </w:tabs>
      <w:spacing w:before="120" w:after="120"/>
      <w:ind w:left="284" w:hanging="568"/>
    </w:pPr>
    <w:rPr>
      <w:rFonts w:ascii="Calibri" w:eastAsia="Calibri" w:hAnsi="Calibri"/>
      <w:bCs/>
      <w:szCs w:val="24"/>
      <w:lang w:eastAsia="lv-LV"/>
    </w:rPr>
  </w:style>
  <w:style w:type="paragraph" w:customStyle="1" w:styleId="naiskr">
    <w:name w:val="naiskr"/>
    <w:basedOn w:val="Normal"/>
    <w:rsid w:val="00AA644D"/>
    <w:pPr>
      <w:spacing w:before="100" w:beforeAutospacing="1" w:after="100" w:afterAutospacing="1"/>
      <w:jc w:val="left"/>
    </w:pPr>
    <w:rPr>
      <w:szCs w:val="24"/>
      <w:lang w:eastAsia="lv-LV"/>
    </w:rPr>
  </w:style>
  <w:style w:type="character" w:customStyle="1" w:styleId="Heading3Char">
    <w:name w:val="Heading 3 Char"/>
    <w:basedOn w:val="DefaultParagraphFont"/>
    <w:link w:val="Heading3"/>
    <w:uiPriority w:val="9"/>
    <w:rsid w:val="00A94D09"/>
    <w:rPr>
      <w:rFonts w:ascii="Times New Roman" w:eastAsiaTheme="majorEastAsia" w:hAnsi="Times New Roman" w:cstheme="majorBidi"/>
      <w:b/>
      <w:bCs/>
      <w:color w:val="1F497D" w:themeColor="text2"/>
      <w:sz w:val="24"/>
      <w:lang w:eastAsia="en-US"/>
    </w:rPr>
  </w:style>
  <w:style w:type="paragraph" w:customStyle="1" w:styleId="EE-normls">
    <w:name w:val="EE-normāls"/>
    <w:basedOn w:val="Normal"/>
    <w:link w:val="EE-normlsChar"/>
    <w:autoRedefine/>
    <w:rsid w:val="00A77525"/>
    <w:pPr>
      <w:ind w:firstLine="720"/>
    </w:pPr>
    <w:rPr>
      <w:rFonts w:ascii="Times New Roman Bold" w:hAnsi="Times New Roman Bold"/>
      <w:b/>
      <w:bCs/>
      <w:noProof/>
      <w:szCs w:val="24"/>
      <w:lang w:eastAsia="lv-LV"/>
    </w:rPr>
  </w:style>
  <w:style w:type="character" w:customStyle="1" w:styleId="EE-normlsChar">
    <w:name w:val="EE-normāls Char"/>
    <w:link w:val="EE-normls"/>
    <w:locked/>
    <w:rsid w:val="00A77525"/>
    <w:rPr>
      <w:rFonts w:ascii="Times New Roman Bold" w:eastAsia="Times New Roman" w:hAnsi="Times New Roman Bold"/>
      <w:b/>
      <w:bCs/>
      <w:noProof/>
      <w:sz w:val="24"/>
      <w:szCs w:val="24"/>
    </w:rPr>
  </w:style>
  <w:style w:type="paragraph" w:customStyle="1" w:styleId="9pirmstab3">
    <w:name w:val="9_pirms_tab_3"/>
    <w:basedOn w:val="Normal"/>
    <w:rsid w:val="003B2B2B"/>
    <w:pPr>
      <w:tabs>
        <w:tab w:val="left" w:pos="3259"/>
        <w:tab w:val="left" w:pos="4200"/>
        <w:tab w:val="left" w:pos="5141"/>
        <w:tab w:val="left" w:pos="6082"/>
        <w:tab w:val="left" w:pos="7022"/>
        <w:tab w:val="left" w:pos="7963"/>
        <w:tab w:val="left" w:pos="8870"/>
        <w:tab w:val="left" w:pos="9794"/>
        <w:tab w:val="left" w:pos="10718"/>
        <w:tab w:val="left" w:pos="11659"/>
        <w:tab w:val="left" w:pos="13171"/>
      </w:tabs>
      <w:spacing w:after="60"/>
      <w:jc w:val="center"/>
    </w:pPr>
    <w:rPr>
      <w:color w:val="000000"/>
      <w:sz w:val="18"/>
    </w:rPr>
  </w:style>
  <w:style w:type="paragraph" w:customStyle="1" w:styleId="Taksts11">
    <w:name w:val="Taksts_11"/>
    <w:basedOn w:val="Normal"/>
    <w:rsid w:val="003B2B2B"/>
    <w:pPr>
      <w:ind w:firstLine="567"/>
    </w:pPr>
    <w:rPr>
      <w:lang w:val="en-US"/>
    </w:rPr>
  </w:style>
  <w:style w:type="table" w:customStyle="1" w:styleId="GridTable5Dark-Accent31">
    <w:name w:val="Grid Table 5 Dark - Accent 31"/>
    <w:basedOn w:val="TableNormal"/>
    <w:uiPriority w:val="50"/>
    <w:rsid w:val="003B2B2B"/>
    <w:rPr>
      <w:rFonts w:ascii="Times New Roman" w:eastAsiaTheme="minorHAnsi" w:hAnsi="Times New Roman" w:cstheme="minorBidi"/>
      <w:sz w:val="2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contact-street">
    <w:name w:val="contact-street"/>
    <w:basedOn w:val="DefaultParagraphFont"/>
    <w:rsid w:val="003B2B2B"/>
  </w:style>
  <w:style w:type="character" w:customStyle="1" w:styleId="ListParagraphChar">
    <w:name w:val="List Paragraph Char"/>
    <w:aliases w:val="2 Char,Strip Char,H&amp;P List Paragraph Char,Colorful List - Accent 12 Char,Colorful List - Accent 11 Char"/>
    <w:link w:val="ListParagraph"/>
    <w:uiPriority w:val="34"/>
    <w:qFormat/>
    <w:rsid w:val="003B2B2B"/>
    <w:rPr>
      <w:rFonts w:ascii="Times New Roman" w:eastAsia="Times New Roman" w:hAnsi="Times New Roman"/>
      <w:sz w:val="24"/>
      <w:lang w:eastAsia="en-US"/>
    </w:rPr>
  </w:style>
  <w:style w:type="paragraph" w:styleId="EnvelopeReturn">
    <w:name w:val="envelope return"/>
    <w:basedOn w:val="Normal"/>
    <w:uiPriority w:val="99"/>
    <w:unhideWhenUsed/>
    <w:rsid w:val="003B2B2B"/>
    <w:pPr>
      <w:jc w:val="left"/>
    </w:pPr>
    <w:rPr>
      <w:rFonts w:ascii="Cambria" w:hAnsi="Cambria"/>
      <w:sz w:val="20"/>
      <w:lang w:eastAsia="lv-LV"/>
    </w:rPr>
  </w:style>
  <w:style w:type="paragraph" w:customStyle="1" w:styleId="CharCharCharChar">
    <w:name w:val="Char Char Char Char"/>
    <w:aliases w:val="Char2"/>
    <w:basedOn w:val="Normal"/>
    <w:next w:val="Normal"/>
    <w:link w:val="FootnoteReference"/>
    <w:uiPriority w:val="99"/>
    <w:rsid w:val="00BA3CB3"/>
    <w:pPr>
      <w:spacing w:after="160" w:line="240" w:lineRule="exact"/>
      <w:textAlignment w:val="baseline"/>
    </w:pPr>
    <w:rPr>
      <w:rFonts w:eastAsia="Calibri"/>
      <w:sz w:val="20"/>
      <w:vertAlign w:val="superscript"/>
      <w:lang w:eastAsia="lv-LV"/>
    </w:rPr>
  </w:style>
  <w:style w:type="character" w:customStyle="1" w:styleId="ms-rtefontsize-1">
    <w:name w:val="ms-rtefontsize-1"/>
    <w:basedOn w:val="DefaultParagraphFont"/>
    <w:rsid w:val="00D42476"/>
  </w:style>
  <w:style w:type="paragraph" w:customStyle="1" w:styleId="naisf">
    <w:name w:val="naisf"/>
    <w:basedOn w:val="Normal"/>
    <w:rsid w:val="00C06916"/>
    <w:pPr>
      <w:spacing w:before="75" w:after="75"/>
      <w:ind w:firstLine="375"/>
    </w:pPr>
    <w:rPr>
      <w:szCs w:val="24"/>
      <w:lang w:eastAsia="lv-LV"/>
    </w:rPr>
  </w:style>
  <w:style w:type="paragraph" w:styleId="EndnoteText">
    <w:name w:val="endnote text"/>
    <w:basedOn w:val="Normal"/>
    <w:link w:val="EndnoteTextChar"/>
    <w:uiPriority w:val="99"/>
    <w:semiHidden/>
    <w:unhideWhenUsed/>
    <w:rsid w:val="005A30C2"/>
    <w:rPr>
      <w:sz w:val="20"/>
    </w:rPr>
  </w:style>
  <w:style w:type="character" w:customStyle="1" w:styleId="EndnoteTextChar">
    <w:name w:val="Endnote Text Char"/>
    <w:basedOn w:val="DefaultParagraphFont"/>
    <w:link w:val="EndnoteText"/>
    <w:uiPriority w:val="99"/>
    <w:semiHidden/>
    <w:rsid w:val="005A30C2"/>
    <w:rPr>
      <w:rFonts w:ascii="Times New Roman" w:eastAsia="Times New Roman" w:hAnsi="Times New Roman"/>
      <w:lang w:eastAsia="en-US"/>
    </w:rPr>
  </w:style>
  <w:style w:type="character" w:styleId="EndnoteReference">
    <w:name w:val="endnote reference"/>
    <w:basedOn w:val="DefaultParagraphFont"/>
    <w:uiPriority w:val="99"/>
    <w:semiHidden/>
    <w:unhideWhenUsed/>
    <w:rsid w:val="005A30C2"/>
    <w:rPr>
      <w:vertAlign w:val="superscript"/>
    </w:rPr>
  </w:style>
  <w:style w:type="paragraph" w:styleId="Revision">
    <w:name w:val="Revision"/>
    <w:hidden/>
    <w:uiPriority w:val="99"/>
    <w:semiHidden/>
    <w:rsid w:val="006C4693"/>
    <w:rPr>
      <w:rFonts w:ascii="Times New Roman" w:eastAsia="Times New Roman" w:hAnsi="Times New Roman"/>
      <w:sz w:val="24"/>
      <w:lang w:eastAsia="en-US"/>
    </w:rPr>
  </w:style>
  <w:style w:type="paragraph" w:customStyle="1" w:styleId="Normal2">
    <w:name w:val="Normal2"/>
    <w:rsid w:val="0028052D"/>
    <w:pPr>
      <w:spacing w:after="120"/>
      <w:ind w:firstLine="567"/>
      <w:jc w:val="both"/>
    </w:pPr>
    <w:rPr>
      <w:rFonts w:ascii="Times New Roman" w:eastAsia="Times New Roman" w:hAnsi="Times New Roman"/>
      <w:color w:val="000000"/>
      <w:sz w:val="24"/>
      <w:szCs w:val="22"/>
      <w:lang w:eastAsia="zh-CN" w:bidi="lo-LA"/>
    </w:rPr>
  </w:style>
  <w:style w:type="character" w:customStyle="1" w:styleId="apple-converted-space">
    <w:name w:val="apple-converted-space"/>
    <w:basedOn w:val="DefaultParagraphFont"/>
    <w:rsid w:val="00F1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0424">
      <w:bodyDiv w:val="1"/>
      <w:marLeft w:val="0"/>
      <w:marRight w:val="0"/>
      <w:marTop w:val="0"/>
      <w:marBottom w:val="0"/>
      <w:divBdr>
        <w:top w:val="none" w:sz="0" w:space="0" w:color="auto"/>
        <w:left w:val="none" w:sz="0" w:space="0" w:color="auto"/>
        <w:bottom w:val="none" w:sz="0" w:space="0" w:color="auto"/>
        <w:right w:val="none" w:sz="0" w:space="0" w:color="auto"/>
      </w:divBdr>
    </w:div>
    <w:div w:id="71198637">
      <w:bodyDiv w:val="1"/>
      <w:marLeft w:val="0"/>
      <w:marRight w:val="0"/>
      <w:marTop w:val="0"/>
      <w:marBottom w:val="0"/>
      <w:divBdr>
        <w:top w:val="none" w:sz="0" w:space="0" w:color="auto"/>
        <w:left w:val="none" w:sz="0" w:space="0" w:color="auto"/>
        <w:bottom w:val="none" w:sz="0" w:space="0" w:color="auto"/>
        <w:right w:val="none" w:sz="0" w:space="0" w:color="auto"/>
      </w:divBdr>
      <w:divsChild>
        <w:div w:id="398677982">
          <w:marLeft w:val="0"/>
          <w:marRight w:val="0"/>
          <w:marTop w:val="0"/>
          <w:marBottom w:val="0"/>
          <w:divBdr>
            <w:top w:val="none" w:sz="0" w:space="0" w:color="auto"/>
            <w:left w:val="none" w:sz="0" w:space="0" w:color="auto"/>
            <w:bottom w:val="none" w:sz="0" w:space="0" w:color="auto"/>
            <w:right w:val="none" w:sz="0" w:space="0" w:color="auto"/>
          </w:divBdr>
        </w:div>
      </w:divsChild>
    </w:div>
    <w:div w:id="84814142">
      <w:bodyDiv w:val="1"/>
      <w:marLeft w:val="0"/>
      <w:marRight w:val="0"/>
      <w:marTop w:val="0"/>
      <w:marBottom w:val="0"/>
      <w:divBdr>
        <w:top w:val="none" w:sz="0" w:space="0" w:color="auto"/>
        <w:left w:val="none" w:sz="0" w:space="0" w:color="auto"/>
        <w:bottom w:val="none" w:sz="0" w:space="0" w:color="auto"/>
        <w:right w:val="none" w:sz="0" w:space="0" w:color="auto"/>
      </w:divBdr>
    </w:div>
    <w:div w:id="139611995">
      <w:bodyDiv w:val="1"/>
      <w:marLeft w:val="0"/>
      <w:marRight w:val="0"/>
      <w:marTop w:val="0"/>
      <w:marBottom w:val="0"/>
      <w:divBdr>
        <w:top w:val="none" w:sz="0" w:space="0" w:color="auto"/>
        <w:left w:val="none" w:sz="0" w:space="0" w:color="auto"/>
        <w:bottom w:val="none" w:sz="0" w:space="0" w:color="auto"/>
        <w:right w:val="none" w:sz="0" w:space="0" w:color="auto"/>
      </w:divBdr>
    </w:div>
    <w:div w:id="164831959">
      <w:bodyDiv w:val="1"/>
      <w:marLeft w:val="0"/>
      <w:marRight w:val="0"/>
      <w:marTop w:val="0"/>
      <w:marBottom w:val="0"/>
      <w:divBdr>
        <w:top w:val="none" w:sz="0" w:space="0" w:color="auto"/>
        <w:left w:val="none" w:sz="0" w:space="0" w:color="auto"/>
        <w:bottom w:val="none" w:sz="0" w:space="0" w:color="auto"/>
        <w:right w:val="none" w:sz="0" w:space="0" w:color="auto"/>
      </w:divBdr>
    </w:div>
    <w:div w:id="165873984">
      <w:bodyDiv w:val="1"/>
      <w:marLeft w:val="0"/>
      <w:marRight w:val="0"/>
      <w:marTop w:val="0"/>
      <w:marBottom w:val="0"/>
      <w:divBdr>
        <w:top w:val="none" w:sz="0" w:space="0" w:color="auto"/>
        <w:left w:val="none" w:sz="0" w:space="0" w:color="auto"/>
        <w:bottom w:val="none" w:sz="0" w:space="0" w:color="auto"/>
        <w:right w:val="none" w:sz="0" w:space="0" w:color="auto"/>
      </w:divBdr>
      <w:divsChild>
        <w:div w:id="1481263099">
          <w:marLeft w:val="0"/>
          <w:marRight w:val="0"/>
          <w:marTop w:val="0"/>
          <w:marBottom w:val="0"/>
          <w:divBdr>
            <w:top w:val="none" w:sz="0" w:space="0" w:color="auto"/>
            <w:left w:val="none" w:sz="0" w:space="0" w:color="auto"/>
            <w:bottom w:val="none" w:sz="0" w:space="0" w:color="auto"/>
            <w:right w:val="none" w:sz="0" w:space="0" w:color="auto"/>
          </w:divBdr>
          <w:divsChild>
            <w:div w:id="116878806">
              <w:marLeft w:val="0"/>
              <w:marRight w:val="0"/>
              <w:marTop w:val="0"/>
              <w:marBottom w:val="0"/>
              <w:divBdr>
                <w:top w:val="none" w:sz="0" w:space="0" w:color="auto"/>
                <w:left w:val="none" w:sz="0" w:space="0" w:color="auto"/>
                <w:bottom w:val="none" w:sz="0" w:space="0" w:color="auto"/>
                <w:right w:val="none" w:sz="0" w:space="0" w:color="auto"/>
              </w:divBdr>
              <w:divsChild>
                <w:div w:id="1220630854">
                  <w:marLeft w:val="0"/>
                  <w:marRight w:val="0"/>
                  <w:marTop w:val="0"/>
                  <w:marBottom w:val="0"/>
                  <w:divBdr>
                    <w:top w:val="none" w:sz="0" w:space="0" w:color="auto"/>
                    <w:left w:val="none" w:sz="0" w:space="0" w:color="auto"/>
                    <w:bottom w:val="none" w:sz="0" w:space="0" w:color="auto"/>
                    <w:right w:val="none" w:sz="0" w:space="0" w:color="auto"/>
                  </w:divBdr>
                  <w:divsChild>
                    <w:div w:id="2087993163">
                      <w:marLeft w:val="0"/>
                      <w:marRight w:val="0"/>
                      <w:marTop w:val="0"/>
                      <w:marBottom w:val="0"/>
                      <w:divBdr>
                        <w:top w:val="none" w:sz="0" w:space="0" w:color="auto"/>
                        <w:left w:val="none" w:sz="0" w:space="0" w:color="auto"/>
                        <w:bottom w:val="none" w:sz="0" w:space="0" w:color="auto"/>
                        <w:right w:val="none" w:sz="0" w:space="0" w:color="auto"/>
                      </w:divBdr>
                      <w:divsChild>
                        <w:div w:id="1029648194">
                          <w:marLeft w:val="0"/>
                          <w:marRight w:val="0"/>
                          <w:marTop w:val="0"/>
                          <w:marBottom w:val="0"/>
                          <w:divBdr>
                            <w:top w:val="none" w:sz="0" w:space="0" w:color="auto"/>
                            <w:left w:val="none" w:sz="0" w:space="0" w:color="auto"/>
                            <w:bottom w:val="none" w:sz="0" w:space="0" w:color="auto"/>
                            <w:right w:val="none" w:sz="0" w:space="0" w:color="auto"/>
                          </w:divBdr>
                          <w:divsChild>
                            <w:div w:id="17629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1025">
      <w:bodyDiv w:val="1"/>
      <w:marLeft w:val="0"/>
      <w:marRight w:val="0"/>
      <w:marTop w:val="0"/>
      <w:marBottom w:val="0"/>
      <w:divBdr>
        <w:top w:val="none" w:sz="0" w:space="0" w:color="auto"/>
        <w:left w:val="none" w:sz="0" w:space="0" w:color="auto"/>
        <w:bottom w:val="none" w:sz="0" w:space="0" w:color="auto"/>
        <w:right w:val="none" w:sz="0" w:space="0" w:color="auto"/>
      </w:divBdr>
    </w:div>
    <w:div w:id="191114439">
      <w:bodyDiv w:val="1"/>
      <w:marLeft w:val="0"/>
      <w:marRight w:val="0"/>
      <w:marTop w:val="0"/>
      <w:marBottom w:val="0"/>
      <w:divBdr>
        <w:top w:val="none" w:sz="0" w:space="0" w:color="auto"/>
        <w:left w:val="none" w:sz="0" w:space="0" w:color="auto"/>
        <w:bottom w:val="none" w:sz="0" w:space="0" w:color="auto"/>
        <w:right w:val="none" w:sz="0" w:space="0" w:color="auto"/>
      </w:divBdr>
    </w:div>
    <w:div w:id="208957808">
      <w:bodyDiv w:val="1"/>
      <w:marLeft w:val="0"/>
      <w:marRight w:val="0"/>
      <w:marTop w:val="0"/>
      <w:marBottom w:val="0"/>
      <w:divBdr>
        <w:top w:val="none" w:sz="0" w:space="0" w:color="auto"/>
        <w:left w:val="none" w:sz="0" w:space="0" w:color="auto"/>
        <w:bottom w:val="none" w:sz="0" w:space="0" w:color="auto"/>
        <w:right w:val="none" w:sz="0" w:space="0" w:color="auto"/>
      </w:divBdr>
      <w:divsChild>
        <w:div w:id="269776254">
          <w:marLeft w:val="0"/>
          <w:marRight w:val="0"/>
          <w:marTop w:val="0"/>
          <w:marBottom w:val="0"/>
          <w:divBdr>
            <w:top w:val="none" w:sz="0" w:space="0" w:color="auto"/>
            <w:left w:val="none" w:sz="0" w:space="0" w:color="auto"/>
            <w:bottom w:val="none" w:sz="0" w:space="0" w:color="auto"/>
            <w:right w:val="none" w:sz="0" w:space="0" w:color="auto"/>
          </w:divBdr>
          <w:divsChild>
            <w:div w:id="1586188000">
              <w:marLeft w:val="0"/>
              <w:marRight w:val="0"/>
              <w:marTop w:val="0"/>
              <w:marBottom w:val="0"/>
              <w:divBdr>
                <w:top w:val="none" w:sz="0" w:space="0" w:color="auto"/>
                <w:left w:val="none" w:sz="0" w:space="0" w:color="auto"/>
                <w:bottom w:val="none" w:sz="0" w:space="0" w:color="auto"/>
                <w:right w:val="none" w:sz="0" w:space="0" w:color="auto"/>
              </w:divBdr>
              <w:divsChild>
                <w:div w:id="1545368066">
                  <w:marLeft w:val="0"/>
                  <w:marRight w:val="0"/>
                  <w:marTop w:val="0"/>
                  <w:marBottom w:val="0"/>
                  <w:divBdr>
                    <w:top w:val="none" w:sz="0" w:space="0" w:color="auto"/>
                    <w:left w:val="none" w:sz="0" w:space="0" w:color="auto"/>
                    <w:bottom w:val="none" w:sz="0" w:space="0" w:color="auto"/>
                    <w:right w:val="none" w:sz="0" w:space="0" w:color="auto"/>
                  </w:divBdr>
                  <w:divsChild>
                    <w:div w:id="1784763030">
                      <w:marLeft w:val="0"/>
                      <w:marRight w:val="0"/>
                      <w:marTop w:val="0"/>
                      <w:marBottom w:val="0"/>
                      <w:divBdr>
                        <w:top w:val="none" w:sz="0" w:space="0" w:color="auto"/>
                        <w:left w:val="none" w:sz="0" w:space="0" w:color="auto"/>
                        <w:bottom w:val="none" w:sz="0" w:space="0" w:color="auto"/>
                        <w:right w:val="none" w:sz="0" w:space="0" w:color="auto"/>
                      </w:divBdr>
                      <w:divsChild>
                        <w:div w:id="996687569">
                          <w:marLeft w:val="0"/>
                          <w:marRight w:val="0"/>
                          <w:marTop w:val="0"/>
                          <w:marBottom w:val="0"/>
                          <w:divBdr>
                            <w:top w:val="none" w:sz="0" w:space="0" w:color="auto"/>
                            <w:left w:val="none" w:sz="0" w:space="0" w:color="auto"/>
                            <w:bottom w:val="none" w:sz="0" w:space="0" w:color="auto"/>
                            <w:right w:val="none" w:sz="0" w:space="0" w:color="auto"/>
                          </w:divBdr>
                          <w:divsChild>
                            <w:div w:id="305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968535">
      <w:bodyDiv w:val="1"/>
      <w:marLeft w:val="0"/>
      <w:marRight w:val="0"/>
      <w:marTop w:val="0"/>
      <w:marBottom w:val="0"/>
      <w:divBdr>
        <w:top w:val="none" w:sz="0" w:space="0" w:color="auto"/>
        <w:left w:val="none" w:sz="0" w:space="0" w:color="auto"/>
        <w:bottom w:val="none" w:sz="0" w:space="0" w:color="auto"/>
        <w:right w:val="none" w:sz="0" w:space="0" w:color="auto"/>
      </w:divBdr>
    </w:div>
    <w:div w:id="231895943">
      <w:bodyDiv w:val="1"/>
      <w:marLeft w:val="0"/>
      <w:marRight w:val="0"/>
      <w:marTop w:val="0"/>
      <w:marBottom w:val="0"/>
      <w:divBdr>
        <w:top w:val="none" w:sz="0" w:space="0" w:color="auto"/>
        <w:left w:val="none" w:sz="0" w:space="0" w:color="auto"/>
        <w:bottom w:val="none" w:sz="0" w:space="0" w:color="auto"/>
        <w:right w:val="none" w:sz="0" w:space="0" w:color="auto"/>
      </w:divBdr>
    </w:div>
    <w:div w:id="233204463">
      <w:bodyDiv w:val="1"/>
      <w:marLeft w:val="0"/>
      <w:marRight w:val="0"/>
      <w:marTop w:val="0"/>
      <w:marBottom w:val="0"/>
      <w:divBdr>
        <w:top w:val="none" w:sz="0" w:space="0" w:color="auto"/>
        <w:left w:val="none" w:sz="0" w:space="0" w:color="auto"/>
        <w:bottom w:val="none" w:sz="0" w:space="0" w:color="auto"/>
        <w:right w:val="none" w:sz="0" w:space="0" w:color="auto"/>
      </w:divBdr>
      <w:divsChild>
        <w:div w:id="553275204">
          <w:marLeft w:val="0"/>
          <w:marRight w:val="0"/>
          <w:marTop w:val="0"/>
          <w:marBottom w:val="0"/>
          <w:divBdr>
            <w:top w:val="none" w:sz="0" w:space="0" w:color="auto"/>
            <w:left w:val="none" w:sz="0" w:space="0" w:color="auto"/>
            <w:bottom w:val="none" w:sz="0" w:space="0" w:color="auto"/>
            <w:right w:val="none" w:sz="0" w:space="0" w:color="auto"/>
          </w:divBdr>
          <w:divsChild>
            <w:div w:id="1711955712">
              <w:marLeft w:val="0"/>
              <w:marRight w:val="0"/>
              <w:marTop w:val="0"/>
              <w:marBottom w:val="0"/>
              <w:divBdr>
                <w:top w:val="none" w:sz="0" w:space="0" w:color="auto"/>
                <w:left w:val="none" w:sz="0" w:space="0" w:color="auto"/>
                <w:bottom w:val="none" w:sz="0" w:space="0" w:color="auto"/>
                <w:right w:val="none" w:sz="0" w:space="0" w:color="auto"/>
              </w:divBdr>
              <w:divsChild>
                <w:div w:id="1536843625">
                  <w:marLeft w:val="0"/>
                  <w:marRight w:val="0"/>
                  <w:marTop w:val="0"/>
                  <w:marBottom w:val="0"/>
                  <w:divBdr>
                    <w:top w:val="none" w:sz="0" w:space="0" w:color="auto"/>
                    <w:left w:val="none" w:sz="0" w:space="0" w:color="auto"/>
                    <w:bottom w:val="none" w:sz="0" w:space="0" w:color="auto"/>
                    <w:right w:val="none" w:sz="0" w:space="0" w:color="auto"/>
                  </w:divBdr>
                  <w:divsChild>
                    <w:div w:id="1245072715">
                      <w:marLeft w:val="0"/>
                      <w:marRight w:val="0"/>
                      <w:marTop w:val="0"/>
                      <w:marBottom w:val="0"/>
                      <w:divBdr>
                        <w:top w:val="none" w:sz="0" w:space="0" w:color="auto"/>
                        <w:left w:val="none" w:sz="0" w:space="0" w:color="auto"/>
                        <w:bottom w:val="none" w:sz="0" w:space="0" w:color="auto"/>
                        <w:right w:val="none" w:sz="0" w:space="0" w:color="auto"/>
                      </w:divBdr>
                      <w:divsChild>
                        <w:div w:id="758134209">
                          <w:marLeft w:val="0"/>
                          <w:marRight w:val="0"/>
                          <w:marTop w:val="0"/>
                          <w:marBottom w:val="0"/>
                          <w:divBdr>
                            <w:top w:val="none" w:sz="0" w:space="0" w:color="auto"/>
                            <w:left w:val="none" w:sz="0" w:space="0" w:color="auto"/>
                            <w:bottom w:val="none" w:sz="0" w:space="0" w:color="auto"/>
                            <w:right w:val="none" w:sz="0" w:space="0" w:color="auto"/>
                          </w:divBdr>
                          <w:divsChild>
                            <w:div w:id="15570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2744">
      <w:bodyDiv w:val="1"/>
      <w:marLeft w:val="0"/>
      <w:marRight w:val="0"/>
      <w:marTop w:val="0"/>
      <w:marBottom w:val="0"/>
      <w:divBdr>
        <w:top w:val="none" w:sz="0" w:space="0" w:color="auto"/>
        <w:left w:val="none" w:sz="0" w:space="0" w:color="auto"/>
        <w:bottom w:val="none" w:sz="0" w:space="0" w:color="auto"/>
        <w:right w:val="none" w:sz="0" w:space="0" w:color="auto"/>
      </w:divBdr>
    </w:div>
    <w:div w:id="244653121">
      <w:bodyDiv w:val="1"/>
      <w:marLeft w:val="0"/>
      <w:marRight w:val="0"/>
      <w:marTop w:val="0"/>
      <w:marBottom w:val="0"/>
      <w:divBdr>
        <w:top w:val="none" w:sz="0" w:space="0" w:color="auto"/>
        <w:left w:val="none" w:sz="0" w:space="0" w:color="auto"/>
        <w:bottom w:val="none" w:sz="0" w:space="0" w:color="auto"/>
        <w:right w:val="none" w:sz="0" w:space="0" w:color="auto"/>
      </w:divBdr>
    </w:div>
    <w:div w:id="250696500">
      <w:bodyDiv w:val="1"/>
      <w:marLeft w:val="0"/>
      <w:marRight w:val="0"/>
      <w:marTop w:val="0"/>
      <w:marBottom w:val="0"/>
      <w:divBdr>
        <w:top w:val="none" w:sz="0" w:space="0" w:color="auto"/>
        <w:left w:val="none" w:sz="0" w:space="0" w:color="auto"/>
        <w:bottom w:val="none" w:sz="0" w:space="0" w:color="auto"/>
        <w:right w:val="none" w:sz="0" w:space="0" w:color="auto"/>
      </w:divBdr>
      <w:divsChild>
        <w:div w:id="1717781332">
          <w:marLeft w:val="0"/>
          <w:marRight w:val="0"/>
          <w:marTop w:val="525"/>
          <w:marBottom w:val="0"/>
          <w:divBdr>
            <w:top w:val="none" w:sz="0" w:space="0" w:color="auto"/>
            <w:left w:val="none" w:sz="0" w:space="0" w:color="auto"/>
            <w:bottom w:val="none" w:sz="0" w:space="0" w:color="auto"/>
            <w:right w:val="none" w:sz="0" w:space="0" w:color="auto"/>
          </w:divBdr>
          <w:divsChild>
            <w:div w:id="16035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1576">
      <w:bodyDiv w:val="1"/>
      <w:marLeft w:val="0"/>
      <w:marRight w:val="0"/>
      <w:marTop w:val="0"/>
      <w:marBottom w:val="0"/>
      <w:divBdr>
        <w:top w:val="none" w:sz="0" w:space="0" w:color="auto"/>
        <w:left w:val="none" w:sz="0" w:space="0" w:color="auto"/>
        <w:bottom w:val="none" w:sz="0" w:space="0" w:color="auto"/>
        <w:right w:val="none" w:sz="0" w:space="0" w:color="auto"/>
      </w:divBdr>
      <w:divsChild>
        <w:div w:id="1191339085">
          <w:marLeft w:val="0"/>
          <w:marRight w:val="0"/>
          <w:marTop w:val="0"/>
          <w:marBottom w:val="0"/>
          <w:divBdr>
            <w:top w:val="none" w:sz="0" w:space="0" w:color="auto"/>
            <w:left w:val="none" w:sz="0" w:space="0" w:color="auto"/>
            <w:bottom w:val="none" w:sz="0" w:space="0" w:color="auto"/>
            <w:right w:val="none" w:sz="0" w:space="0" w:color="auto"/>
          </w:divBdr>
          <w:divsChild>
            <w:div w:id="49378596">
              <w:marLeft w:val="0"/>
              <w:marRight w:val="0"/>
              <w:marTop w:val="0"/>
              <w:marBottom w:val="0"/>
              <w:divBdr>
                <w:top w:val="none" w:sz="0" w:space="0" w:color="auto"/>
                <w:left w:val="none" w:sz="0" w:space="0" w:color="auto"/>
                <w:bottom w:val="none" w:sz="0" w:space="0" w:color="auto"/>
                <w:right w:val="none" w:sz="0" w:space="0" w:color="auto"/>
              </w:divBdr>
            </w:div>
            <w:div w:id="60715106">
              <w:marLeft w:val="0"/>
              <w:marRight w:val="0"/>
              <w:marTop w:val="0"/>
              <w:marBottom w:val="0"/>
              <w:divBdr>
                <w:top w:val="none" w:sz="0" w:space="0" w:color="auto"/>
                <w:left w:val="none" w:sz="0" w:space="0" w:color="auto"/>
                <w:bottom w:val="none" w:sz="0" w:space="0" w:color="auto"/>
                <w:right w:val="none" w:sz="0" w:space="0" w:color="auto"/>
              </w:divBdr>
            </w:div>
            <w:div w:id="71391244">
              <w:marLeft w:val="0"/>
              <w:marRight w:val="0"/>
              <w:marTop w:val="0"/>
              <w:marBottom w:val="0"/>
              <w:divBdr>
                <w:top w:val="none" w:sz="0" w:space="0" w:color="auto"/>
                <w:left w:val="none" w:sz="0" w:space="0" w:color="auto"/>
                <w:bottom w:val="none" w:sz="0" w:space="0" w:color="auto"/>
                <w:right w:val="none" w:sz="0" w:space="0" w:color="auto"/>
              </w:divBdr>
            </w:div>
            <w:div w:id="77026156">
              <w:marLeft w:val="0"/>
              <w:marRight w:val="0"/>
              <w:marTop w:val="0"/>
              <w:marBottom w:val="0"/>
              <w:divBdr>
                <w:top w:val="none" w:sz="0" w:space="0" w:color="auto"/>
                <w:left w:val="none" w:sz="0" w:space="0" w:color="auto"/>
                <w:bottom w:val="none" w:sz="0" w:space="0" w:color="auto"/>
                <w:right w:val="none" w:sz="0" w:space="0" w:color="auto"/>
              </w:divBdr>
            </w:div>
            <w:div w:id="77792563">
              <w:marLeft w:val="0"/>
              <w:marRight w:val="0"/>
              <w:marTop w:val="0"/>
              <w:marBottom w:val="0"/>
              <w:divBdr>
                <w:top w:val="none" w:sz="0" w:space="0" w:color="auto"/>
                <w:left w:val="none" w:sz="0" w:space="0" w:color="auto"/>
                <w:bottom w:val="none" w:sz="0" w:space="0" w:color="auto"/>
                <w:right w:val="none" w:sz="0" w:space="0" w:color="auto"/>
              </w:divBdr>
            </w:div>
            <w:div w:id="80219050">
              <w:marLeft w:val="0"/>
              <w:marRight w:val="0"/>
              <w:marTop w:val="0"/>
              <w:marBottom w:val="0"/>
              <w:divBdr>
                <w:top w:val="none" w:sz="0" w:space="0" w:color="auto"/>
                <w:left w:val="none" w:sz="0" w:space="0" w:color="auto"/>
                <w:bottom w:val="none" w:sz="0" w:space="0" w:color="auto"/>
                <w:right w:val="none" w:sz="0" w:space="0" w:color="auto"/>
              </w:divBdr>
            </w:div>
            <w:div w:id="100809496">
              <w:marLeft w:val="0"/>
              <w:marRight w:val="0"/>
              <w:marTop w:val="0"/>
              <w:marBottom w:val="0"/>
              <w:divBdr>
                <w:top w:val="none" w:sz="0" w:space="0" w:color="auto"/>
                <w:left w:val="none" w:sz="0" w:space="0" w:color="auto"/>
                <w:bottom w:val="none" w:sz="0" w:space="0" w:color="auto"/>
                <w:right w:val="none" w:sz="0" w:space="0" w:color="auto"/>
              </w:divBdr>
            </w:div>
            <w:div w:id="110248853">
              <w:marLeft w:val="0"/>
              <w:marRight w:val="0"/>
              <w:marTop w:val="0"/>
              <w:marBottom w:val="0"/>
              <w:divBdr>
                <w:top w:val="none" w:sz="0" w:space="0" w:color="auto"/>
                <w:left w:val="none" w:sz="0" w:space="0" w:color="auto"/>
                <w:bottom w:val="none" w:sz="0" w:space="0" w:color="auto"/>
                <w:right w:val="none" w:sz="0" w:space="0" w:color="auto"/>
              </w:divBdr>
            </w:div>
            <w:div w:id="121965912">
              <w:marLeft w:val="0"/>
              <w:marRight w:val="0"/>
              <w:marTop w:val="0"/>
              <w:marBottom w:val="0"/>
              <w:divBdr>
                <w:top w:val="none" w:sz="0" w:space="0" w:color="auto"/>
                <w:left w:val="none" w:sz="0" w:space="0" w:color="auto"/>
                <w:bottom w:val="none" w:sz="0" w:space="0" w:color="auto"/>
                <w:right w:val="none" w:sz="0" w:space="0" w:color="auto"/>
              </w:divBdr>
            </w:div>
            <w:div w:id="145366931">
              <w:marLeft w:val="0"/>
              <w:marRight w:val="0"/>
              <w:marTop w:val="0"/>
              <w:marBottom w:val="0"/>
              <w:divBdr>
                <w:top w:val="none" w:sz="0" w:space="0" w:color="auto"/>
                <w:left w:val="none" w:sz="0" w:space="0" w:color="auto"/>
                <w:bottom w:val="none" w:sz="0" w:space="0" w:color="auto"/>
                <w:right w:val="none" w:sz="0" w:space="0" w:color="auto"/>
              </w:divBdr>
            </w:div>
            <w:div w:id="158229035">
              <w:marLeft w:val="0"/>
              <w:marRight w:val="0"/>
              <w:marTop w:val="0"/>
              <w:marBottom w:val="0"/>
              <w:divBdr>
                <w:top w:val="none" w:sz="0" w:space="0" w:color="auto"/>
                <w:left w:val="none" w:sz="0" w:space="0" w:color="auto"/>
                <w:bottom w:val="none" w:sz="0" w:space="0" w:color="auto"/>
                <w:right w:val="none" w:sz="0" w:space="0" w:color="auto"/>
              </w:divBdr>
            </w:div>
            <w:div w:id="163935431">
              <w:marLeft w:val="0"/>
              <w:marRight w:val="0"/>
              <w:marTop w:val="0"/>
              <w:marBottom w:val="0"/>
              <w:divBdr>
                <w:top w:val="none" w:sz="0" w:space="0" w:color="auto"/>
                <w:left w:val="none" w:sz="0" w:space="0" w:color="auto"/>
                <w:bottom w:val="none" w:sz="0" w:space="0" w:color="auto"/>
                <w:right w:val="none" w:sz="0" w:space="0" w:color="auto"/>
              </w:divBdr>
            </w:div>
            <w:div w:id="201483336">
              <w:marLeft w:val="0"/>
              <w:marRight w:val="0"/>
              <w:marTop w:val="0"/>
              <w:marBottom w:val="0"/>
              <w:divBdr>
                <w:top w:val="none" w:sz="0" w:space="0" w:color="auto"/>
                <w:left w:val="none" w:sz="0" w:space="0" w:color="auto"/>
                <w:bottom w:val="none" w:sz="0" w:space="0" w:color="auto"/>
                <w:right w:val="none" w:sz="0" w:space="0" w:color="auto"/>
              </w:divBdr>
            </w:div>
            <w:div w:id="205987605">
              <w:marLeft w:val="0"/>
              <w:marRight w:val="0"/>
              <w:marTop w:val="0"/>
              <w:marBottom w:val="0"/>
              <w:divBdr>
                <w:top w:val="none" w:sz="0" w:space="0" w:color="auto"/>
                <w:left w:val="none" w:sz="0" w:space="0" w:color="auto"/>
                <w:bottom w:val="none" w:sz="0" w:space="0" w:color="auto"/>
                <w:right w:val="none" w:sz="0" w:space="0" w:color="auto"/>
              </w:divBdr>
            </w:div>
            <w:div w:id="233398141">
              <w:marLeft w:val="0"/>
              <w:marRight w:val="0"/>
              <w:marTop w:val="0"/>
              <w:marBottom w:val="0"/>
              <w:divBdr>
                <w:top w:val="none" w:sz="0" w:space="0" w:color="auto"/>
                <w:left w:val="none" w:sz="0" w:space="0" w:color="auto"/>
                <w:bottom w:val="none" w:sz="0" w:space="0" w:color="auto"/>
                <w:right w:val="none" w:sz="0" w:space="0" w:color="auto"/>
              </w:divBdr>
            </w:div>
            <w:div w:id="240986071">
              <w:marLeft w:val="0"/>
              <w:marRight w:val="0"/>
              <w:marTop w:val="0"/>
              <w:marBottom w:val="0"/>
              <w:divBdr>
                <w:top w:val="none" w:sz="0" w:space="0" w:color="auto"/>
                <w:left w:val="none" w:sz="0" w:space="0" w:color="auto"/>
                <w:bottom w:val="none" w:sz="0" w:space="0" w:color="auto"/>
                <w:right w:val="none" w:sz="0" w:space="0" w:color="auto"/>
              </w:divBdr>
            </w:div>
            <w:div w:id="251820066">
              <w:marLeft w:val="0"/>
              <w:marRight w:val="0"/>
              <w:marTop w:val="0"/>
              <w:marBottom w:val="0"/>
              <w:divBdr>
                <w:top w:val="none" w:sz="0" w:space="0" w:color="auto"/>
                <w:left w:val="none" w:sz="0" w:space="0" w:color="auto"/>
                <w:bottom w:val="none" w:sz="0" w:space="0" w:color="auto"/>
                <w:right w:val="none" w:sz="0" w:space="0" w:color="auto"/>
              </w:divBdr>
            </w:div>
            <w:div w:id="252904985">
              <w:marLeft w:val="0"/>
              <w:marRight w:val="0"/>
              <w:marTop w:val="0"/>
              <w:marBottom w:val="0"/>
              <w:divBdr>
                <w:top w:val="none" w:sz="0" w:space="0" w:color="auto"/>
                <w:left w:val="none" w:sz="0" w:space="0" w:color="auto"/>
                <w:bottom w:val="none" w:sz="0" w:space="0" w:color="auto"/>
                <w:right w:val="none" w:sz="0" w:space="0" w:color="auto"/>
              </w:divBdr>
            </w:div>
            <w:div w:id="254290933">
              <w:marLeft w:val="0"/>
              <w:marRight w:val="0"/>
              <w:marTop w:val="0"/>
              <w:marBottom w:val="0"/>
              <w:divBdr>
                <w:top w:val="none" w:sz="0" w:space="0" w:color="auto"/>
                <w:left w:val="none" w:sz="0" w:space="0" w:color="auto"/>
                <w:bottom w:val="none" w:sz="0" w:space="0" w:color="auto"/>
                <w:right w:val="none" w:sz="0" w:space="0" w:color="auto"/>
              </w:divBdr>
            </w:div>
            <w:div w:id="258216042">
              <w:marLeft w:val="0"/>
              <w:marRight w:val="0"/>
              <w:marTop w:val="0"/>
              <w:marBottom w:val="0"/>
              <w:divBdr>
                <w:top w:val="none" w:sz="0" w:space="0" w:color="auto"/>
                <w:left w:val="none" w:sz="0" w:space="0" w:color="auto"/>
                <w:bottom w:val="none" w:sz="0" w:space="0" w:color="auto"/>
                <w:right w:val="none" w:sz="0" w:space="0" w:color="auto"/>
              </w:divBdr>
            </w:div>
            <w:div w:id="318075482">
              <w:marLeft w:val="0"/>
              <w:marRight w:val="0"/>
              <w:marTop w:val="0"/>
              <w:marBottom w:val="0"/>
              <w:divBdr>
                <w:top w:val="none" w:sz="0" w:space="0" w:color="auto"/>
                <w:left w:val="none" w:sz="0" w:space="0" w:color="auto"/>
                <w:bottom w:val="none" w:sz="0" w:space="0" w:color="auto"/>
                <w:right w:val="none" w:sz="0" w:space="0" w:color="auto"/>
              </w:divBdr>
            </w:div>
            <w:div w:id="322512478">
              <w:marLeft w:val="0"/>
              <w:marRight w:val="0"/>
              <w:marTop w:val="0"/>
              <w:marBottom w:val="0"/>
              <w:divBdr>
                <w:top w:val="none" w:sz="0" w:space="0" w:color="auto"/>
                <w:left w:val="none" w:sz="0" w:space="0" w:color="auto"/>
                <w:bottom w:val="none" w:sz="0" w:space="0" w:color="auto"/>
                <w:right w:val="none" w:sz="0" w:space="0" w:color="auto"/>
              </w:divBdr>
            </w:div>
            <w:div w:id="334379045">
              <w:marLeft w:val="0"/>
              <w:marRight w:val="0"/>
              <w:marTop w:val="0"/>
              <w:marBottom w:val="0"/>
              <w:divBdr>
                <w:top w:val="none" w:sz="0" w:space="0" w:color="auto"/>
                <w:left w:val="none" w:sz="0" w:space="0" w:color="auto"/>
                <w:bottom w:val="none" w:sz="0" w:space="0" w:color="auto"/>
                <w:right w:val="none" w:sz="0" w:space="0" w:color="auto"/>
              </w:divBdr>
            </w:div>
            <w:div w:id="342316590">
              <w:marLeft w:val="0"/>
              <w:marRight w:val="0"/>
              <w:marTop w:val="0"/>
              <w:marBottom w:val="0"/>
              <w:divBdr>
                <w:top w:val="none" w:sz="0" w:space="0" w:color="auto"/>
                <w:left w:val="none" w:sz="0" w:space="0" w:color="auto"/>
                <w:bottom w:val="none" w:sz="0" w:space="0" w:color="auto"/>
                <w:right w:val="none" w:sz="0" w:space="0" w:color="auto"/>
              </w:divBdr>
            </w:div>
            <w:div w:id="367798311">
              <w:marLeft w:val="0"/>
              <w:marRight w:val="0"/>
              <w:marTop w:val="0"/>
              <w:marBottom w:val="0"/>
              <w:divBdr>
                <w:top w:val="none" w:sz="0" w:space="0" w:color="auto"/>
                <w:left w:val="none" w:sz="0" w:space="0" w:color="auto"/>
                <w:bottom w:val="none" w:sz="0" w:space="0" w:color="auto"/>
                <w:right w:val="none" w:sz="0" w:space="0" w:color="auto"/>
              </w:divBdr>
            </w:div>
            <w:div w:id="383408970">
              <w:marLeft w:val="0"/>
              <w:marRight w:val="0"/>
              <w:marTop w:val="0"/>
              <w:marBottom w:val="0"/>
              <w:divBdr>
                <w:top w:val="none" w:sz="0" w:space="0" w:color="auto"/>
                <w:left w:val="none" w:sz="0" w:space="0" w:color="auto"/>
                <w:bottom w:val="none" w:sz="0" w:space="0" w:color="auto"/>
                <w:right w:val="none" w:sz="0" w:space="0" w:color="auto"/>
              </w:divBdr>
            </w:div>
            <w:div w:id="390076457">
              <w:marLeft w:val="0"/>
              <w:marRight w:val="0"/>
              <w:marTop w:val="0"/>
              <w:marBottom w:val="0"/>
              <w:divBdr>
                <w:top w:val="none" w:sz="0" w:space="0" w:color="auto"/>
                <w:left w:val="none" w:sz="0" w:space="0" w:color="auto"/>
                <w:bottom w:val="none" w:sz="0" w:space="0" w:color="auto"/>
                <w:right w:val="none" w:sz="0" w:space="0" w:color="auto"/>
              </w:divBdr>
            </w:div>
            <w:div w:id="398789545">
              <w:marLeft w:val="0"/>
              <w:marRight w:val="0"/>
              <w:marTop w:val="0"/>
              <w:marBottom w:val="0"/>
              <w:divBdr>
                <w:top w:val="none" w:sz="0" w:space="0" w:color="auto"/>
                <w:left w:val="none" w:sz="0" w:space="0" w:color="auto"/>
                <w:bottom w:val="none" w:sz="0" w:space="0" w:color="auto"/>
                <w:right w:val="none" w:sz="0" w:space="0" w:color="auto"/>
              </w:divBdr>
            </w:div>
            <w:div w:id="432894707">
              <w:marLeft w:val="0"/>
              <w:marRight w:val="0"/>
              <w:marTop w:val="0"/>
              <w:marBottom w:val="0"/>
              <w:divBdr>
                <w:top w:val="none" w:sz="0" w:space="0" w:color="auto"/>
                <w:left w:val="none" w:sz="0" w:space="0" w:color="auto"/>
                <w:bottom w:val="none" w:sz="0" w:space="0" w:color="auto"/>
                <w:right w:val="none" w:sz="0" w:space="0" w:color="auto"/>
              </w:divBdr>
            </w:div>
            <w:div w:id="476607560">
              <w:marLeft w:val="0"/>
              <w:marRight w:val="0"/>
              <w:marTop w:val="0"/>
              <w:marBottom w:val="0"/>
              <w:divBdr>
                <w:top w:val="none" w:sz="0" w:space="0" w:color="auto"/>
                <w:left w:val="none" w:sz="0" w:space="0" w:color="auto"/>
                <w:bottom w:val="none" w:sz="0" w:space="0" w:color="auto"/>
                <w:right w:val="none" w:sz="0" w:space="0" w:color="auto"/>
              </w:divBdr>
            </w:div>
            <w:div w:id="552159653">
              <w:marLeft w:val="0"/>
              <w:marRight w:val="0"/>
              <w:marTop w:val="0"/>
              <w:marBottom w:val="0"/>
              <w:divBdr>
                <w:top w:val="none" w:sz="0" w:space="0" w:color="auto"/>
                <w:left w:val="none" w:sz="0" w:space="0" w:color="auto"/>
                <w:bottom w:val="none" w:sz="0" w:space="0" w:color="auto"/>
                <w:right w:val="none" w:sz="0" w:space="0" w:color="auto"/>
              </w:divBdr>
            </w:div>
            <w:div w:id="565259518">
              <w:marLeft w:val="0"/>
              <w:marRight w:val="0"/>
              <w:marTop w:val="0"/>
              <w:marBottom w:val="0"/>
              <w:divBdr>
                <w:top w:val="none" w:sz="0" w:space="0" w:color="auto"/>
                <w:left w:val="none" w:sz="0" w:space="0" w:color="auto"/>
                <w:bottom w:val="none" w:sz="0" w:space="0" w:color="auto"/>
                <w:right w:val="none" w:sz="0" w:space="0" w:color="auto"/>
              </w:divBdr>
            </w:div>
            <w:div w:id="609511710">
              <w:marLeft w:val="0"/>
              <w:marRight w:val="0"/>
              <w:marTop w:val="0"/>
              <w:marBottom w:val="0"/>
              <w:divBdr>
                <w:top w:val="none" w:sz="0" w:space="0" w:color="auto"/>
                <w:left w:val="none" w:sz="0" w:space="0" w:color="auto"/>
                <w:bottom w:val="none" w:sz="0" w:space="0" w:color="auto"/>
                <w:right w:val="none" w:sz="0" w:space="0" w:color="auto"/>
              </w:divBdr>
            </w:div>
            <w:div w:id="611283799">
              <w:marLeft w:val="0"/>
              <w:marRight w:val="0"/>
              <w:marTop w:val="0"/>
              <w:marBottom w:val="0"/>
              <w:divBdr>
                <w:top w:val="none" w:sz="0" w:space="0" w:color="auto"/>
                <w:left w:val="none" w:sz="0" w:space="0" w:color="auto"/>
                <w:bottom w:val="none" w:sz="0" w:space="0" w:color="auto"/>
                <w:right w:val="none" w:sz="0" w:space="0" w:color="auto"/>
              </w:divBdr>
            </w:div>
            <w:div w:id="617101764">
              <w:marLeft w:val="0"/>
              <w:marRight w:val="0"/>
              <w:marTop w:val="0"/>
              <w:marBottom w:val="0"/>
              <w:divBdr>
                <w:top w:val="none" w:sz="0" w:space="0" w:color="auto"/>
                <w:left w:val="none" w:sz="0" w:space="0" w:color="auto"/>
                <w:bottom w:val="none" w:sz="0" w:space="0" w:color="auto"/>
                <w:right w:val="none" w:sz="0" w:space="0" w:color="auto"/>
              </w:divBdr>
            </w:div>
            <w:div w:id="625428797">
              <w:marLeft w:val="0"/>
              <w:marRight w:val="0"/>
              <w:marTop w:val="0"/>
              <w:marBottom w:val="0"/>
              <w:divBdr>
                <w:top w:val="none" w:sz="0" w:space="0" w:color="auto"/>
                <w:left w:val="none" w:sz="0" w:space="0" w:color="auto"/>
                <w:bottom w:val="none" w:sz="0" w:space="0" w:color="auto"/>
                <w:right w:val="none" w:sz="0" w:space="0" w:color="auto"/>
              </w:divBdr>
            </w:div>
            <w:div w:id="644313963">
              <w:marLeft w:val="0"/>
              <w:marRight w:val="0"/>
              <w:marTop w:val="0"/>
              <w:marBottom w:val="0"/>
              <w:divBdr>
                <w:top w:val="none" w:sz="0" w:space="0" w:color="auto"/>
                <w:left w:val="none" w:sz="0" w:space="0" w:color="auto"/>
                <w:bottom w:val="none" w:sz="0" w:space="0" w:color="auto"/>
                <w:right w:val="none" w:sz="0" w:space="0" w:color="auto"/>
              </w:divBdr>
            </w:div>
            <w:div w:id="656805755">
              <w:marLeft w:val="0"/>
              <w:marRight w:val="0"/>
              <w:marTop w:val="0"/>
              <w:marBottom w:val="0"/>
              <w:divBdr>
                <w:top w:val="none" w:sz="0" w:space="0" w:color="auto"/>
                <w:left w:val="none" w:sz="0" w:space="0" w:color="auto"/>
                <w:bottom w:val="none" w:sz="0" w:space="0" w:color="auto"/>
                <w:right w:val="none" w:sz="0" w:space="0" w:color="auto"/>
              </w:divBdr>
            </w:div>
            <w:div w:id="688675580">
              <w:marLeft w:val="0"/>
              <w:marRight w:val="0"/>
              <w:marTop w:val="0"/>
              <w:marBottom w:val="0"/>
              <w:divBdr>
                <w:top w:val="none" w:sz="0" w:space="0" w:color="auto"/>
                <w:left w:val="none" w:sz="0" w:space="0" w:color="auto"/>
                <w:bottom w:val="none" w:sz="0" w:space="0" w:color="auto"/>
                <w:right w:val="none" w:sz="0" w:space="0" w:color="auto"/>
              </w:divBdr>
            </w:div>
            <w:div w:id="695471399">
              <w:marLeft w:val="0"/>
              <w:marRight w:val="0"/>
              <w:marTop w:val="0"/>
              <w:marBottom w:val="0"/>
              <w:divBdr>
                <w:top w:val="none" w:sz="0" w:space="0" w:color="auto"/>
                <w:left w:val="none" w:sz="0" w:space="0" w:color="auto"/>
                <w:bottom w:val="none" w:sz="0" w:space="0" w:color="auto"/>
                <w:right w:val="none" w:sz="0" w:space="0" w:color="auto"/>
              </w:divBdr>
            </w:div>
            <w:div w:id="735318885">
              <w:marLeft w:val="0"/>
              <w:marRight w:val="0"/>
              <w:marTop w:val="0"/>
              <w:marBottom w:val="0"/>
              <w:divBdr>
                <w:top w:val="none" w:sz="0" w:space="0" w:color="auto"/>
                <w:left w:val="none" w:sz="0" w:space="0" w:color="auto"/>
                <w:bottom w:val="none" w:sz="0" w:space="0" w:color="auto"/>
                <w:right w:val="none" w:sz="0" w:space="0" w:color="auto"/>
              </w:divBdr>
            </w:div>
            <w:div w:id="780149925">
              <w:marLeft w:val="0"/>
              <w:marRight w:val="0"/>
              <w:marTop w:val="0"/>
              <w:marBottom w:val="0"/>
              <w:divBdr>
                <w:top w:val="none" w:sz="0" w:space="0" w:color="auto"/>
                <w:left w:val="none" w:sz="0" w:space="0" w:color="auto"/>
                <w:bottom w:val="none" w:sz="0" w:space="0" w:color="auto"/>
                <w:right w:val="none" w:sz="0" w:space="0" w:color="auto"/>
              </w:divBdr>
            </w:div>
            <w:div w:id="782849718">
              <w:marLeft w:val="0"/>
              <w:marRight w:val="0"/>
              <w:marTop w:val="0"/>
              <w:marBottom w:val="0"/>
              <w:divBdr>
                <w:top w:val="none" w:sz="0" w:space="0" w:color="auto"/>
                <w:left w:val="none" w:sz="0" w:space="0" w:color="auto"/>
                <w:bottom w:val="none" w:sz="0" w:space="0" w:color="auto"/>
                <w:right w:val="none" w:sz="0" w:space="0" w:color="auto"/>
              </w:divBdr>
            </w:div>
            <w:div w:id="794711553">
              <w:marLeft w:val="0"/>
              <w:marRight w:val="0"/>
              <w:marTop w:val="0"/>
              <w:marBottom w:val="0"/>
              <w:divBdr>
                <w:top w:val="none" w:sz="0" w:space="0" w:color="auto"/>
                <w:left w:val="none" w:sz="0" w:space="0" w:color="auto"/>
                <w:bottom w:val="none" w:sz="0" w:space="0" w:color="auto"/>
                <w:right w:val="none" w:sz="0" w:space="0" w:color="auto"/>
              </w:divBdr>
            </w:div>
            <w:div w:id="836073296">
              <w:marLeft w:val="0"/>
              <w:marRight w:val="0"/>
              <w:marTop w:val="0"/>
              <w:marBottom w:val="0"/>
              <w:divBdr>
                <w:top w:val="none" w:sz="0" w:space="0" w:color="auto"/>
                <w:left w:val="none" w:sz="0" w:space="0" w:color="auto"/>
                <w:bottom w:val="none" w:sz="0" w:space="0" w:color="auto"/>
                <w:right w:val="none" w:sz="0" w:space="0" w:color="auto"/>
              </w:divBdr>
            </w:div>
            <w:div w:id="886573068">
              <w:marLeft w:val="0"/>
              <w:marRight w:val="0"/>
              <w:marTop w:val="0"/>
              <w:marBottom w:val="0"/>
              <w:divBdr>
                <w:top w:val="none" w:sz="0" w:space="0" w:color="auto"/>
                <w:left w:val="none" w:sz="0" w:space="0" w:color="auto"/>
                <w:bottom w:val="none" w:sz="0" w:space="0" w:color="auto"/>
                <w:right w:val="none" w:sz="0" w:space="0" w:color="auto"/>
              </w:divBdr>
            </w:div>
            <w:div w:id="894924823">
              <w:marLeft w:val="0"/>
              <w:marRight w:val="0"/>
              <w:marTop w:val="0"/>
              <w:marBottom w:val="0"/>
              <w:divBdr>
                <w:top w:val="none" w:sz="0" w:space="0" w:color="auto"/>
                <w:left w:val="none" w:sz="0" w:space="0" w:color="auto"/>
                <w:bottom w:val="none" w:sz="0" w:space="0" w:color="auto"/>
                <w:right w:val="none" w:sz="0" w:space="0" w:color="auto"/>
              </w:divBdr>
            </w:div>
            <w:div w:id="896361454">
              <w:marLeft w:val="0"/>
              <w:marRight w:val="0"/>
              <w:marTop w:val="0"/>
              <w:marBottom w:val="0"/>
              <w:divBdr>
                <w:top w:val="none" w:sz="0" w:space="0" w:color="auto"/>
                <w:left w:val="none" w:sz="0" w:space="0" w:color="auto"/>
                <w:bottom w:val="none" w:sz="0" w:space="0" w:color="auto"/>
                <w:right w:val="none" w:sz="0" w:space="0" w:color="auto"/>
              </w:divBdr>
            </w:div>
            <w:div w:id="896890014">
              <w:marLeft w:val="0"/>
              <w:marRight w:val="0"/>
              <w:marTop w:val="0"/>
              <w:marBottom w:val="0"/>
              <w:divBdr>
                <w:top w:val="none" w:sz="0" w:space="0" w:color="auto"/>
                <w:left w:val="none" w:sz="0" w:space="0" w:color="auto"/>
                <w:bottom w:val="none" w:sz="0" w:space="0" w:color="auto"/>
                <w:right w:val="none" w:sz="0" w:space="0" w:color="auto"/>
              </w:divBdr>
            </w:div>
            <w:div w:id="912282062">
              <w:marLeft w:val="0"/>
              <w:marRight w:val="0"/>
              <w:marTop w:val="0"/>
              <w:marBottom w:val="0"/>
              <w:divBdr>
                <w:top w:val="none" w:sz="0" w:space="0" w:color="auto"/>
                <w:left w:val="none" w:sz="0" w:space="0" w:color="auto"/>
                <w:bottom w:val="none" w:sz="0" w:space="0" w:color="auto"/>
                <w:right w:val="none" w:sz="0" w:space="0" w:color="auto"/>
              </w:divBdr>
            </w:div>
            <w:div w:id="928778636">
              <w:marLeft w:val="0"/>
              <w:marRight w:val="0"/>
              <w:marTop w:val="0"/>
              <w:marBottom w:val="0"/>
              <w:divBdr>
                <w:top w:val="none" w:sz="0" w:space="0" w:color="auto"/>
                <w:left w:val="none" w:sz="0" w:space="0" w:color="auto"/>
                <w:bottom w:val="none" w:sz="0" w:space="0" w:color="auto"/>
                <w:right w:val="none" w:sz="0" w:space="0" w:color="auto"/>
              </w:divBdr>
            </w:div>
            <w:div w:id="943270479">
              <w:marLeft w:val="0"/>
              <w:marRight w:val="0"/>
              <w:marTop w:val="0"/>
              <w:marBottom w:val="0"/>
              <w:divBdr>
                <w:top w:val="none" w:sz="0" w:space="0" w:color="auto"/>
                <w:left w:val="none" w:sz="0" w:space="0" w:color="auto"/>
                <w:bottom w:val="none" w:sz="0" w:space="0" w:color="auto"/>
                <w:right w:val="none" w:sz="0" w:space="0" w:color="auto"/>
              </w:divBdr>
            </w:div>
            <w:div w:id="989674269">
              <w:marLeft w:val="0"/>
              <w:marRight w:val="0"/>
              <w:marTop w:val="0"/>
              <w:marBottom w:val="0"/>
              <w:divBdr>
                <w:top w:val="none" w:sz="0" w:space="0" w:color="auto"/>
                <w:left w:val="none" w:sz="0" w:space="0" w:color="auto"/>
                <w:bottom w:val="none" w:sz="0" w:space="0" w:color="auto"/>
                <w:right w:val="none" w:sz="0" w:space="0" w:color="auto"/>
              </w:divBdr>
            </w:div>
            <w:div w:id="990140035">
              <w:marLeft w:val="0"/>
              <w:marRight w:val="0"/>
              <w:marTop w:val="0"/>
              <w:marBottom w:val="0"/>
              <w:divBdr>
                <w:top w:val="none" w:sz="0" w:space="0" w:color="auto"/>
                <w:left w:val="none" w:sz="0" w:space="0" w:color="auto"/>
                <w:bottom w:val="none" w:sz="0" w:space="0" w:color="auto"/>
                <w:right w:val="none" w:sz="0" w:space="0" w:color="auto"/>
              </w:divBdr>
            </w:div>
            <w:div w:id="993488635">
              <w:marLeft w:val="0"/>
              <w:marRight w:val="0"/>
              <w:marTop w:val="0"/>
              <w:marBottom w:val="0"/>
              <w:divBdr>
                <w:top w:val="none" w:sz="0" w:space="0" w:color="auto"/>
                <w:left w:val="none" w:sz="0" w:space="0" w:color="auto"/>
                <w:bottom w:val="none" w:sz="0" w:space="0" w:color="auto"/>
                <w:right w:val="none" w:sz="0" w:space="0" w:color="auto"/>
              </w:divBdr>
            </w:div>
            <w:div w:id="1007949104">
              <w:marLeft w:val="0"/>
              <w:marRight w:val="0"/>
              <w:marTop w:val="0"/>
              <w:marBottom w:val="0"/>
              <w:divBdr>
                <w:top w:val="none" w:sz="0" w:space="0" w:color="auto"/>
                <w:left w:val="none" w:sz="0" w:space="0" w:color="auto"/>
                <w:bottom w:val="none" w:sz="0" w:space="0" w:color="auto"/>
                <w:right w:val="none" w:sz="0" w:space="0" w:color="auto"/>
              </w:divBdr>
            </w:div>
            <w:div w:id="1021199653">
              <w:marLeft w:val="0"/>
              <w:marRight w:val="0"/>
              <w:marTop w:val="0"/>
              <w:marBottom w:val="0"/>
              <w:divBdr>
                <w:top w:val="none" w:sz="0" w:space="0" w:color="auto"/>
                <w:left w:val="none" w:sz="0" w:space="0" w:color="auto"/>
                <w:bottom w:val="none" w:sz="0" w:space="0" w:color="auto"/>
                <w:right w:val="none" w:sz="0" w:space="0" w:color="auto"/>
              </w:divBdr>
            </w:div>
            <w:div w:id="1029529169">
              <w:marLeft w:val="0"/>
              <w:marRight w:val="0"/>
              <w:marTop w:val="0"/>
              <w:marBottom w:val="0"/>
              <w:divBdr>
                <w:top w:val="none" w:sz="0" w:space="0" w:color="auto"/>
                <w:left w:val="none" w:sz="0" w:space="0" w:color="auto"/>
                <w:bottom w:val="none" w:sz="0" w:space="0" w:color="auto"/>
                <w:right w:val="none" w:sz="0" w:space="0" w:color="auto"/>
              </w:divBdr>
            </w:div>
            <w:div w:id="1041397130">
              <w:marLeft w:val="0"/>
              <w:marRight w:val="0"/>
              <w:marTop w:val="0"/>
              <w:marBottom w:val="0"/>
              <w:divBdr>
                <w:top w:val="none" w:sz="0" w:space="0" w:color="auto"/>
                <w:left w:val="none" w:sz="0" w:space="0" w:color="auto"/>
                <w:bottom w:val="none" w:sz="0" w:space="0" w:color="auto"/>
                <w:right w:val="none" w:sz="0" w:space="0" w:color="auto"/>
              </w:divBdr>
            </w:div>
            <w:div w:id="1089155804">
              <w:marLeft w:val="0"/>
              <w:marRight w:val="0"/>
              <w:marTop w:val="0"/>
              <w:marBottom w:val="0"/>
              <w:divBdr>
                <w:top w:val="none" w:sz="0" w:space="0" w:color="auto"/>
                <w:left w:val="none" w:sz="0" w:space="0" w:color="auto"/>
                <w:bottom w:val="none" w:sz="0" w:space="0" w:color="auto"/>
                <w:right w:val="none" w:sz="0" w:space="0" w:color="auto"/>
              </w:divBdr>
            </w:div>
            <w:div w:id="1093430550">
              <w:marLeft w:val="0"/>
              <w:marRight w:val="0"/>
              <w:marTop w:val="0"/>
              <w:marBottom w:val="0"/>
              <w:divBdr>
                <w:top w:val="none" w:sz="0" w:space="0" w:color="auto"/>
                <w:left w:val="none" w:sz="0" w:space="0" w:color="auto"/>
                <w:bottom w:val="none" w:sz="0" w:space="0" w:color="auto"/>
                <w:right w:val="none" w:sz="0" w:space="0" w:color="auto"/>
              </w:divBdr>
            </w:div>
            <w:div w:id="1169833343">
              <w:marLeft w:val="0"/>
              <w:marRight w:val="0"/>
              <w:marTop w:val="0"/>
              <w:marBottom w:val="0"/>
              <w:divBdr>
                <w:top w:val="none" w:sz="0" w:space="0" w:color="auto"/>
                <w:left w:val="none" w:sz="0" w:space="0" w:color="auto"/>
                <w:bottom w:val="none" w:sz="0" w:space="0" w:color="auto"/>
                <w:right w:val="none" w:sz="0" w:space="0" w:color="auto"/>
              </w:divBdr>
            </w:div>
            <w:div w:id="1179588689">
              <w:marLeft w:val="0"/>
              <w:marRight w:val="0"/>
              <w:marTop w:val="0"/>
              <w:marBottom w:val="0"/>
              <w:divBdr>
                <w:top w:val="none" w:sz="0" w:space="0" w:color="auto"/>
                <w:left w:val="none" w:sz="0" w:space="0" w:color="auto"/>
                <w:bottom w:val="none" w:sz="0" w:space="0" w:color="auto"/>
                <w:right w:val="none" w:sz="0" w:space="0" w:color="auto"/>
              </w:divBdr>
            </w:div>
            <w:div w:id="1191332583">
              <w:marLeft w:val="0"/>
              <w:marRight w:val="0"/>
              <w:marTop w:val="0"/>
              <w:marBottom w:val="0"/>
              <w:divBdr>
                <w:top w:val="none" w:sz="0" w:space="0" w:color="auto"/>
                <w:left w:val="none" w:sz="0" w:space="0" w:color="auto"/>
                <w:bottom w:val="none" w:sz="0" w:space="0" w:color="auto"/>
                <w:right w:val="none" w:sz="0" w:space="0" w:color="auto"/>
              </w:divBdr>
            </w:div>
            <w:div w:id="1222516447">
              <w:marLeft w:val="0"/>
              <w:marRight w:val="0"/>
              <w:marTop w:val="0"/>
              <w:marBottom w:val="0"/>
              <w:divBdr>
                <w:top w:val="none" w:sz="0" w:space="0" w:color="auto"/>
                <w:left w:val="none" w:sz="0" w:space="0" w:color="auto"/>
                <w:bottom w:val="none" w:sz="0" w:space="0" w:color="auto"/>
                <w:right w:val="none" w:sz="0" w:space="0" w:color="auto"/>
              </w:divBdr>
            </w:div>
            <w:div w:id="1245719336">
              <w:marLeft w:val="0"/>
              <w:marRight w:val="0"/>
              <w:marTop w:val="0"/>
              <w:marBottom w:val="0"/>
              <w:divBdr>
                <w:top w:val="none" w:sz="0" w:space="0" w:color="auto"/>
                <w:left w:val="none" w:sz="0" w:space="0" w:color="auto"/>
                <w:bottom w:val="none" w:sz="0" w:space="0" w:color="auto"/>
                <w:right w:val="none" w:sz="0" w:space="0" w:color="auto"/>
              </w:divBdr>
            </w:div>
            <w:div w:id="1248536158">
              <w:marLeft w:val="0"/>
              <w:marRight w:val="0"/>
              <w:marTop w:val="0"/>
              <w:marBottom w:val="0"/>
              <w:divBdr>
                <w:top w:val="none" w:sz="0" w:space="0" w:color="auto"/>
                <w:left w:val="none" w:sz="0" w:space="0" w:color="auto"/>
                <w:bottom w:val="none" w:sz="0" w:space="0" w:color="auto"/>
                <w:right w:val="none" w:sz="0" w:space="0" w:color="auto"/>
              </w:divBdr>
            </w:div>
            <w:div w:id="1248808008">
              <w:marLeft w:val="0"/>
              <w:marRight w:val="0"/>
              <w:marTop w:val="0"/>
              <w:marBottom w:val="0"/>
              <w:divBdr>
                <w:top w:val="none" w:sz="0" w:space="0" w:color="auto"/>
                <w:left w:val="none" w:sz="0" w:space="0" w:color="auto"/>
                <w:bottom w:val="none" w:sz="0" w:space="0" w:color="auto"/>
                <w:right w:val="none" w:sz="0" w:space="0" w:color="auto"/>
              </w:divBdr>
            </w:div>
            <w:div w:id="1254775797">
              <w:marLeft w:val="0"/>
              <w:marRight w:val="0"/>
              <w:marTop w:val="0"/>
              <w:marBottom w:val="0"/>
              <w:divBdr>
                <w:top w:val="none" w:sz="0" w:space="0" w:color="auto"/>
                <w:left w:val="none" w:sz="0" w:space="0" w:color="auto"/>
                <w:bottom w:val="none" w:sz="0" w:space="0" w:color="auto"/>
                <w:right w:val="none" w:sz="0" w:space="0" w:color="auto"/>
              </w:divBdr>
            </w:div>
            <w:div w:id="1261526436">
              <w:marLeft w:val="0"/>
              <w:marRight w:val="0"/>
              <w:marTop w:val="0"/>
              <w:marBottom w:val="0"/>
              <w:divBdr>
                <w:top w:val="none" w:sz="0" w:space="0" w:color="auto"/>
                <w:left w:val="none" w:sz="0" w:space="0" w:color="auto"/>
                <w:bottom w:val="none" w:sz="0" w:space="0" w:color="auto"/>
                <w:right w:val="none" w:sz="0" w:space="0" w:color="auto"/>
              </w:divBdr>
            </w:div>
            <w:div w:id="1263757193">
              <w:marLeft w:val="0"/>
              <w:marRight w:val="0"/>
              <w:marTop w:val="0"/>
              <w:marBottom w:val="0"/>
              <w:divBdr>
                <w:top w:val="none" w:sz="0" w:space="0" w:color="auto"/>
                <w:left w:val="none" w:sz="0" w:space="0" w:color="auto"/>
                <w:bottom w:val="none" w:sz="0" w:space="0" w:color="auto"/>
                <w:right w:val="none" w:sz="0" w:space="0" w:color="auto"/>
              </w:divBdr>
            </w:div>
            <w:div w:id="1270507314">
              <w:marLeft w:val="0"/>
              <w:marRight w:val="0"/>
              <w:marTop w:val="0"/>
              <w:marBottom w:val="0"/>
              <w:divBdr>
                <w:top w:val="none" w:sz="0" w:space="0" w:color="auto"/>
                <w:left w:val="none" w:sz="0" w:space="0" w:color="auto"/>
                <w:bottom w:val="none" w:sz="0" w:space="0" w:color="auto"/>
                <w:right w:val="none" w:sz="0" w:space="0" w:color="auto"/>
              </w:divBdr>
            </w:div>
            <w:div w:id="1279022743">
              <w:marLeft w:val="0"/>
              <w:marRight w:val="0"/>
              <w:marTop w:val="0"/>
              <w:marBottom w:val="0"/>
              <w:divBdr>
                <w:top w:val="none" w:sz="0" w:space="0" w:color="auto"/>
                <w:left w:val="none" w:sz="0" w:space="0" w:color="auto"/>
                <w:bottom w:val="none" w:sz="0" w:space="0" w:color="auto"/>
                <w:right w:val="none" w:sz="0" w:space="0" w:color="auto"/>
              </w:divBdr>
            </w:div>
            <w:div w:id="1288316030">
              <w:marLeft w:val="0"/>
              <w:marRight w:val="0"/>
              <w:marTop w:val="0"/>
              <w:marBottom w:val="0"/>
              <w:divBdr>
                <w:top w:val="none" w:sz="0" w:space="0" w:color="auto"/>
                <w:left w:val="none" w:sz="0" w:space="0" w:color="auto"/>
                <w:bottom w:val="none" w:sz="0" w:space="0" w:color="auto"/>
                <w:right w:val="none" w:sz="0" w:space="0" w:color="auto"/>
              </w:divBdr>
            </w:div>
            <w:div w:id="1288897410">
              <w:marLeft w:val="0"/>
              <w:marRight w:val="0"/>
              <w:marTop w:val="0"/>
              <w:marBottom w:val="0"/>
              <w:divBdr>
                <w:top w:val="none" w:sz="0" w:space="0" w:color="auto"/>
                <w:left w:val="none" w:sz="0" w:space="0" w:color="auto"/>
                <w:bottom w:val="none" w:sz="0" w:space="0" w:color="auto"/>
                <w:right w:val="none" w:sz="0" w:space="0" w:color="auto"/>
              </w:divBdr>
            </w:div>
            <w:div w:id="1305819795">
              <w:marLeft w:val="0"/>
              <w:marRight w:val="0"/>
              <w:marTop w:val="0"/>
              <w:marBottom w:val="0"/>
              <w:divBdr>
                <w:top w:val="none" w:sz="0" w:space="0" w:color="auto"/>
                <w:left w:val="none" w:sz="0" w:space="0" w:color="auto"/>
                <w:bottom w:val="none" w:sz="0" w:space="0" w:color="auto"/>
                <w:right w:val="none" w:sz="0" w:space="0" w:color="auto"/>
              </w:divBdr>
            </w:div>
            <w:div w:id="1348872333">
              <w:marLeft w:val="0"/>
              <w:marRight w:val="0"/>
              <w:marTop w:val="0"/>
              <w:marBottom w:val="0"/>
              <w:divBdr>
                <w:top w:val="none" w:sz="0" w:space="0" w:color="auto"/>
                <w:left w:val="none" w:sz="0" w:space="0" w:color="auto"/>
                <w:bottom w:val="none" w:sz="0" w:space="0" w:color="auto"/>
                <w:right w:val="none" w:sz="0" w:space="0" w:color="auto"/>
              </w:divBdr>
            </w:div>
            <w:div w:id="1357845666">
              <w:marLeft w:val="0"/>
              <w:marRight w:val="0"/>
              <w:marTop w:val="0"/>
              <w:marBottom w:val="0"/>
              <w:divBdr>
                <w:top w:val="none" w:sz="0" w:space="0" w:color="auto"/>
                <w:left w:val="none" w:sz="0" w:space="0" w:color="auto"/>
                <w:bottom w:val="none" w:sz="0" w:space="0" w:color="auto"/>
                <w:right w:val="none" w:sz="0" w:space="0" w:color="auto"/>
              </w:divBdr>
            </w:div>
            <w:div w:id="1377508332">
              <w:marLeft w:val="0"/>
              <w:marRight w:val="0"/>
              <w:marTop w:val="0"/>
              <w:marBottom w:val="0"/>
              <w:divBdr>
                <w:top w:val="none" w:sz="0" w:space="0" w:color="auto"/>
                <w:left w:val="none" w:sz="0" w:space="0" w:color="auto"/>
                <w:bottom w:val="none" w:sz="0" w:space="0" w:color="auto"/>
                <w:right w:val="none" w:sz="0" w:space="0" w:color="auto"/>
              </w:divBdr>
            </w:div>
            <w:div w:id="1386488616">
              <w:marLeft w:val="0"/>
              <w:marRight w:val="0"/>
              <w:marTop w:val="0"/>
              <w:marBottom w:val="0"/>
              <w:divBdr>
                <w:top w:val="none" w:sz="0" w:space="0" w:color="auto"/>
                <w:left w:val="none" w:sz="0" w:space="0" w:color="auto"/>
                <w:bottom w:val="none" w:sz="0" w:space="0" w:color="auto"/>
                <w:right w:val="none" w:sz="0" w:space="0" w:color="auto"/>
              </w:divBdr>
            </w:div>
            <w:div w:id="1396508137">
              <w:marLeft w:val="0"/>
              <w:marRight w:val="0"/>
              <w:marTop w:val="0"/>
              <w:marBottom w:val="0"/>
              <w:divBdr>
                <w:top w:val="none" w:sz="0" w:space="0" w:color="auto"/>
                <w:left w:val="none" w:sz="0" w:space="0" w:color="auto"/>
                <w:bottom w:val="none" w:sz="0" w:space="0" w:color="auto"/>
                <w:right w:val="none" w:sz="0" w:space="0" w:color="auto"/>
              </w:divBdr>
            </w:div>
            <w:div w:id="1425804619">
              <w:marLeft w:val="0"/>
              <w:marRight w:val="0"/>
              <w:marTop w:val="0"/>
              <w:marBottom w:val="0"/>
              <w:divBdr>
                <w:top w:val="none" w:sz="0" w:space="0" w:color="auto"/>
                <w:left w:val="none" w:sz="0" w:space="0" w:color="auto"/>
                <w:bottom w:val="none" w:sz="0" w:space="0" w:color="auto"/>
                <w:right w:val="none" w:sz="0" w:space="0" w:color="auto"/>
              </w:divBdr>
            </w:div>
            <w:div w:id="1444035002">
              <w:marLeft w:val="0"/>
              <w:marRight w:val="0"/>
              <w:marTop w:val="0"/>
              <w:marBottom w:val="0"/>
              <w:divBdr>
                <w:top w:val="none" w:sz="0" w:space="0" w:color="auto"/>
                <w:left w:val="none" w:sz="0" w:space="0" w:color="auto"/>
                <w:bottom w:val="none" w:sz="0" w:space="0" w:color="auto"/>
                <w:right w:val="none" w:sz="0" w:space="0" w:color="auto"/>
              </w:divBdr>
            </w:div>
            <w:div w:id="1446995116">
              <w:marLeft w:val="0"/>
              <w:marRight w:val="0"/>
              <w:marTop w:val="0"/>
              <w:marBottom w:val="0"/>
              <w:divBdr>
                <w:top w:val="none" w:sz="0" w:space="0" w:color="auto"/>
                <w:left w:val="none" w:sz="0" w:space="0" w:color="auto"/>
                <w:bottom w:val="none" w:sz="0" w:space="0" w:color="auto"/>
                <w:right w:val="none" w:sz="0" w:space="0" w:color="auto"/>
              </w:divBdr>
            </w:div>
            <w:div w:id="1525361287">
              <w:marLeft w:val="0"/>
              <w:marRight w:val="0"/>
              <w:marTop w:val="0"/>
              <w:marBottom w:val="0"/>
              <w:divBdr>
                <w:top w:val="none" w:sz="0" w:space="0" w:color="auto"/>
                <w:left w:val="none" w:sz="0" w:space="0" w:color="auto"/>
                <w:bottom w:val="none" w:sz="0" w:space="0" w:color="auto"/>
                <w:right w:val="none" w:sz="0" w:space="0" w:color="auto"/>
              </w:divBdr>
            </w:div>
            <w:div w:id="1532567290">
              <w:marLeft w:val="0"/>
              <w:marRight w:val="0"/>
              <w:marTop w:val="0"/>
              <w:marBottom w:val="0"/>
              <w:divBdr>
                <w:top w:val="none" w:sz="0" w:space="0" w:color="auto"/>
                <w:left w:val="none" w:sz="0" w:space="0" w:color="auto"/>
                <w:bottom w:val="none" w:sz="0" w:space="0" w:color="auto"/>
                <w:right w:val="none" w:sz="0" w:space="0" w:color="auto"/>
              </w:divBdr>
            </w:div>
            <w:div w:id="1537741118">
              <w:marLeft w:val="0"/>
              <w:marRight w:val="0"/>
              <w:marTop w:val="0"/>
              <w:marBottom w:val="0"/>
              <w:divBdr>
                <w:top w:val="none" w:sz="0" w:space="0" w:color="auto"/>
                <w:left w:val="none" w:sz="0" w:space="0" w:color="auto"/>
                <w:bottom w:val="none" w:sz="0" w:space="0" w:color="auto"/>
                <w:right w:val="none" w:sz="0" w:space="0" w:color="auto"/>
              </w:divBdr>
            </w:div>
            <w:div w:id="1546333178">
              <w:marLeft w:val="0"/>
              <w:marRight w:val="0"/>
              <w:marTop w:val="0"/>
              <w:marBottom w:val="0"/>
              <w:divBdr>
                <w:top w:val="none" w:sz="0" w:space="0" w:color="auto"/>
                <w:left w:val="none" w:sz="0" w:space="0" w:color="auto"/>
                <w:bottom w:val="none" w:sz="0" w:space="0" w:color="auto"/>
                <w:right w:val="none" w:sz="0" w:space="0" w:color="auto"/>
              </w:divBdr>
            </w:div>
            <w:div w:id="1549218769">
              <w:marLeft w:val="0"/>
              <w:marRight w:val="0"/>
              <w:marTop w:val="0"/>
              <w:marBottom w:val="0"/>
              <w:divBdr>
                <w:top w:val="none" w:sz="0" w:space="0" w:color="auto"/>
                <w:left w:val="none" w:sz="0" w:space="0" w:color="auto"/>
                <w:bottom w:val="none" w:sz="0" w:space="0" w:color="auto"/>
                <w:right w:val="none" w:sz="0" w:space="0" w:color="auto"/>
              </w:divBdr>
            </w:div>
            <w:div w:id="1551764458">
              <w:marLeft w:val="0"/>
              <w:marRight w:val="0"/>
              <w:marTop w:val="0"/>
              <w:marBottom w:val="0"/>
              <w:divBdr>
                <w:top w:val="none" w:sz="0" w:space="0" w:color="auto"/>
                <w:left w:val="none" w:sz="0" w:space="0" w:color="auto"/>
                <w:bottom w:val="none" w:sz="0" w:space="0" w:color="auto"/>
                <w:right w:val="none" w:sz="0" w:space="0" w:color="auto"/>
              </w:divBdr>
            </w:div>
            <w:div w:id="1603802942">
              <w:marLeft w:val="0"/>
              <w:marRight w:val="0"/>
              <w:marTop w:val="0"/>
              <w:marBottom w:val="0"/>
              <w:divBdr>
                <w:top w:val="none" w:sz="0" w:space="0" w:color="auto"/>
                <w:left w:val="none" w:sz="0" w:space="0" w:color="auto"/>
                <w:bottom w:val="none" w:sz="0" w:space="0" w:color="auto"/>
                <w:right w:val="none" w:sz="0" w:space="0" w:color="auto"/>
              </w:divBdr>
            </w:div>
            <w:div w:id="1607081474">
              <w:marLeft w:val="0"/>
              <w:marRight w:val="0"/>
              <w:marTop w:val="0"/>
              <w:marBottom w:val="0"/>
              <w:divBdr>
                <w:top w:val="none" w:sz="0" w:space="0" w:color="auto"/>
                <w:left w:val="none" w:sz="0" w:space="0" w:color="auto"/>
                <w:bottom w:val="none" w:sz="0" w:space="0" w:color="auto"/>
                <w:right w:val="none" w:sz="0" w:space="0" w:color="auto"/>
              </w:divBdr>
            </w:div>
            <w:div w:id="1612543409">
              <w:marLeft w:val="0"/>
              <w:marRight w:val="0"/>
              <w:marTop w:val="0"/>
              <w:marBottom w:val="0"/>
              <w:divBdr>
                <w:top w:val="none" w:sz="0" w:space="0" w:color="auto"/>
                <w:left w:val="none" w:sz="0" w:space="0" w:color="auto"/>
                <w:bottom w:val="none" w:sz="0" w:space="0" w:color="auto"/>
                <w:right w:val="none" w:sz="0" w:space="0" w:color="auto"/>
              </w:divBdr>
            </w:div>
            <w:div w:id="1640303999">
              <w:marLeft w:val="0"/>
              <w:marRight w:val="0"/>
              <w:marTop w:val="0"/>
              <w:marBottom w:val="0"/>
              <w:divBdr>
                <w:top w:val="none" w:sz="0" w:space="0" w:color="auto"/>
                <w:left w:val="none" w:sz="0" w:space="0" w:color="auto"/>
                <w:bottom w:val="none" w:sz="0" w:space="0" w:color="auto"/>
                <w:right w:val="none" w:sz="0" w:space="0" w:color="auto"/>
              </w:divBdr>
            </w:div>
            <w:div w:id="1648776288">
              <w:marLeft w:val="0"/>
              <w:marRight w:val="0"/>
              <w:marTop w:val="0"/>
              <w:marBottom w:val="0"/>
              <w:divBdr>
                <w:top w:val="none" w:sz="0" w:space="0" w:color="auto"/>
                <w:left w:val="none" w:sz="0" w:space="0" w:color="auto"/>
                <w:bottom w:val="none" w:sz="0" w:space="0" w:color="auto"/>
                <w:right w:val="none" w:sz="0" w:space="0" w:color="auto"/>
              </w:divBdr>
            </w:div>
            <w:div w:id="1649824311">
              <w:marLeft w:val="0"/>
              <w:marRight w:val="0"/>
              <w:marTop w:val="0"/>
              <w:marBottom w:val="0"/>
              <w:divBdr>
                <w:top w:val="none" w:sz="0" w:space="0" w:color="auto"/>
                <w:left w:val="none" w:sz="0" w:space="0" w:color="auto"/>
                <w:bottom w:val="none" w:sz="0" w:space="0" w:color="auto"/>
                <w:right w:val="none" w:sz="0" w:space="0" w:color="auto"/>
              </w:divBdr>
            </w:div>
            <w:div w:id="1657879502">
              <w:marLeft w:val="0"/>
              <w:marRight w:val="0"/>
              <w:marTop w:val="0"/>
              <w:marBottom w:val="0"/>
              <w:divBdr>
                <w:top w:val="none" w:sz="0" w:space="0" w:color="auto"/>
                <w:left w:val="none" w:sz="0" w:space="0" w:color="auto"/>
                <w:bottom w:val="none" w:sz="0" w:space="0" w:color="auto"/>
                <w:right w:val="none" w:sz="0" w:space="0" w:color="auto"/>
              </w:divBdr>
            </w:div>
            <w:div w:id="1667399015">
              <w:marLeft w:val="0"/>
              <w:marRight w:val="0"/>
              <w:marTop w:val="0"/>
              <w:marBottom w:val="0"/>
              <w:divBdr>
                <w:top w:val="none" w:sz="0" w:space="0" w:color="auto"/>
                <w:left w:val="none" w:sz="0" w:space="0" w:color="auto"/>
                <w:bottom w:val="none" w:sz="0" w:space="0" w:color="auto"/>
                <w:right w:val="none" w:sz="0" w:space="0" w:color="auto"/>
              </w:divBdr>
            </w:div>
            <w:div w:id="1681004278">
              <w:marLeft w:val="0"/>
              <w:marRight w:val="0"/>
              <w:marTop w:val="0"/>
              <w:marBottom w:val="0"/>
              <w:divBdr>
                <w:top w:val="none" w:sz="0" w:space="0" w:color="auto"/>
                <w:left w:val="none" w:sz="0" w:space="0" w:color="auto"/>
                <w:bottom w:val="none" w:sz="0" w:space="0" w:color="auto"/>
                <w:right w:val="none" w:sz="0" w:space="0" w:color="auto"/>
              </w:divBdr>
            </w:div>
            <w:div w:id="1686326426">
              <w:marLeft w:val="0"/>
              <w:marRight w:val="0"/>
              <w:marTop w:val="0"/>
              <w:marBottom w:val="0"/>
              <w:divBdr>
                <w:top w:val="none" w:sz="0" w:space="0" w:color="auto"/>
                <w:left w:val="none" w:sz="0" w:space="0" w:color="auto"/>
                <w:bottom w:val="none" w:sz="0" w:space="0" w:color="auto"/>
                <w:right w:val="none" w:sz="0" w:space="0" w:color="auto"/>
              </w:divBdr>
            </w:div>
            <w:div w:id="1716730049">
              <w:marLeft w:val="0"/>
              <w:marRight w:val="0"/>
              <w:marTop w:val="0"/>
              <w:marBottom w:val="0"/>
              <w:divBdr>
                <w:top w:val="none" w:sz="0" w:space="0" w:color="auto"/>
                <w:left w:val="none" w:sz="0" w:space="0" w:color="auto"/>
                <w:bottom w:val="none" w:sz="0" w:space="0" w:color="auto"/>
                <w:right w:val="none" w:sz="0" w:space="0" w:color="auto"/>
              </w:divBdr>
            </w:div>
            <w:div w:id="1776056943">
              <w:marLeft w:val="0"/>
              <w:marRight w:val="0"/>
              <w:marTop w:val="0"/>
              <w:marBottom w:val="0"/>
              <w:divBdr>
                <w:top w:val="none" w:sz="0" w:space="0" w:color="auto"/>
                <w:left w:val="none" w:sz="0" w:space="0" w:color="auto"/>
                <w:bottom w:val="none" w:sz="0" w:space="0" w:color="auto"/>
                <w:right w:val="none" w:sz="0" w:space="0" w:color="auto"/>
              </w:divBdr>
            </w:div>
            <w:div w:id="1782457343">
              <w:marLeft w:val="0"/>
              <w:marRight w:val="0"/>
              <w:marTop w:val="0"/>
              <w:marBottom w:val="0"/>
              <w:divBdr>
                <w:top w:val="none" w:sz="0" w:space="0" w:color="auto"/>
                <w:left w:val="none" w:sz="0" w:space="0" w:color="auto"/>
                <w:bottom w:val="none" w:sz="0" w:space="0" w:color="auto"/>
                <w:right w:val="none" w:sz="0" w:space="0" w:color="auto"/>
              </w:divBdr>
            </w:div>
            <w:div w:id="1793205605">
              <w:marLeft w:val="0"/>
              <w:marRight w:val="0"/>
              <w:marTop w:val="0"/>
              <w:marBottom w:val="0"/>
              <w:divBdr>
                <w:top w:val="none" w:sz="0" w:space="0" w:color="auto"/>
                <w:left w:val="none" w:sz="0" w:space="0" w:color="auto"/>
                <w:bottom w:val="none" w:sz="0" w:space="0" w:color="auto"/>
                <w:right w:val="none" w:sz="0" w:space="0" w:color="auto"/>
              </w:divBdr>
            </w:div>
            <w:div w:id="1813058412">
              <w:marLeft w:val="0"/>
              <w:marRight w:val="0"/>
              <w:marTop w:val="0"/>
              <w:marBottom w:val="0"/>
              <w:divBdr>
                <w:top w:val="none" w:sz="0" w:space="0" w:color="auto"/>
                <w:left w:val="none" w:sz="0" w:space="0" w:color="auto"/>
                <w:bottom w:val="none" w:sz="0" w:space="0" w:color="auto"/>
                <w:right w:val="none" w:sz="0" w:space="0" w:color="auto"/>
              </w:divBdr>
            </w:div>
            <w:div w:id="1821077257">
              <w:marLeft w:val="0"/>
              <w:marRight w:val="0"/>
              <w:marTop w:val="0"/>
              <w:marBottom w:val="0"/>
              <w:divBdr>
                <w:top w:val="none" w:sz="0" w:space="0" w:color="auto"/>
                <w:left w:val="none" w:sz="0" w:space="0" w:color="auto"/>
                <w:bottom w:val="none" w:sz="0" w:space="0" w:color="auto"/>
                <w:right w:val="none" w:sz="0" w:space="0" w:color="auto"/>
              </w:divBdr>
            </w:div>
            <w:div w:id="1824077947">
              <w:marLeft w:val="0"/>
              <w:marRight w:val="0"/>
              <w:marTop w:val="0"/>
              <w:marBottom w:val="0"/>
              <w:divBdr>
                <w:top w:val="none" w:sz="0" w:space="0" w:color="auto"/>
                <w:left w:val="none" w:sz="0" w:space="0" w:color="auto"/>
                <w:bottom w:val="none" w:sz="0" w:space="0" w:color="auto"/>
                <w:right w:val="none" w:sz="0" w:space="0" w:color="auto"/>
              </w:divBdr>
            </w:div>
            <w:div w:id="1864829922">
              <w:marLeft w:val="0"/>
              <w:marRight w:val="0"/>
              <w:marTop w:val="0"/>
              <w:marBottom w:val="0"/>
              <w:divBdr>
                <w:top w:val="none" w:sz="0" w:space="0" w:color="auto"/>
                <w:left w:val="none" w:sz="0" w:space="0" w:color="auto"/>
                <w:bottom w:val="none" w:sz="0" w:space="0" w:color="auto"/>
                <w:right w:val="none" w:sz="0" w:space="0" w:color="auto"/>
              </w:divBdr>
            </w:div>
            <w:div w:id="1878424825">
              <w:marLeft w:val="0"/>
              <w:marRight w:val="0"/>
              <w:marTop w:val="0"/>
              <w:marBottom w:val="0"/>
              <w:divBdr>
                <w:top w:val="none" w:sz="0" w:space="0" w:color="auto"/>
                <w:left w:val="none" w:sz="0" w:space="0" w:color="auto"/>
                <w:bottom w:val="none" w:sz="0" w:space="0" w:color="auto"/>
                <w:right w:val="none" w:sz="0" w:space="0" w:color="auto"/>
              </w:divBdr>
            </w:div>
            <w:div w:id="1909605195">
              <w:marLeft w:val="0"/>
              <w:marRight w:val="0"/>
              <w:marTop w:val="0"/>
              <w:marBottom w:val="0"/>
              <w:divBdr>
                <w:top w:val="none" w:sz="0" w:space="0" w:color="auto"/>
                <w:left w:val="none" w:sz="0" w:space="0" w:color="auto"/>
                <w:bottom w:val="none" w:sz="0" w:space="0" w:color="auto"/>
                <w:right w:val="none" w:sz="0" w:space="0" w:color="auto"/>
              </w:divBdr>
            </w:div>
            <w:div w:id="1938631625">
              <w:marLeft w:val="0"/>
              <w:marRight w:val="0"/>
              <w:marTop w:val="0"/>
              <w:marBottom w:val="0"/>
              <w:divBdr>
                <w:top w:val="none" w:sz="0" w:space="0" w:color="auto"/>
                <w:left w:val="none" w:sz="0" w:space="0" w:color="auto"/>
                <w:bottom w:val="none" w:sz="0" w:space="0" w:color="auto"/>
                <w:right w:val="none" w:sz="0" w:space="0" w:color="auto"/>
              </w:divBdr>
            </w:div>
            <w:div w:id="1988632738">
              <w:marLeft w:val="0"/>
              <w:marRight w:val="0"/>
              <w:marTop w:val="0"/>
              <w:marBottom w:val="0"/>
              <w:divBdr>
                <w:top w:val="none" w:sz="0" w:space="0" w:color="auto"/>
                <w:left w:val="none" w:sz="0" w:space="0" w:color="auto"/>
                <w:bottom w:val="none" w:sz="0" w:space="0" w:color="auto"/>
                <w:right w:val="none" w:sz="0" w:space="0" w:color="auto"/>
              </w:divBdr>
            </w:div>
            <w:div w:id="1993218196">
              <w:marLeft w:val="0"/>
              <w:marRight w:val="0"/>
              <w:marTop w:val="0"/>
              <w:marBottom w:val="0"/>
              <w:divBdr>
                <w:top w:val="none" w:sz="0" w:space="0" w:color="auto"/>
                <w:left w:val="none" w:sz="0" w:space="0" w:color="auto"/>
                <w:bottom w:val="none" w:sz="0" w:space="0" w:color="auto"/>
                <w:right w:val="none" w:sz="0" w:space="0" w:color="auto"/>
              </w:divBdr>
            </w:div>
            <w:div w:id="2013333823">
              <w:marLeft w:val="0"/>
              <w:marRight w:val="0"/>
              <w:marTop w:val="0"/>
              <w:marBottom w:val="0"/>
              <w:divBdr>
                <w:top w:val="none" w:sz="0" w:space="0" w:color="auto"/>
                <w:left w:val="none" w:sz="0" w:space="0" w:color="auto"/>
                <w:bottom w:val="none" w:sz="0" w:space="0" w:color="auto"/>
                <w:right w:val="none" w:sz="0" w:space="0" w:color="auto"/>
              </w:divBdr>
            </w:div>
            <w:div w:id="2020112905">
              <w:marLeft w:val="0"/>
              <w:marRight w:val="0"/>
              <w:marTop w:val="0"/>
              <w:marBottom w:val="0"/>
              <w:divBdr>
                <w:top w:val="none" w:sz="0" w:space="0" w:color="auto"/>
                <w:left w:val="none" w:sz="0" w:space="0" w:color="auto"/>
                <w:bottom w:val="none" w:sz="0" w:space="0" w:color="auto"/>
                <w:right w:val="none" w:sz="0" w:space="0" w:color="auto"/>
              </w:divBdr>
            </w:div>
            <w:div w:id="2021270860">
              <w:marLeft w:val="0"/>
              <w:marRight w:val="0"/>
              <w:marTop w:val="0"/>
              <w:marBottom w:val="0"/>
              <w:divBdr>
                <w:top w:val="none" w:sz="0" w:space="0" w:color="auto"/>
                <w:left w:val="none" w:sz="0" w:space="0" w:color="auto"/>
                <w:bottom w:val="none" w:sz="0" w:space="0" w:color="auto"/>
                <w:right w:val="none" w:sz="0" w:space="0" w:color="auto"/>
              </w:divBdr>
            </w:div>
            <w:div w:id="2039890273">
              <w:marLeft w:val="0"/>
              <w:marRight w:val="0"/>
              <w:marTop w:val="0"/>
              <w:marBottom w:val="0"/>
              <w:divBdr>
                <w:top w:val="none" w:sz="0" w:space="0" w:color="auto"/>
                <w:left w:val="none" w:sz="0" w:space="0" w:color="auto"/>
                <w:bottom w:val="none" w:sz="0" w:space="0" w:color="auto"/>
                <w:right w:val="none" w:sz="0" w:space="0" w:color="auto"/>
              </w:divBdr>
            </w:div>
            <w:div w:id="2042054278">
              <w:marLeft w:val="0"/>
              <w:marRight w:val="0"/>
              <w:marTop w:val="0"/>
              <w:marBottom w:val="0"/>
              <w:divBdr>
                <w:top w:val="none" w:sz="0" w:space="0" w:color="auto"/>
                <w:left w:val="none" w:sz="0" w:space="0" w:color="auto"/>
                <w:bottom w:val="none" w:sz="0" w:space="0" w:color="auto"/>
                <w:right w:val="none" w:sz="0" w:space="0" w:color="auto"/>
              </w:divBdr>
            </w:div>
            <w:div w:id="2068607408">
              <w:marLeft w:val="0"/>
              <w:marRight w:val="0"/>
              <w:marTop w:val="0"/>
              <w:marBottom w:val="0"/>
              <w:divBdr>
                <w:top w:val="none" w:sz="0" w:space="0" w:color="auto"/>
                <w:left w:val="none" w:sz="0" w:space="0" w:color="auto"/>
                <w:bottom w:val="none" w:sz="0" w:space="0" w:color="auto"/>
                <w:right w:val="none" w:sz="0" w:space="0" w:color="auto"/>
              </w:divBdr>
            </w:div>
            <w:div w:id="2078362098">
              <w:marLeft w:val="0"/>
              <w:marRight w:val="0"/>
              <w:marTop w:val="0"/>
              <w:marBottom w:val="0"/>
              <w:divBdr>
                <w:top w:val="none" w:sz="0" w:space="0" w:color="auto"/>
                <w:left w:val="none" w:sz="0" w:space="0" w:color="auto"/>
                <w:bottom w:val="none" w:sz="0" w:space="0" w:color="auto"/>
                <w:right w:val="none" w:sz="0" w:space="0" w:color="auto"/>
              </w:divBdr>
            </w:div>
            <w:div w:id="2102334924">
              <w:marLeft w:val="0"/>
              <w:marRight w:val="0"/>
              <w:marTop w:val="0"/>
              <w:marBottom w:val="0"/>
              <w:divBdr>
                <w:top w:val="none" w:sz="0" w:space="0" w:color="auto"/>
                <w:left w:val="none" w:sz="0" w:space="0" w:color="auto"/>
                <w:bottom w:val="none" w:sz="0" w:space="0" w:color="auto"/>
                <w:right w:val="none" w:sz="0" w:space="0" w:color="auto"/>
              </w:divBdr>
            </w:div>
            <w:div w:id="2106685372">
              <w:marLeft w:val="0"/>
              <w:marRight w:val="0"/>
              <w:marTop w:val="0"/>
              <w:marBottom w:val="0"/>
              <w:divBdr>
                <w:top w:val="none" w:sz="0" w:space="0" w:color="auto"/>
                <w:left w:val="none" w:sz="0" w:space="0" w:color="auto"/>
                <w:bottom w:val="none" w:sz="0" w:space="0" w:color="auto"/>
                <w:right w:val="none" w:sz="0" w:space="0" w:color="auto"/>
              </w:divBdr>
            </w:div>
            <w:div w:id="2106799453">
              <w:marLeft w:val="0"/>
              <w:marRight w:val="0"/>
              <w:marTop w:val="0"/>
              <w:marBottom w:val="0"/>
              <w:divBdr>
                <w:top w:val="none" w:sz="0" w:space="0" w:color="auto"/>
                <w:left w:val="none" w:sz="0" w:space="0" w:color="auto"/>
                <w:bottom w:val="none" w:sz="0" w:space="0" w:color="auto"/>
                <w:right w:val="none" w:sz="0" w:space="0" w:color="auto"/>
              </w:divBdr>
            </w:div>
            <w:div w:id="2119444171">
              <w:marLeft w:val="0"/>
              <w:marRight w:val="0"/>
              <w:marTop w:val="0"/>
              <w:marBottom w:val="0"/>
              <w:divBdr>
                <w:top w:val="none" w:sz="0" w:space="0" w:color="auto"/>
                <w:left w:val="none" w:sz="0" w:space="0" w:color="auto"/>
                <w:bottom w:val="none" w:sz="0" w:space="0" w:color="auto"/>
                <w:right w:val="none" w:sz="0" w:space="0" w:color="auto"/>
              </w:divBdr>
            </w:div>
            <w:div w:id="2122333038">
              <w:marLeft w:val="0"/>
              <w:marRight w:val="0"/>
              <w:marTop w:val="0"/>
              <w:marBottom w:val="0"/>
              <w:divBdr>
                <w:top w:val="none" w:sz="0" w:space="0" w:color="auto"/>
                <w:left w:val="none" w:sz="0" w:space="0" w:color="auto"/>
                <w:bottom w:val="none" w:sz="0" w:space="0" w:color="auto"/>
                <w:right w:val="none" w:sz="0" w:space="0" w:color="auto"/>
              </w:divBdr>
            </w:div>
            <w:div w:id="21417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6430">
      <w:bodyDiv w:val="1"/>
      <w:marLeft w:val="0"/>
      <w:marRight w:val="0"/>
      <w:marTop w:val="0"/>
      <w:marBottom w:val="0"/>
      <w:divBdr>
        <w:top w:val="none" w:sz="0" w:space="0" w:color="auto"/>
        <w:left w:val="none" w:sz="0" w:space="0" w:color="auto"/>
        <w:bottom w:val="none" w:sz="0" w:space="0" w:color="auto"/>
        <w:right w:val="none" w:sz="0" w:space="0" w:color="auto"/>
      </w:divBdr>
      <w:divsChild>
        <w:div w:id="661079726">
          <w:marLeft w:val="0"/>
          <w:marRight w:val="0"/>
          <w:marTop w:val="0"/>
          <w:marBottom w:val="0"/>
          <w:divBdr>
            <w:top w:val="none" w:sz="0" w:space="0" w:color="auto"/>
            <w:left w:val="none" w:sz="0" w:space="0" w:color="auto"/>
            <w:bottom w:val="none" w:sz="0" w:space="0" w:color="auto"/>
            <w:right w:val="none" w:sz="0" w:space="0" w:color="auto"/>
          </w:divBdr>
          <w:divsChild>
            <w:div w:id="2000305521">
              <w:marLeft w:val="0"/>
              <w:marRight w:val="0"/>
              <w:marTop w:val="0"/>
              <w:marBottom w:val="0"/>
              <w:divBdr>
                <w:top w:val="none" w:sz="0" w:space="0" w:color="auto"/>
                <w:left w:val="none" w:sz="0" w:space="0" w:color="auto"/>
                <w:bottom w:val="none" w:sz="0" w:space="0" w:color="auto"/>
                <w:right w:val="none" w:sz="0" w:space="0" w:color="auto"/>
              </w:divBdr>
              <w:divsChild>
                <w:div w:id="559948465">
                  <w:marLeft w:val="0"/>
                  <w:marRight w:val="0"/>
                  <w:marTop w:val="0"/>
                  <w:marBottom w:val="0"/>
                  <w:divBdr>
                    <w:top w:val="none" w:sz="0" w:space="0" w:color="auto"/>
                    <w:left w:val="none" w:sz="0" w:space="0" w:color="auto"/>
                    <w:bottom w:val="none" w:sz="0" w:space="0" w:color="auto"/>
                    <w:right w:val="none" w:sz="0" w:space="0" w:color="auto"/>
                  </w:divBdr>
                  <w:divsChild>
                    <w:div w:id="1100298535">
                      <w:marLeft w:val="0"/>
                      <w:marRight w:val="0"/>
                      <w:marTop w:val="0"/>
                      <w:marBottom w:val="0"/>
                      <w:divBdr>
                        <w:top w:val="none" w:sz="0" w:space="0" w:color="auto"/>
                        <w:left w:val="none" w:sz="0" w:space="0" w:color="auto"/>
                        <w:bottom w:val="none" w:sz="0" w:space="0" w:color="auto"/>
                        <w:right w:val="none" w:sz="0" w:space="0" w:color="auto"/>
                      </w:divBdr>
                      <w:divsChild>
                        <w:div w:id="1557281444">
                          <w:marLeft w:val="0"/>
                          <w:marRight w:val="0"/>
                          <w:marTop w:val="0"/>
                          <w:marBottom w:val="0"/>
                          <w:divBdr>
                            <w:top w:val="none" w:sz="0" w:space="0" w:color="auto"/>
                            <w:left w:val="none" w:sz="0" w:space="0" w:color="auto"/>
                            <w:bottom w:val="none" w:sz="0" w:space="0" w:color="auto"/>
                            <w:right w:val="none" w:sz="0" w:space="0" w:color="auto"/>
                          </w:divBdr>
                          <w:divsChild>
                            <w:div w:id="2794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17393">
      <w:bodyDiv w:val="1"/>
      <w:marLeft w:val="0"/>
      <w:marRight w:val="0"/>
      <w:marTop w:val="0"/>
      <w:marBottom w:val="0"/>
      <w:divBdr>
        <w:top w:val="none" w:sz="0" w:space="0" w:color="auto"/>
        <w:left w:val="none" w:sz="0" w:space="0" w:color="auto"/>
        <w:bottom w:val="none" w:sz="0" w:space="0" w:color="auto"/>
        <w:right w:val="none" w:sz="0" w:space="0" w:color="auto"/>
      </w:divBdr>
    </w:div>
    <w:div w:id="312024675">
      <w:bodyDiv w:val="1"/>
      <w:marLeft w:val="0"/>
      <w:marRight w:val="0"/>
      <w:marTop w:val="0"/>
      <w:marBottom w:val="0"/>
      <w:divBdr>
        <w:top w:val="none" w:sz="0" w:space="0" w:color="auto"/>
        <w:left w:val="none" w:sz="0" w:space="0" w:color="auto"/>
        <w:bottom w:val="none" w:sz="0" w:space="0" w:color="auto"/>
        <w:right w:val="none" w:sz="0" w:space="0" w:color="auto"/>
      </w:divBdr>
    </w:div>
    <w:div w:id="316811890">
      <w:bodyDiv w:val="1"/>
      <w:marLeft w:val="0"/>
      <w:marRight w:val="0"/>
      <w:marTop w:val="0"/>
      <w:marBottom w:val="0"/>
      <w:divBdr>
        <w:top w:val="none" w:sz="0" w:space="0" w:color="auto"/>
        <w:left w:val="none" w:sz="0" w:space="0" w:color="auto"/>
        <w:bottom w:val="none" w:sz="0" w:space="0" w:color="auto"/>
        <w:right w:val="none" w:sz="0" w:space="0" w:color="auto"/>
      </w:divBdr>
      <w:divsChild>
        <w:div w:id="1880701740">
          <w:marLeft w:val="0"/>
          <w:marRight w:val="0"/>
          <w:marTop w:val="0"/>
          <w:marBottom w:val="0"/>
          <w:divBdr>
            <w:top w:val="none" w:sz="0" w:space="0" w:color="auto"/>
            <w:left w:val="none" w:sz="0" w:space="0" w:color="auto"/>
            <w:bottom w:val="none" w:sz="0" w:space="0" w:color="auto"/>
            <w:right w:val="none" w:sz="0" w:space="0" w:color="auto"/>
          </w:divBdr>
          <w:divsChild>
            <w:div w:id="408040715">
              <w:marLeft w:val="0"/>
              <w:marRight w:val="0"/>
              <w:marTop w:val="0"/>
              <w:marBottom w:val="0"/>
              <w:divBdr>
                <w:top w:val="none" w:sz="0" w:space="0" w:color="auto"/>
                <w:left w:val="none" w:sz="0" w:space="0" w:color="auto"/>
                <w:bottom w:val="none" w:sz="0" w:space="0" w:color="auto"/>
                <w:right w:val="none" w:sz="0" w:space="0" w:color="auto"/>
              </w:divBdr>
              <w:divsChild>
                <w:div w:id="474758125">
                  <w:marLeft w:val="0"/>
                  <w:marRight w:val="0"/>
                  <w:marTop w:val="0"/>
                  <w:marBottom w:val="0"/>
                  <w:divBdr>
                    <w:top w:val="none" w:sz="0" w:space="0" w:color="auto"/>
                    <w:left w:val="none" w:sz="0" w:space="0" w:color="auto"/>
                    <w:bottom w:val="none" w:sz="0" w:space="0" w:color="auto"/>
                    <w:right w:val="none" w:sz="0" w:space="0" w:color="auto"/>
                  </w:divBdr>
                  <w:divsChild>
                    <w:div w:id="632834948">
                      <w:marLeft w:val="0"/>
                      <w:marRight w:val="0"/>
                      <w:marTop w:val="0"/>
                      <w:marBottom w:val="0"/>
                      <w:divBdr>
                        <w:top w:val="none" w:sz="0" w:space="0" w:color="auto"/>
                        <w:left w:val="none" w:sz="0" w:space="0" w:color="auto"/>
                        <w:bottom w:val="none" w:sz="0" w:space="0" w:color="auto"/>
                        <w:right w:val="none" w:sz="0" w:space="0" w:color="auto"/>
                      </w:divBdr>
                      <w:divsChild>
                        <w:div w:id="1503669028">
                          <w:marLeft w:val="0"/>
                          <w:marRight w:val="0"/>
                          <w:marTop w:val="0"/>
                          <w:marBottom w:val="0"/>
                          <w:divBdr>
                            <w:top w:val="none" w:sz="0" w:space="0" w:color="auto"/>
                            <w:left w:val="none" w:sz="0" w:space="0" w:color="auto"/>
                            <w:bottom w:val="none" w:sz="0" w:space="0" w:color="auto"/>
                            <w:right w:val="none" w:sz="0" w:space="0" w:color="auto"/>
                          </w:divBdr>
                          <w:divsChild>
                            <w:div w:id="478303946">
                              <w:marLeft w:val="0"/>
                              <w:marRight w:val="0"/>
                              <w:marTop w:val="480"/>
                              <w:marBottom w:val="240"/>
                              <w:divBdr>
                                <w:top w:val="none" w:sz="0" w:space="0" w:color="auto"/>
                                <w:left w:val="none" w:sz="0" w:space="0" w:color="auto"/>
                                <w:bottom w:val="none" w:sz="0" w:space="0" w:color="auto"/>
                                <w:right w:val="none" w:sz="0" w:space="0" w:color="auto"/>
                              </w:divBdr>
                            </w:div>
                            <w:div w:id="9459615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47024">
      <w:bodyDiv w:val="1"/>
      <w:marLeft w:val="0"/>
      <w:marRight w:val="0"/>
      <w:marTop w:val="0"/>
      <w:marBottom w:val="0"/>
      <w:divBdr>
        <w:top w:val="none" w:sz="0" w:space="0" w:color="auto"/>
        <w:left w:val="none" w:sz="0" w:space="0" w:color="auto"/>
        <w:bottom w:val="none" w:sz="0" w:space="0" w:color="auto"/>
        <w:right w:val="none" w:sz="0" w:space="0" w:color="auto"/>
      </w:divBdr>
    </w:div>
    <w:div w:id="337345487">
      <w:bodyDiv w:val="1"/>
      <w:marLeft w:val="0"/>
      <w:marRight w:val="0"/>
      <w:marTop w:val="0"/>
      <w:marBottom w:val="0"/>
      <w:divBdr>
        <w:top w:val="none" w:sz="0" w:space="0" w:color="auto"/>
        <w:left w:val="none" w:sz="0" w:space="0" w:color="auto"/>
        <w:bottom w:val="none" w:sz="0" w:space="0" w:color="auto"/>
        <w:right w:val="none" w:sz="0" w:space="0" w:color="auto"/>
      </w:divBdr>
    </w:div>
    <w:div w:id="338702948">
      <w:bodyDiv w:val="1"/>
      <w:marLeft w:val="0"/>
      <w:marRight w:val="0"/>
      <w:marTop w:val="0"/>
      <w:marBottom w:val="0"/>
      <w:divBdr>
        <w:top w:val="none" w:sz="0" w:space="0" w:color="auto"/>
        <w:left w:val="none" w:sz="0" w:space="0" w:color="auto"/>
        <w:bottom w:val="none" w:sz="0" w:space="0" w:color="auto"/>
        <w:right w:val="none" w:sz="0" w:space="0" w:color="auto"/>
      </w:divBdr>
      <w:divsChild>
        <w:div w:id="1070809019">
          <w:marLeft w:val="0"/>
          <w:marRight w:val="0"/>
          <w:marTop w:val="0"/>
          <w:marBottom w:val="0"/>
          <w:divBdr>
            <w:top w:val="none" w:sz="0" w:space="0" w:color="auto"/>
            <w:left w:val="none" w:sz="0" w:space="0" w:color="auto"/>
            <w:bottom w:val="none" w:sz="0" w:space="0" w:color="auto"/>
            <w:right w:val="none" w:sz="0" w:space="0" w:color="auto"/>
          </w:divBdr>
          <w:divsChild>
            <w:div w:id="189296186">
              <w:marLeft w:val="0"/>
              <w:marRight w:val="0"/>
              <w:marTop w:val="0"/>
              <w:marBottom w:val="0"/>
              <w:divBdr>
                <w:top w:val="none" w:sz="0" w:space="0" w:color="auto"/>
                <w:left w:val="none" w:sz="0" w:space="0" w:color="auto"/>
                <w:bottom w:val="none" w:sz="0" w:space="0" w:color="auto"/>
                <w:right w:val="none" w:sz="0" w:space="0" w:color="auto"/>
              </w:divBdr>
              <w:divsChild>
                <w:div w:id="185290634">
                  <w:marLeft w:val="0"/>
                  <w:marRight w:val="0"/>
                  <w:marTop w:val="0"/>
                  <w:marBottom w:val="0"/>
                  <w:divBdr>
                    <w:top w:val="none" w:sz="0" w:space="0" w:color="auto"/>
                    <w:left w:val="none" w:sz="0" w:space="0" w:color="auto"/>
                    <w:bottom w:val="none" w:sz="0" w:space="0" w:color="auto"/>
                    <w:right w:val="none" w:sz="0" w:space="0" w:color="auto"/>
                  </w:divBdr>
                  <w:divsChild>
                    <w:div w:id="180700779">
                      <w:marLeft w:val="0"/>
                      <w:marRight w:val="0"/>
                      <w:marTop w:val="0"/>
                      <w:marBottom w:val="0"/>
                      <w:divBdr>
                        <w:top w:val="none" w:sz="0" w:space="0" w:color="auto"/>
                        <w:left w:val="none" w:sz="0" w:space="0" w:color="auto"/>
                        <w:bottom w:val="none" w:sz="0" w:space="0" w:color="auto"/>
                        <w:right w:val="none" w:sz="0" w:space="0" w:color="auto"/>
                      </w:divBdr>
                      <w:divsChild>
                        <w:div w:id="305940849">
                          <w:marLeft w:val="0"/>
                          <w:marRight w:val="0"/>
                          <w:marTop w:val="0"/>
                          <w:marBottom w:val="0"/>
                          <w:divBdr>
                            <w:top w:val="none" w:sz="0" w:space="0" w:color="auto"/>
                            <w:left w:val="none" w:sz="0" w:space="0" w:color="auto"/>
                            <w:bottom w:val="none" w:sz="0" w:space="0" w:color="auto"/>
                            <w:right w:val="none" w:sz="0" w:space="0" w:color="auto"/>
                          </w:divBdr>
                          <w:divsChild>
                            <w:div w:id="19529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05434">
      <w:bodyDiv w:val="1"/>
      <w:marLeft w:val="0"/>
      <w:marRight w:val="0"/>
      <w:marTop w:val="0"/>
      <w:marBottom w:val="0"/>
      <w:divBdr>
        <w:top w:val="none" w:sz="0" w:space="0" w:color="auto"/>
        <w:left w:val="none" w:sz="0" w:space="0" w:color="auto"/>
        <w:bottom w:val="none" w:sz="0" w:space="0" w:color="auto"/>
        <w:right w:val="none" w:sz="0" w:space="0" w:color="auto"/>
      </w:divBdr>
    </w:div>
    <w:div w:id="363949685">
      <w:bodyDiv w:val="1"/>
      <w:marLeft w:val="0"/>
      <w:marRight w:val="0"/>
      <w:marTop w:val="0"/>
      <w:marBottom w:val="0"/>
      <w:divBdr>
        <w:top w:val="none" w:sz="0" w:space="0" w:color="auto"/>
        <w:left w:val="none" w:sz="0" w:space="0" w:color="auto"/>
        <w:bottom w:val="none" w:sz="0" w:space="0" w:color="auto"/>
        <w:right w:val="none" w:sz="0" w:space="0" w:color="auto"/>
      </w:divBdr>
    </w:div>
    <w:div w:id="365914317">
      <w:bodyDiv w:val="1"/>
      <w:marLeft w:val="0"/>
      <w:marRight w:val="0"/>
      <w:marTop w:val="0"/>
      <w:marBottom w:val="0"/>
      <w:divBdr>
        <w:top w:val="none" w:sz="0" w:space="0" w:color="auto"/>
        <w:left w:val="none" w:sz="0" w:space="0" w:color="auto"/>
        <w:bottom w:val="none" w:sz="0" w:space="0" w:color="auto"/>
        <w:right w:val="none" w:sz="0" w:space="0" w:color="auto"/>
      </w:divBdr>
      <w:divsChild>
        <w:div w:id="1719209946">
          <w:marLeft w:val="1195"/>
          <w:marRight w:val="0"/>
          <w:marTop w:val="67"/>
          <w:marBottom w:val="0"/>
          <w:divBdr>
            <w:top w:val="none" w:sz="0" w:space="0" w:color="auto"/>
            <w:left w:val="none" w:sz="0" w:space="0" w:color="auto"/>
            <w:bottom w:val="none" w:sz="0" w:space="0" w:color="auto"/>
            <w:right w:val="none" w:sz="0" w:space="0" w:color="auto"/>
          </w:divBdr>
        </w:div>
        <w:div w:id="577986238">
          <w:marLeft w:val="1195"/>
          <w:marRight w:val="0"/>
          <w:marTop w:val="67"/>
          <w:marBottom w:val="0"/>
          <w:divBdr>
            <w:top w:val="none" w:sz="0" w:space="0" w:color="auto"/>
            <w:left w:val="none" w:sz="0" w:space="0" w:color="auto"/>
            <w:bottom w:val="none" w:sz="0" w:space="0" w:color="auto"/>
            <w:right w:val="none" w:sz="0" w:space="0" w:color="auto"/>
          </w:divBdr>
        </w:div>
        <w:div w:id="1348025183">
          <w:marLeft w:val="1195"/>
          <w:marRight w:val="0"/>
          <w:marTop w:val="67"/>
          <w:marBottom w:val="0"/>
          <w:divBdr>
            <w:top w:val="none" w:sz="0" w:space="0" w:color="auto"/>
            <w:left w:val="none" w:sz="0" w:space="0" w:color="auto"/>
            <w:bottom w:val="none" w:sz="0" w:space="0" w:color="auto"/>
            <w:right w:val="none" w:sz="0" w:space="0" w:color="auto"/>
          </w:divBdr>
        </w:div>
        <w:div w:id="1347051431">
          <w:marLeft w:val="1195"/>
          <w:marRight w:val="0"/>
          <w:marTop w:val="67"/>
          <w:marBottom w:val="0"/>
          <w:divBdr>
            <w:top w:val="none" w:sz="0" w:space="0" w:color="auto"/>
            <w:left w:val="none" w:sz="0" w:space="0" w:color="auto"/>
            <w:bottom w:val="none" w:sz="0" w:space="0" w:color="auto"/>
            <w:right w:val="none" w:sz="0" w:space="0" w:color="auto"/>
          </w:divBdr>
        </w:div>
        <w:div w:id="726995331">
          <w:marLeft w:val="1195"/>
          <w:marRight w:val="0"/>
          <w:marTop w:val="67"/>
          <w:marBottom w:val="0"/>
          <w:divBdr>
            <w:top w:val="none" w:sz="0" w:space="0" w:color="auto"/>
            <w:left w:val="none" w:sz="0" w:space="0" w:color="auto"/>
            <w:bottom w:val="none" w:sz="0" w:space="0" w:color="auto"/>
            <w:right w:val="none" w:sz="0" w:space="0" w:color="auto"/>
          </w:divBdr>
        </w:div>
        <w:div w:id="1567569627">
          <w:marLeft w:val="1195"/>
          <w:marRight w:val="0"/>
          <w:marTop w:val="67"/>
          <w:marBottom w:val="0"/>
          <w:divBdr>
            <w:top w:val="none" w:sz="0" w:space="0" w:color="auto"/>
            <w:left w:val="none" w:sz="0" w:space="0" w:color="auto"/>
            <w:bottom w:val="none" w:sz="0" w:space="0" w:color="auto"/>
            <w:right w:val="none" w:sz="0" w:space="0" w:color="auto"/>
          </w:divBdr>
        </w:div>
      </w:divsChild>
    </w:div>
    <w:div w:id="367294826">
      <w:bodyDiv w:val="1"/>
      <w:marLeft w:val="0"/>
      <w:marRight w:val="0"/>
      <w:marTop w:val="0"/>
      <w:marBottom w:val="0"/>
      <w:divBdr>
        <w:top w:val="none" w:sz="0" w:space="0" w:color="auto"/>
        <w:left w:val="none" w:sz="0" w:space="0" w:color="auto"/>
        <w:bottom w:val="none" w:sz="0" w:space="0" w:color="auto"/>
        <w:right w:val="none" w:sz="0" w:space="0" w:color="auto"/>
      </w:divBdr>
      <w:divsChild>
        <w:div w:id="1261138586">
          <w:marLeft w:val="0"/>
          <w:marRight w:val="0"/>
          <w:marTop w:val="0"/>
          <w:marBottom w:val="0"/>
          <w:divBdr>
            <w:top w:val="none" w:sz="0" w:space="0" w:color="auto"/>
            <w:left w:val="none" w:sz="0" w:space="0" w:color="auto"/>
            <w:bottom w:val="none" w:sz="0" w:space="0" w:color="auto"/>
            <w:right w:val="none" w:sz="0" w:space="0" w:color="auto"/>
          </w:divBdr>
          <w:divsChild>
            <w:div w:id="1616474959">
              <w:marLeft w:val="0"/>
              <w:marRight w:val="0"/>
              <w:marTop w:val="0"/>
              <w:marBottom w:val="0"/>
              <w:divBdr>
                <w:top w:val="none" w:sz="0" w:space="0" w:color="auto"/>
                <w:left w:val="none" w:sz="0" w:space="0" w:color="auto"/>
                <w:bottom w:val="none" w:sz="0" w:space="0" w:color="auto"/>
                <w:right w:val="none" w:sz="0" w:space="0" w:color="auto"/>
              </w:divBdr>
              <w:divsChild>
                <w:div w:id="1673292366">
                  <w:marLeft w:val="0"/>
                  <w:marRight w:val="0"/>
                  <w:marTop w:val="0"/>
                  <w:marBottom w:val="0"/>
                  <w:divBdr>
                    <w:top w:val="none" w:sz="0" w:space="0" w:color="auto"/>
                    <w:left w:val="none" w:sz="0" w:space="0" w:color="auto"/>
                    <w:bottom w:val="none" w:sz="0" w:space="0" w:color="auto"/>
                    <w:right w:val="none" w:sz="0" w:space="0" w:color="auto"/>
                  </w:divBdr>
                  <w:divsChild>
                    <w:div w:id="1264994388">
                      <w:marLeft w:val="0"/>
                      <w:marRight w:val="0"/>
                      <w:marTop w:val="0"/>
                      <w:marBottom w:val="0"/>
                      <w:divBdr>
                        <w:top w:val="none" w:sz="0" w:space="0" w:color="auto"/>
                        <w:left w:val="none" w:sz="0" w:space="0" w:color="auto"/>
                        <w:bottom w:val="none" w:sz="0" w:space="0" w:color="auto"/>
                        <w:right w:val="none" w:sz="0" w:space="0" w:color="auto"/>
                      </w:divBdr>
                      <w:divsChild>
                        <w:div w:id="1440759764">
                          <w:marLeft w:val="0"/>
                          <w:marRight w:val="0"/>
                          <w:marTop w:val="0"/>
                          <w:marBottom w:val="0"/>
                          <w:divBdr>
                            <w:top w:val="none" w:sz="0" w:space="0" w:color="auto"/>
                            <w:left w:val="none" w:sz="0" w:space="0" w:color="auto"/>
                            <w:bottom w:val="none" w:sz="0" w:space="0" w:color="auto"/>
                            <w:right w:val="none" w:sz="0" w:space="0" w:color="auto"/>
                          </w:divBdr>
                          <w:divsChild>
                            <w:div w:id="4608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170929">
      <w:bodyDiv w:val="1"/>
      <w:marLeft w:val="0"/>
      <w:marRight w:val="0"/>
      <w:marTop w:val="0"/>
      <w:marBottom w:val="0"/>
      <w:divBdr>
        <w:top w:val="none" w:sz="0" w:space="0" w:color="auto"/>
        <w:left w:val="none" w:sz="0" w:space="0" w:color="auto"/>
        <w:bottom w:val="none" w:sz="0" w:space="0" w:color="auto"/>
        <w:right w:val="none" w:sz="0" w:space="0" w:color="auto"/>
      </w:divBdr>
    </w:div>
    <w:div w:id="398865509">
      <w:bodyDiv w:val="1"/>
      <w:marLeft w:val="0"/>
      <w:marRight w:val="0"/>
      <w:marTop w:val="0"/>
      <w:marBottom w:val="0"/>
      <w:divBdr>
        <w:top w:val="none" w:sz="0" w:space="0" w:color="auto"/>
        <w:left w:val="none" w:sz="0" w:space="0" w:color="auto"/>
        <w:bottom w:val="none" w:sz="0" w:space="0" w:color="auto"/>
        <w:right w:val="none" w:sz="0" w:space="0" w:color="auto"/>
      </w:divBdr>
      <w:divsChild>
        <w:div w:id="723413427">
          <w:marLeft w:val="0"/>
          <w:marRight w:val="0"/>
          <w:marTop w:val="0"/>
          <w:marBottom w:val="0"/>
          <w:divBdr>
            <w:top w:val="none" w:sz="0" w:space="0" w:color="auto"/>
            <w:left w:val="none" w:sz="0" w:space="0" w:color="auto"/>
            <w:bottom w:val="none" w:sz="0" w:space="0" w:color="auto"/>
            <w:right w:val="none" w:sz="0" w:space="0" w:color="auto"/>
          </w:divBdr>
          <w:divsChild>
            <w:div w:id="694186927">
              <w:marLeft w:val="0"/>
              <w:marRight w:val="0"/>
              <w:marTop w:val="0"/>
              <w:marBottom w:val="0"/>
              <w:divBdr>
                <w:top w:val="none" w:sz="0" w:space="0" w:color="auto"/>
                <w:left w:val="none" w:sz="0" w:space="0" w:color="auto"/>
                <w:bottom w:val="none" w:sz="0" w:space="0" w:color="auto"/>
                <w:right w:val="none" w:sz="0" w:space="0" w:color="auto"/>
              </w:divBdr>
              <w:divsChild>
                <w:div w:id="1770730944">
                  <w:marLeft w:val="0"/>
                  <w:marRight w:val="0"/>
                  <w:marTop w:val="0"/>
                  <w:marBottom w:val="0"/>
                  <w:divBdr>
                    <w:top w:val="none" w:sz="0" w:space="0" w:color="auto"/>
                    <w:left w:val="none" w:sz="0" w:space="0" w:color="auto"/>
                    <w:bottom w:val="none" w:sz="0" w:space="0" w:color="auto"/>
                    <w:right w:val="none" w:sz="0" w:space="0" w:color="auto"/>
                  </w:divBdr>
                  <w:divsChild>
                    <w:div w:id="2124954127">
                      <w:marLeft w:val="0"/>
                      <w:marRight w:val="0"/>
                      <w:marTop w:val="0"/>
                      <w:marBottom w:val="0"/>
                      <w:divBdr>
                        <w:top w:val="none" w:sz="0" w:space="0" w:color="auto"/>
                        <w:left w:val="none" w:sz="0" w:space="0" w:color="auto"/>
                        <w:bottom w:val="none" w:sz="0" w:space="0" w:color="auto"/>
                        <w:right w:val="none" w:sz="0" w:space="0" w:color="auto"/>
                      </w:divBdr>
                      <w:divsChild>
                        <w:div w:id="1977755684">
                          <w:marLeft w:val="0"/>
                          <w:marRight w:val="0"/>
                          <w:marTop w:val="0"/>
                          <w:marBottom w:val="0"/>
                          <w:divBdr>
                            <w:top w:val="none" w:sz="0" w:space="0" w:color="auto"/>
                            <w:left w:val="none" w:sz="0" w:space="0" w:color="auto"/>
                            <w:bottom w:val="none" w:sz="0" w:space="0" w:color="auto"/>
                            <w:right w:val="none" w:sz="0" w:space="0" w:color="auto"/>
                          </w:divBdr>
                          <w:divsChild>
                            <w:div w:id="9823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911882">
      <w:bodyDiv w:val="1"/>
      <w:marLeft w:val="0"/>
      <w:marRight w:val="0"/>
      <w:marTop w:val="0"/>
      <w:marBottom w:val="0"/>
      <w:divBdr>
        <w:top w:val="none" w:sz="0" w:space="0" w:color="auto"/>
        <w:left w:val="none" w:sz="0" w:space="0" w:color="auto"/>
        <w:bottom w:val="none" w:sz="0" w:space="0" w:color="auto"/>
        <w:right w:val="none" w:sz="0" w:space="0" w:color="auto"/>
      </w:divBdr>
    </w:div>
    <w:div w:id="420954106">
      <w:bodyDiv w:val="1"/>
      <w:marLeft w:val="0"/>
      <w:marRight w:val="0"/>
      <w:marTop w:val="0"/>
      <w:marBottom w:val="0"/>
      <w:divBdr>
        <w:top w:val="none" w:sz="0" w:space="0" w:color="auto"/>
        <w:left w:val="none" w:sz="0" w:space="0" w:color="auto"/>
        <w:bottom w:val="none" w:sz="0" w:space="0" w:color="auto"/>
        <w:right w:val="none" w:sz="0" w:space="0" w:color="auto"/>
      </w:divBdr>
    </w:div>
    <w:div w:id="422145995">
      <w:bodyDiv w:val="1"/>
      <w:marLeft w:val="0"/>
      <w:marRight w:val="0"/>
      <w:marTop w:val="0"/>
      <w:marBottom w:val="0"/>
      <w:divBdr>
        <w:top w:val="none" w:sz="0" w:space="0" w:color="auto"/>
        <w:left w:val="none" w:sz="0" w:space="0" w:color="auto"/>
        <w:bottom w:val="none" w:sz="0" w:space="0" w:color="auto"/>
        <w:right w:val="none" w:sz="0" w:space="0" w:color="auto"/>
      </w:divBdr>
    </w:div>
    <w:div w:id="425544588">
      <w:bodyDiv w:val="1"/>
      <w:marLeft w:val="0"/>
      <w:marRight w:val="0"/>
      <w:marTop w:val="0"/>
      <w:marBottom w:val="0"/>
      <w:divBdr>
        <w:top w:val="none" w:sz="0" w:space="0" w:color="auto"/>
        <w:left w:val="none" w:sz="0" w:space="0" w:color="auto"/>
        <w:bottom w:val="none" w:sz="0" w:space="0" w:color="auto"/>
        <w:right w:val="none" w:sz="0" w:space="0" w:color="auto"/>
      </w:divBdr>
    </w:div>
    <w:div w:id="507674449">
      <w:bodyDiv w:val="1"/>
      <w:marLeft w:val="0"/>
      <w:marRight w:val="0"/>
      <w:marTop w:val="0"/>
      <w:marBottom w:val="0"/>
      <w:divBdr>
        <w:top w:val="none" w:sz="0" w:space="0" w:color="auto"/>
        <w:left w:val="none" w:sz="0" w:space="0" w:color="auto"/>
        <w:bottom w:val="none" w:sz="0" w:space="0" w:color="auto"/>
        <w:right w:val="none" w:sz="0" w:space="0" w:color="auto"/>
      </w:divBdr>
    </w:div>
    <w:div w:id="530150217">
      <w:bodyDiv w:val="1"/>
      <w:marLeft w:val="0"/>
      <w:marRight w:val="0"/>
      <w:marTop w:val="0"/>
      <w:marBottom w:val="0"/>
      <w:divBdr>
        <w:top w:val="none" w:sz="0" w:space="0" w:color="auto"/>
        <w:left w:val="none" w:sz="0" w:space="0" w:color="auto"/>
        <w:bottom w:val="none" w:sz="0" w:space="0" w:color="auto"/>
        <w:right w:val="none" w:sz="0" w:space="0" w:color="auto"/>
      </w:divBdr>
    </w:div>
    <w:div w:id="647713008">
      <w:bodyDiv w:val="1"/>
      <w:marLeft w:val="0"/>
      <w:marRight w:val="0"/>
      <w:marTop w:val="0"/>
      <w:marBottom w:val="0"/>
      <w:divBdr>
        <w:top w:val="none" w:sz="0" w:space="0" w:color="auto"/>
        <w:left w:val="none" w:sz="0" w:space="0" w:color="auto"/>
        <w:bottom w:val="none" w:sz="0" w:space="0" w:color="auto"/>
        <w:right w:val="none" w:sz="0" w:space="0" w:color="auto"/>
      </w:divBdr>
      <w:divsChild>
        <w:div w:id="1936743842">
          <w:marLeft w:val="0"/>
          <w:marRight w:val="0"/>
          <w:marTop w:val="0"/>
          <w:marBottom w:val="0"/>
          <w:divBdr>
            <w:top w:val="none" w:sz="0" w:space="0" w:color="auto"/>
            <w:left w:val="none" w:sz="0" w:space="0" w:color="auto"/>
            <w:bottom w:val="none" w:sz="0" w:space="0" w:color="auto"/>
            <w:right w:val="none" w:sz="0" w:space="0" w:color="auto"/>
          </w:divBdr>
          <w:divsChild>
            <w:div w:id="932855348">
              <w:marLeft w:val="0"/>
              <w:marRight w:val="0"/>
              <w:marTop w:val="0"/>
              <w:marBottom w:val="0"/>
              <w:divBdr>
                <w:top w:val="none" w:sz="0" w:space="0" w:color="auto"/>
                <w:left w:val="none" w:sz="0" w:space="0" w:color="auto"/>
                <w:bottom w:val="none" w:sz="0" w:space="0" w:color="auto"/>
                <w:right w:val="none" w:sz="0" w:space="0" w:color="auto"/>
              </w:divBdr>
              <w:divsChild>
                <w:div w:id="2040617551">
                  <w:marLeft w:val="0"/>
                  <w:marRight w:val="0"/>
                  <w:marTop w:val="0"/>
                  <w:marBottom w:val="0"/>
                  <w:divBdr>
                    <w:top w:val="none" w:sz="0" w:space="0" w:color="auto"/>
                    <w:left w:val="none" w:sz="0" w:space="0" w:color="auto"/>
                    <w:bottom w:val="none" w:sz="0" w:space="0" w:color="auto"/>
                    <w:right w:val="none" w:sz="0" w:space="0" w:color="auto"/>
                  </w:divBdr>
                  <w:divsChild>
                    <w:div w:id="1644192554">
                      <w:marLeft w:val="0"/>
                      <w:marRight w:val="0"/>
                      <w:marTop w:val="0"/>
                      <w:marBottom w:val="0"/>
                      <w:divBdr>
                        <w:top w:val="none" w:sz="0" w:space="0" w:color="auto"/>
                        <w:left w:val="none" w:sz="0" w:space="0" w:color="auto"/>
                        <w:bottom w:val="none" w:sz="0" w:space="0" w:color="auto"/>
                        <w:right w:val="none" w:sz="0" w:space="0" w:color="auto"/>
                      </w:divBdr>
                      <w:divsChild>
                        <w:div w:id="101341510">
                          <w:marLeft w:val="0"/>
                          <w:marRight w:val="0"/>
                          <w:marTop w:val="0"/>
                          <w:marBottom w:val="0"/>
                          <w:divBdr>
                            <w:top w:val="none" w:sz="0" w:space="0" w:color="auto"/>
                            <w:left w:val="none" w:sz="0" w:space="0" w:color="auto"/>
                            <w:bottom w:val="none" w:sz="0" w:space="0" w:color="auto"/>
                            <w:right w:val="none" w:sz="0" w:space="0" w:color="auto"/>
                          </w:divBdr>
                          <w:divsChild>
                            <w:div w:id="1011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90277">
      <w:bodyDiv w:val="1"/>
      <w:marLeft w:val="0"/>
      <w:marRight w:val="0"/>
      <w:marTop w:val="0"/>
      <w:marBottom w:val="0"/>
      <w:divBdr>
        <w:top w:val="none" w:sz="0" w:space="0" w:color="auto"/>
        <w:left w:val="none" w:sz="0" w:space="0" w:color="auto"/>
        <w:bottom w:val="none" w:sz="0" w:space="0" w:color="auto"/>
        <w:right w:val="none" w:sz="0" w:space="0" w:color="auto"/>
      </w:divBdr>
    </w:div>
    <w:div w:id="712919972">
      <w:bodyDiv w:val="1"/>
      <w:marLeft w:val="0"/>
      <w:marRight w:val="0"/>
      <w:marTop w:val="0"/>
      <w:marBottom w:val="0"/>
      <w:divBdr>
        <w:top w:val="none" w:sz="0" w:space="0" w:color="auto"/>
        <w:left w:val="none" w:sz="0" w:space="0" w:color="auto"/>
        <w:bottom w:val="none" w:sz="0" w:space="0" w:color="auto"/>
        <w:right w:val="none" w:sz="0" w:space="0" w:color="auto"/>
      </w:divBdr>
    </w:div>
    <w:div w:id="723456344">
      <w:bodyDiv w:val="1"/>
      <w:marLeft w:val="0"/>
      <w:marRight w:val="0"/>
      <w:marTop w:val="0"/>
      <w:marBottom w:val="0"/>
      <w:divBdr>
        <w:top w:val="none" w:sz="0" w:space="0" w:color="auto"/>
        <w:left w:val="none" w:sz="0" w:space="0" w:color="auto"/>
        <w:bottom w:val="none" w:sz="0" w:space="0" w:color="auto"/>
        <w:right w:val="none" w:sz="0" w:space="0" w:color="auto"/>
      </w:divBdr>
      <w:divsChild>
        <w:div w:id="603532993">
          <w:marLeft w:val="0"/>
          <w:marRight w:val="0"/>
          <w:marTop w:val="0"/>
          <w:marBottom w:val="0"/>
          <w:divBdr>
            <w:top w:val="none" w:sz="0" w:space="0" w:color="auto"/>
            <w:left w:val="none" w:sz="0" w:space="0" w:color="auto"/>
            <w:bottom w:val="none" w:sz="0" w:space="0" w:color="auto"/>
            <w:right w:val="none" w:sz="0" w:space="0" w:color="auto"/>
          </w:divBdr>
          <w:divsChild>
            <w:div w:id="758910467">
              <w:marLeft w:val="0"/>
              <w:marRight w:val="0"/>
              <w:marTop w:val="0"/>
              <w:marBottom w:val="0"/>
              <w:divBdr>
                <w:top w:val="none" w:sz="0" w:space="0" w:color="auto"/>
                <w:left w:val="none" w:sz="0" w:space="0" w:color="auto"/>
                <w:bottom w:val="none" w:sz="0" w:space="0" w:color="auto"/>
                <w:right w:val="none" w:sz="0" w:space="0" w:color="auto"/>
              </w:divBdr>
              <w:divsChild>
                <w:div w:id="1170950220">
                  <w:marLeft w:val="0"/>
                  <w:marRight w:val="0"/>
                  <w:marTop w:val="0"/>
                  <w:marBottom w:val="0"/>
                  <w:divBdr>
                    <w:top w:val="none" w:sz="0" w:space="0" w:color="auto"/>
                    <w:left w:val="none" w:sz="0" w:space="0" w:color="auto"/>
                    <w:bottom w:val="none" w:sz="0" w:space="0" w:color="auto"/>
                    <w:right w:val="none" w:sz="0" w:space="0" w:color="auto"/>
                  </w:divBdr>
                  <w:divsChild>
                    <w:div w:id="164251087">
                      <w:marLeft w:val="0"/>
                      <w:marRight w:val="0"/>
                      <w:marTop w:val="0"/>
                      <w:marBottom w:val="0"/>
                      <w:divBdr>
                        <w:top w:val="none" w:sz="0" w:space="0" w:color="auto"/>
                        <w:left w:val="none" w:sz="0" w:space="0" w:color="auto"/>
                        <w:bottom w:val="none" w:sz="0" w:space="0" w:color="auto"/>
                        <w:right w:val="none" w:sz="0" w:space="0" w:color="auto"/>
                      </w:divBdr>
                      <w:divsChild>
                        <w:div w:id="711006083">
                          <w:marLeft w:val="0"/>
                          <w:marRight w:val="0"/>
                          <w:marTop w:val="0"/>
                          <w:marBottom w:val="0"/>
                          <w:divBdr>
                            <w:top w:val="none" w:sz="0" w:space="0" w:color="auto"/>
                            <w:left w:val="none" w:sz="0" w:space="0" w:color="auto"/>
                            <w:bottom w:val="none" w:sz="0" w:space="0" w:color="auto"/>
                            <w:right w:val="none" w:sz="0" w:space="0" w:color="auto"/>
                          </w:divBdr>
                          <w:divsChild>
                            <w:div w:id="16001359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144789">
      <w:bodyDiv w:val="1"/>
      <w:marLeft w:val="0"/>
      <w:marRight w:val="0"/>
      <w:marTop w:val="0"/>
      <w:marBottom w:val="0"/>
      <w:divBdr>
        <w:top w:val="none" w:sz="0" w:space="0" w:color="auto"/>
        <w:left w:val="none" w:sz="0" w:space="0" w:color="auto"/>
        <w:bottom w:val="none" w:sz="0" w:space="0" w:color="auto"/>
        <w:right w:val="none" w:sz="0" w:space="0" w:color="auto"/>
      </w:divBdr>
    </w:div>
    <w:div w:id="745877398">
      <w:bodyDiv w:val="1"/>
      <w:marLeft w:val="0"/>
      <w:marRight w:val="0"/>
      <w:marTop w:val="0"/>
      <w:marBottom w:val="0"/>
      <w:divBdr>
        <w:top w:val="none" w:sz="0" w:space="0" w:color="auto"/>
        <w:left w:val="none" w:sz="0" w:space="0" w:color="auto"/>
        <w:bottom w:val="none" w:sz="0" w:space="0" w:color="auto"/>
        <w:right w:val="none" w:sz="0" w:space="0" w:color="auto"/>
      </w:divBdr>
    </w:div>
    <w:div w:id="752094894">
      <w:bodyDiv w:val="1"/>
      <w:marLeft w:val="0"/>
      <w:marRight w:val="0"/>
      <w:marTop w:val="0"/>
      <w:marBottom w:val="0"/>
      <w:divBdr>
        <w:top w:val="none" w:sz="0" w:space="0" w:color="auto"/>
        <w:left w:val="none" w:sz="0" w:space="0" w:color="auto"/>
        <w:bottom w:val="none" w:sz="0" w:space="0" w:color="auto"/>
        <w:right w:val="none" w:sz="0" w:space="0" w:color="auto"/>
      </w:divBdr>
    </w:div>
    <w:div w:id="768892006">
      <w:bodyDiv w:val="1"/>
      <w:marLeft w:val="0"/>
      <w:marRight w:val="0"/>
      <w:marTop w:val="0"/>
      <w:marBottom w:val="0"/>
      <w:divBdr>
        <w:top w:val="none" w:sz="0" w:space="0" w:color="auto"/>
        <w:left w:val="none" w:sz="0" w:space="0" w:color="auto"/>
        <w:bottom w:val="none" w:sz="0" w:space="0" w:color="auto"/>
        <w:right w:val="none" w:sz="0" w:space="0" w:color="auto"/>
      </w:divBdr>
    </w:div>
    <w:div w:id="773786976">
      <w:bodyDiv w:val="1"/>
      <w:marLeft w:val="0"/>
      <w:marRight w:val="0"/>
      <w:marTop w:val="0"/>
      <w:marBottom w:val="0"/>
      <w:divBdr>
        <w:top w:val="none" w:sz="0" w:space="0" w:color="auto"/>
        <w:left w:val="none" w:sz="0" w:space="0" w:color="auto"/>
        <w:bottom w:val="none" w:sz="0" w:space="0" w:color="auto"/>
        <w:right w:val="none" w:sz="0" w:space="0" w:color="auto"/>
      </w:divBdr>
      <w:divsChild>
        <w:div w:id="1145509417">
          <w:marLeft w:val="0"/>
          <w:marRight w:val="0"/>
          <w:marTop w:val="0"/>
          <w:marBottom w:val="0"/>
          <w:divBdr>
            <w:top w:val="none" w:sz="0" w:space="0" w:color="auto"/>
            <w:left w:val="none" w:sz="0" w:space="0" w:color="auto"/>
            <w:bottom w:val="none" w:sz="0" w:space="0" w:color="auto"/>
            <w:right w:val="none" w:sz="0" w:space="0" w:color="auto"/>
          </w:divBdr>
          <w:divsChild>
            <w:div w:id="679238304">
              <w:marLeft w:val="0"/>
              <w:marRight w:val="0"/>
              <w:marTop w:val="0"/>
              <w:marBottom w:val="0"/>
              <w:divBdr>
                <w:top w:val="none" w:sz="0" w:space="0" w:color="auto"/>
                <w:left w:val="none" w:sz="0" w:space="0" w:color="auto"/>
                <w:bottom w:val="none" w:sz="0" w:space="0" w:color="auto"/>
                <w:right w:val="none" w:sz="0" w:space="0" w:color="auto"/>
              </w:divBdr>
              <w:divsChild>
                <w:div w:id="1347294043">
                  <w:marLeft w:val="0"/>
                  <w:marRight w:val="0"/>
                  <w:marTop w:val="0"/>
                  <w:marBottom w:val="0"/>
                  <w:divBdr>
                    <w:top w:val="none" w:sz="0" w:space="0" w:color="auto"/>
                    <w:left w:val="none" w:sz="0" w:space="0" w:color="auto"/>
                    <w:bottom w:val="none" w:sz="0" w:space="0" w:color="auto"/>
                    <w:right w:val="none" w:sz="0" w:space="0" w:color="auto"/>
                  </w:divBdr>
                  <w:divsChild>
                    <w:div w:id="1793817180">
                      <w:marLeft w:val="0"/>
                      <w:marRight w:val="0"/>
                      <w:marTop w:val="0"/>
                      <w:marBottom w:val="0"/>
                      <w:divBdr>
                        <w:top w:val="none" w:sz="0" w:space="0" w:color="auto"/>
                        <w:left w:val="none" w:sz="0" w:space="0" w:color="auto"/>
                        <w:bottom w:val="none" w:sz="0" w:space="0" w:color="auto"/>
                        <w:right w:val="none" w:sz="0" w:space="0" w:color="auto"/>
                      </w:divBdr>
                      <w:divsChild>
                        <w:div w:id="320158984">
                          <w:marLeft w:val="0"/>
                          <w:marRight w:val="0"/>
                          <w:marTop w:val="0"/>
                          <w:marBottom w:val="0"/>
                          <w:divBdr>
                            <w:top w:val="none" w:sz="0" w:space="0" w:color="auto"/>
                            <w:left w:val="none" w:sz="0" w:space="0" w:color="auto"/>
                            <w:bottom w:val="none" w:sz="0" w:space="0" w:color="auto"/>
                            <w:right w:val="none" w:sz="0" w:space="0" w:color="auto"/>
                          </w:divBdr>
                          <w:divsChild>
                            <w:div w:id="300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83488">
      <w:bodyDiv w:val="1"/>
      <w:marLeft w:val="0"/>
      <w:marRight w:val="0"/>
      <w:marTop w:val="0"/>
      <w:marBottom w:val="0"/>
      <w:divBdr>
        <w:top w:val="none" w:sz="0" w:space="0" w:color="auto"/>
        <w:left w:val="none" w:sz="0" w:space="0" w:color="auto"/>
        <w:bottom w:val="none" w:sz="0" w:space="0" w:color="auto"/>
        <w:right w:val="none" w:sz="0" w:space="0" w:color="auto"/>
      </w:divBdr>
      <w:divsChild>
        <w:div w:id="1261797029">
          <w:marLeft w:val="850"/>
          <w:marRight w:val="0"/>
          <w:marTop w:val="72"/>
          <w:marBottom w:val="0"/>
          <w:divBdr>
            <w:top w:val="none" w:sz="0" w:space="0" w:color="auto"/>
            <w:left w:val="none" w:sz="0" w:space="0" w:color="auto"/>
            <w:bottom w:val="none" w:sz="0" w:space="0" w:color="auto"/>
            <w:right w:val="none" w:sz="0" w:space="0" w:color="auto"/>
          </w:divBdr>
        </w:div>
      </w:divsChild>
    </w:div>
    <w:div w:id="798954435">
      <w:bodyDiv w:val="1"/>
      <w:marLeft w:val="0"/>
      <w:marRight w:val="0"/>
      <w:marTop w:val="0"/>
      <w:marBottom w:val="0"/>
      <w:divBdr>
        <w:top w:val="none" w:sz="0" w:space="0" w:color="auto"/>
        <w:left w:val="none" w:sz="0" w:space="0" w:color="auto"/>
        <w:bottom w:val="none" w:sz="0" w:space="0" w:color="auto"/>
        <w:right w:val="none" w:sz="0" w:space="0" w:color="auto"/>
      </w:divBdr>
    </w:div>
    <w:div w:id="832260529">
      <w:bodyDiv w:val="1"/>
      <w:marLeft w:val="0"/>
      <w:marRight w:val="0"/>
      <w:marTop w:val="0"/>
      <w:marBottom w:val="0"/>
      <w:divBdr>
        <w:top w:val="none" w:sz="0" w:space="0" w:color="auto"/>
        <w:left w:val="none" w:sz="0" w:space="0" w:color="auto"/>
        <w:bottom w:val="none" w:sz="0" w:space="0" w:color="auto"/>
        <w:right w:val="none" w:sz="0" w:space="0" w:color="auto"/>
      </w:divBdr>
      <w:divsChild>
        <w:div w:id="2109766693">
          <w:marLeft w:val="0"/>
          <w:marRight w:val="0"/>
          <w:marTop w:val="0"/>
          <w:marBottom w:val="0"/>
          <w:divBdr>
            <w:top w:val="none" w:sz="0" w:space="0" w:color="auto"/>
            <w:left w:val="none" w:sz="0" w:space="0" w:color="auto"/>
            <w:bottom w:val="none" w:sz="0" w:space="0" w:color="auto"/>
            <w:right w:val="none" w:sz="0" w:space="0" w:color="auto"/>
          </w:divBdr>
          <w:divsChild>
            <w:div w:id="1825077126">
              <w:marLeft w:val="0"/>
              <w:marRight w:val="0"/>
              <w:marTop w:val="0"/>
              <w:marBottom w:val="0"/>
              <w:divBdr>
                <w:top w:val="none" w:sz="0" w:space="0" w:color="auto"/>
                <w:left w:val="none" w:sz="0" w:space="0" w:color="auto"/>
                <w:bottom w:val="none" w:sz="0" w:space="0" w:color="auto"/>
                <w:right w:val="none" w:sz="0" w:space="0" w:color="auto"/>
              </w:divBdr>
              <w:divsChild>
                <w:div w:id="1953247522">
                  <w:marLeft w:val="0"/>
                  <w:marRight w:val="0"/>
                  <w:marTop w:val="0"/>
                  <w:marBottom w:val="0"/>
                  <w:divBdr>
                    <w:top w:val="none" w:sz="0" w:space="0" w:color="auto"/>
                    <w:left w:val="none" w:sz="0" w:space="0" w:color="auto"/>
                    <w:bottom w:val="none" w:sz="0" w:space="0" w:color="auto"/>
                    <w:right w:val="none" w:sz="0" w:space="0" w:color="auto"/>
                  </w:divBdr>
                  <w:divsChild>
                    <w:div w:id="55128741">
                      <w:marLeft w:val="0"/>
                      <w:marRight w:val="0"/>
                      <w:marTop w:val="0"/>
                      <w:marBottom w:val="0"/>
                      <w:divBdr>
                        <w:top w:val="none" w:sz="0" w:space="0" w:color="auto"/>
                        <w:left w:val="none" w:sz="0" w:space="0" w:color="auto"/>
                        <w:bottom w:val="none" w:sz="0" w:space="0" w:color="auto"/>
                        <w:right w:val="none" w:sz="0" w:space="0" w:color="auto"/>
                      </w:divBdr>
                      <w:divsChild>
                        <w:div w:id="1047142439">
                          <w:marLeft w:val="0"/>
                          <w:marRight w:val="0"/>
                          <w:marTop w:val="0"/>
                          <w:marBottom w:val="0"/>
                          <w:divBdr>
                            <w:top w:val="none" w:sz="0" w:space="0" w:color="auto"/>
                            <w:left w:val="none" w:sz="0" w:space="0" w:color="auto"/>
                            <w:bottom w:val="none" w:sz="0" w:space="0" w:color="auto"/>
                            <w:right w:val="none" w:sz="0" w:space="0" w:color="auto"/>
                          </w:divBdr>
                          <w:divsChild>
                            <w:div w:id="21069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154785">
      <w:bodyDiv w:val="1"/>
      <w:marLeft w:val="0"/>
      <w:marRight w:val="0"/>
      <w:marTop w:val="0"/>
      <w:marBottom w:val="0"/>
      <w:divBdr>
        <w:top w:val="none" w:sz="0" w:space="0" w:color="auto"/>
        <w:left w:val="none" w:sz="0" w:space="0" w:color="auto"/>
        <w:bottom w:val="none" w:sz="0" w:space="0" w:color="auto"/>
        <w:right w:val="none" w:sz="0" w:space="0" w:color="auto"/>
      </w:divBdr>
    </w:div>
    <w:div w:id="840580482">
      <w:bodyDiv w:val="1"/>
      <w:marLeft w:val="0"/>
      <w:marRight w:val="0"/>
      <w:marTop w:val="0"/>
      <w:marBottom w:val="0"/>
      <w:divBdr>
        <w:top w:val="none" w:sz="0" w:space="0" w:color="auto"/>
        <w:left w:val="none" w:sz="0" w:space="0" w:color="auto"/>
        <w:bottom w:val="none" w:sz="0" w:space="0" w:color="auto"/>
        <w:right w:val="none" w:sz="0" w:space="0" w:color="auto"/>
      </w:divBdr>
      <w:divsChild>
        <w:div w:id="1532257318">
          <w:marLeft w:val="576"/>
          <w:marRight w:val="0"/>
          <w:marTop w:val="120"/>
          <w:marBottom w:val="0"/>
          <w:divBdr>
            <w:top w:val="none" w:sz="0" w:space="0" w:color="auto"/>
            <w:left w:val="none" w:sz="0" w:space="0" w:color="auto"/>
            <w:bottom w:val="none" w:sz="0" w:space="0" w:color="auto"/>
            <w:right w:val="none" w:sz="0" w:space="0" w:color="auto"/>
          </w:divBdr>
        </w:div>
      </w:divsChild>
    </w:div>
    <w:div w:id="848954696">
      <w:bodyDiv w:val="1"/>
      <w:marLeft w:val="0"/>
      <w:marRight w:val="0"/>
      <w:marTop w:val="0"/>
      <w:marBottom w:val="0"/>
      <w:divBdr>
        <w:top w:val="none" w:sz="0" w:space="0" w:color="auto"/>
        <w:left w:val="none" w:sz="0" w:space="0" w:color="auto"/>
        <w:bottom w:val="none" w:sz="0" w:space="0" w:color="auto"/>
        <w:right w:val="none" w:sz="0" w:space="0" w:color="auto"/>
      </w:divBdr>
      <w:divsChild>
        <w:div w:id="278682919">
          <w:marLeft w:val="0"/>
          <w:marRight w:val="0"/>
          <w:marTop w:val="0"/>
          <w:marBottom w:val="0"/>
          <w:divBdr>
            <w:top w:val="none" w:sz="0" w:space="0" w:color="auto"/>
            <w:left w:val="none" w:sz="0" w:space="0" w:color="auto"/>
            <w:bottom w:val="none" w:sz="0" w:space="0" w:color="auto"/>
            <w:right w:val="none" w:sz="0" w:space="0" w:color="auto"/>
          </w:divBdr>
        </w:div>
      </w:divsChild>
    </w:div>
    <w:div w:id="852917704">
      <w:bodyDiv w:val="1"/>
      <w:marLeft w:val="0"/>
      <w:marRight w:val="0"/>
      <w:marTop w:val="0"/>
      <w:marBottom w:val="0"/>
      <w:divBdr>
        <w:top w:val="none" w:sz="0" w:space="0" w:color="auto"/>
        <w:left w:val="none" w:sz="0" w:space="0" w:color="auto"/>
        <w:bottom w:val="none" w:sz="0" w:space="0" w:color="auto"/>
        <w:right w:val="none" w:sz="0" w:space="0" w:color="auto"/>
      </w:divBdr>
    </w:div>
    <w:div w:id="878082236">
      <w:bodyDiv w:val="1"/>
      <w:marLeft w:val="0"/>
      <w:marRight w:val="0"/>
      <w:marTop w:val="0"/>
      <w:marBottom w:val="0"/>
      <w:divBdr>
        <w:top w:val="none" w:sz="0" w:space="0" w:color="auto"/>
        <w:left w:val="none" w:sz="0" w:space="0" w:color="auto"/>
        <w:bottom w:val="none" w:sz="0" w:space="0" w:color="auto"/>
        <w:right w:val="none" w:sz="0" w:space="0" w:color="auto"/>
      </w:divBdr>
      <w:divsChild>
        <w:div w:id="173033482">
          <w:marLeft w:val="0"/>
          <w:marRight w:val="0"/>
          <w:marTop w:val="0"/>
          <w:marBottom w:val="0"/>
          <w:divBdr>
            <w:top w:val="none" w:sz="0" w:space="0" w:color="auto"/>
            <w:left w:val="none" w:sz="0" w:space="0" w:color="auto"/>
            <w:bottom w:val="none" w:sz="0" w:space="0" w:color="auto"/>
            <w:right w:val="none" w:sz="0" w:space="0" w:color="auto"/>
          </w:divBdr>
          <w:divsChild>
            <w:div w:id="1240166284">
              <w:marLeft w:val="0"/>
              <w:marRight w:val="0"/>
              <w:marTop w:val="0"/>
              <w:marBottom w:val="0"/>
              <w:divBdr>
                <w:top w:val="none" w:sz="0" w:space="0" w:color="auto"/>
                <w:left w:val="none" w:sz="0" w:space="0" w:color="auto"/>
                <w:bottom w:val="none" w:sz="0" w:space="0" w:color="auto"/>
                <w:right w:val="none" w:sz="0" w:space="0" w:color="auto"/>
              </w:divBdr>
              <w:divsChild>
                <w:div w:id="14627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6536">
      <w:bodyDiv w:val="1"/>
      <w:marLeft w:val="0"/>
      <w:marRight w:val="0"/>
      <w:marTop w:val="0"/>
      <w:marBottom w:val="0"/>
      <w:divBdr>
        <w:top w:val="none" w:sz="0" w:space="0" w:color="auto"/>
        <w:left w:val="none" w:sz="0" w:space="0" w:color="auto"/>
        <w:bottom w:val="none" w:sz="0" w:space="0" w:color="auto"/>
        <w:right w:val="none" w:sz="0" w:space="0" w:color="auto"/>
      </w:divBdr>
    </w:div>
    <w:div w:id="890923042">
      <w:bodyDiv w:val="1"/>
      <w:marLeft w:val="0"/>
      <w:marRight w:val="0"/>
      <w:marTop w:val="0"/>
      <w:marBottom w:val="0"/>
      <w:divBdr>
        <w:top w:val="none" w:sz="0" w:space="0" w:color="auto"/>
        <w:left w:val="none" w:sz="0" w:space="0" w:color="auto"/>
        <w:bottom w:val="none" w:sz="0" w:space="0" w:color="auto"/>
        <w:right w:val="none" w:sz="0" w:space="0" w:color="auto"/>
      </w:divBdr>
    </w:div>
    <w:div w:id="899246626">
      <w:bodyDiv w:val="1"/>
      <w:marLeft w:val="0"/>
      <w:marRight w:val="0"/>
      <w:marTop w:val="0"/>
      <w:marBottom w:val="0"/>
      <w:divBdr>
        <w:top w:val="none" w:sz="0" w:space="0" w:color="auto"/>
        <w:left w:val="none" w:sz="0" w:space="0" w:color="auto"/>
        <w:bottom w:val="none" w:sz="0" w:space="0" w:color="auto"/>
        <w:right w:val="none" w:sz="0" w:space="0" w:color="auto"/>
      </w:divBdr>
    </w:div>
    <w:div w:id="907497381">
      <w:bodyDiv w:val="1"/>
      <w:marLeft w:val="0"/>
      <w:marRight w:val="0"/>
      <w:marTop w:val="0"/>
      <w:marBottom w:val="0"/>
      <w:divBdr>
        <w:top w:val="none" w:sz="0" w:space="0" w:color="auto"/>
        <w:left w:val="none" w:sz="0" w:space="0" w:color="auto"/>
        <w:bottom w:val="none" w:sz="0" w:space="0" w:color="auto"/>
        <w:right w:val="none" w:sz="0" w:space="0" w:color="auto"/>
      </w:divBdr>
    </w:div>
    <w:div w:id="921333502">
      <w:bodyDiv w:val="1"/>
      <w:marLeft w:val="0"/>
      <w:marRight w:val="0"/>
      <w:marTop w:val="0"/>
      <w:marBottom w:val="0"/>
      <w:divBdr>
        <w:top w:val="none" w:sz="0" w:space="0" w:color="auto"/>
        <w:left w:val="none" w:sz="0" w:space="0" w:color="auto"/>
        <w:bottom w:val="none" w:sz="0" w:space="0" w:color="auto"/>
        <w:right w:val="none" w:sz="0" w:space="0" w:color="auto"/>
      </w:divBdr>
      <w:divsChild>
        <w:div w:id="1787041431">
          <w:marLeft w:val="0"/>
          <w:marRight w:val="0"/>
          <w:marTop w:val="0"/>
          <w:marBottom w:val="0"/>
          <w:divBdr>
            <w:top w:val="none" w:sz="0" w:space="0" w:color="auto"/>
            <w:left w:val="none" w:sz="0" w:space="0" w:color="auto"/>
            <w:bottom w:val="none" w:sz="0" w:space="0" w:color="auto"/>
            <w:right w:val="none" w:sz="0" w:space="0" w:color="auto"/>
          </w:divBdr>
          <w:divsChild>
            <w:div w:id="1063483376">
              <w:marLeft w:val="0"/>
              <w:marRight w:val="0"/>
              <w:marTop w:val="0"/>
              <w:marBottom w:val="0"/>
              <w:divBdr>
                <w:top w:val="none" w:sz="0" w:space="0" w:color="auto"/>
                <w:left w:val="none" w:sz="0" w:space="0" w:color="auto"/>
                <w:bottom w:val="none" w:sz="0" w:space="0" w:color="auto"/>
                <w:right w:val="none" w:sz="0" w:space="0" w:color="auto"/>
              </w:divBdr>
              <w:divsChild>
                <w:div w:id="1170216413">
                  <w:marLeft w:val="0"/>
                  <w:marRight w:val="0"/>
                  <w:marTop w:val="0"/>
                  <w:marBottom w:val="0"/>
                  <w:divBdr>
                    <w:top w:val="none" w:sz="0" w:space="0" w:color="auto"/>
                    <w:left w:val="none" w:sz="0" w:space="0" w:color="auto"/>
                    <w:bottom w:val="none" w:sz="0" w:space="0" w:color="auto"/>
                    <w:right w:val="none" w:sz="0" w:space="0" w:color="auto"/>
                  </w:divBdr>
                  <w:divsChild>
                    <w:div w:id="1331063417">
                      <w:marLeft w:val="0"/>
                      <w:marRight w:val="0"/>
                      <w:marTop w:val="0"/>
                      <w:marBottom w:val="0"/>
                      <w:divBdr>
                        <w:top w:val="none" w:sz="0" w:space="0" w:color="auto"/>
                        <w:left w:val="none" w:sz="0" w:space="0" w:color="auto"/>
                        <w:bottom w:val="none" w:sz="0" w:space="0" w:color="auto"/>
                        <w:right w:val="none" w:sz="0" w:space="0" w:color="auto"/>
                      </w:divBdr>
                      <w:divsChild>
                        <w:div w:id="1486044667">
                          <w:marLeft w:val="0"/>
                          <w:marRight w:val="0"/>
                          <w:marTop w:val="0"/>
                          <w:marBottom w:val="0"/>
                          <w:divBdr>
                            <w:top w:val="none" w:sz="0" w:space="0" w:color="auto"/>
                            <w:left w:val="none" w:sz="0" w:space="0" w:color="auto"/>
                            <w:bottom w:val="none" w:sz="0" w:space="0" w:color="auto"/>
                            <w:right w:val="none" w:sz="0" w:space="0" w:color="auto"/>
                          </w:divBdr>
                          <w:divsChild>
                            <w:div w:id="1871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90945">
      <w:bodyDiv w:val="1"/>
      <w:marLeft w:val="0"/>
      <w:marRight w:val="0"/>
      <w:marTop w:val="0"/>
      <w:marBottom w:val="0"/>
      <w:divBdr>
        <w:top w:val="none" w:sz="0" w:space="0" w:color="auto"/>
        <w:left w:val="none" w:sz="0" w:space="0" w:color="auto"/>
        <w:bottom w:val="none" w:sz="0" w:space="0" w:color="auto"/>
        <w:right w:val="none" w:sz="0" w:space="0" w:color="auto"/>
      </w:divBdr>
    </w:div>
    <w:div w:id="943461670">
      <w:bodyDiv w:val="1"/>
      <w:marLeft w:val="0"/>
      <w:marRight w:val="0"/>
      <w:marTop w:val="0"/>
      <w:marBottom w:val="0"/>
      <w:divBdr>
        <w:top w:val="none" w:sz="0" w:space="0" w:color="auto"/>
        <w:left w:val="none" w:sz="0" w:space="0" w:color="auto"/>
        <w:bottom w:val="none" w:sz="0" w:space="0" w:color="auto"/>
        <w:right w:val="none" w:sz="0" w:space="0" w:color="auto"/>
      </w:divBdr>
    </w:div>
    <w:div w:id="972755804">
      <w:bodyDiv w:val="1"/>
      <w:marLeft w:val="0"/>
      <w:marRight w:val="0"/>
      <w:marTop w:val="0"/>
      <w:marBottom w:val="0"/>
      <w:divBdr>
        <w:top w:val="none" w:sz="0" w:space="0" w:color="auto"/>
        <w:left w:val="none" w:sz="0" w:space="0" w:color="auto"/>
        <w:bottom w:val="none" w:sz="0" w:space="0" w:color="auto"/>
        <w:right w:val="none" w:sz="0" w:space="0" w:color="auto"/>
      </w:divBdr>
    </w:div>
    <w:div w:id="989752492">
      <w:bodyDiv w:val="1"/>
      <w:marLeft w:val="0"/>
      <w:marRight w:val="0"/>
      <w:marTop w:val="0"/>
      <w:marBottom w:val="0"/>
      <w:divBdr>
        <w:top w:val="none" w:sz="0" w:space="0" w:color="auto"/>
        <w:left w:val="none" w:sz="0" w:space="0" w:color="auto"/>
        <w:bottom w:val="none" w:sz="0" w:space="0" w:color="auto"/>
        <w:right w:val="none" w:sz="0" w:space="0" w:color="auto"/>
      </w:divBdr>
    </w:div>
    <w:div w:id="1016615946">
      <w:bodyDiv w:val="1"/>
      <w:marLeft w:val="0"/>
      <w:marRight w:val="0"/>
      <w:marTop w:val="0"/>
      <w:marBottom w:val="0"/>
      <w:divBdr>
        <w:top w:val="none" w:sz="0" w:space="0" w:color="auto"/>
        <w:left w:val="none" w:sz="0" w:space="0" w:color="auto"/>
        <w:bottom w:val="none" w:sz="0" w:space="0" w:color="auto"/>
        <w:right w:val="none" w:sz="0" w:space="0" w:color="auto"/>
      </w:divBdr>
      <w:divsChild>
        <w:div w:id="1777943982">
          <w:marLeft w:val="0"/>
          <w:marRight w:val="0"/>
          <w:marTop w:val="525"/>
          <w:marBottom w:val="0"/>
          <w:divBdr>
            <w:top w:val="none" w:sz="0" w:space="0" w:color="auto"/>
            <w:left w:val="none" w:sz="0" w:space="0" w:color="auto"/>
            <w:bottom w:val="none" w:sz="0" w:space="0" w:color="auto"/>
            <w:right w:val="none" w:sz="0" w:space="0" w:color="auto"/>
          </w:divBdr>
          <w:divsChild>
            <w:div w:id="7860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4498">
      <w:bodyDiv w:val="1"/>
      <w:marLeft w:val="0"/>
      <w:marRight w:val="0"/>
      <w:marTop w:val="0"/>
      <w:marBottom w:val="0"/>
      <w:divBdr>
        <w:top w:val="none" w:sz="0" w:space="0" w:color="auto"/>
        <w:left w:val="none" w:sz="0" w:space="0" w:color="auto"/>
        <w:bottom w:val="none" w:sz="0" w:space="0" w:color="auto"/>
        <w:right w:val="none" w:sz="0" w:space="0" w:color="auto"/>
      </w:divBdr>
      <w:divsChild>
        <w:div w:id="539631149">
          <w:marLeft w:val="0"/>
          <w:marRight w:val="0"/>
          <w:marTop w:val="0"/>
          <w:marBottom w:val="0"/>
          <w:divBdr>
            <w:top w:val="none" w:sz="0" w:space="0" w:color="auto"/>
            <w:left w:val="none" w:sz="0" w:space="0" w:color="auto"/>
            <w:bottom w:val="none" w:sz="0" w:space="0" w:color="auto"/>
            <w:right w:val="none" w:sz="0" w:space="0" w:color="auto"/>
          </w:divBdr>
          <w:divsChild>
            <w:div w:id="1671254276">
              <w:marLeft w:val="0"/>
              <w:marRight w:val="0"/>
              <w:marTop w:val="0"/>
              <w:marBottom w:val="0"/>
              <w:divBdr>
                <w:top w:val="none" w:sz="0" w:space="0" w:color="auto"/>
                <w:left w:val="none" w:sz="0" w:space="0" w:color="auto"/>
                <w:bottom w:val="none" w:sz="0" w:space="0" w:color="auto"/>
                <w:right w:val="none" w:sz="0" w:space="0" w:color="auto"/>
              </w:divBdr>
              <w:divsChild>
                <w:div w:id="1703704487">
                  <w:marLeft w:val="0"/>
                  <w:marRight w:val="0"/>
                  <w:marTop w:val="0"/>
                  <w:marBottom w:val="0"/>
                  <w:divBdr>
                    <w:top w:val="none" w:sz="0" w:space="0" w:color="auto"/>
                    <w:left w:val="none" w:sz="0" w:space="0" w:color="auto"/>
                    <w:bottom w:val="none" w:sz="0" w:space="0" w:color="auto"/>
                    <w:right w:val="none" w:sz="0" w:space="0" w:color="auto"/>
                  </w:divBdr>
                  <w:divsChild>
                    <w:div w:id="418332719">
                      <w:marLeft w:val="0"/>
                      <w:marRight w:val="0"/>
                      <w:marTop w:val="0"/>
                      <w:marBottom w:val="0"/>
                      <w:divBdr>
                        <w:top w:val="none" w:sz="0" w:space="0" w:color="auto"/>
                        <w:left w:val="none" w:sz="0" w:space="0" w:color="auto"/>
                        <w:bottom w:val="none" w:sz="0" w:space="0" w:color="auto"/>
                        <w:right w:val="none" w:sz="0" w:space="0" w:color="auto"/>
                      </w:divBdr>
                      <w:divsChild>
                        <w:div w:id="451870834">
                          <w:marLeft w:val="0"/>
                          <w:marRight w:val="0"/>
                          <w:marTop w:val="0"/>
                          <w:marBottom w:val="0"/>
                          <w:divBdr>
                            <w:top w:val="none" w:sz="0" w:space="0" w:color="auto"/>
                            <w:left w:val="none" w:sz="0" w:space="0" w:color="auto"/>
                            <w:bottom w:val="none" w:sz="0" w:space="0" w:color="auto"/>
                            <w:right w:val="none" w:sz="0" w:space="0" w:color="auto"/>
                          </w:divBdr>
                          <w:divsChild>
                            <w:div w:id="13602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49326">
      <w:bodyDiv w:val="1"/>
      <w:marLeft w:val="0"/>
      <w:marRight w:val="0"/>
      <w:marTop w:val="0"/>
      <w:marBottom w:val="0"/>
      <w:divBdr>
        <w:top w:val="none" w:sz="0" w:space="0" w:color="auto"/>
        <w:left w:val="none" w:sz="0" w:space="0" w:color="auto"/>
        <w:bottom w:val="none" w:sz="0" w:space="0" w:color="auto"/>
        <w:right w:val="none" w:sz="0" w:space="0" w:color="auto"/>
      </w:divBdr>
    </w:div>
    <w:div w:id="1049762522">
      <w:bodyDiv w:val="1"/>
      <w:marLeft w:val="0"/>
      <w:marRight w:val="0"/>
      <w:marTop w:val="0"/>
      <w:marBottom w:val="0"/>
      <w:divBdr>
        <w:top w:val="none" w:sz="0" w:space="0" w:color="auto"/>
        <w:left w:val="none" w:sz="0" w:space="0" w:color="auto"/>
        <w:bottom w:val="none" w:sz="0" w:space="0" w:color="auto"/>
        <w:right w:val="none" w:sz="0" w:space="0" w:color="auto"/>
      </w:divBdr>
    </w:div>
    <w:div w:id="1050960736">
      <w:bodyDiv w:val="1"/>
      <w:marLeft w:val="0"/>
      <w:marRight w:val="0"/>
      <w:marTop w:val="0"/>
      <w:marBottom w:val="0"/>
      <w:divBdr>
        <w:top w:val="none" w:sz="0" w:space="0" w:color="auto"/>
        <w:left w:val="none" w:sz="0" w:space="0" w:color="auto"/>
        <w:bottom w:val="none" w:sz="0" w:space="0" w:color="auto"/>
        <w:right w:val="none" w:sz="0" w:space="0" w:color="auto"/>
      </w:divBdr>
      <w:divsChild>
        <w:div w:id="1838036120">
          <w:marLeft w:val="0"/>
          <w:marRight w:val="0"/>
          <w:marTop w:val="0"/>
          <w:marBottom w:val="0"/>
          <w:divBdr>
            <w:top w:val="none" w:sz="0" w:space="0" w:color="auto"/>
            <w:left w:val="none" w:sz="0" w:space="0" w:color="auto"/>
            <w:bottom w:val="none" w:sz="0" w:space="0" w:color="auto"/>
            <w:right w:val="none" w:sz="0" w:space="0" w:color="auto"/>
          </w:divBdr>
          <w:divsChild>
            <w:div w:id="1922596085">
              <w:marLeft w:val="0"/>
              <w:marRight w:val="0"/>
              <w:marTop w:val="0"/>
              <w:marBottom w:val="0"/>
              <w:divBdr>
                <w:top w:val="none" w:sz="0" w:space="0" w:color="auto"/>
                <w:left w:val="none" w:sz="0" w:space="0" w:color="auto"/>
                <w:bottom w:val="none" w:sz="0" w:space="0" w:color="auto"/>
                <w:right w:val="none" w:sz="0" w:space="0" w:color="auto"/>
              </w:divBdr>
              <w:divsChild>
                <w:div w:id="1183595854">
                  <w:marLeft w:val="0"/>
                  <w:marRight w:val="0"/>
                  <w:marTop w:val="0"/>
                  <w:marBottom w:val="0"/>
                  <w:divBdr>
                    <w:top w:val="none" w:sz="0" w:space="0" w:color="auto"/>
                    <w:left w:val="none" w:sz="0" w:space="0" w:color="auto"/>
                    <w:bottom w:val="none" w:sz="0" w:space="0" w:color="auto"/>
                    <w:right w:val="none" w:sz="0" w:space="0" w:color="auto"/>
                  </w:divBdr>
                  <w:divsChild>
                    <w:div w:id="1554385772">
                      <w:marLeft w:val="0"/>
                      <w:marRight w:val="0"/>
                      <w:marTop w:val="0"/>
                      <w:marBottom w:val="0"/>
                      <w:divBdr>
                        <w:top w:val="none" w:sz="0" w:space="0" w:color="auto"/>
                        <w:left w:val="none" w:sz="0" w:space="0" w:color="auto"/>
                        <w:bottom w:val="none" w:sz="0" w:space="0" w:color="auto"/>
                        <w:right w:val="none" w:sz="0" w:space="0" w:color="auto"/>
                      </w:divBdr>
                      <w:divsChild>
                        <w:div w:id="1981375137">
                          <w:marLeft w:val="0"/>
                          <w:marRight w:val="0"/>
                          <w:marTop w:val="0"/>
                          <w:marBottom w:val="0"/>
                          <w:divBdr>
                            <w:top w:val="none" w:sz="0" w:space="0" w:color="auto"/>
                            <w:left w:val="none" w:sz="0" w:space="0" w:color="auto"/>
                            <w:bottom w:val="none" w:sz="0" w:space="0" w:color="auto"/>
                            <w:right w:val="none" w:sz="0" w:space="0" w:color="auto"/>
                          </w:divBdr>
                          <w:divsChild>
                            <w:div w:id="204604599">
                              <w:marLeft w:val="0"/>
                              <w:marRight w:val="0"/>
                              <w:marTop w:val="0"/>
                              <w:marBottom w:val="0"/>
                              <w:divBdr>
                                <w:top w:val="none" w:sz="0" w:space="0" w:color="auto"/>
                                <w:left w:val="none" w:sz="0" w:space="0" w:color="auto"/>
                                <w:bottom w:val="none" w:sz="0" w:space="0" w:color="auto"/>
                                <w:right w:val="none" w:sz="0" w:space="0" w:color="auto"/>
                              </w:divBdr>
                              <w:divsChild>
                                <w:div w:id="1552418490">
                                  <w:marLeft w:val="0"/>
                                  <w:marRight w:val="0"/>
                                  <w:marTop w:val="0"/>
                                  <w:marBottom w:val="0"/>
                                  <w:divBdr>
                                    <w:top w:val="none" w:sz="0" w:space="0" w:color="auto"/>
                                    <w:left w:val="none" w:sz="0" w:space="0" w:color="auto"/>
                                    <w:bottom w:val="none" w:sz="0" w:space="0" w:color="auto"/>
                                    <w:right w:val="none" w:sz="0" w:space="0" w:color="auto"/>
                                  </w:divBdr>
                                  <w:divsChild>
                                    <w:div w:id="1438021402">
                                      <w:marLeft w:val="0"/>
                                      <w:marRight w:val="0"/>
                                      <w:marTop w:val="0"/>
                                      <w:marBottom w:val="0"/>
                                      <w:divBdr>
                                        <w:top w:val="none" w:sz="0" w:space="0" w:color="auto"/>
                                        <w:left w:val="none" w:sz="0" w:space="0" w:color="auto"/>
                                        <w:bottom w:val="none" w:sz="0" w:space="0" w:color="auto"/>
                                        <w:right w:val="none" w:sz="0" w:space="0" w:color="auto"/>
                                      </w:divBdr>
                                      <w:divsChild>
                                        <w:div w:id="2092657063">
                                          <w:marLeft w:val="0"/>
                                          <w:marRight w:val="0"/>
                                          <w:marTop w:val="0"/>
                                          <w:marBottom w:val="0"/>
                                          <w:divBdr>
                                            <w:top w:val="none" w:sz="0" w:space="0" w:color="auto"/>
                                            <w:left w:val="none" w:sz="0" w:space="0" w:color="auto"/>
                                            <w:bottom w:val="none" w:sz="0" w:space="0" w:color="auto"/>
                                            <w:right w:val="none" w:sz="0" w:space="0" w:color="auto"/>
                                          </w:divBdr>
                                          <w:divsChild>
                                            <w:div w:id="1978144579">
                                              <w:marLeft w:val="0"/>
                                              <w:marRight w:val="0"/>
                                              <w:marTop w:val="0"/>
                                              <w:marBottom w:val="0"/>
                                              <w:divBdr>
                                                <w:top w:val="none" w:sz="0" w:space="0" w:color="auto"/>
                                                <w:left w:val="none" w:sz="0" w:space="0" w:color="auto"/>
                                                <w:bottom w:val="none" w:sz="0" w:space="0" w:color="auto"/>
                                                <w:right w:val="none" w:sz="0" w:space="0" w:color="auto"/>
                                              </w:divBdr>
                                              <w:divsChild>
                                                <w:div w:id="331563432">
                                                  <w:marLeft w:val="0"/>
                                                  <w:marRight w:val="0"/>
                                                  <w:marTop w:val="0"/>
                                                  <w:marBottom w:val="0"/>
                                                  <w:divBdr>
                                                    <w:top w:val="none" w:sz="0" w:space="0" w:color="auto"/>
                                                    <w:left w:val="none" w:sz="0" w:space="0" w:color="auto"/>
                                                    <w:bottom w:val="none" w:sz="0" w:space="0" w:color="auto"/>
                                                    <w:right w:val="none" w:sz="0" w:space="0" w:color="auto"/>
                                                  </w:divBdr>
                                                  <w:divsChild>
                                                    <w:div w:id="4532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131092">
      <w:bodyDiv w:val="1"/>
      <w:marLeft w:val="0"/>
      <w:marRight w:val="0"/>
      <w:marTop w:val="0"/>
      <w:marBottom w:val="0"/>
      <w:divBdr>
        <w:top w:val="none" w:sz="0" w:space="0" w:color="auto"/>
        <w:left w:val="none" w:sz="0" w:space="0" w:color="auto"/>
        <w:bottom w:val="none" w:sz="0" w:space="0" w:color="auto"/>
        <w:right w:val="none" w:sz="0" w:space="0" w:color="auto"/>
      </w:divBdr>
      <w:divsChild>
        <w:div w:id="1986012558">
          <w:marLeft w:val="0"/>
          <w:marRight w:val="0"/>
          <w:marTop w:val="0"/>
          <w:marBottom w:val="0"/>
          <w:divBdr>
            <w:top w:val="none" w:sz="0" w:space="0" w:color="auto"/>
            <w:left w:val="none" w:sz="0" w:space="0" w:color="auto"/>
            <w:bottom w:val="none" w:sz="0" w:space="0" w:color="auto"/>
            <w:right w:val="none" w:sz="0" w:space="0" w:color="auto"/>
          </w:divBdr>
          <w:divsChild>
            <w:div w:id="1418794976">
              <w:marLeft w:val="0"/>
              <w:marRight w:val="0"/>
              <w:marTop w:val="0"/>
              <w:marBottom w:val="0"/>
              <w:divBdr>
                <w:top w:val="none" w:sz="0" w:space="0" w:color="auto"/>
                <w:left w:val="none" w:sz="0" w:space="0" w:color="auto"/>
                <w:bottom w:val="none" w:sz="0" w:space="0" w:color="auto"/>
                <w:right w:val="none" w:sz="0" w:space="0" w:color="auto"/>
              </w:divBdr>
              <w:divsChild>
                <w:div w:id="2118718724">
                  <w:marLeft w:val="0"/>
                  <w:marRight w:val="0"/>
                  <w:marTop w:val="0"/>
                  <w:marBottom w:val="0"/>
                  <w:divBdr>
                    <w:top w:val="none" w:sz="0" w:space="0" w:color="auto"/>
                    <w:left w:val="none" w:sz="0" w:space="0" w:color="auto"/>
                    <w:bottom w:val="none" w:sz="0" w:space="0" w:color="auto"/>
                    <w:right w:val="none" w:sz="0" w:space="0" w:color="auto"/>
                  </w:divBdr>
                  <w:divsChild>
                    <w:div w:id="552472043">
                      <w:marLeft w:val="0"/>
                      <w:marRight w:val="0"/>
                      <w:marTop w:val="0"/>
                      <w:marBottom w:val="0"/>
                      <w:divBdr>
                        <w:top w:val="none" w:sz="0" w:space="0" w:color="auto"/>
                        <w:left w:val="none" w:sz="0" w:space="0" w:color="auto"/>
                        <w:bottom w:val="none" w:sz="0" w:space="0" w:color="auto"/>
                        <w:right w:val="none" w:sz="0" w:space="0" w:color="auto"/>
                      </w:divBdr>
                      <w:divsChild>
                        <w:div w:id="1683051947">
                          <w:marLeft w:val="0"/>
                          <w:marRight w:val="0"/>
                          <w:marTop w:val="0"/>
                          <w:marBottom w:val="0"/>
                          <w:divBdr>
                            <w:top w:val="none" w:sz="0" w:space="0" w:color="auto"/>
                            <w:left w:val="none" w:sz="0" w:space="0" w:color="auto"/>
                            <w:bottom w:val="none" w:sz="0" w:space="0" w:color="auto"/>
                            <w:right w:val="none" w:sz="0" w:space="0" w:color="auto"/>
                          </w:divBdr>
                          <w:divsChild>
                            <w:div w:id="11810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52084">
      <w:bodyDiv w:val="1"/>
      <w:marLeft w:val="0"/>
      <w:marRight w:val="0"/>
      <w:marTop w:val="0"/>
      <w:marBottom w:val="0"/>
      <w:divBdr>
        <w:top w:val="none" w:sz="0" w:space="0" w:color="auto"/>
        <w:left w:val="none" w:sz="0" w:space="0" w:color="auto"/>
        <w:bottom w:val="none" w:sz="0" w:space="0" w:color="auto"/>
        <w:right w:val="none" w:sz="0" w:space="0" w:color="auto"/>
      </w:divBdr>
      <w:divsChild>
        <w:div w:id="728923503">
          <w:marLeft w:val="0"/>
          <w:marRight w:val="0"/>
          <w:marTop w:val="0"/>
          <w:marBottom w:val="0"/>
          <w:divBdr>
            <w:top w:val="none" w:sz="0" w:space="0" w:color="auto"/>
            <w:left w:val="none" w:sz="0" w:space="0" w:color="auto"/>
            <w:bottom w:val="none" w:sz="0" w:space="0" w:color="auto"/>
            <w:right w:val="none" w:sz="0" w:space="0" w:color="auto"/>
          </w:divBdr>
          <w:divsChild>
            <w:div w:id="362560861">
              <w:marLeft w:val="0"/>
              <w:marRight w:val="0"/>
              <w:marTop w:val="0"/>
              <w:marBottom w:val="0"/>
              <w:divBdr>
                <w:top w:val="none" w:sz="0" w:space="0" w:color="auto"/>
                <w:left w:val="none" w:sz="0" w:space="0" w:color="auto"/>
                <w:bottom w:val="none" w:sz="0" w:space="0" w:color="auto"/>
                <w:right w:val="none" w:sz="0" w:space="0" w:color="auto"/>
              </w:divBdr>
              <w:divsChild>
                <w:div w:id="1993286235">
                  <w:marLeft w:val="0"/>
                  <w:marRight w:val="0"/>
                  <w:marTop w:val="0"/>
                  <w:marBottom w:val="0"/>
                  <w:divBdr>
                    <w:top w:val="none" w:sz="0" w:space="0" w:color="auto"/>
                    <w:left w:val="none" w:sz="0" w:space="0" w:color="auto"/>
                    <w:bottom w:val="none" w:sz="0" w:space="0" w:color="auto"/>
                    <w:right w:val="none" w:sz="0" w:space="0" w:color="auto"/>
                  </w:divBdr>
                  <w:divsChild>
                    <w:div w:id="959460048">
                      <w:marLeft w:val="0"/>
                      <w:marRight w:val="0"/>
                      <w:marTop w:val="0"/>
                      <w:marBottom w:val="0"/>
                      <w:divBdr>
                        <w:top w:val="none" w:sz="0" w:space="0" w:color="auto"/>
                        <w:left w:val="none" w:sz="0" w:space="0" w:color="auto"/>
                        <w:bottom w:val="none" w:sz="0" w:space="0" w:color="auto"/>
                        <w:right w:val="none" w:sz="0" w:space="0" w:color="auto"/>
                      </w:divBdr>
                      <w:divsChild>
                        <w:div w:id="840698705">
                          <w:marLeft w:val="0"/>
                          <w:marRight w:val="0"/>
                          <w:marTop w:val="0"/>
                          <w:marBottom w:val="0"/>
                          <w:divBdr>
                            <w:top w:val="none" w:sz="0" w:space="0" w:color="auto"/>
                            <w:left w:val="none" w:sz="0" w:space="0" w:color="auto"/>
                            <w:bottom w:val="none" w:sz="0" w:space="0" w:color="auto"/>
                            <w:right w:val="none" w:sz="0" w:space="0" w:color="auto"/>
                          </w:divBdr>
                          <w:divsChild>
                            <w:div w:id="14496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84812">
      <w:bodyDiv w:val="1"/>
      <w:marLeft w:val="0"/>
      <w:marRight w:val="0"/>
      <w:marTop w:val="0"/>
      <w:marBottom w:val="0"/>
      <w:divBdr>
        <w:top w:val="none" w:sz="0" w:space="0" w:color="auto"/>
        <w:left w:val="none" w:sz="0" w:space="0" w:color="auto"/>
        <w:bottom w:val="none" w:sz="0" w:space="0" w:color="auto"/>
        <w:right w:val="none" w:sz="0" w:space="0" w:color="auto"/>
      </w:divBdr>
      <w:divsChild>
        <w:div w:id="1811482666">
          <w:marLeft w:val="0"/>
          <w:marRight w:val="0"/>
          <w:marTop w:val="0"/>
          <w:marBottom w:val="0"/>
          <w:divBdr>
            <w:top w:val="none" w:sz="0" w:space="0" w:color="auto"/>
            <w:left w:val="none" w:sz="0" w:space="0" w:color="auto"/>
            <w:bottom w:val="none" w:sz="0" w:space="0" w:color="auto"/>
            <w:right w:val="none" w:sz="0" w:space="0" w:color="auto"/>
          </w:divBdr>
          <w:divsChild>
            <w:div w:id="708146887">
              <w:marLeft w:val="0"/>
              <w:marRight w:val="0"/>
              <w:marTop w:val="0"/>
              <w:marBottom w:val="0"/>
              <w:divBdr>
                <w:top w:val="none" w:sz="0" w:space="0" w:color="auto"/>
                <w:left w:val="none" w:sz="0" w:space="0" w:color="auto"/>
                <w:bottom w:val="none" w:sz="0" w:space="0" w:color="auto"/>
                <w:right w:val="none" w:sz="0" w:space="0" w:color="auto"/>
              </w:divBdr>
              <w:divsChild>
                <w:div w:id="338967530">
                  <w:marLeft w:val="0"/>
                  <w:marRight w:val="0"/>
                  <w:marTop w:val="0"/>
                  <w:marBottom w:val="0"/>
                  <w:divBdr>
                    <w:top w:val="none" w:sz="0" w:space="0" w:color="auto"/>
                    <w:left w:val="none" w:sz="0" w:space="0" w:color="auto"/>
                    <w:bottom w:val="none" w:sz="0" w:space="0" w:color="auto"/>
                    <w:right w:val="none" w:sz="0" w:space="0" w:color="auto"/>
                  </w:divBdr>
                  <w:divsChild>
                    <w:div w:id="1112473607">
                      <w:marLeft w:val="0"/>
                      <w:marRight w:val="0"/>
                      <w:marTop w:val="0"/>
                      <w:marBottom w:val="0"/>
                      <w:divBdr>
                        <w:top w:val="none" w:sz="0" w:space="0" w:color="auto"/>
                        <w:left w:val="none" w:sz="0" w:space="0" w:color="auto"/>
                        <w:bottom w:val="none" w:sz="0" w:space="0" w:color="auto"/>
                        <w:right w:val="none" w:sz="0" w:space="0" w:color="auto"/>
                      </w:divBdr>
                      <w:divsChild>
                        <w:div w:id="761417138">
                          <w:marLeft w:val="0"/>
                          <w:marRight w:val="0"/>
                          <w:marTop w:val="0"/>
                          <w:marBottom w:val="0"/>
                          <w:divBdr>
                            <w:top w:val="none" w:sz="0" w:space="0" w:color="auto"/>
                            <w:left w:val="none" w:sz="0" w:space="0" w:color="auto"/>
                            <w:bottom w:val="none" w:sz="0" w:space="0" w:color="auto"/>
                            <w:right w:val="none" w:sz="0" w:space="0" w:color="auto"/>
                          </w:divBdr>
                          <w:divsChild>
                            <w:div w:id="4123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193332">
      <w:bodyDiv w:val="1"/>
      <w:marLeft w:val="0"/>
      <w:marRight w:val="0"/>
      <w:marTop w:val="0"/>
      <w:marBottom w:val="0"/>
      <w:divBdr>
        <w:top w:val="none" w:sz="0" w:space="0" w:color="auto"/>
        <w:left w:val="none" w:sz="0" w:space="0" w:color="auto"/>
        <w:bottom w:val="none" w:sz="0" w:space="0" w:color="auto"/>
        <w:right w:val="none" w:sz="0" w:space="0" w:color="auto"/>
      </w:divBdr>
    </w:div>
    <w:div w:id="1183131476">
      <w:bodyDiv w:val="1"/>
      <w:marLeft w:val="0"/>
      <w:marRight w:val="0"/>
      <w:marTop w:val="0"/>
      <w:marBottom w:val="0"/>
      <w:divBdr>
        <w:top w:val="none" w:sz="0" w:space="0" w:color="auto"/>
        <w:left w:val="none" w:sz="0" w:space="0" w:color="auto"/>
        <w:bottom w:val="none" w:sz="0" w:space="0" w:color="auto"/>
        <w:right w:val="none" w:sz="0" w:space="0" w:color="auto"/>
      </w:divBdr>
    </w:div>
    <w:div w:id="1214585007">
      <w:bodyDiv w:val="1"/>
      <w:marLeft w:val="0"/>
      <w:marRight w:val="0"/>
      <w:marTop w:val="0"/>
      <w:marBottom w:val="0"/>
      <w:divBdr>
        <w:top w:val="none" w:sz="0" w:space="0" w:color="auto"/>
        <w:left w:val="none" w:sz="0" w:space="0" w:color="auto"/>
        <w:bottom w:val="none" w:sz="0" w:space="0" w:color="auto"/>
        <w:right w:val="none" w:sz="0" w:space="0" w:color="auto"/>
      </w:divBdr>
    </w:div>
    <w:div w:id="1226449508">
      <w:bodyDiv w:val="1"/>
      <w:marLeft w:val="0"/>
      <w:marRight w:val="0"/>
      <w:marTop w:val="0"/>
      <w:marBottom w:val="0"/>
      <w:divBdr>
        <w:top w:val="none" w:sz="0" w:space="0" w:color="auto"/>
        <w:left w:val="none" w:sz="0" w:space="0" w:color="auto"/>
        <w:bottom w:val="none" w:sz="0" w:space="0" w:color="auto"/>
        <w:right w:val="none" w:sz="0" w:space="0" w:color="auto"/>
      </w:divBdr>
      <w:divsChild>
        <w:div w:id="300698581">
          <w:marLeft w:val="0"/>
          <w:marRight w:val="0"/>
          <w:marTop w:val="0"/>
          <w:marBottom w:val="0"/>
          <w:divBdr>
            <w:top w:val="none" w:sz="0" w:space="0" w:color="auto"/>
            <w:left w:val="none" w:sz="0" w:space="0" w:color="auto"/>
            <w:bottom w:val="none" w:sz="0" w:space="0" w:color="auto"/>
            <w:right w:val="none" w:sz="0" w:space="0" w:color="auto"/>
          </w:divBdr>
          <w:divsChild>
            <w:div w:id="403992140">
              <w:marLeft w:val="0"/>
              <w:marRight w:val="0"/>
              <w:marTop w:val="0"/>
              <w:marBottom w:val="0"/>
              <w:divBdr>
                <w:top w:val="none" w:sz="0" w:space="0" w:color="auto"/>
                <w:left w:val="none" w:sz="0" w:space="0" w:color="auto"/>
                <w:bottom w:val="none" w:sz="0" w:space="0" w:color="auto"/>
                <w:right w:val="none" w:sz="0" w:space="0" w:color="auto"/>
              </w:divBdr>
              <w:divsChild>
                <w:div w:id="1261991214">
                  <w:marLeft w:val="0"/>
                  <w:marRight w:val="0"/>
                  <w:marTop w:val="0"/>
                  <w:marBottom w:val="0"/>
                  <w:divBdr>
                    <w:top w:val="none" w:sz="0" w:space="0" w:color="auto"/>
                    <w:left w:val="none" w:sz="0" w:space="0" w:color="auto"/>
                    <w:bottom w:val="none" w:sz="0" w:space="0" w:color="auto"/>
                    <w:right w:val="none" w:sz="0" w:space="0" w:color="auto"/>
                  </w:divBdr>
                  <w:divsChild>
                    <w:div w:id="622810627">
                      <w:marLeft w:val="0"/>
                      <w:marRight w:val="0"/>
                      <w:marTop w:val="0"/>
                      <w:marBottom w:val="0"/>
                      <w:divBdr>
                        <w:top w:val="none" w:sz="0" w:space="0" w:color="auto"/>
                        <w:left w:val="none" w:sz="0" w:space="0" w:color="auto"/>
                        <w:bottom w:val="none" w:sz="0" w:space="0" w:color="auto"/>
                        <w:right w:val="none" w:sz="0" w:space="0" w:color="auto"/>
                      </w:divBdr>
                      <w:divsChild>
                        <w:div w:id="885096067">
                          <w:marLeft w:val="0"/>
                          <w:marRight w:val="0"/>
                          <w:marTop w:val="0"/>
                          <w:marBottom w:val="0"/>
                          <w:divBdr>
                            <w:top w:val="none" w:sz="0" w:space="0" w:color="auto"/>
                            <w:left w:val="none" w:sz="0" w:space="0" w:color="auto"/>
                            <w:bottom w:val="none" w:sz="0" w:space="0" w:color="auto"/>
                            <w:right w:val="none" w:sz="0" w:space="0" w:color="auto"/>
                          </w:divBdr>
                          <w:divsChild>
                            <w:div w:id="14620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7884">
      <w:bodyDiv w:val="1"/>
      <w:marLeft w:val="0"/>
      <w:marRight w:val="0"/>
      <w:marTop w:val="0"/>
      <w:marBottom w:val="0"/>
      <w:divBdr>
        <w:top w:val="none" w:sz="0" w:space="0" w:color="auto"/>
        <w:left w:val="none" w:sz="0" w:space="0" w:color="auto"/>
        <w:bottom w:val="none" w:sz="0" w:space="0" w:color="auto"/>
        <w:right w:val="none" w:sz="0" w:space="0" w:color="auto"/>
      </w:divBdr>
    </w:div>
    <w:div w:id="1230650729">
      <w:bodyDiv w:val="1"/>
      <w:marLeft w:val="0"/>
      <w:marRight w:val="0"/>
      <w:marTop w:val="0"/>
      <w:marBottom w:val="0"/>
      <w:divBdr>
        <w:top w:val="none" w:sz="0" w:space="0" w:color="auto"/>
        <w:left w:val="none" w:sz="0" w:space="0" w:color="auto"/>
        <w:bottom w:val="none" w:sz="0" w:space="0" w:color="auto"/>
        <w:right w:val="none" w:sz="0" w:space="0" w:color="auto"/>
      </w:divBdr>
    </w:div>
    <w:div w:id="1257130354">
      <w:bodyDiv w:val="1"/>
      <w:marLeft w:val="0"/>
      <w:marRight w:val="0"/>
      <w:marTop w:val="0"/>
      <w:marBottom w:val="0"/>
      <w:divBdr>
        <w:top w:val="none" w:sz="0" w:space="0" w:color="auto"/>
        <w:left w:val="none" w:sz="0" w:space="0" w:color="auto"/>
        <w:bottom w:val="none" w:sz="0" w:space="0" w:color="auto"/>
        <w:right w:val="none" w:sz="0" w:space="0" w:color="auto"/>
      </w:divBdr>
    </w:div>
    <w:div w:id="1263027701">
      <w:bodyDiv w:val="1"/>
      <w:marLeft w:val="0"/>
      <w:marRight w:val="0"/>
      <w:marTop w:val="0"/>
      <w:marBottom w:val="0"/>
      <w:divBdr>
        <w:top w:val="none" w:sz="0" w:space="0" w:color="auto"/>
        <w:left w:val="none" w:sz="0" w:space="0" w:color="auto"/>
        <w:bottom w:val="none" w:sz="0" w:space="0" w:color="auto"/>
        <w:right w:val="none" w:sz="0" w:space="0" w:color="auto"/>
      </w:divBdr>
      <w:divsChild>
        <w:div w:id="1052462191">
          <w:marLeft w:val="0"/>
          <w:marRight w:val="0"/>
          <w:marTop w:val="0"/>
          <w:marBottom w:val="0"/>
          <w:divBdr>
            <w:top w:val="none" w:sz="0" w:space="0" w:color="auto"/>
            <w:left w:val="none" w:sz="0" w:space="0" w:color="auto"/>
            <w:bottom w:val="none" w:sz="0" w:space="0" w:color="auto"/>
            <w:right w:val="none" w:sz="0" w:space="0" w:color="auto"/>
          </w:divBdr>
          <w:divsChild>
            <w:div w:id="566695602">
              <w:marLeft w:val="0"/>
              <w:marRight w:val="0"/>
              <w:marTop w:val="0"/>
              <w:marBottom w:val="0"/>
              <w:divBdr>
                <w:top w:val="none" w:sz="0" w:space="0" w:color="auto"/>
                <w:left w:val="none" w:sz="0" w:space="0" w:color="auto"/>
                <w:bottom w:val="none" w:sz="0" w:space="0" w:color="auto"/>
                <w:right w:val="none" w:sz="0" w:space="0" w:color="auto"/>
              </w:divBdr>
              <w:divsChild>
                <w:div w:id="1082265115">
                  <w:marLeft w:val="0"/>
                  <w:marRight w:val="0"/>
                  <w:marTop w:val="0"/>
                  <w:marBottom w:val="0"/>
                  <w:divBdr>
                    <w:top w:val="none" w:sz="0" w:space="0" w:color="auto"/>
                    <w:left w:val="none" w:sz="0" w:space="0" w:color="auto"/>
                    <w:bottom w:val="none" w:sz="0" w:space="0" w:color="auto"/>
                    <w:right w:val="none" w:sz="0" w:space="0" w:color="auto"/>
                  </w:divBdr>
                  <w:divsChild>
                    <w:div w:id="908002790">
                      <w:marLeft w:val="0"/>
                      <w:marRight w:val="0"/>
                      <w:marTop w:val="0"/>
                      <w:marBottom w:val="0"/>
                      <w:divBdr>
                        <w:top w:val="none" w:sz="0" w:space="0" w:color="auto"/>
                        <w:left w:val="none" w:sz="0" w:space="0" w:color="auto"/>
                        <w:bottom w:val="none" w:sz="0" w:space="0" w:color="auto"/>
                        <w:right w:val="none" w:sz="0" w:space="0" w:color="auto"/>
                      </w:divBdr>
                      <w:divsChild>
                        <w:div w:id="97798274">
                          <w:marLeft w:val="0"/>
                          <w:marRight w:val="0"/>
                          <w:marTop w:val="0"/>
                          <w:marBottom w:val="0"/>
                          <w:divBdr>
                            <w:top w:val="none" w:sz="0" w:space="0" w:color="auto"/>
                            <w:left w:val="none" w:sz="0" w:space="0" w:color="auto"/>
                            <w:bottom w:val="none" w:sz="0" w:space="0" w:color="auto"/>
                            <w:right w:val="none" w:sz="0" w:space="0" w:color="auto"/>
                          </w:divBdr>
                          <w:divsChild>
                            <w:div w:id="907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0363">
      <w:bodyDiv w:val="1"/>
      <w:marLeft w:val="0"/>
      <w:marRight w:val="0"/>
      <w:marTop w:val="0"/>
      <w:marBottom w:val="0"/>
      <w:divBdr>
        <w:top w:val="none" w:sz="0" w:space="0" w:color="auto"/>
        <w:left w:val="none" w:sz="0" w:space="0" w:color="auto"/>
        <w:bottom w:val="none" w:sz="0" w:space="0" w:color="auto"/>
        <w:right w:val="none" w:sz="0" w:space="0" w:color="auto"/>
      </w:divBdr>
    </w:div>
    <w:div w:id="1321226140">
      <w:bodyDiv w:val="1"/>
      <w:marLeft w:val="0"/>
      <w:marRight w:val="0"/>
      <w:marTop w:val="0"/>
      <w:marBottom w:val="0"/>
      <w:divBdr>
        <w:top w:val="none" w:sz="0" w:space="0" w:color="auto"/>
        <w:left w:val="none" w:sz="0" w:space="0" w:color="auto"/>
        <w:bottom w:val="none" w:sz="0" w:space="0" w:color="auto"/>
        <w:right w:val="none" w:sz="0" w:space="0" w:color="auto"/>
      </w:divBdr>
      <w:divsChild>
        <w:div w:id="742072127">
          <w:marLeft w:val="0"/>
          <w:marRight w:val="0"/>
          <w:marTop w:val="0"/>
          <w:marBottom w:val="0"/>
          <w:divBdr>
            <w:top w:val="none" w:sz="0" w:space="0" w:color="auto"/>
            <w:left w:val="none" w:sz="0" w:space="0" w:color="auto"/>
            <w:bottom w:val="none" w:sz="0" w:space="0" w:color="auto"/>
            <w:right w:val="none" w:sz="0" w:space="0" w:color="auto"/>
          </w:divBdr>
          <w:divsChild>
            <w:div w:id="1914854814">
              <w:marLeft w:val="0"/>
              <w:marRight w:val="0"/>
              <w:marTop w:val="0"/>
              <w:marBottom w:val="0"/>
              <w:divBdr>
                <w:top w:val="none" w:sz="0" w:space="0" w:color="auto"/>
                <w:left w:val="none" w:sz="0" w:space="0" w:color="auto"/>
                <w:bottom w:val="none" w:sz="0" w:space="0" w:color="auto"/>
                <w:right w:val="none" w:sz="0" w:space="0" w:color="auto"/>
              </w:divBdr>
              <w:divsChild>
                <w:div w:id="781539410">
                  <w:marLeft w:val="0"/>
                  <w:marRight w:val="0"/>
                  <w:marTop w:val="0"/>
                  <w:marBottom w:val="0"/>
                  <w:divBdr>
                    <w:top w:val="none" w:sz="0" w:space="0" w:color="auto"/>
                    <w:left w:val="none" w:sz="0" w:space="0" w:color="auto"/>
                    <w:bottom w:val="none" w:sz="0" w:space="0" w:color="auto"/>
                    <w:right w:val="none" w:sz="0" w:space="0" w:color="auto"/>
                  </w:divBdr>
                  <w:divsChild>
                    <w:div w:id="782188109">
                      <w:marLeft w:val="0"/>
                      <w:marRight w:val="0"/>
                      <w:marTop w:val="0"/>
                      <w:marBottom w:val="0"/>
                      <w:divBdr>
                        <w:top w:val="none" w:sz="0" w:space="0" w:color="auto"/>
                        <w:left w:val="none" w:sz="0" w:space="0" w:color="auto"/>
                        <w:bottom w:val="none" w:sz="0" w:space="0" w:color="auto"/>
                        <w:right w:val="none" w:sz="0" w:space="0" w:color="auto"/>
                      </w:divBdr>
                      <w:divsChild>
                        <w:div w:id="1704087388">
                          <w:marLeft w:val="0"/>
                          <w:marRight w:val="0"/>
                          <w:marTop w:val="0"/>
                          <w:marBottom w:val="0"/>
                          <w:divBdr>
                            <w:top w:val="none" w:sz="0" w:space="0" w:color="auto"/>
                            <w:left w:val="none" w:sz="0" w:space="0" w:color="auto"/>
                            <w:bottom w:val="none" w:sz="0" w:space="0" w:color="auto"/>
                            <w:right w:val="none" w:sz="0" w:space="0" w:color="auto"/>
                          </w:divBdr>
                          <w:divsChild>
                            <w:div w:id="8662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4765">
      <w:bodyDiv w:val="1"/>
      <w:marLeft w:val="0"/>
      <w:marRight w:val="0"/>
      <w:marTop w:val="0"/>
      <w:marBottom w:val="0"/>
      <w:divBdr>
        <w:top w:val="none" w:sz="0" w:space="0" w:color="auto"/>
        <w:left w:val="none" w:sz="0" w:space="0" w:color="auto"/>
        <w:bottom w:val="none" w:sz="0" w:space="0" w:color="auto"/>
        <w:right w:val="none" w:sz="0" w:space="0" w:color="auto"/>
      </w:divBdr>
    </w:div>
    <w:div w:id="1395933741">
      <w:bodyDiv w:val="1"/>
      <w:marLeft w:val="0"/>
      <w:marRight w:val="0"/>
      <w:marTop w:val="0"/>
      <w:marBottom w:val="0"/>
      <w:divBdr>
        <w:top w:val="none" w:sz="0" w:space="0" w:color="auto"/>
        <w:left w:val="none" w:sz="0" w:space="0" w:color="auto"/>
        <w:bottom w:val="none" w:sz="0" w:space="0" w:color="auto"/>
        <w:right w:val="none" w:sz="0" w:space="0" w:color="auto"/>
      </w:divBdr>
    </w:div>
    <w:div w:id="1458404610">
      <w:bodyDiv w:val="1"/>
      <w:marLeft w:val="0"/>
      <w:marRight w:val="0"/>
      <w:marTop w:val="0"/>
      <w:marBottom w:val="0"/>
      <w:divBdr>
        <w:top w:val="none" w:sz="0" w:space="0" w:color="auto"/>
        <w:left w:val="none" w:sz="0" w:space="0" w:color="auto"/>
        <w:bottom w:val="none" w:sz="0" w:space="0" w:color="auto"/>
        <w:right w:val="none" w:sz="0" w:space="0" w:color="auto"/>
      </w:divBdr>
    </w:div>
    <w:div w:id="1468088574">
      <w:bodyDiv w:val="1"/>
      <w:marLeft w:val="0"/>
      <w:marRight w:val="0"/>
      <w:marTop w:val="0"/>
      <w:marBottom w:val="0"/>
      <w:divBdr>
        <w:top w:val="none" w:sz="0" w:space="0" w:color="auto"/>
        <w:left w:val="none" w:sz="0" w:space="0" w:color="auto"/>
        <w:bottom w:val="none" w:sz="0" w:space="0" w:color="auto"/>
        <w:right w:val="none" w:sz="0" w:space="0" w:color="auto"/>
      </w:divBdr>
    </w:div>
    <w:div w:id="1476605054">
      <w:bodyDiv w:val="1"/>
      <w:marLeft w:val="0"/>
      <w:marRight w:val="0"/>
      <w:marTop w:val="0"/>
      <w:marBottom w:val="0"/>
      <w:divBdr>
        <w:top w:val="none" w:sz="0" w:space="0" w:color="auto"/>
        <w:left w:val="none" w:sz="0" w:space="0" w:color="auto"/>
        <w:bottom w:val="none" w:sz="0" w:space="0" w:color="auto"/>
        <w:right w:val="none" w:sz="0" w:space="0" w:color="auto"/>
      </w:divBdr>
    </w:div>
    <w:div w:id="1482693965">
      <w:bodyDiv w:val="1"/>
      <w:marLeft w:val="0"/>
      <w:marRight w:val="0"/>
      <w:marTop w:val="0"/>
      <w:marBottom w:val="0"/>
      <w:divBdr>
        <w:top w:val="none" w:sz="0" w:space="0" w:color="auto"/>
        <w:left w:val="none" w:sz="0" w:space="0" w:color="auto"/>
        <w:bottom w:val="none" w:sz="0" w:space="0" w:color="auto"/>
        <w:right w:val="none" w:sz="0" w:space="0" w:color="auto"/>
      </w:divBdr>
      <w:divsChild>
        <w:div w:id="1731537722">
          <w:marLeft w:val="0"/>
          <w:marRight w:val="0"/>
          <w:marTop w:val="0"/>
          <w:marBottom w:val="0"/>
          <w:divBdr>
            <w:top w:val="none" w:sz="0" w:space="0" w:color="auto"/>
            <w:left w:val="none" w:sz="0" w:space="0" w:color="auto"/>
            <w:bottom w:val="none" w:sz="0" w:space="0" w:color="auto"/>
            <w:right w:val="none" w:sz="0" w:space="0" w:color="auto"/>
          </w:divBdr>
          <w:divsChild>
            <w:div w:id="1180462327">
              <w:marLeft w:val="0"/>
              <w:marRight w:val="0"/>
              <w:marTop w:val="0"/>
              <w:marBottom w:val="0"/>
              <w:divBdr>
                <w:top w:val="none" w:sz="0" w:space="0" w:color="auto"/>
                <w:left w:val="none" w:sz="0" w:space="0" w:color="auto"/>
                <w:bottom w:val="none" w:sz="0" w:space="0" w:color="auto"/>
                <w:right w:val="none" w:sz="0" w:space="0" w:color="auto"/>
              </w:divBdr>
              <w:divsChild>
                <w:div w:id="554318210">
                  <w:marLeft w:val="0"/>
                  <w:marRight w:val="0"/>
                  <w:marTop w:val="0"/>
                  <w:marBottom w:val="0"/>
                  <w:divBdr>
                    <w:top w:val="none" w:sz="0" w:space="0" w:color="auto"/>
                    <w:left w:val="none" w:sz="0" w:space="0" w:color="auto"/>
                    <w:bottom w:val="none" w:sz="0" w:space="0" w:color="auto"/>
                    <w:right w:val="none" w:sz="0" w:space="0" w:color="auto"/>
                  </w:divBdr>
                  <w:divsChild>
                    <w:div w:id="9825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13043">
      <w:bodyDiv w:val="1"/>
      <w:marLeft w:val="0"/>
      <w:marRight w:val="0"/>
      <w:marTop w:val="0"/>
      <w:marBottom w:val="0"/>
      <w:divBdr>
        <w:top w:val="none" w:sz="0" w:space="0" w:color="auto"/>
        <w:left w:val="none" w:sz="0" w:space="0" w:color="auto"/>
        <w:bottom w:val="none" w:sz="0" w:space="0" w:color="auto"/>
        <w:right w:val="none" w:sz="0" w:space="0" w:color="auto"/>
      </w:divBdr>
    </w:div>
    <w:div w:id="1506822808">
      <w:bodyDiv w:val="1"/>
      <w:marLeft w:val="0"/>
      <w:marRight w:val="0"/>
      <w:marTop w:val="0"/>
      <w:marBottom w:val="0"/>
      <w:divBdr>
        <w:top w:val="none" w:sz="0" w:space="0" w:color="auto"/>
        <w:left w:val="none" w:sz="0" w:space="0" w:color="auto"/>
        <w:bottom w:val="none" w:sz="0" w:space="0" w:color="auto"/>
        <w:right w:val="none" w:sz="0" w:space="0" w:color="auto"/>
      </w:divBdr>
    </w:div>
    <w:div w:id="1517890060">
      <w:bodyDiv w:val="1"/>
      <w:marLeft w:val="0"/>
      <w:marRight w:val="0"/>
      <w:marTop w:val="0"/>
      <w:marBottom w:val="0"/>
      <w:divBdr>
        <w:top w:val="none" w:sz="0" w:space="0" w:color="auto"/>
        <w:left w:val="none" w:sz="0" w:space="0" w:color="auto"/>
        <w:bottom w:val="none" w:sz="0" w:space="0" w:color="auto"/>
        <w:right w:val="none" w:sz="0" w:space="0" w:color="auto"/>
      </w:divBdr>
      <w:divsChild>
        <w:div w:id="2013296691">
          <w:marLeft w:val="0"/>
          <w:marRight w:val="0"/>
          <w:marTop w:val="0"/>
          <w:marBottom w:val="0"/>
          <w:divBdr>
            <w:top w:val="none" w:sz="0" w:space="0" w:color="auto"/>
            <w:left w:val="none" w:sz="0" w:space="0" w:color="auto"/>
            <w:bottom w:val="none" w:sz="0" w:space="0" w:color="auto"/>
            <w:right w:val="none" w:sz="0" w:space="0" w:color="auto"/>
          </w:divBdr>
          <w:divsChild>
            <w:div w:id="128934601">
              <w:marLeft w:val="0"/>
              <w:marRight w:val="0"/>
              <w:marTop w:val="0"/>
              <w:marBottom w:val="0"/>
              <w:divBdr>
                <w:top w:val="none" w:sz="0" w:space="0" w:color="auto"/>
                <w:left w:val="none" w:sz="0" w:space="0" w:color="auto"/>
                <w:bottom w:val="none" w:sz="0" w:space="0" w:color="auto"/>
                <w:right w:val="none" w:sz="0" w:space="0" w:color="auto"/>
              </w:divBdr>
            </w:div>
            <w:div w:id="481043123">
              <w:marLeft w:val="0"/>
              <w:marRight w:val="0"/>
              <w:marTop w:val="0"/>
              <w:marBottom w:val="0"/>
              <w:divBdr>
                <w:top w:val="none" w:sz="0" w:space="0" w:color="auto"/>
                <w:left w:val="none" w:sz="0" w:space="0" w:color="auto"/>
                <w:bottom w:val="none" w:sz="0" w:space="0" w:color="auto"/>
                <w:right w:val="none" w:sz="0" w:space="0" w:color="auto"/>
              </w:divBdr>
            </w:div>
            <w:div w:id="1063985457">
              <w:marLeft w:val="0"/>
              <w:marRight w:val="0"/>
              <w:marTop w:val="0"/>
              <w:marBottom w:val="0"/>
              <w:divBdr>
                <w:top w:val="none" w:sz="0" w:space="0" w:color="auto"/>
                <w:left w:val="none" w:sz="0" w:space="0" w:color="auto"/>
                <w:bottom w:val="none" w:sz="0" w:space="0" w:color="auto"/>
                <w:right w:val="none" w:sz="0" w:space="0" w:color="auto"/>
              </w:divBdr>
            </w:div>
            <w:div w:id="14074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653">
      <w:bodyDiv w:val="1"/>
      <w:marLeft w:val="0"/>
      <w:marRight w:val="0"/>
      <w:marTop w:val="0"/>
      <w:marBottom w:val="0"/>
      <w:divBdr>
        <w:top w:val="none" w:sz="0" w:space="0" w:color="auto"/>
        <w:left w:val="none" w:sz="0" w:space="0" w:color="auto"/>
        <w:bottom w:val="none" w:sz="0" w:space="0" w:color="auto"/>
        <w:right w:val="none" w:sz="0" w:space="0" w:color="auto"/>
      </w:divBdr>
    </w:div>
    <w:div w:id="1533961872">
      <w:bodyDiv w:val="1"/>
      <w:marLeft w:val="0"/>
      <w:marRight w:val="0"/>
      <w:marTop w:val="0"/>
      <w:marBottom w:val="0"/>
      <w:divBdr>
        <w:top w:val="none" w:sz="0" w:space="0" w:color="auto"/>
        <w:left w:val="none" w:sz="0" w:space="0" w:color="auto"/>
        <w:bottom w:val="none" w:sz="0" w:space="0" w:color="auto"/>
        <w:right w:val="none" w:sz="0" w:space="0" w:color="auto"/>
      </w:divBdr>
    </w:div>
    <w:div w:id="1551570816">
      <w:bodyDiv w:val="1"/>
      <w:marLeft w:val="0"/>
      <w:marRight w:val="0"/>
      <w:marTop w:val="0"/>
      <w:marBottom w:val="0"/>
      <w:divBdr>
        <w:top w:val="none" w:sz="0" w:space="0" w:color="auto"/>
        <w:left w:val="none" w:sz="0" w:space="0" w:color="auto"/>
        <w:bottom w:val="none" w:sz="0" w:space="0" w:color="auto"/>
        <w:right w:val="none" w:sz="0" w:space="0" w:color="auto"/>
      </w:divBdr>
    </w:div>
    <w:div w:id="1561478661">
      <w:bodyDiv w:val="1"/>
      <w:marLeft w:val="0"/>
      <w:marRight w:val="0"/>
      <w:marTop w:val="0"/>
      <w:marBottom w:val="0"/>
      <w:divBdr>
        <w:top w:val="none" w:sz="0" w:space="0" w:color="auto"/>
        <w:left w:val="none" w:sz="0" w:space="0" w:color="auto"/>
        <w:bottom w:val="none" w:sz="0" w:space="0" w:color="auto"/>
        <w:right w:val="none" w:sz="0" w:space="0" w:color="auto"/>
      </w:divBdr>
    </w:div>
    <w:div w:id="1592272609">
      <w:bodyDiv w:val="1"/>
      <w:marLeft w:val="0"/>
      <w:marRight w:val="0"/>
      <w:marTop w:val="0"/>
      <w:marBottom w:val="0"/>
      <w:divBdr>
        <w:top w:val="none" w:sz="0" w:space="0" w:color="auto"/>
        <w:left w:val="none" w:sz="0" w:space="0" w:color="auto"/>
        <w:bottom w:val="none" w:sz="0" w:space="0" w:color="auto"/>
        <w:right w:val="none" w:sz="0" w:space="0" w:color="auto"/>
      </w:divBdr>
      <w:divsChild>
        <w:div w:id="1498616472">
          <w:marLeft w:val="0"/>
          <w:marRight w:val="0"/>
          <w:marTop w:val="0"/>
          <w:marBottom w:val="0"/>
          <w:divBdr>
            <w:top w:val="none" w:sz="0" w:space="0" w:color="auto"/>
            <w:left w:val="none" w:sz="0" w:space="0" w:color="auto"/>
            <w:bottom w:val="none" w:sz="0" w:space="0" w:color="auto"/>
            <w:right w:val="none" w:sz="0" w:space="0" w:color="auto"/>
          </w:divBdr>
        </w:div>
      </w:divsChild>
    </w:div>
    <w:div w:id="1593203127">
      <w:bodyDiv w:val="1"/>
      <w:marLeft w:val="0"/>
      <w:marRight w:val="0"/>
      <w:marTop w:val="0"/>
      <w:marBottom w:val="0"/>
      <w:divBdr>
        <w:top w:val="none" w:sz="0" w:space="0" w:color="auto"/>
        <w:left w:val="none" w:sz="0" w:space="0" w:color="auto"/>
        <w:bottom w:val="none" w:sz="0" w:space="0" w:color="auto"/>
        <w:right w:val="none" w:sz="0" w:space="0" w:color="auto"/>
      </w:divBdr>
    </w:div>
    <w:div w:id="1613972801">
      <w:bodyDiv w:val="1"/>
      <w:marLeft w:val="0"/>
      <w:marRight w:val="0"/>
      <w:marTop w:val="0"/>
      <w:marBottom w:val="0"/>
      <w:divBdr>
        <w:top w:val="none" w:sz="0" w:space="0" w:color="auto"/>
        <w:left w:val="none" w:sz="0" w:space="0" w:color="auto"/>
        <w:bottom w:val="none" w:sz="0" w:space="0" w:color="auto"/>
        <w:right w:val="none" w:sz="0" w:space="0" w:color="auto"/>
      </w:divBdr>
    </w:div>
    <w:div w:id="1625769376">
      <w:bodyDiv w:val="1"/>
      <w:marLeft w:val="0"/>
      <w:marRight w:val="0"/>
      <w:marTop w:val="0"/>
      <w:marBottom w:val="0"/>
      <w:divBdr>
        <w:top w:val="none" w:sz="0" w:space="0" w:color="auto"/>
        <w:left w:val="none" w:sz="0" w:space="0" w:color="auto"/>
        <w:bottom w:val="none" w:sz="0" w:space="0" w:color="auto"/>
        <w:right w:val="none" w:sz="0" w:space="0" w:color="auto"/>
      </w:divBdr>
    </w:div>
    <w:div w:id="1633831055">
      <w:bodyDiv w:val="1"/>
      <w:marLeft w:val="0"/>
      <w:marRight w:val="0"/>
      <w:marTop w:val="0"/>
      <w:marBottom w:val="0"/>
      <w:divBdr>
        <w:top w:val="none" w:sz="0" w:space="0" w:color="auto"/>
        <w:left w:val="none" w:sz="0" w:space="0" w:color="auto"/>
        <w:bottom w:val="none" w:sz="0" w:space="0" w:color="auto"/>
        <w:right w:val="none" w:sz="0" w:space="0" w:color="auto"/>
      </w:divBdr>
    </w:div>
    <w:div w:id="1635023257">
      <w:bodyDiv w:val="1"/>
      <w:marLeft w:val="0"/>
      <w:marRight w:val="0"/>
      <w:marTop w:val="0"/>
      <w:marBottom w:val="0"/>
      <w:divBdr>
        <w:top w:val="none" w:sz="0" w:space="0" w:color="auto"/>
        <w:left w:val="none" w:sz="0" w:space="0" w:color="auto"/>
        <w:bottom w:val="none" w:sz="0" w:space="0" w:color="auto"/>
        <w:right w:val="none" w:sz="0" w:space="0" w:color="auto"/>
      </w:divBdr>
    </w:div>
    <w:div w:id="1637754434">
      <w:bodyDiv w:val="1"/>
      <w:marLeft w:val="0"/>
      <w:marRight w:val="0"/>
      <w:marTop w:val="0"/>
      <w:marBottom w:val="0"/>
      <w:divBdr>
        <w:top w:val="none" w:sz="0" w:space="0" w:color="auto"/>
        <w:left w:val="none" w:sz="0" w:space="0" w:color="auto"/>
        <w:bottom w:val="none" w:sz="0" w:space="0" w:color="auto"/>
        <w:right w:val="none" w:sz="0" w:space="0" w:color="auto"/>
      </w:divBdr>
    </w:div>
    <w:div w:id="1680346893">
      <w:bodyDiv w:val="1"/>
      <w:marLeft w:val="0"/>
      <w:marRight w:val="0"/>
      <w:marTop w:val="0"/>
      <w:marBottom w:val="0"/>
      <w:divBdr>
        <w:top w:val="none" w:sz="0" w:space="0" w:color="auto"/>
        <w:left w:val="none" w:sz="0" w:space="0" w:color="auto"/>
        <w:bottom w:val="none" w:sz="0" w:space="0" w:color="auto"/>
        <w:right w:val="none" w:sz="0" w:space="0" w:color="auto"/>
      </w:divBdr>
      <w:divsChild>
        <w:div w:id="751509449">
          <w:marLeft w:val="0"/>
          <w:marRight w:val="0"/>
          <w:marTop w:val="0"/>
          <w:marBottom w:val="0"/>
          <w:divBdr>
            <w:top w:val="none" w:sz="0" w:space="0" w:color="auto"/>
            <w:left w:val="none" w:sz="0" w:space="0" w:color="auto"/>
            <w:bottom w:val="none" w:sz="0" w:space="0" w:color="auto"/>
            <w:right w:val="none" w:sz="0" w:space="0" w:color="auto"/>
          </w:divBdr>
          <w:divsChild>
            <w:div w:id="706372219">
              <w:marLeft w:val="0"/>
              <w:marRight w:val="0"/>
              <w:marTop w:val="0"/>
              <w:marBottom w:val="0"/>
              <w:divBdr>
                <w:top w:val="none" w:sz="0" w:space="0" w:color="auto"/>
                <w:left w:val="none" w:sz="0" w:space="0" w:color="auto"/>
                <w:bottom w:val="none" w:sz="0" w:space="0" w:color="auto"/>
                <w:right w:val="none" w:sz="0" w:space="0" w:color="auto"/>
              </w:divBdr>
              <w:divsChild>
                <w:div w:id="1888907586">
                  <w:marLeft w:val="0"/>
                  <w:marRight w:val="0"/>
                  <w:marTop w:val="0"/>
                  <w:marBottom w:val="0"/>
                  <w:divBdr>
                    <w:top w:val="none" w:sz="0" w:space="0" w:color="auto"/>
                    <w:left w:val="none" w:sz="0" w:space="0" w:color="auto"/>
                    <w:bottom w:val="none" w:sz="0" w:space="0" w:color="auto"/>
                    <w:right w:val="none" w:sz="0" w:space="0" w:color="auto"/>
                  </w:divBdr>
                  <w:divsChild>
                    <w:div w:id="465510932">
                      <w:marLeft w:val="0"/>
                      <w:marRight w:val="0"/>
                      <w:marTop w:val="0"/>
                      <w:marBottom w:val="0"/>
                      <w:divBdr>
                        <w:top w:val="none" w:sz="0" w:space="0" w:color="auto"/>
                        <w:left w:val="none" w:sz="0" w:space="0" w:color="auto"/>
                        <w:bottom w:val="none" w:sz="0" w:space="0" w:color="auto"/>
                        <w:right w:val="none" w:sz="0" w:space="0" w:color="auto"/>
                      </w:divBdr>
                      <w:divsChild>
                        <w:div w:id="420683842">
                          <w:marLeft w:val="0"/>
                          <w:marRight w:val="0"/>
                          <w:marTop w:val="0"/>
                          <w:marBottom w:val="0"/>
                          <w:divBdr>
                            <w:top w:val="none" w:sz="0" w:space="0" w:color="auto"/>
                            <w:left w:val="none" w:sz="0" w:space="0" w:color="auto"/>
                            <w:bottom w:val="none" w:sz="0" w:space="0" w:color="auto"/>
                            <w:right w:val="none" w:sz="0" w:space="0" w:color="auto"/>
                          </w:divBdr>
                          <w:divsChild>
                            <w:div w:id="748617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548346">
      <w:bodyDiv w:val="1"/>
      <w:marLeft w:val="0"/>
      <w:marRight w:val="0"/>
      <w:marTop w:val="0"/>
      <w:marBottom w:val="0"/>
      <w:divBdr>
        <w:top w:val="none" w:sz="0" w:space="0" w:color="auto"/>
        <w:left w:val="none" w:sz="0" w:space="0" w:color="auto"/>
        <w:bottom w:val="none" w:sz="0" w:space="0" w:color="auto"/>
        <w:right w:val="none" w:sz="0" w:space="0" w:color="auto"/>
      </w:divBdr>
    </w:div>
    <w:div w:id="1692339775">
      <w:bodyDiv w:val="1"/>
      <w:marLeft w:val="0"/>
      <w:marRight w:val="0"/>
      <w:marTop w:val="0"/>
      <w:marBottom w:val="0"/>
      <w:divBdr>
        <w:top w:val="none" w:sz="0" w:space="0" w:color="auto"/>
        <w:left w:val="none" w:sz="0" w:space="0" w:color="auto"/>
        <w:bottom w:val="none" w:sz="0" w:space="0" w:color="auto"/>
        <w:right w:val="none" w:sz="0" w:space="0" w:color="auto"/>
      </w:divBdr>
    </w:div>
    <w:div w:id="1723287077">
      <w:bodyDiv w:val="1"/>
      <w:marLeft w:val="0"/>
      <w:marRight w:val="0"/>
      <w:marTop w:val="0"/>
      <w:marBottom w:val="0"/>
      <w:divBdr>
        <w:top w:val="none" w:sz="0" w:space="0" w:color="auto"/>
        <w:left w:val="none" w:sz="0" w:space="0" w:color="auto"/>
        <w:bottom w:val="none" w:sz="0" w:space="0" w:color="auto"/>
        <w:right w:val="none" w:sz="0" w:space="0" w:color="auto"/>
      </w:divBdr>
    </w:div>
    <w:div w:id="1728603512">
      <w:bodyDiv w:val="1"/>
      <w:marLeft w:val="0"/>
      <w:marRight w:val="0"/>
      <w:marTop w:val="0"/>
      <w:marBottom w:val="0"/>
      <w:divBdr>
        <w:top w:val="none" w:sz="0" w:space="0" w:color="auto"/>
        <w:left w:val="none" w:sz="0" w:space="0" w:color="auto"/>
        <w:bottom w:val="none" w:sz="0" w:space="0" w:color="auto"/>
        <w:right w:val="none" w:sz="0" w:space="0" w:color="auto"/>
      </w:divBdr>
    </w:div>
    <w:div w:id="1741099728">
      <w:bodyDiv w:val="1"/>
      <w:marLeft w:val="0"/>
      <w:marRight w:val="0"/>
      <w:marTop w:val="0"/>
      <w:marBottom w:val="0"/>
      <w:divBdr>
        <w:top w:val="none" w:sz="0" w:space="0" w:color="auto"/>
        <w:left w:val="none" w:sz="0" w:space="0" w:color="auto"/>
        <w:bottom w:val="none" w:sz="0" w:space="0" w:color="auto"/>
        <w:right w:val="none" w:sz="0" w:space="0" w:color="auto"/>
      </w:divBdr>
    </w:div>
    <w:div w:id="1764298823">
      <w:bodyDiv w:val="1"/>
      <w:marLeft w:val="0"/>
      <w:marRight w:val="0"/>
      <w:marTop w:val="0"/>
      <w:marBottom w:val="0"/>
      <w:divBdr>
        <w:top w:val="none" w:sz="0" w:space="0" w:color="auto"/>
        <w:left w:val="none" w:sz="0" w:space="0" w:color="auto"/>
        <w:bottom w:val="none" w:sz="0" w:space="0" w:color="auto"/>
        <w:right w:val="none" w:sz="0" w:space="0" w:color="auto"/>
      </w:divBdr>
      <w:divsChild>
        <w:div w:id="1985503999">
          <w:marLeft w:val="0"/>
          <w:marRight w:val="0"/>
          <w:marTop w:val="0"/>
          <w:marBottom w:val="0"/>
          <w:divBdr>
            <w:top w:val="none" w:sz="0" w:space="0" w:color="auto"/>
            <w:left w:val="none" w:sz="0" w:space="0" w:color="auto"/>
            <w:bottom w:val="none" w:sz="0" w:space="0" w:color="auto"/>
            <w:right w:val="none" w:sz="0" w:space="0" w:color="auto"/>
          </w:divBdr>
          <w:divsChild>
            <w:div w:id="1935939011">
              <w:marLeft w:val="0"/>
              <w:marRight w:val="0"/>
              <w:marTop w:val="0"/>
              <w:marBottom w:val="0"/>
              <w:divBdr>
                <w:top w:val="none" w:sz="0" w:space="0" w:color="auto"/>
                <w:left w:val="none" w:sz="0" w:space="0" w:color="auto"/>
                <w:bottom w:val="none" w:sz="0" w:space="0" w:color="auto"/>
                <w:right w:val="none" w:sz="0" w:space="0" w:color="auto"/>
              </w:divBdr>
              <w:divsChild>
                <w:div w:id="645741055">
                  <w:marLeft w:val="0"/>
                  <w:marRight w:val="0"/>
                  <w:marTop w:val="0"/>
                  <w:marBottom w:val="0"/>
                  <w:divBdr>
                    <w:top w:val="none" w:sz="0" w:space="0" w:color="auto"/>
                    <w:left w:val="none" w:sz="0" w:space="0" w:color="auto"/>
                    <w:bottom w:val="none" w:sz="0" w:space="0" w:color="auto"/>
                    <w:right w:val="none" w:sz="0" w:space="0" w:color="auto"/>
                  </w:divBdr>
                  <w:divsChild>
                    <w:div w:id="1826431696">
                      <w:marLeft w:val="0"/>
                      <w:marRight w:val="0"/>
                      <w:marTop w:val="0"/>
                      <w:marBottom w:val="0"/>
                      <w:divBdr>
                        <w:top w:val="none" w:sz="0" w:space="0" w:color="auto"/>
                        <w:left w:val="none" w:sz="0" w:space="0" w:color="auto"/>
                        <w:bottom w:val="none" w:sz="0" w:space="0" w:color="auto"/>
                        <w:right w:val="none" w:sz="0" w:space="0" w:color="auto"/>
                      </w:divBdr>
                      <w:divsChild>
                        <w:div w:id="185142763">
                          <w:marLeft w:val="0"/>
                          <w:marRight w:val="0"/>
                          <w:marTop w:val="0"/>
                          <w:marBottom w:val="0"/>
                          <w:divBdr>
                            <w:top w:val="none" w:sz="0" w:space="0" w:color="auto"/>
                            <w:left w:val="none" w:sz="0" w:space="0" w:color="auto"/>
                            <w:bottom w:val="none" w:sz="0" w:space="0" w:color="auto"/>
                            <w:right w:val="none" w:sz="0" w:space="0" w:color="auto"/>
                          </w:divBdr>
                          <w:divsChild>
                            <w:div w:id="7205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356817">
      <w:bodyDiv w:val="1"/>
      <w:marLeft w:val="0"/>
      <w:marRight w:val="0"/>
      <w:marTop w:val="0"/>
      <w:marBottom w:val="0"/>
      <w:divBdr>
        <w:top w:val="none" w:sz="0" w:space="0" w:color="auto"/>
        <w:left w:val="none" w:sz="0" w:space="0" w:color="auto"/>
        <w:bottom w:val="none" w:sz="0" w:space="0" w:color="auto"/>
        <w:right w:val="none" w:sz="0" w:space="0" w:color="auto"/>
      </w:divBdr>
    </w:div>
    <w:div w:id="1845895045">
      <w:bodyDiv w:val="1"/>
      <w:marLeft w:val="0"/>
      <w:marRight w:val="0"/>
      <w:marTop w:val="0"/>
      <w:marBottom w:val="0"/>
      <w:divBdr>
        <w:top w:val="none" w:sz="0" w:space="0" w:color="auto"/>
        <w:left w:val="none" w:sz="0" w:space="0" w:color="auto"/>
        <w:bottom w:val="none" w:sz="0" w:space="0" w:color="auto"/>
        <w:right w:val="none" w:sz="0" w:space="0" w:color="auto"/>
      </w:divBdr>
      <w:divsChild>
        <w:div w:id="831992084">
          <w:marLeft w:val="0"/>
          <w:marRight w:val="0"/>
          <w:marTop w:val="0"/>
          <w:marBottom w:val="0"/>
          <w:divBdr>
            <w:top w:val="none" w:sz="0" w:space="0" w:color="auto"/>
            <w:left w:val="none" w:sz="0" w:space="0" w:color="auto"/>
            <w:bottom w:val="none" w:sz="0" w:space="0" w:color="auto"/>
            <w:right w:val="none" w:sz="0" w:space="0" w:color="auto"/>
          </w:divBdr>
        </w:div>
      </w:divsChild>
    </w:div>
    <w:div w:id="1850286806">
      <w:bodyDiv w:val="1"/>
      <w:marLeft w:val="0"/>
      <w:marRight w:val="0"/>
      <w:marTop w:val="0"/>
      <w:marBottom w:val="0"/>
      <w:divBdr>
        <w:top w:val="none" w:sz="0" w:space="0" w:color="auto"/>
        <w:left w:val="none" w:sz="0" w:space="0" w:color="auto"/>
        <w:bottom w:val="none" w:sz="0" w:space="0" w:color="auto"/>
        <w:right w:val="none" w:sz="0" w:space="0" w:color="auto"/>
      </w:divBdr>
    </w:div>
    <w:div w:id="1850633957">
      <w:bodyDiv w:val="1"/>
      <w:marLeft w:val="0"/>
      <w:marRight w:val="0"/>
      <w:marTop w:val="0"/>
      <w:marBottom w:val="0"/>
      <w:divBdr>
        <w:top w:val="none" w:sz="0" w:space="0" w:color="auto"/>
        <w:left w:val="none" w:sz="0" w:space="0" w:color="auto"/>
        <w:bottom w:val="none" w:sz="0" w:space="0" w:color="auto"/>
        <w:right w:val="none" w:sz="0" w:space="0" w:color="auto"/>
      </w:divBdr>
      <w:divsChild>
        <w:div w:id="1032848877">
          <w:marLeft w:val="0"/>
          <w:marRight w:val="0"/>
          <w:marTop w:val="0"/>
          <w:marBottom w:val="0"/>
          <w:divBdr>
            <w:top w:val="none" w:sz="0" w:space="0" w:color="auto"/>
            <w:left w:val="none" w:sz="0" w:space="0" w:color="auto"/>
            <w:bottom w:val="none" w:sz="0" w:space="0" w:color="auto"/>
            <w:right w:val="none" w:sz="0" w:space="0" w:color="auto"/>
          </w:divBdr>
          <w:divsChild>
            <w:div w:id="644940838">
              <w:marLeft w:val="0"/>
              <w:marRight w:val="0"/>
              <w:marTop w:val="0"/>
              <w:marBottom w:val="0"/>
              <w:divBdr>
                <w:top w:val="none" w:sz="0" w:space="0" w:color="auto"/>
                <w:left w:val="none" w:sz="0" w:space="0" w:color="auto"/>
                <w:bottom w:val="none" w:sz="0" w:space="0" w:color="auto"/>
                <w:right w:val="none" w:sz="0" w:space="0" w:color="auto"/>
              </w:divBdr>
              <w:divsChild>
                <w:div w:id="4796077">
                  <w:marLeft w:val="0"/>
                  <w:marRight w:val="0"/>
                  <w:marTop w:val="0"/>
                  <w:marBottom w:val="0"/>
                  <w:divBdr>
                    <w:top w:val="none" w:sz="0" w:space="0" w:color="auto"/>
                    <w:left w:val="none" w:sz="0" w:space="0" w:color="auto"/>
                    <w:bottom w:val="none" w:sz="0" w:space="0" w:color="auto"/>
                    <w:right w:val="none" w:sz="0" w:space="0" w:color="auto"/>
                  </w:divBdr>
                  <w:divsChild>
                    <w:div w:id="1387296940">
                      <w:marLeft w:val="0"/>
                      <w:marRight w:val="0"/>
                      <w:marTop w:val="0"/>
                      <w:marBottom w:val="0"/>
                      <w:divBdr>
                        <w:top w:val="none" w:sz="0" w:space="0" w:color="auto"/>
                        <w:left w:val="none" w:sz="0" w:space="0" w:color="auto"/>
                        <w:bottom w:val="none" w:sz="0" w:space="0" w:color="auto"/>
                        <w:right w:val="none" w:sz="0" w:space="0" w:color="auto"/>
                      </w:divBdr>
                      <w:divsChild>
                        <w:div w:id="878008378">
                          <w:marLeft w:val="0"/>
                          <w:marRight w:val="0"/>
                          <w:marTop w:val="0"/>
                          <w:marBottom w:val="0"/>
                          <w:divBdr>
                            <w:top w:val="none" w:sz="0" w:space="0" w:color="auto"/>
                            <w:left w:val="none" w:sz="0" w:space="0" w:color="auto"/>
                            <w:bottom w:val="none" w:sz="0" w:space="0" w:color="auto"/>
                            <w:right w:val="none" w:sz="0" w:space="0" w:color="auto"/>
                          </w:divBdr>
                          <w:divsChild>
                            <w:div w:id="415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713405">
      <w:bodyDiv w:val="1"/>
      <w:marLeft w:val="0"/>
      <w:marRight w:val="0"/>
      <w:marTop w:val="0"/>
      <w:marBottom w:val="0"/>
      <w:divBdr>
        <w:top w:val="none" w:sz="0" w:space="0" w:color="auto"/>
        <w:left w:val="none" w:sz="0" w:space="0" w:color="auto"/>
        <w:bottom w:val="none" w:sz="0" w:space="0" w:color="auto"/>
        <w:right w:val="none" w:sz="0" w:space="0" w:color="auto"/>
      </w:divBdr>
    </w:div>
    <w:div w:id="1868443882">
      <w:bodyDiv w:val="1"/>
      <w:marLeft w:val="0"/>
      <w:marRight w:val="0"/>
      <w:marTop w:val="0"/>
      <w:marBottom w:val="0"/>
      <w:divBdr>
        <w:top w:val="none" w:sz="0" w:space="0" w:color="auto"/>
        <w:left w:val="none" w:sz="0" w:space="0" w:color="auto"/>
        <w:bottom w:val="none" w:sz="0" w:space="0" w:color="auto"/>
        <w:right w:val="none" w:sz="0" w:space="0" w:color="auto"/>
      </w:divBdr>
      <w:divsChild>
        <w:div w:id="1602833139">
          <w:marLeft w:val="0"/>
          <w:marRight w:val="0"/>
          <w:marTop w:val="0"/>
          <w:marBottom w:val="0"/>
          <w:divBdr>
            <w:top w:val="none" w:sz="0" w:space="0" w:color="auto"/>
            <w:left w:val="none" w:sz="0" w:space="0" w:color="auto"/>
            <w:bottom w:val="none" w:sz="0" w:space="0" w:color="auto"/>
            <w:right w:val="none" w:sz="0" w:space="0" w:color="auto"/>
          </w:divBdr>
          <w:divsChild>
            <w:div w:id="627081024">
              <w:marLeft w:val="0"/>
              <w:marRight w:val="0"/>
              <w:marTop w:val="0"/>
              <w:marBottom w:val="0"/>
              <w:divBdr>
                <w:top w:val="none" w:sz="0" w:space="0" w:color="auto"/>
                <w:left w:val="none" w:sz="0" w:space="0" w:color="auto"/>
                <w:bottom w:val="none" w:sz="0" w:space="0" w:color="auto"/>
                <w:right w:val="none" w:sz="0" w:space="0" w:color="auto"/>
              </w:divBdr>
              <w:divsChild>
                <w:div w:id="1351566261">
                  <w:marLeft w:val="0"/>
                  <w:marRight w:val="0"/>
                  <w:marTop w:val="0"/>
                  <w:marBottom w:val="0"/>
                  <w:divBdr>
                    <w:top w:val="none" w:sz="0" w:space="0" w:color="auto"/>
                    <w:left w:val="none" w:sz="0" w:space="0" w:color="auto"/>
                    <w:bottom w:val="none" w:sz="0" w:space="0" w:color="auto"/>
                    <w:right w:val="none" w:sz="0" w:space="0" w:color="auto"/>
                  </w:divBdr>
                  <w:divsChild>
                    <w:div w:id="2139712715">
                      <w:marLeft w:val="0"/>
                      <w:marRight w:val="0"/>
                      <w:marTop w:val="0"/>
                      <w:marBottom w:val="0"/>
                      <w:divBdr>
                        <w:top w:val="none" w:sz="0" w:space="0" w:color="auto"/>
                        <w:left w:val="none" w:sz="0" w:space="0" w:color="auto"/>
                        <w:bottom w:val="none" w:sz="0" w:space="0" w:color="auto"/>
                        <w:right w:val="none" w:sz="0" w:space="0" w:color="auto"/>
                      </w:divBdr>
                      <w:divsChild>
                        <w:div w:id="828254207">
                          <w:marLeft w:val="0"/>
                          <w:marRight w:val="0"/>
                          <w:marTop w:val="0"/>
                          <w:marBottom w:val="0"/>
                          <w:divBdr>
                            <w:top w:val="none" w:sz="0" w:space="0" w:color="auto"/>
                            <w:left w:val="none" w:sz="0" w:space="0" w:color="auto"/>
                            <w:bottom w:val="none" w:sz="0" w:space="0" w:color="auto"/>
                            <w:right w:val="none" w:sz="0" w:space="0" w:color="auto"/>
                          </w:divBdr>
                          <w:divsChild>
                            <w:div w:id="7710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422287">
      <w:bodyDiv w:val="1"/>
      <w:marLeft w:val="0"/>
      <w:marRight w:val="0"/>
      <w:marTop w:val="0"/>
      <w:marBottom w:val="0"/>
      <w:divBdr>
        <w:top w:val="none" w:sz="0" w:space="0" w:color="auto"/>
        <w:left w:val="none" w:sz="0" w:space="0" w:color="auto"/>
        <w:bottom w:val="none" w:sz="0" w:space="0" w:color="auto"/>
        <w:right w:val="none" w:sz="0" w:space="0" w:color="auto"/>
      </w:divBdr>
    </w:div>
    <w:div w:id="1885285734">
      <w:bodyDiv w:val="1"/>
      <w:marLeft w:val="0"/>
      <w:marRight w:val="0"/>
      <w:marTop w:val="0"/>
      <w:marBottom w:val="0"/>
      <w:divBdr>
        <w:top w:val="none" w:sz="0" w:space="0" w:color="auto"/>
        <w:left w:val="none" w:sz="0" w:space="0" w:color="auto"/>
        <w:bottom w:val="none" w:sz="0" w:space="0" w:color="auto"/>
        <w:right w:val="none" w:sz="0" w:space="0" w:color="auto"/>
      </w:divBdr>
    </w:div>
    <w:div w:id="1900288302">
      <w:bodyDiv w:val="1"/>
      <w:marLeft w:val="0"/>
      <w:marRight w:val="0"/>
      <w:marTop w:val="0"/>
      <w:marBottom w:val="0"/>
      <w:divBdr>
        <w:top w:val="none" w:sz="0" w:space="0" w:color="auto"/>
        <w:left w:val="none" w:sz="0" w:space="0" w:color="auto"/>
        <w:bottom w:val="none" w:sz="0" w:space="0" w:color="auto"/>
        <w:right w:val="none" w:sz="0" w:space="0" w:color="auto"/>
      </w:divBdr>
      <w:divsChild>
        <w:div w:id="380058347">
          <w:marLeft w:val="0"/>
          <w:marRight w:val="0"/>
          <w:marTop w:val="0"/>
          <w:marBottom w:val="0"/>
          <w:divBdr>
            <w:top w:val="none" w:sz="0" w:space="0" w:color="auto"/>
            <w:left w:val="none" w:sz="0" w:space="0" w:color="auto"/>
            <w:bottom w:val="none" w:sz="0" w:space="0" w:color="auto"/>
            <w:right w:val="none" w:sz="0" w:space="0" w:color="auto"/>
          </w:divBdr>
          <w:divsChild>
            <w:div w:id="448280383">
              <w:marLeft w:val="0"/>
              <w:marRight w:val="0"/>
              <w:marTop w:val="0"/>
              <w:marBottom w:val="0"/>
              <w:divBdr>
                <w:top w:val="none" w:sz="0" w:space="0" w:color="auto"/>
                <w:left w:val="none" w:sz="0" w:space="0" w:color="auto"/>
                <w:bottom w:val="none" w:sz="0" w:space="0" w:color="auto"/>
                <w:right w:val="none" w:sz="0" w:space="0" w:color="auto"/>
              </w:divBdr>
            </w:div>
            <w:div w:id="824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4307">
      <w:bodyDiv w:val="1"/>
      <w:marLeft w:val="0"/>
      <w:marRight w:val="0"/>
      <w:marTop w:val="0"/>
      <w:marBottom w:val="0"/>
      <w:divBdr>
        <w:top w:val="none" w:sz="0" w:space="0" w:color="auto"/>
        <w:left w:val="none" w:sz="0" w:space="0" w:color="auto"/>
        <w:bottom w:val="none" w:sz="0" w:space="0" w:color="auto"/>
        <w:right w:val="none" w:sz="0" w:space="0" w:color="auto"/>
      </w:divBdr>
    </w:div>
    <w:div w:id="1968390668">
      <w:bodyDiv w:val="1"/>
      <w:marLeft w:val="0"/>
      <w:marRight w:val="0"/>
      <w:marTop w:val="0"/>
      <w:marBottom w:val="0"/>
      <w:divBdr>
        <w:top w:val="none" w:sz="0" w:space="0" w:color="auto"/>
        <w:left w:val="none" w:sz="0" w:space="0" w:color="auto"/>
        <w:bottom w:val="none" w:sz="0" w:space="0" w:color="auto"/>
        <w:right w:val="none" w:sz="0" w:space="0" w:color="auto"/>
      </w:divBdr>
      <w:divsChild>
        <w:div w:id="187716613">
          <w:marLeft w:val="0"/>
          <w:marRight w:val="0"/>
          <w:marTop w:val="0"/>
          <w:marBottom w:val="0"/>
          <w:divBdr>
            <w:top w:val="none" w:sz="0" w:space="0" w:color="auto"/>
            <w:left w:val="none" w:sz="0" w:space="0" w:color="auto"/>
            <w:bottom w:val="none" w:sz="0" w:space="0" w:color="auto"/>
            <w:right w:val="none" w:sz="0" w:space="0" w:color="auto"/>
          </w:divBdr>
          <w:divsChild>
            <w:div w:id="1440880852">
              <w:marLeft w:val="0"/>
              <w:marRight w:val="0"/>
              <w:marTop w:val="0"/>
              <w:marBottom w:val="0"/>
              <w:divBdr>
                <w:top w:val="none" w:sz="0" w:space="0" w:color="auto"/>
                <w:left w:val="none" w:sz="0" w:space="0" w:color="auto"/>
                <w:bottom w:val="none" w:sz="0" w:space="0" w:color="auto"/>
                <w:right w:val="none" w:sz="0" w:space="0" w:color="auto"/>
              </w:divBdr>
              <w:divsChild>
                <w:div w:id="2094281634">
                  <w:marLeft w:val="0"/>
                  <w:marRight w:val="0"/>
                  <w:marTop w:val="0"/>
                  <w:marBottom w:val="0"/>
                  <w:divBdr>
                    <w:top w:val="none" w:sz="0" w:space="0" w:color="auto"/>
                    <w:left w:val="none" w:sz="0" w:space="0" w:color="auto"/>
                    <w:bottom w:val="none" w:sz="0" w:space="0" w:color="auto"/>
                    <w:right w:val="none" w:sz="0" w:space="0" w:color="auto"/>
                  </w:divBdr>
                  <w:divsChild>
                    <w:div w:id="1970359788">
                      <w:marLeft w:val="0"/>
                      <w:marRight w:val="0"/>
                      <w:marTop w:val="0"/>
                      <w:marBottom w:val="0"/>
                      <w:divBdr>
                        <w:top w:val="none" w:sz="0" w:space="0" w:color="auto"/>
                        <w:left w:val="none" w:sz="0" w:space="0" w:color="auto"/>
                        <w:bottom w:val="none" w:sz="0" w:space="0" w:color="auto"/>
                        <w:right w:val="none" w:sz="0" w:space="0" w:color="auto"/>
                      </w:divBdr>
                      <w:divsChild>
                        <w:div w:id="1887450863">
                          <w:marLeft w:val="0"/>
                          <w:marRight w:val="0"/>
                          <w:marTop w:val="0"/>
                          <w:marBottom w:val="0"/>
                          <w:divBdr>
                            <w:top w:val="none" w:sz="0" w:space="0" w:color="auto"/>
                            <w:left w:val="none" w:sz="0" w:space="0" w:color="auto"/>
                            <w:bottom w:val="none" w:sz="0" w:space="0" w:color="auto"/>
                            <w:right w:val="none" w:sz="0" w:space="0" w:color="auto"/>
                          </w:divBdr>
                          <w:divsChild>
                            <w:div w:id="437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39471">
      <w:bodyDiv w:val="1"/>
      <w:marLeft w:val="0"/>
      <w:marRight w:val="0"/>
      <w:marTop w:val="0"/>
      <w:marBottom w:val="0"/>
      <w:divBdr>
        <w:top w:val="none" w:sz="0" w:space="0" w:color="auto"/>
        <w:left w:val="none" w:sz="0" w:space="0" w:color="auto"/>
        <w:bottom w:val="none" w:sz="0" w:space="0" w:color="auto"/>
        <w:right w:val="none" w:sz="0" w:space="0" w:color="auto"/>
      </w:divBdr>
      <w:divsChild>
        <w:div w:id="839999694">
          <w:marLeft w:val="0"/>
          <w:marRight w:val="0"/>
          <w:marTop w:val="0"/>
          <w:marBottom w:val="0"/>
          <w:divBdr>
            <w:top w:val="none" w:sz="0" w:space="0" w:color="auto"/>
            <w:left w:val="none" w:sz="0" w:space="0" w:color="auto"/>
            <w:bottom w:val="none" w:sz="0" w:space="0" w:color="auto"/>
            <w:right w:val="none" w:sz="0" w:space="0" w:color="auto"/>
          </w:divBdr>
          <w:divsChild>
            <w:div w:id="1436243558">
              <w:marLeft w:val="0"/>
              <w:marRight w:val="0"/>
              <w:marTop w:val="0"/>
              <w:marBottom w:val="0"/>
              <w:divBdr>
                <w:top w:val="none" w:sz="0" w:space="0" w:color="auto"/>
                <w:left w:val="none" w:sz="0" w:space="0" w:color="auto"/>
                <w:bottom w:val="none" w:sz="0" w:space="0" w:color="auto"/>
                <w:right w:val="none" w:sz="0" w:space="0" w:color="auto"/>
              </w:divBdr>
              <w:divsChild>
                <w:div w:id="1934438933">
                  <w:marLeft w:val="0"/>
                  <w:marRight w:val="0"/>
                  <w:marTop w:val="0"/>
                  <w:marBottom w:val="0"/>
                  <w:divBdr>
                    <w:top w:val="none" w:sz="0" w:space="0" w:color="auto"/>
                    <w:left w:val="none" w:sz="0" w:space="0" w:color="auto"/>
                    <w:bottom w:val="none" w:sz="0" w:space="0" w:color="auto"/>
                    <w:right w:val="none" w:sz="0" w:space="0" w:color="auto"/>
                  </w:divBdr>
                  <w:divsChild>
                    <w:div w:id="32509619">
                      <w:marLeft w:val="0"/>
                      <w:marRight w:val="0"/>
                      <w:marTop w:val="0"/>
                      <w:marBottom w:val="0"/>
                      <w:divBdr>
                        <w:top w:val="none" w:sz="0" w:space="0" w:color="auto"/>
                        <w:left w:val="none" w:sz="0" w:space="0" w:color="auto"/>
                        <w:bottom w:val="none" w:sz="0" w:space="0" w:color="auto"/>
                        <w:right w:val="none" w:sz="0" w:space="0" w:color="auto"/>
                      </w:divBdr>
                      <w:divsChild>
                        <w:div w:id="98220128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960529">
      <w:bodyDiv w:val="1"/>
      <w:marLeft w:val="0"/>
      <w:marRight w:val="0"/>
      <w:marTop w:val="0"/>
      <w:marBottom w:val="0"/>
      <w:divBdr>
        <w:top w:val="none" w:sz="0" w:space="0" w:color="auto"/>
        <w:left w:val="none" w:sz="0" w:space="0" w:color="auto"/>
        <w:bottom w:val="none" w:sz="0" w:space="0" w:color="auto"/>
        <w:right w:val="none" w:sz="0" w:space="0" w:color="auto"/>
      </w:divBdr>
      <w:divsChild>
        <w:div w:id="1633439856">
          <w:marLeft w:val="0"/>
          <w:marRight w:val="0"/>
          <w:marTop w:val="0"/>
          <w:marBottom w:val="0"/>
          <w:divBdr>
            <w:top w:val="none" w:sz="0" w:space="0" w:color="auto"/>
            <w:left w:val="none" w:sz="0" w:space="0" w:color="auto"/>
            <w:bottom w:val="none" w:sz="0" w:space="0" w:color="auto"/>
            <w:right w:val="none" w:sz="0" w:space="0" w:color="auto"/>
          </w:divBdr>
        </w:div>
      </w:divsChild>
    </w:div>
    <w:div w:id="2049798888">
      <w:bodyDiv w:val="1"/>
      <w:marLeft w:val="0"/>
      <w:marRight w:val="0"/>
      <w:marTop w:val="0"/>
      <w:marBottom w:val="0"/>
      <w:divBdr>
        <w:top w:val="none" w:sz="0" w:space="0" w:color="auto"/>
        <w:left w:val="none" w:sz="0" w:space="0" w:color="auto"/>
        <w:bottom w:val="none" w:sz="0" w:space="0" w:color="auto"/>
        <w:right w:val="none" w:sz="0" w:space="0" w:color="auto"/>
      </w:divBdr>
    </w:div>
    <w:div w:id="2056154382">
      <w:bodyDiv w:val="1"/>
      <w:marLeft w:val="0"/>
      <w:marRight w:val="0"/>
      <w:marTop w:val="0"/>
      <w:marBottom w:val="0"/>
      <w:divBdr>
        <w:top w:val="none" w:sz="0" w:space="0" w:color="auto"/>
        <w:left w:val="none" w:sz="0" w:space="0" w:color="auto"/>
        <w:bottom w:val="none" w:sz="0" w:space="0" w:color="auto"/>
        <w:right w:val="none" w:sz="0" w:space="0" w:color="auto"/>
      </w:divBdr>
      <w:divsChild>
        <w:div w:id="1067922015">
          <w:marLeft w:val="0"/>
          <w:marRight w:val="0"/>
          <w:marTop w:val="0"/>
          <w:marBottom w:val="0"/>
          <w:divBdr>
            <w:top w:val="none" w:sz="0" w:space="0" w:color="auto"/>
            <w:left w:val="none" w:sz="0" w:space="0" w:color="auto"/>
            <w:bottom w:val="none" w:sz="0" w:space="0" w:color="auto"/>
            <w:right w:val="none" w:sz="0" w:space="0" w:color="auto"/>
          </w:divBdr>
          <w:divsChild>
            <w:div w:id="1523284205">
              <w:marLeft w:val="0"/>
              <w:marRight w:val="0"/>
              <w:marTop w:val="0"/>
              <w:marBottom w:val="0"/>
              <w:divBdr>
                <w:top w:val="none" w:sz="0" w:space="0" w:color="auto"/>
                <w:left w:val="none" w:sz="0" w:space="0" w:color="auto"/>
                <w:bottom w:val="none" w:sz="0" w:space="0" w:color="auto"/>
                <w:right w:val="none" w:sz="0" w:space="0" w:color="auto"/>
              </w:divBdr>
              <w:divsChild>
                <w:div w:id="1936209629">
                  <w:marLeft w:val="0"/>
                  <w:marRight w:val="0"/>
                  <w:marTop w:val="0"/>
                  <w:marBottom w:val="0"/>
                  <w:divBdr>
                    <w:top w:val="none" w:sz="0" w:space="0" w:color="auto"/>
                    <w:left w:val="none" w:sz="0" w:space="0" w:color="auto"/>
                    <w:bottom w:val="none" w:sz="0" w:space="0" w:color="auto"/>
                    <w:right w:val="none" w:sz="0" w:space="0" w:color="auto"/>
                  </w:divBdr>
                  <w:divsChild>
                    <w:div w:id="1818186908">
                      <w:marLeft w:val="0"/>
                      <w:marRight w:val="0"/>
                      <w:marTop w:val="0"/>
                      <w:marBottom w:val="0"/>
                      <w:divBdr>
                        <w:top w:val="none" w:sz="0" w:space="0" w:color="auto"/>
                        <w:left w:val="none" w:sz="0" w:space="0" w:color="auto"/>
                        <w:bottom w:val="none" w:sz="0" w:space="0" w:color="auto"/>
                        <w:right w:val="none" w:sz="0" w:space="0" w:color="auto"/>
                      </w:divBdr>
                      <w:divsChild>
                        <w:div w:id="385185012">
                          <w:marLeft w:val="0"/>
                          <w:marRight w:val="0"/>
                          <w:marTop w:val="0"/>
                          <w:marBottom w:val="0"/>
                          <w:divBdr>
                            <w:top w:val="none" w:sz="0" w:space="0" w:color="auto"/>
                            <w:left w:val="none" w:sz="0" w:space="0" w:color="auto"/>
                            <w:bottom w:val="none" w:sz="0" w:space="0" w:color="auto"/>
                            <w:right w:val="none" w:sz="0" w:space="0" w:color="auto"/>
                          </w:divBdr>
                          <w:divsChild>
                            <w:div w:id="21198342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040422">
      <w:bodyDiv w:val="1"/>
      <w:marLeft w:val="0"/>
      <w:marRight w:val="0"/>
      <w:marTop w:val="0"/>
      <w:marBottom w:val="0"/>
      <w:divBdr>
        <w:top w:val="none" w:sz="0" w:space="0" w:color="auto"/>
        <w:left w:val="none" w:sz="0" w:space="0" w:color="auto"/>
        <w:bottom w:val="none" w:sz="0" w:space="0" w:color="auto"/>
        <w:right w:val="none" w:sz="0" w:space="0" w:color="auto"/>
      </w:divBdr>
      <w:divsChild>
        <w:div w:id="77216055">
          <w:marLeft w:val="0"/>
          <w:marRight w:val="0"/>
          <w:marTop w:val="0"/>
          <w:marBottom w:val="0"/>
          <w:divBdr>
            <w:top w:val="none" w:sz="0" w:space="0" w:color="auto"/>
            <w:left w:val="none" w:sz="0" w:space="0" w:color="auto"/>
            <w:bottom w:val="none" w:sz="0" w:space="0" w:color="auto"/>
            <w:right w:val="none" w:sz="0" w:space="0" w:color="auto"/>
          </w:divBdr>
          <w:divsChild>
            <w:div w:id="219439594">
              <w:marLeft w:val="0"/>
              <w:marRight w:val="0"/>
              <w:marTop w:val="0"/>
              <w:marBottom w:val="0"/>
              <w:divBdr>
                <w:top w:val="none" w:sz="0" w:space="0" w:color="auto"/>
                <w:left w:val="none" w:sz="0" w:space="0" w:color="auto"/>
                <w:bottom w:val="none" w:sz="0" w:space="0" w:color="auto"/>
                <w:right w:val="none" w:sz="0" w:space="0" w:color="auto"/>
              </w:divBdr>
              <w:divsChild>
                <w:div w:id="1105925572">
                  <w:marLeft w:val="0"/>
                  <w:marRight w:val="0"/>
                  <w:marTop w:val="0"/>
                  <w:marBottom w:val="0"/>
                  <w:divBdr>
                    <w:top w:val="none" w:sz="0" w:space="0" w:color="auto"/>
                    <w:left w:val="none" w:sz="0" w:space="0" w:color="auto"/>
                    <w:bottom w:val="none" w:sz="0" w:space="0" w:color="auto"/>
                    <w:right w:val="none" w:sz="0" w:space="0" w:color="auto"/>
                  </w:divBdr>
                  <w:divsChild>
                    <w:div w:id="569536755">
                      <w:marLeft w:val="0"/>
                      <w:marRight w:val="0"/>
                      <w:marTop w:val="0"/>
                      <w:marBottom w:val="0"/>
                      <w:divBdr>
                        <w:top w:val="none" w:sz="0" w:space="0" w:color="auto"/>
                        <w:left w:val="none" w:sz="0" w:space="0" w:color="auto"/>
                        <w:bottom w:val="none" w:sz="0" w:space="0" w:color="auto"/>
                        <w:right w:val="none" w:sz="0" w:space="0" w:color="auto"/>
                      </w:divBdr>
                      <w:divsChild>
                        <w:div w:id="1010330886">
                          <w:marLeft w:val="0"/>
                          <w:marRight w:val="0"/>
                          <w:marTop w:val="0"/>
                          <w:marBottom w:val="0"/>
                          <w:divBdr>
                            <w:top w:val="none" w:sz="0" w:space="0" w:color="auto"/>
                            <w:left w:val="none" w:sz="0" w:space="0" w:color="auto"/>
                            <w:bottom w:val="none" w:sz="0" w:space="0" w:color="auto"/>
                            <w:right w:val="none" w:sz="0" w:space="0" w:color="auto"/>
                          </w:divBdr>
                          <w:divsChild>
                            <w:div w:id="14912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57977">
      <w:bodyDiv w:val="1"/>
      <w:marLeft w:val="0"/>
      <w:marRight w:val="0"/>
      <w:marTop w:val="0"/>
      <w:marBottom w:val="0"/>
      <w:divBdr>
        <w:top w:val="none" w:sz="0" w:space="0" w:color="auto"/>
        <w:left w:val="none" w:sz="0" w:space="0" w:color="auto"/>
        <w:bottom w:val="none" w:sz="0" w:space="0" w:color="auto"/>
        <w:right w:val="none" w:sz="0" w:space="0" w:color="auto"/>
      </w:divBdr>
      <w:divsChild>
        <w:div w:id="1600482505">
          <w:marLeft w:val="0"/>
          <w:marRight w:val="0"/>
          <w:marTop w:val="0"/>
          <w:marBottom w:val="0"/>
          <w:divBdr>
            <w:top w:val="none" w:sz="0" w:space="0" w:color="auto"/>
            <w:left w:val="none" w:sz="0" w:space="0" w:color="auto"/>
            <w:bottom w:val="none" w:sz="0" w:space="0" w:color="auto"/>
            <w:right w:val="none" w:sz="0" w:space="0" w:color="auto"/>
          </w:divBdr>
          <w:divsChild>
            <w:div w:id="691223548">
              <w:marLeft w:val="0"/>
              <w:marRight w:val="0"/>
              <w:marTop w:val="0"/>
              <w:marBottom w:val="0"/>
              <w:divBdr>
                <w:top w:val="none" w:sz="0" w:space="0" w:color="auto"/>
                <w:left w:val="none" w:sz="0" w:space="0" w:color="auto"/>
                <w:bottom w:val="none" w:sz="0" w:space="0" w:color="auto"/>
                <w:right w:val="none" w:sz="0" w:space="0" w:color="auto"/>
              </w:divBdr>
              <w:divsChild>
                <w:div w:id="241843125">
                  <w:marLeft w:val="0"/>
                  <w:marRight w:val="0"/>
                  <w:marTop w:val="0"/>
                  <w:marBottom w:val="0"/>
                  <w:divBdr>
                    <w:top w:val="none" w:sz="0" w:space="0" w:color="auto"/>
                    <w:left w:val="none" w:sz="0" w:space="0" w:color="auto"/>
                    <w:bottom w:val="none" w:sz="0" w:space="0" w:color="auto"/>
                    <w:right w:val="none" w:sz="0" w:space="0" w:color="auto"/>
                  </w:divBdr>
                  <w:divsChild>
                    <w:div w:id="1665235306">
                      <w:marLeft w:val="0"/>
                      <w:marRight w:val="0"/>
                      <w:marTop w:val="0"/>
                      <w:marBottom w:val="0"/>
                      <w:divBdr>
                        <w:top w:val="none" w:sz="0" w:space="0" w:color="auto"/>
                        <w:left w:val="none" w:sz="0" w:space="0" w:color="auto"/>
                        <w:bottom w:val="none" w:sz="0" w:space="0" w:color="auto"/>
                        <w:right w:val="none" w:sz="0" w:space="0" w:color="auto"/>
                      </w:divBdr>
                      <w:divsChild>
                        <w:div w:id="2053114203">
                          <w:marLeft w:val="0"/>
                          <w:marRight w:val="0"/>
                          <w:marTop w:val="0"/>
                          <w:marBottom w:val="0"/>
                          <w:divBdr>
                            <w:top w:val="none" w:sz="0" w:space="0" w:color="auto"/>
                            <w:left w:val="none" w:sz="0" w:space="0" w:color="auto"/>
                            <w:bottom w:val="none" w:sz="0" w:space="0" w:color="auto"/>
                            <w:right w:val="none" w:sz="0" w:space="0" w:color="auto"/>
                          </w:divBdr>
                          <w:divsChild>
                            <w:div w:id="8122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65111">
      <w:bodyDiv w:val="1"/>
      <w:marLeft w:val="0"/>
      <w:marRight w:val="0"/>
      <w:marTop w:val="0"/>
      <w:marBottom w:val="0"/>
      <w:divBdr>
        <w:top w:val="none" w:sz="0" w:space="0" w:color="auto"/>
        <w:left w:val="none" w:sz="0" w:space="0" w:color="auto"/>
        <w:bottom w:val="none" w:sz="0" w:space="0" w:color="auto"/>
        <w:right w:val="none" w:sz="0" w:space="0" w:color="auto"/>
      </w:divBdr>
    </w:div>
    <w:div w:id="2070492592">
      <w:bodyDiv w:val="1"/>
      <w:marLeft w:val="0"/>
      <w:marRight w:val="0"/>
      <w:marTop w:val="0"/>
      <w:marBottom w:val="0"/>
      <w:divBdr>
        <w:top w:val="none" w:sz="0" w:space="0" w:color="auto"/>
        <w:left w:val="none" w:sz="0" w:space="0" w:color="auto"/>
        <w:bottom w:val="none" w:sz="0" w:space="0" w:color="auto"/>
        <w:right w:val="none" w:sz="0" w:space="0" w:color="auto"/>
      </w:divBdr>
    </w:div>
    <w:div w:id="2080327449">
      <w:bodyDiv w:val="1"/>
      <w:marLeft w:val="0"/>
      <w:marRight w:val="0"/>
      <w:marTop w:val="0"/>
      <w:marBottom w:val="0"/>
      <w:divBdr>
        <w:top w:val="none" w:sz="0" w:space="0" w:color="auto"/>
        <w:left w:val="none" w:sz="0" w:space="0" w:color="auto"/>
        <w:bottom w:val="none" w:sz="0" w:space="0" w:color="auto"/>
        <w:right w:val="none" w:sz="0" w:space="0" w:color="auto"/>
      </w:divBdr>
    </w:div>
    <w:div w:id="20887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0.xml"/><Relationship Id="rId32" Type="http://schemas.openxmlformats.org/officeDocument/2006/relationships/hyperlink" Target="http://www.varam.gov.lv/lat/fondi/ets/?doc=13013"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3.xml"/><Relationship Id="rId36" Type="http://schemas.openxmlformats.org/officeDocument/2006/relationships/hyperlink" Target="http://www.varam.gov.lv/lat/fondi/ets/?doc=13013" TargetMode="Externa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8.xml"/><Relationship Id="rId27" Type="http://schemas.openxmlformats.org/officeDocument/2006/relationships/image" Target="media/image2.png"/><Relationship Id="rId30" Type="http://schemas.openxmlformats.org/officeDocument/2006/relationships/footer" Target="footer2.xml"/><Relationship Id="rId35" Type="http://schemas.openxmlformats.org/officeDocument/2006/relationships/hyperlink" Target="http://www.varam.gov.lv/lat/fondi/ets/?doc=1301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sfondi.lv/upload/Petijumi_un_izvertejumi/apraksti/Petijuma_izvertesanas_zinojums_31012014.pdf" TargetMode="External"/><Relationship Id="rId3" Type="http://schemas.openxmlformats.org/officeDocument/2006/relationships/hyperlink" Target="http://izm.gov.lv/lv/publikacijas-un-statistika/statistika-par-izglitibu/statistika-par-augstako-izglitibu" TargetMode="External"/><Relationship Id="rId7" Type="http://schemas.openxmlformats.org/officeDocument/2006/relationships/hyperlink" Target="http://www.varam.gov.lv/in_site/tools/download.php?file=files/text/KPFI/lik//1_2010.pdf" TargetMode="External"/><Relationship Id="rId2" Type="http://schemas.openxmlformats.org/officeDocument/2006/relationships/hyperlink" Target="http://polsis.mk.gov.lv/view.do?id=4608" TargetMode="External"/><Relationship Id="rId1" Type="http://schemas.openxmlformats.org/officeDocument/2006/relationships/hyperlink" Target="http://polsis.mk.gov.lv/view.do?id=4608" TargetMode="External"/><Relationship Id="rId6" Type="http://schemas.openxmlformats.org/officeDocument/2006/relationships/hyperlink" Target="http://www.izm.gov.lv/images/izglitiba_augst/06.pdf" TargetMode="External"/><Relationship Id="rId5" Type="http://schemas.openxmlformats.org/officeDocument/2006/relationships/hyperlink" Target="http://www.varam.gov.lv/lat/aktual/preses_relizes/?doc=19982" TargetMode="External"/><Relationship Id="rId4" Type="http://schemas.openxmlformats.org/officeDocument/2006/relationships/hyperlink" Target="http://likumi.lv/doc.php?id=18481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zm-s-foxtrot\Departamenti\SSFID\SSFID\ES%20fondu%20invest&#299;ciju%20pamatojums%202014.-2020.gadam\Zinatne_un_augst.izglitiba\SAM%20811%20(AII%20infra)\Statistika\diagrammas_ar_lauk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izm-s-foxtrot\Departamenti\SSFID\SSFID\ES%20fondu%20invest&#299;ciju%20pamatojums%202014.-2020.gadam\Zinatne_un_augst.izglitiba\SAM%20811%20(AII%20infra)\Statistika\diagrammas.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izm-s-foxtrot\Departamenti\SSFID\SSFID\ES%20fondu%20invest&#299;ciju%20pamatojums%202014.-2020.gadam\Zinatne_un_augst.izglitiba\SAM%20811%20(AII%20infra)\Statistika\diagr_sievietes.xlsx" TargetMode="External"/><Relationship Id="rId2" Type="http://schemas.microsoft.com/office/2011/relationships/chartColorStyle" Target="colors5.xml"/><Relationship Id="rId1" Type="http://schemas.microsoft.com/office/2011/relationships/chartStyle" Target="style5.xml"/></Relationships>
</file>

<file path=word/charts/_rels/chart12.xml.rels><?xml version="1.0" encoding="UTF-8" standalone="yes"?>
<Relationships xmlns="http://schemas.openxmlformats.org/package/2006/relationships"><Relationship Id="rId3" Type="http://schemas.openxmlformats.org/officeDocument/2006/relationships/oleObject" Target="file:///\\izm-s-foxtrot\Departamenti\SSFID\SSFID\ES%20fondu%20invest&#299;ciju%20pamatojums%202014.-2020.gadam\Zinatne_un_augst.izglitiba\SAM%20811%20(AII%20infra)\Statistika\diagr_sievietes.xlsx" TargetMode="External"/><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14.xml.rels><?xml version="1.0" encoding="UTF-8" standalone="yes"?>
<Relationships xmlns="http://schemas.openxmlformats.org/package/2006/relationships"><Relationship Id="rId3" Type="http://schemas.openxmlformats.org/officeDocument/2006/relationships/oleObject" Target="file:///\\izm-s-foxtrot\Departamenti\SSFID\SSFID\ES%20fondu%20invest&#299;ciju%20pamatojums%202014.-2020.gadam\Zinatne_un_augst.izglitiba\SAM%20811%20(AII%20infra)\Statistika\diagrammas.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3" Type="http://schemas.openxmlformats.org/officeDocument/2006/relationships/oleObject" Target="file:///\\izm-s-foxtrot\Departamenti\SSFID\SSFID\ES%20fondu%20invest&#299;ciju%20pamatojums%202014.-2020.gadam\Zinatne_un_augst.izglitiba\SAM%20811%20(AII%20infra)\Statistika\aprekini_stud_skaita_salidzin.xlsx" TargetMode="External"/><Relationship Id="rId2" Type="http://schemas.microsoft.com/office/2011/relationships/chartColorStyle" Target="colors8.xml"/><Relationship Id="rId1" Type="http://schemas.microsoft.com/office/2011/relationships/chartStyle" Target="style8.xml"/></Relationships>
</file>

<file path=word/charts/_rels/chart16.xml.rels><?xml version="1.0" encoding="UTF-8" standalone="yes"?>
<Relationships xmlns="http://schemas.openxmlformats.org/package/2006/relationships"><Relationship Id="rId3" Type="http://schemas.openxmlformats.org/officeDocument/2006/relationships/oleObject" Target="file:///\\izm-s-foxtrot\Departamenti\SSFID\SSFID\ES%20fondu%20invest&#299;ciju%20pamatojums%202014.-2020.gadam\Zinatne_un_augst.izglitiba\SAM%20811%20(AII%20infra)\Statistika\aprekini_stud_skaita_salidzin.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izm-s-foxtrot\Departamenti\SSFID\SSFID\ES%20fondu%20invest&#299;ciju%20pamatojums%202014.-2020.gadam\Zinatne_un_augst.izglitiba\SAM%20811%20(AII%20infra)\Statistika\diagrammas_ar_lauk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zm-s-foxtrot\Departamenti\SSFID\SSFID\ES%20fondu%20invest&#299;ciju%20pamatojums%202014.-2020.gadam\Zinatne_un_augst.izglitiba\SAM%20811%20(AII%20infra)\Statistika\diagrammas_ar_lauk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izm-s-foxtrot\Departamenti\SSFID\SSFID\ES%20fondu%20invest&#299;ciju%20pamatojums%202014.-2020.gadam\Zinatne_un_augst.izglitiba\SAM%20811%20(AII%20infra)\Statistika\diagrammas_ar_lauks.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vesma.abizare-vagre\Documents\1_SSFID\SAM%208.1.1\aprilis\Copy%20of%20statistikai_8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zm-s-foxtrot\Departamenti\SSFID\SSFID\ES%20fondu%20invest&#299;ciju%20pamatojums%202014.-2020.gadam\Zinatne_un_augst.izglitiba\SAM%20811%20(AII%20infra)\Statistika\diagrammas.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izm-s-foxtrot\Departamenti\SSFID\SSFID\ES%20fondu%20invest&#299;ciju%20pamatojums%202014.-2020.gadam\Zinatne_un_augst.izglitiba\SAM%20811%20(AII%20infra)\Statistika\diagrammas_ar_lauks.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vesma.abizare-vagre\Documents\1_SSFID\SAM%208.1.1\aprilis\Copy%20of%20statistikai_8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sus\Desktop\diagramm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'stud_skaita dinamika'!$C$75</c:f>
              <c:strCache>
                <c:ptCount val="1"/>
                <c:pt idx="0">
                  <c:v>Studējošo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dinamika'!$D$74:$H$74</c:f>
              <c:strCache>
                <c:ptCount val="5"/>
                <c:pt idx="0">
                  <c:v>2007/2008</c:v>
                </c:pt>
                <c:pt idx="1">
                  <c:v>2009/2010</c:v>
                </c:pt>
                <c:pt idx="2">
                  <c:v>2011/2012</c:v>
                </c:pt>
                <c:pt idx="3">
                  <c:v>2013/2014</c:v>
                </c:pt>
                <c:pt idx="4">
                  <c:v>2015/2016</c:v>
                </c:pt>
              </c:strCache>
            </c:strRef>
          </c:cat>
          <c:val>
            <c:numRef>
              <c:f>'stud_skaita dinamika'!$D$75:$H$75</c:f>
              <c:numCache>
                <c:formatCode>General</c:formatCode>
                <c:ptCount val="5"/>
                <c:pt idx="0">
                  <c:v>29563</c:v>
                </c:pt>
                <c:pt idx="1">
                  <c:v>29709</c:v>
                </c:pt>
                <c:pt idx="2">
                  <c:v>30711</c:v>
                </c:pt>
                <c:pt idx="3">
                  <c:v>31266</c:v>
                </c:pt>
                <c:pt idx="4">
                  <c:v>31133</c:v>
                </c:pt>
              </c:numCache>
            </c:numRef>
          </c:val>
        </c:ser>
        <c:dLbls>
          <c:showLegendKey val="0"/>
          <c:showVal val="1"/>
          <c:showCatName val="0"/>
          <c:showSerName val="0"/>
          <c:showPercent val="0"/>
          <c:showBubbleSize val="0"/>
        </c:dLbls>
        <c:gapWidth val="219"/>
        <c:overlap val="-27"/>
        <c:axId val="195765640"/>
        <c:axId val="195767208"/>
      </c:barChart>
      <c:catAx>
        <c:axId val="19576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5767208"/>
        <c:crosses val="autoZero"/>
        <c:auto val="1"/>
        <c:lblAlgn val="ctr"/>
        <c:lblOffset val="100"/>
        <c:noMultiLvlLbl val="0"/>
      </c:catAx>
      <c:valAx>
        <c:axId val="195767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5765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'stud_skaita dinamika'!$M$101</c:f>
              <c:strCache>
                <c:ptCount val="1"/>
                <c:pt idx="0">
                  <c:v>Kopā</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dinamika'!$N$100:$R$100</c:f>
              <c:strCache>
                <c:ptCount val="5"/>
                <c:pt idx="0">
                  <c:v>2007/2008</c:v>
                </c:pt>
                <c:pt idx="1">
                  <c:v>2009/2010</c:v>
                </c:pt>
                <c:pt idx="2">
                  <c:v>2011/2012</c:v>
                </c:pt>
                <c:pt idx="3">
                  <c:v>2013/2014</c:v>
                </c:pt>
                <c:pt idx="4">
                  <c:v>2015/2016</c:v>
                </c:pt>
              </c:strCache>
            </c:strRef>
          </c:cat>
          <c:val>
            <c:numRef>
              <c:f>'stud_skaita dinamika'!$N$101:$R$101</c:f>
              <c:numCache>
                <c:formatCode>General</c:formatCode>
                <c:ptCount val="5"/>
                <c:pt idx="0">
                  <c:v>1171</c:v>
                </c:pt>
                <c:pt idx="1">
                  <c:v>1104</c:v>
                </c:pt>
                <c:pt idx="2">
                  <c:v>1018</c:v>
                </c:pt>
                <c:pt idx="3">
                  <c:v>835</c:v>
                </c:pt>
                <c:pt idx="4">
                  <c:v>635</c:v>
                </c:pt>
              </c:numCache>
            </c:numRef>
          </c:val>
          <c:smooth val="0"/>
        </c:ser>
        <c:ser>
          <c:idx val="1"/>
          <c:order val="1"/>
          <c:tx>
            <c:strRef>
              <c:f>'stud_skaita dinamika'!$M$102</c:f>
              <c:strCache>
                <c:ptCount val="1"/>
                <c:pt idx="0">
                  <c:v>Pamatstudijas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dinamika'!$N$100:$R$100</c:f>
              <c:strCache>
                <c:ptCount val="5"/>
                <c:pt idx="0">
                  <c:v>2007/2008</c:v>
                </c:pt>
                <c:pt idx="1">
                  <c:v>2009/2010</c:v>
                </c:pt>
                <c:pt idx="2">
                  <c:v>2011/2012</c:v>
                </c:pt>
                <c:pt idx="3">
                  <c:v>2013/2014</c:v>
                </c:pt>
                <c:pt idx="4">
                  <c:v>2015/2016</c:v>
                </c:pt>
              </c:strCache>
            </c:strRef>
          </c:cat>
          <c:val>
            <c:numRef>
              <c:f>'stud_skaita dinamika'!$N$102:$R$102</c:f>
              <c:numCache>
                <c:formatCode>General</c:formatCode>
                <c:ptCount val="5"/>
                <c:pt idx="0">
                  <c:v>785</c:v>
                </c:pt>
                <c:pt idx="1">
                  <c:v>775</c:v>
                </c:pt>
                <c:pt idx="2">
                  <c:v>651</c:v>
                </c:pt>
                <c:pt idx="3">
                  <c:v>518</c:v>
                </c:pt>
                <c:pt idx="4">
                  <c:v>367</c:v>
                </c:pt>
              </c:numCache>
            </c:numRef>
          </c:val>
          <c:smooth val="0"/>
        </c:ser>
        <c:ser>
          <c:idx val="2"/>
          <c:order val="2"/>
          <c:tx>
            <c:strRef>
              <c:f>'stud_skaita dinamika'!$M$103</c:f>
              <c:strCache>
                <c:ptCount val="1"/>
                <c:pt idx="0">
                  <c:v>Augstākā līmeņa studijas</c:v>
                </c:pt>
              </c:strCache>
            </c:strRef>
          </c:tx>
          <c:spPr>
            <a:ln w="28575" cap="rnd">
              <a:solidFill>
                <a:schemeClr val="accent3"/>
              </a:solidFill>
              <a:round/>
            </a:ln>
            <a:effectLst/>
          </c:spPr>
          <c:marker>
            <c:symbol val="none"/>
          </c:marker>
          <c:dLbls>
            <c:dLbl>
              <c:idx val="4"/>
              <c:layout>
                <c:manualLayout>
                  <c:x val="-2.0497067858140195E-2"/>
                  <c:y val="-2.1855765921426924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dinamika'!$N$100:$R$100</c:f>
              <c:strCache>
                <c:ptCount val="5"/>
                <c:pt idx="0">
                  <c:v>2007/2008</c:v>
                </c:pt>
                <c:pt idx="1">
                  <c:v>2009/2010</c:v>
                </c:pt>
                <c:pt idx="2">
                  <c:v>2011/2012</c:v>
                </c:pt>
                <c:pt idx="3">
                  <c:v>2013/2014</c:v>
                </c:pt>
                <c:pt idx="4">
                  <c:v>2015/2016</c:v>
                </c:pt>
              </c:strCache>
            </c:strRef>
          </c:cat>
          <c:val>
            <c:numRef>
              <c:f>'stud_skaita dinamika'!$N$103:$R$103</c:f>
              <c:numCache>
                <c:formatCode>General</c:formatCode>
                <c:ptCount val="5"/>
                <c:pt idx="0">
                  <c:v>386</c:v>
                </c:pt>
                <c:pt idx="1">
                  <c:v>329</c:v>
                </c:pt>
                <c:pt idx="2">
                  <c:v>367</c:v>
                </c:pt>
                <c:pt idx="3">
                  <c:v>317</c:v>
                </c:pt>
                <c:pt idx="4">
                  <c:v>268</c:v>
                </c:pt>
              </c:numCache>
            </c:numRef>
          </c:val>
          <c:smooth val="0"/>
        </c:ser>
        <c:dLbls>
          <c:showLegendKey val="0"/>
          <c:showVal val="1"/>
          <c:showCatName val="0"/>
          <c:showSerName val="0"/>
          <c:showPercent val="0"/>
          <c:showBubbleSize val="0"/>
        </c:dLbls>
        <c:smooth val="0"/>
        <c:axId val="135164440"/>
        <c:axId val="135162088"/>
      </c:lineChart>
      <c:catAx>
        <c:axId val="135164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162088"/>
        <c:crosses val="autoZero"/>
        <c:auto val="1"/>
        <c:lblAlgn val="ctr"/>
        <c:lblOffset val="100"/>
        <c:noMultiLvlLbl val="0"/>
      </c:catAx>
      <c:valAx>
        <c:axId val="135162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164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Sheet1!$C$10</c:f>
              <c:strCache>
                <c:ptCount val="1"/>
                <c:pt idx="0">
                  <c:v>vīrieši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Sheet1!$B$11:$B$17</c:f>
              <c:strCache>
                <c:ptCount val="7"/>
                <c:pt idx="0">
                  <c:v>Kopā </c:v>
                </c:pt>
                <c:pt idx="1">
                  <c:v>85. izglītības tematiskā joma "Vides aizsardzība"</c:v>
                </c:pt>
                <c:pt idx="2">
                  <c:v>72. izglītības tematiskā joma "Veselības aprūpe"</c:v>
                </c:pt>
                <c:pt idx="3">
                  <c:v>21. izglītības tematiskā joma "Mākslas"</c:v>
                </c:pt>
                <c:pt idx="4">
                  <c:v>6. izglītības tematiskā grupa "Lauksaimniecība"</c:v>
                </c:pt>
                <c:pt idx="5">
                  <c:v>5. izglītības tematiskā grupa "Inženierzinātnes, ražošana un būvniecība"</c:v>
                </c:pt>
                <c:pt idx="6">
                  <c:v>4. izglītības tematiskā grupa "Dabas zinātnes, matemātika un informācijas tehnoloģijas"</c:v>
                </c:pt>
              </c:strCache>
            </c:strRef>
          </c:cat>
          <c:val>
            <c:numRef>
              <c:f>Sheet1!$C$11:$C$17</c:f>
              <c:numCache>
                <c:formatCode>General</c:formatCode>
                <c:ptCount val="7"/>
                <c:pt idx="0">
                  <c:v>16568</c:v>
                </c:pt>
                <c:pt idx="1">
                  <c:v>183</c:v>
                </c:pt>
                <c:pt idx="2" formatCode="#,##0">
                  <c:v>2052</c:v>
                </c:pt>
                <c:pt idx="3" formatCode="#,##0">
                  <c:v>901</c:v>
                </c:pt>
                <c:pt idx="4" formatCode="#,##0">
                  <c:v>680</c:v>
                </c:pt>
                <c:pt idx="5" formatCode="#,##0">
                  <c:v>8617</c:v>
                </c:pt>
                <c:pt idx="6" formatCode="#,##0">
                  <c:v>4135</c:v>
                </c:pt>
              </c:numCache>
            </c:numRef>
          </c:val>
        </c:ser>
        <c:ser>
          <c:idx val="1"/>
          <c:order val="1"/>
          <c:tx>
            <c:strRef>
              <c:f>Sheet1!$D$10</c:f>
              <c:strCache>
                <c:ptCount val="1"/>
                <c:pt idx="0">
                  <c:v>sievietes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Sheet1!$B$11:$B$17</c:f>
              <c:strCache>
                <c:ptCount val="7"/>
                <c:pt idx="0">
                  <c:v>Kopā </c:v>
                </c:pt>
                <c:pt idx="1">
                  <c:v>85. izglītības tematiskā joma "Vides aizsardzība"</c:v>
                </c:pt>
                <c:pt idx="2">
                  <c:v>72. izglītības tematiskā joma "Veselības aprūpe"</c:v>
                </c:pt>
                <c:pt idx="3">
                  <c:v>21. izglītības tematiskā joma "Mākslas"</c:v>
                </c:pt>
                <c:pt idx="4">
                  <c:v>6. izglītības tematiskā grupa "Lauksaimniecība"</c:v>
                </c:pt>
                <c:pt idx="5">
                  <c:v>5. izglītības tematiskā grupa "Inženierzinātnes, ražošana un būvniecība"</c:v>
                </c:pt>
                <c:pt idx="6">
                  <c:v>4. izglītības tematiskā grupa "Dabas zinātnes, matemātika un informācijas tehnoloģijas"</c:v>
                </c:pt>
              </c:strCache>
            </c:strRef>
          </c:cat>
          <c:val>
            <c:numRef>
              <c:f>Sheet1!$D$11:$D$17</c:f>
              <c:numCache>
                <c:formatCode>General</c:formatCode>
                <c:ptCount val="7"/>
                <c:pt idx="0">
                  <c:v>14565</c:v>
                </c:pt>
                <c:pt idx="1">
                  <c:v>452</c:v>
                </c:pt>
                <c:pt idx="2" formatCode="#,##0">
                  <c:v>5533</c:v>
                </c:pt>
                <c:pt idx="3" formatCode="#,##0">
                  <c:v>2480</c:v>
                </c:pt>
                <c:pt idx="4">
                  <c:v>610</c:v>
                </c:pt>
                <c:pt idx="5">
                  <c:v>3386</c:v>
                </c:pt>
                <c:pt idx="6" formatCode="#,##0">
                  <c:v>2104</c:v>
                </c:pt>
              </c:numCache>
            </c:numRef>
          </c:val>
        </c:ser>
        <c:dLbls>
          <c:showLegendKey val="0"/>
          <c:showVal val="1"/>
          <c:showCatName val="0"/>
          <c:showSerName val="0"/>
          <c:showPercent val="0"/>
          <c:showBubbleSize val="0"/>
        </c:dLbls>
        <c:gapWidth val="150"/>
        <c:overlap val="100"/>
        <c:axId val="135166008"/>
        <c:axId val="135161696"/>
      </c:barChart>
      <c:catAx>
        <c:axId val="135166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161696"/>
        <c:crosses val="autoZero"/>
        <c:auto val="1"/>
        <c:lblAlgn val="ctr"/>
        <c:lblOffset val="100"/>
        <c:noMultiLvlLbl val="0"/>
      </c:catAx>
      <c:valAx>
        <c:axId val="1351616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166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Sheet2!$C$11</c:f>
              <c:strCache>
                <c:ptCount val="1"/>
                <c:pt idx="0">
                  <c:v>2007/2008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Sheet2!$D$10:$E$10</c:f>
              <c:strCache>
                <c:ptCount val="2"/>
                <c:pt idx="0">
                  <c:v>4. izglītības tematiskā grupa "Dabas zinātnes, matemātika un informācijas tehnoloģijas"</c:v>
                </c:pt>
                <c:pt idx="1">
                  <c:v>5. izglītības tematiskā grupa "Inženierzinātnes, ražošana un būvniecība"</c:v>
                </c:pt>
              </c:strCache>
            </c:strRef>
          </c:cat>
          <c:val>
            <c:numRef>
              <c:f>Sheet2!$D$11:$E$11</c:f>
              <c:numCache>
                <c:formatCode>0.00%</c:formatCode>
                <c:ptCount val="2"/>
                <c:pt idx="0">
                  <c:v>0.31800000000000012</c:v>
                </c:pt>
                <c:pt idx="1">
                  <c:v>0.22900000000000001</c:v>
                </c:pt>
              </c:numCache>
            </c:numRef>
          </c:val>
        </c:ser>
        <c:ser>
          <c:idx val="1"/>
          <c:order val="1"/>
          <c:tx>
            <c:strRef>
              <c:f>Sheet2!$C$12</c:f>
              <c:strCache>
                <c:ptCount val="1"/>
                <c:pt idx="0">
                  <c:v>2011/2012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Sheet2!$D$10:$E$10</c:f>
              <c:strCache>
                <c:ptCount val="2"/>
                <c:pt idx="0">
                  <c:v>4. izglītības tematiskā grupa "Dabas zinātnes, matemātika un informācijas tehnoloģijas"</c:v>
                </c:pt>
                <c:pt idx="1">
                  <c:v>5. izglītības tematiskā grupa "Inženierzinātnes, ražošana un būvniecība"</c:v>
                </c:pt>
              </c:strCache>
            </c:strRef>
          </c:cat>
          <c:val>
            <c:numRef>
              <c:f>Sheet2!$D$12:$E$12</c:f>
              <c:numCache>
                <c:formatCode>0.00%</c:formatCode>
                <c:ptCount val="2"/>
                <c:pt idx="0">
                  <c:v>0.33200000000000013</c:v>
                </c:pt>
                <c:pt idx="1">
                  <c:v>0.22900000000000001</c:v>
                </c:pt>
              </c:numCache>
            </c:numRef>
          </c:val>
        </c:ser>
        <c:ser>
          <c:idx val="2"/>
          <c:order val="2"/>
          <c:tx>
            <c:strRef>
              <c:f>Sheet2!$C$13</c:f>
              <c:strCache>
                <c:ptCount val="1"/>
                <c:pt idx="0">
                  <c:v>2015/2016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Sheet2!$D$10:$E$10</c:f>
              <c:strCache>
                <c:ptCount val="2"/>
                <c:pt idx="0">
                  <c:v>4. izglītības tematiskā grupa "Dabas zinātnes, matemātika un informācijas tehnoloģijas"</c:v>
                </c:pt>
                <c:pt idx="1">
                  <c:v>5. izglītības tematiskā grupa "Inženierzinātnes, ražošana un būvniecība"</c:v>
                </c:pt>
              </c:strCache>
            </c:strRef>
          </c:cat>
          <c:val>
            <c:numRef>
              <c:f>Sheet2!$D$13:$E$13</c:f>
              <c:numCache>
                <c:formatCode>0.00%</c:formatCode>
                <c:ptCount val="2"/>
                <c:pt idx="0">
                  <c:v>0.33700000000000013</c:v>
                </c:pt>
                <c:pt idx="1">
                  <c:v>0.28200000000000008</c:v>
                </c:pt>
              </c:numCache>
            </c:numRef>
          </c:val>
        </c:ser>
        <c:dLbls>
          <c:showLegendKey val="0"/>
          <c:showVal val="1"/>
          <c:showCatName val="0"/>
          <c:showSerName val="0"/>
          <c:showPercent val="0"/>
          <c:showBubbleSize val="0"/>
        </c:dLbls>
        <c:gapWidth val="219"/>
        <c:overlap val="-27"/>
        <c:axId val="135166792"/>
        <c:axId val="107233712"/>
      </c:barChart>
      <c:catAx>
        <c:axId val="135166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7233712"/>
        <c:crosses val="autoZero"/>
        <c:auto val="1"/>
        <c:lblAlgn val="ctr"/>
        <c:lblOffset val="100"/>
        <c:noMultiLvlLbl val="0"/>
      </c:catAx>
      <c:valAx>
        <c:axId val="107233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166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469907407407513E-2"/>
          <c:y val="4.6781439048017431E-2"/>
          <c:w val="0.92853560320724438"/>
          <c:h val="0.88582237276206233"/>
        </c:manualLayout>
      </c:layout>
      <c:barChart>
        <c:barDir val="col"/>
        <c:grouping val="clustered"/>
        <c:varyColors val="0"/>
        <c:ser>
          <c:idx val="3"/>
          <c:order val="0"/>
          <c:tx>
            <c:strRef>
              <c:f>Sheet1!$B$1</c:f>
              <c:strCache>
                <c:ptCount val="1"/>
                <c:pt idx="0">
                  <c:v>piedāvājums</c:v>
                </c:pt>
              </c:strCache>
            </c:strRef>
          </c:tx>
          <c:spPr>
            <a:solidFill>
              <a:schemeClr val="accent1">
                <a:lumMod val="60000"/>
              </a:schemeClr>
            </a:solidFill>
            <a:ln>
              <a:noFill/>
            </a:ln>
            <a:effectLst/>
          </c:spPr>
          <c:invertIfNegative val="0"/>
          <c:dLbls>
            <c:delete val="1"/>
          </c:dLbls>
          <c:cat>
            <c:numRef>
              <c:f>Sheet1!$A$2:$A$9</c:f>
              <c:numCache>
                <c:formatCode>General</c:formatCode>
                <c:ptCount val="8"/>
              </c:numCache>
            </c:numRef>
          </c:cat>
          <c:val>
            <c:numRef>
              <c:f>Sheet1!$B$2:$B$9</c:f>
              <c:numCache>
                <c:formatCode>#,##0</c:formatCode>
                <c:ptCount val="8"/>
                <c:pt idx="0">
                  <c:v>100</c:v>
                </c:pt>
                <c:pt idx="1">
                  <c:v>100</c:v>
                </c:pt>
                <c:pt idx="2">
                  <c:v>100</c:v>
                </c:pt>
                <c:pt idx="3">
                  <c:v>100</c:v>
                </c:pt>
                <c:pt idx="4">
                  <c:v>100</c:v>
                </c:pt>
                <c:pt idx="5">
                  <c:v>100</c:v>
                </c:pt>
                <c:pt idx="6">
                  <c:v>100</c:v>
                </c:pt>
                <c:pt idx="7">
                  <c:v>100</c:v>
                </c:pt>
              </c:numCache>
            </c:numRef>
          </c:val>
        </c:ser>
        <c:ser>
          <c:idx val="0"/>
          <c:order val="1"/>
          <c:tx>
            <c:strRef>
              <c:f>Sheet1!$C$1</c:f>
              <c:strCache>
                <c:ptCount val="1"/>
                <c:pt idx="0">
                  <c:v>pieprasījums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Sheet1!$A$2:$A$9</c:f>
              <c:numCache>
                <c:formatCode>General</c:formatCode>
                <c:ptCount val="8"/>
              </c:numCache>
            </c:numRef>
          </c:cat>
          <c:val>
            <c:numRef>
              <c:f>Sheet1!$C$2:$C$9</c:f>
              <c:numCache>
                <c:formatCode>#,##0</c:formatCode>
                <c:ptCount val="8"/>
                <c:pt idx="0">
                  <c:v>89.449702937493853</c:v>
                </c:pt>
                <c:pt idx="1">
                  <c:v>93.218348085453258</c:v>
                </c:pt>
                <c:pt idx="2">
                  <c:v>95.120506307682746</c:v>
                </c:pt>
                <c:pt idx="3">
                  <c:v>133.26060431071039</c:v>
                </c:pt>
                <c:pt idx="4">
                  <c:v>118.34236843500281</c:v>
                </c:pt>
                <c:pt idx="5">
                  <c:v>104.21325697953546</c:v>
                </c:pt>
                <c:pt idx="6">
                  <c:v>107.11505971878751</c:v>
                </c:pt>
                <c:pt idx="7">
                  <c:v>91.885397947168386</c:v>
                </c:pt>
              </c:numCache>
            </c:numRef>
          </c:val>
        </c:ser>
        <c:dLbls>
          <c:showLegendKey val="0"/>
          <c:showVal val="1"/>
          <c:showCatName val="0"/>
          <c:showSerName val="0"/>
          <c:showPercent val="0"/>
          <c:showBubbleSize val="0"/>
        </c:dLbls>
        <c:gapWidth val="40"/>
        <c:overlap val="70"/>
        <c:axId val="107230968"/>
        <c:axId val="107231752"/>
      </c:barChart>
      <c:catAx>
        <c:axId val="107230968"/>
        <c:scaling>
          <c:orientation val="minMax"/>
        </c:scaling>
        <c:delete val="0"/>
        <c:axPos val="b"/>
        <c:numFmt formatCode="General" sourceLinked="1"/>
        <c:majorTickMark val="out"/>
        <c:minorTickMark val="none"/>
        <c:tickLblPos val="nextTo"/>
        <c:spPr>
          <a:noFill/>
          <a:ln w="3175" cap="flat" cmpd="sng" algn="ctr">
            <a:solidFill>
              <a:schemeClr val="tx1">
                <a:tint val="75000"/>
                <a:shade val="95000"/>
                <a:satMod val="105000"/>
              </a:schemeClr>
            </a:solidFill>
            <a:prstDash val="solid"/>
            <a:round/>
          </a:ln>
          <a:effectLst/>
        </c:spPr>
        <c:txPr>
          <a:bodyPr rot="-5400000" spcFirstLastPara="1" vertOverflow="ellipsis" wrap="square" anchor="ctr" anchorCtr="1"/>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crossAx val="107231752"/>
        <c:crosses val="autoZero"/>
        <c:auto val="0"/>
        <c:lblAlgn val="ctr"/>
        <c:lblOffset val="100"/>
        <c:tickLblSkip val="1"/>
        <c:tickMarkSkip val="1"/>
        <c:noMultiLvlLbl val="0"/>
      </c:catAx>
      <c:valAx>
        <c:axId val="107231752"/>
        <c:scaling>
          <c:orientation val="minMax"/>
          <c:max val="140"/>
          <c:min val="60"/>
        </c:scaling>
        <c:delete val="0"/>
        <c:axPos val="l"/>
        <c:numFmt formatCode="#,##0" sourceLinked="0"/>
        <c:majorTickMark val="out"/>
        <c:minorTickMark val="none"/>
        <c:tickLblPos val="nextTo"/>
        <c:spPr>
          <a:noFill/>
          <a:ln w="317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crossAx val="107230968"/>
        <c:crosses val="autoZero"/>
        <c:crossBetween val="between"/>
        <c:majorUnit val="20"/>
      </c:valAx>
      <c:spPr>
        <a:solidFill>
          <a:srgbClr val="FFFFFF"/>
        </a:solidFill>
        <a:ln>
          <a:noFill/>
        </a:ln>
        <a:effectLst/>
      </c:spPr>
    </c:plotArea>
    <c:legend>
      <c:legendPos val="l"/>
      <c:layout>
        <c:manualLayout>
          <c:xMode val="edge"/>
          <c:yMode val="edge"/>
          <c:x val="0.7830616898148145"/>
          <c:y val="1.3537922516486675E-2"/>
          <c:w val="0.17536759259259324"/>
          <c:h val="0.17090712087922341"/>
        </c:manualLayout>
      </c:layout>
      <c:overlay val="1"/>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legend>
    <c:plotVisOnly val="1"/>
    <c:dispBlanksAs val="gap"/>
    <c:showDLblsOverMax val="0"/>
  </c:chart>
  <c:spPr>
    <a:solidFill>
      <a:srgbClr val="FFFFFF"/>
    </a:solidFill>
    <a:ln w="9525" cap="flat" cmpd="sng" algn="ctr">
      <a:noFill/>
      <a:prstDash val="solid"/>
      <a:round/>
    </a:ln>
    <a:effectLst/>
  </c:spPr>
  <c:txPr>
    <a:bodyPr/>
    <a:lstStyle/>
    <a:p>
      <a:pPr>
        <a:defRPr sz="900" b="0">
          <a:latin typeface="Segoe UI Semilight" panose="020B0402040204020203" pitchFamily="34" charset="0"/>
          <a:cs typeface="Segoe UI Semilight" panose="020B0402040204020203" pitchFamily="34" charset="0"/>
        </a:defRPr>
      </a:pPr>
      <a:endParaRPr lang="lv-LV"/>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Lbls>
            <c:dLbl>
              <c:idx val="0"/>
              <c:layout>
                <c:manualLayout>
                  <c:x val="-5.3979101668896095E-3"/>
                  <c:y val="2.5050357077458399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2C9D3D2-03D1-4318-9ABB-768560B19544}" type="CATEGORYNAME">
                      <a:rPr lang="en-US"/>
                      <a:pPr>
                        <a:defRPr/>
                      </a:pPr>
                      <a:t>[CATEGORY NAME]</a:t>
                    </a:fld>
                    <a:r>
                      <a:rPr lang="en-US"/>
                      <a:t>, 1492</a:t>
                    </a:r>
                    <a:r>
                      <a:rPr lang="en-US" baseline="0"/>
                      <a:t>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5520764621403457"/>
                      <c:h val="0.12141749723145072"/>
                    </c:manualLayout>
                  </c15:layout>
                  <c15:dlblFieldTable/>
                  <c15:showDataLabelsRange val="0"/>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DAE935F2-B82D-408C-AABD-AD0B5CBF694B}" type="CATEGORYNAME">
                      <a:rPr lang="en-US"/>
                      <a:pPr>
                        <a:defRPr>
                          <a:solidFill>
                            <a:schemeClr val="accent1"/>
                          </a:solidFill>
                        </a:defRPr>
                      </a:pPr>
                      <a:t>[CATEGORY NAME]</a:t>
                    </a:fld>
                    <a:r>
                      <a:rPr lang="en-US"/>
                      <a:t>, 3438</a:t>
                    </a:r>
                    <a:r>
                      <a:rPr lang="en-US" baseline="0"/>
                      <a:t>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4AA65CB-FDFC-4387-902A-44E474D32608}" type="CATEGORYNAME">
                      <a:rPr lang="en-US"/>
                      <a:pPr>
                        <a:defRPr>
                          <a:solidFill>
                            <a:schemeClr val="accent1"/>
                          </a:solidFill>
                        </a:defRPr>
                      </a:pPr>
                      <a:t>[CATEGORY NAME]</a:t>
                    </a:fld>
                    <a:r>
                      <a:rPr lang="en-US"/>
                      <a:t>, 711</a:t>
                    </a:r>
                    <a:r>
                      <a:rPr lang="en-US" baseline="0"/>
                      <a:t>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7BD0C56-6EF5-49C5-B083-26434AF51696}" type="CATEGORYNAME">
                      <a:rPr lang="en-US"/>
                      <a:pPr>
                        <a:defRPr>
                          <a:solidFill>
                            <a:schemeClr val="accent1"/>
                          </a:solidFill>
                        </a:defRPr>
                      </a:pPr>
                      <a:t>[CATEGORY NAME]</a:t>
                    </a:fld>
                    <a:r>
                      <a:rPr lang="en-US"/>
                      <a:t>, 7096</a:t>
                    </a:r>
                    <a:r>
                      <a:rPr lang="en-US" baseline="0"/>
                      <a:t>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79C7140-4070-4863-9D77-9DE08E161FD2}" type="CATEGORYNAME">
                      <a:rPr lang="lv-LV"/>
                      <a:pPr>
                        <a:defRPr>
                          <a:solidFill>
                            <a:schemeClr val="accent1"/>
                          </a:solidFill>
                        </a:defRPr>
                      </a:pPr>
                      <a:t>[CATEGORY NAME]</a:t>
                    </a:fld>
                    <a:r>
                      <a:rPr lang="lv-LV"/>
                      <a:t>, 2692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DB04A3A-EFD2-4317-BDF7-52BDD2B164DB}" type="CATEGORYNAME">
                      <a:rPr lang="en-US"/>
                      <a:pPr>
                        <a:defRPr>
                          <a:solidFill>
                            <a:schemeClr val="accent1"/>
                          </a:solidFill>
                        </a:defRPr>
                      </a:pPr>
                      <a:t>[CATEGORY NAME]</a:t>
                    </a:fld>
                    <a:r>
                      <a:rPr lang="en-US"/>
                      <a:t>, 2754</a:t>
                    </a:r>
                    <a:r>
                      <a:rPr lang="en-US" baseline="0"/>
                      <a:t>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97F8B3F-A0E8-4885-A9DE-6D7D8E6FF312}" type="CATEGORYNAME">
                      <a:rPr lang="en-US"/>
                      <a:pPr>
                        <a:defRPr>
                          <a:solidFill>
                            <a:schemeClr val="accent1"/>
                          </a:solidFill>
                        </a:defRPr>
                      </a:pPr>
                      <a:t>[CATEGORY NAME]</a:t>
                    </a:fld>
                    <a:r>
                      <a:rPr lang="en-US"/>
                      <a:t>, 3583</a:t>
                    </a:r>
                    <a:r>
                      <a:rPr lang="en-US" baseline="0"/>
                      <a:t>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7"/>
              <c:layout>
                <c:manualLayout>
                  <c:x val="-1.0136185806962942E-2"/>
                  <c:y val="3.287100740314462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2F38B0D-3E42-49DB-9B23-8992F3625085}" type="CATEGORYNAME">
                      <a:rPr lang="en-US"/>
                      <a:pPr>
                        <a:defRPr>
                          <a:solidFill>
                            <a:schemeClr val="accent1"/>
                          </a:solidFill>
                        </a:defRPr>
                      </a:pPr>
                      <a:t>[CATEGORY NAME]</a:t>
                    </a:fld>
                    <a:r>
                      <a:rPr lang="en-US"/>
                      <a:t>, 1677</a:t>
                    </a:r>
                    <a:r>
                      <a:rPr lang="en-US" baseline="0"/>
                      <a:t>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'budzeta vietas'!$N$14:$N$21</c:f>
              <c:strCache>
                <c:ptCount val="8"/>
                <c:pt idx="0">
                  <c:v>Pakalpojumi</c:v>
                </c:pt>
                <c:pt idx="1">
                  <c:v>Veselības aprūpe un sociālā labklājība</c:v>
                </c:pt>
                <c:pt idx="2">
                  <c:v>Lauksaimniecība</c:v>
                </c:pt>
                <c:pt idx="3">
                  <c:v>Inženierzinātnes, ražošana un būvniecība</c:v>
                </c:pt>
                <c:pt idx="4">
                  <c:v>Dabas zinātnes, matemātika un informācijas tehnoloģijas</c:v>
                </c:pt>
                <c:pt idx="5">
                  <c:v>Sociālās zinātnes, komerczinības un tiesības</c:v>
                </c:pt>
                <c:pt idx="6">
                  <c:v>Humanitārās zinātnes un māksla</c:v>
                </c:pt>
                <c:pt idx="7">
                  <c:v>Izglītība</c:v>
                </c:pt>
              </c:strCache>
            </c:strRef>
          </c:cat>
          <c:val>
            <c:numRef>
              <c:f>'budzeta vietas'!$O$14:$O$21</c:f>
              <c:numCache>
                <c:formatCode>General</c:formatCode>
                <c:ptCount val="8"/>
                <c:pt idx="0">
                  <c:v>1492</c:v>
                </c:pt>
                <c:pt idx="1">
                  <c:v>3438</c:v>
                </c:pt>
                <c:pt idx="2">
                  <c:v>711</c:v>
                </c:pt>
                <c:pt idx="3">
                  <c:v>7096</c:v>
                </c:pt>
                <c:pt idx="4">
                  <c:v>2692</c:v>
                </c:pt>
                <c:pt idx="5">
                  <c:v>2754</c:v>
                </c:pt>
                <c:pt idx="6">
                  <c:v>3583</c:v>
                </c:pt>
                <c:pt idx="7">
                  <c:v>1677</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attels_salidz!$C$2</c:f>
              <c:strCache>
                <c:ptCount val="1"/>
                <c:pt idx="0">
                  <c:v>2015/2016</c:v>
                </c:pt>
              </c:strCache>
            </c:strRef>
          </c:tx>
          <c:spPr>
            <a:solidFill>
              <a:schemeClr val="accent1"/>
            </a:solidFill>
            <a:ln>
              <a:noFill/>
            </a:ln>
            <a:effectLst/>
          </c:spPr>
          <c:invertIfNegative val="0"/>
          <c:dLbls>
            <c:dLbl>
              <c:idx val="0"/>
              <c:layout>
                <c:manualLayout>
                  <c:x val="4.7031158142268404E-3"/>
                  <c:y val="1.186943620178045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3.95647873392673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attels_salidz!$B$3:$B$9</c:f>
              <c:strCache>
                <c:ptCount val="7"/>
                <c:pt idx="0">
                  <c:v>85. izglītības tematiskā joma „Vides aizsardzība”</c:v>
                </c:pt>
                <c:pt idx="1">
                  <c:v>21. izglītības tematiskā joma "Mākslas"</c:v>
                </c:pt>
                <c:pt idx="2">
                  <c:v>72.izglītības tematiskā joma „Veselības aprūpe” </c:v>
                </c:pt>
                <c:pt idx="3">
                  <c:v>6. izglītības tematiskā grupa "Lauksaimniecība" </c:v>
                </c:pt>
                <c:pt idx="4">
                  <c:v>5. Izglītības tematiskā grupa „Inženierzinātnes, ražošana un būvniecība”</c:v>
                </c:pt>
                <c:pt idx="5">
                  <c:v>4. Izglītības tematiskā grupa „Dabaszinātnes, matemātika un informācijas tehnoloģijas ”</c:v>
                </c:pt>
                <c:pt idx="6">
                  <c:v>kopā</c:v>
                </c:pt>
              </c:strCache>
            </c:strRef>
          </c:cat>
          <c:val>
            <c:numRef>
              <c:f>attels_salidz!$C$3:$C$9</c:f>
              <c:numCache>
                <c:formatCode>General</c:formatCode>
                <c:ptCount val="7"/>
                <c:pt idx="0">
                  <c:v>635</c:v>
                </c:pt>
                <c:pt idx="1">
                  <c:v>2700</c:v>
                </c:pt>
                <c:pt idx="2">
                  <c:v>7204</c:v>
                </c:pt>
                <c:pt idx="3">
                  <c:v>966</c:v>
                </c:pt>
                <c:pt idx="4">
                  <c:v>9573</c:v>
                </c:pt>
                <c:pt idx="5">
                  <c:v>5816</c:v>
                </c:pt>
                <c:pt idx="6">
                  <c:v>26894</c:v>
                </c:pt>
              </c:numCache>
            </c:numRef>
          </c:val>
        </c:ser>
        <c:ser>
          <c:idx val="1"/>
          <c:order val="1"/>
          <c:tx>
            <c:strRef>
              <c:f>attels_salidz!$D$2</c:f>
              <c:strCache>
                <c:ptCount val="1"/>
                <c:pt idx="0">
                  <c:v>2007/2008</c:v>
                </c:pt>
              </c:strCache>
            </c:strRef>
          </c:tx>
          <c:spPr>
            <a:solidFill>
              <a:schemeClr val="accent2"/>
            </a:solidFill>
            <a:ln>
              <a:noFill/>
            </a:ln>
            <a:effectLst/>
          </c:spPr>
          <c:invertIfNegative val="0"/>
          <c:dLbls>
            <c:dLbl>
              <c:idx val="4"/>
              <c:layout>
                <c:manualLayout>
                  <c:x val="2.3515579071133772E-3"/>
                  <c:y val="-1.186943620178045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6222793874422027E-17"/>
                  <c:y val="-1.1869280434901127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7001763668430336E-2"/>
                      <c:h val="5.5331510860845652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attels_salidz!$B$3:$B$9</c:f>
              <c:strCache>
                <c:ptCount val="7"/>
                <c:pt idx="0">
                  <c:v>85. izglītības tematiskā joma „Vides aizsardzība”</c:v>
                </c:pt>
                <c:pt idx="1">
                  <c:v>21. izglītības tematiskā joma "Mākslas"</c:v>
                </c:pt>
                <c:pt idx="2">
                  <c:v>72.izglītības tematiskā joma „Veselības aprūpe” </c:v>
                </c:pt>
                <c:pt idx="3">
                  <c:v>6. izglītības tematiskā grupa "Lauksaimniecība" </c:v>
                </c:pt>
                <c:pt idx="4">
                  <c:v>5. Izglītības tematiskā grupa „Inženierzinātnes, ražošana un būvniecība”</c:v>
                </c:pt>
                <c:pt idx="5">
                  <c:v>4. Izglītības tematiskā grupa „Dabaszinātnes, matemātika un informācijas tehnoloģijas ”</c:v>
                </c:pt>
                <c:pt idx="6">
                  <c:v>kopā</c:v>
                </c:pt>
              </c:strCache>
            </c:strRef>
          </c:cat>
          <c:val>
            <c:numRef>
              <c:f>attels_salidz!$D$3:$D$9</c:f>
              <c:numCache>
                <c:formatCode>General</c:formatCode>
                <c:ptCount val="7"/>
                <c:pt idx="0">
                  <c:v>955</c:v>
                </c:pt>
                <c:pt idx="1">
                  <c:v>2275</c:v>
                </c:pt>
                <c:pt idx="2">
                  <c:v>4095</c:v>
                </c:pt>
                <c:pt idx="3">
                  <c:v>679</c:v>
                </c:pt>
                <c:pt idx="4">
                  <c:v>8359</c:v>
                </c:pt>
                <c:pt idx="5">
                  <c:v>5703</c:v>
                </c:pt>
                <c:pt idx="6">
                  <c:v>22066</c:v>
                </c:pt>
              </c:numCache>
            </c:numRef>
          </c:val>
        </c:ser>
        <c:dLbls>
          <c:showLegendKey val="0"/>
          <c:showVal val="1"/>
          <c:showCatName val="0"/>
          <c:showSerName val="0"/>
          <c:showPercent val="0"/>
          <c:showBubbleSize val="0"/>
        </c:dLbls>
        <c:gapWidth val="182"/>
        <c:axId val="478584816"/>
        <c:axId val="478585600"/>
      </c:barChart>
      <c:catAx>
        <c:axId val="478584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8585600"/>
        <c:crosses val="autoZero"/>
        <c:auto val="1"/>
        <c:lblAlgn val="ctr"/>
        <c:lblOffset val="100"/>
        <c:noMultiLvlLbl val="0"/>
      </c:catAx>
      <c:valAx>
        <c:axId val="478585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8584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attels_salidz!$C$15</c:f>
              <c:strCache>
                <c:ptCount val="1"/>
                <c:pt idx="0">
                  <c:v>2015/2016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attels_salidz!$B$16:$B$18</c:f>
              <c:strCache>
                <c:ptCount val="3"/>
                <c:pt idx="0">
                  <c:v>Elektronisko iekārtu apkalpošana, RAI</c:v>
                </c:pt>
                <c:pt idx="1">
                  <c:v>Bībeles māksla, LKrA</c:v>
                </c:pt>
                <c:pt idx="2">
                  <c:v>Telpu dizains un plānošana (Interjera dizains), EKA</c:v>
                </c:pt>
              </c:strCache>
            </c:strRef>
          </c:cat>
          <c:val>
            <c:numRef>
              <c:f>attels_salidz!$C$16:$C$18</c:f>
              <c:numCache>
                <c:formatCode>General</c:formatCode>
                <c:ptCount val="3"/>
                <c:pt idx="0">
                  <c:v>8</c:v>
                </c:pt>
                <c:pt idx="1">
                  <c:v>19</c:v>
                </c:pt>
                <c:pt idx="2">
                  <c:v>125</c:v>
                </c:pt>
              </c:numCache>
            </c:numRef>
          </c:val>
        </c:ser>
        <c:ser>
          <c:idx val="1"/>
          <c:order val="1"/>
          <c:tx>
            <c:strRef>
              <c:f>attels_salidz!$D$15</c:f>
              <c:strCache>
                <c:ptCount val="1"/>
                <c:pt idx="0">
                  <c:v>2007/2008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attels_salidz!$B$16:$B$18</c:f>
              <c:strCache>
                <c:ptCount val="3"/>
                <c:pt idx="0">
                  <c:v>Elektronisko iekārtu apkalpošana, RAI</c:v>
                </c:pt>
                <c:pt idx="1">
                  <c:v>Bībeles māksla, LKrA</c:v>
                </c:pt>
                <c:pt idx="2">
                  <c:v>Telpu dizains un plānošana (Interjera dizains), EKA</c:v>
                </c:pt>
              </c:strCache>
            </c:strRef>
          </c:cat>
          <c:val>
            <c:numRef>
              <c:f>attels_salidz!$D$16:$D$18</c:f>
              <c:numCache>
                <c:formatCode>General</c:formatCode>
                <c:ptCount val="3"/>
                <c:pt idx="0">
                  <c:v>12</c:v>
                </c:pt>
                <c:pt idx="1">
                  <c:v>19</c:v>
                </c:pt>
                <c:pt idx="2">
                  <c:v>155</c:v>
                </c:pt>
              </c:numCache>
            </c:numRef>
          </c:val>
        </c:ser>
        <c:dLbls>
          <c:showLegendKey val="0"/>
          <c:showVal val="1"/>
          <c:showCatName val="0"/>
          <c:showSerName val="0"/>
          <c:showPercent val="0"/>
          <c:showBubbleSize val="0"/>
        </c:dLbls>
        <c:gapWidth val="182"/>
        <c:axId val="478582856"/>
        <c:axId val="478583248"/>
      </c:barChart>
      <c:catAx>
        <c:axId val="478582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8583248"/>
        <c:crosses val="autoZero"/>
        <c:auto val="1"/>
        <c:lblAlgn val="ctr"/>
        <c:lblOffset val="100"/>
        <c:noMultiLvlLbl val="0"/>
      </c:catAx>
      <c:valAx>
        <c:axId val="478583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8582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'studejoso skaits'!$B$44:$B$48</c:f>
              <c:strCache>
                <c:ptCount val="5"/>
                <c:pt idx="0">
                  <c:v>2007/2008</c:v>
                </c:pt>
                <c:pt idx="1">
                  <c:v>2009/2010</c:v>
                </c:pt>
                <c:pt idx="2">
                  <c:v>2011/2012</c:v>
                </c:pt>
                <c:pt idx="3">
                  <c:v>2013/2014</c:v>
                </c:pt>
                <c:pt idx="4">
                  <c:v>2015/2016</c:v>
                </c:pt>
              </c:strCache>
            </c:strRef>
          </c:cat>
          <c:val>
            <c:numRef>
              <c:f>'studejoso skaits'!$C$44:$C$48</c:f>
              <c:numCache>
                <c:formatCode>0.00%</c:formatCode>
                <c:ptCount val="5"/>
                <c:pt idx="0">
                  <c:v>0.25700000000000001</c:v>
                </c:pt>
                <c:pt idx="1">
                  <c:v>0.29700000000000032</c:v>
                </c:pt>
                <c:pt idx="2">
                  <c:v>0.36300000000000032</c:v>
                </c:pt>
                <c:pt idx="3">
                  <c:v>0.40600000000000008</c:v>
                </c:pt>
                <c:pt idx="4">
                  <c:v>0.42400000000000032</c:v>
                </c:pt>
              </c:numCache>
            </c:numRef>
          </c:val>
          <c:smooth val="0"/>
        </c:ser>
        <c:dLbls>
          <c:showLegendKey val="0"/>
          <c:showVal val="1"/>
          <c:showCatName val="0"/>
          <c:showSerName val="0"/>
          <c:showPercent val="0"/>
          <c:showBubbleSize val="0"/>
        </c:dLbls>
        <c:smooth val="0"/>
        <c:axId val="196943512"/>
        <c:axId val="196943120"/>
      </c:lineChart>
      <c:catAx>
        <c:axId val="196943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6943120"/>
        <c:crosses val="autoZero"/>
        <c:auto val="1"/>
        <c:lblAlgn val="ctr"/>
        <c:lblOffset val="100"/>
        <c:noMultiLvlLbl val="0"/>
      </c:catAx>
      <c:valAx>
        <c:axId val="196943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6943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layout>
                <c:manualLayout>
                  <c:x val="5.4552034718699037E-2"/>
                  <c:y val="4.2704672628391581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07E9BCA-BE5E-498C-B898-7DEB34294F23}" type="CATEGORYNAME">
                      <a:rPr lang="en-US"/>
                      <a:pPr>
                        <a:defRPr sz="1000" b="1" i="0" u="none" strike="noStrike" kern="1200" spc="0" baseline="0">
                          <a:solidFill>
                            <a:schemeClr val="accent1"/>
                          </a:solidFill>
                          <a:latin typeface="+mn-lt"/>
                          <a:ea typeface="+mn-ea"/>
                          <a:cs typeface="+mn-cs"/>
                        </a:defRPr>
                      </a:pPr>
                      <a:t>[CATEGORY NAME]</a:t>
                    </a:fld>
                    <a:r>
                      <a:rPr lang="en-US"/>
                      <a:t>, 82</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15:layout>
                    <c:manualLayout>
                      <c:w val="0.31373006661019959"/>
                      <c:h val="0.22171920680733415"/>
                    </c:manualLayout>
                  </c15:layout>
                  <c15:dlblFieldTable/>
                  <c15:showDataLabelsRange val="0"/>
                </c:ext>
              </c:extLst>
            </c:dLbl>
            <c:dLbl>
              <c:idx val="1"/>
              <c:layout>
                <c:manualLayout>
                  <c:x val="4.5810390931242562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EE1B18C-A714-406C-A9C3-4A9A3844B605}" type="CATEGORYNAME">
                      <a:rPr lang="en-US"/>
                      <a:pPr>
                        <a:defRPr sz="1000" b="1" i="0" u="none" strike="noStrike" kern="1200" spc="0" baseline="0">
                          <a:solidFill>
                            <a:schemeClr val="accent1"/>
                          </a:solidFill>
                          <a:latin typeface="+mn-lt"/>
                          <a:ea typeface="+mn-ea"/>
                          <a:cs typeface="+mn-cs"/>
                        </a:defRPr>
                      </a:pPr>
                      <a:t>[CATEGORY NAME]</a:t>
                    </a:fld>
                    <a:r>
                      <a:rPr lang="en-US"/>
                      <a:t>, 152</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15:layout>
                    <c:manualLayout>
                      <c:w val="0.23648084826050131"/>
                      <c:h val="0.18797171705849935"/>
                    </c:manualLayout>
                  </c15:layout>
                  <c15:dlblFieldTable/>
                  <c15:showDataLabelsRange val="0"/>
                </c:ext>
              </c:extLst>
            </c:dLbl>
            <c:dLbl>
              <c:idx val="2"/>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8F22C08-97A8-47E0-B76D-47E1F045E4AA}" type="CATEGORYNAME">
                      <a:rPr lang="en-US"/>
                      <a:pPr>
                        <a:defRPr sz="1000" b="1" i="0" u="none" strike="noStrike" kern="1200" spc="0" baseline="0">
                          <a:solidFill>
                            <a:schemeClr val="accent1"/>
                          </a:solidFill>
                          <a:latin typeface="+mn-lt"/>
                          <a:ea typeface="+mn-ea"/>
                          <a:cs typeface="+mn-cs"/>
                        </a:defRPr>
                      </a:pPr>
                      <a:t>[CATEGORY NAME]</a:t>
                    </a:fld>
                    <a:r>
                      <a:rPr lang="en-US"/>
                      <a:t>, 44</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4.2496679946879293E-2"/>
                  <c:y val="1.423487544483987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33E87F8-903A-4677-BE5D-8A1874D752ED}" type="CATEGORYNAME">
                      <a:rPr lang="en-US"/>
                      <a:pPr>
                        <a:defRPr sz="1000" b="1" i="0" u="none" strike="noStrike" kern="1200" spc="0" baseline="0">
                          <a:solidFill>
                            <a:schemeClr val="accent1"/>
                          </a:solidFill>
                          <a:latin typeface="+mn-lt"/>
                          <a:ea typeface="+mn-ea"/>
                          <a:cs typeface="+mn-cs"/>
                        </a:defRPr>
                      </a:pPr>
                      <a:t>[CATEGORY NAME]</a:t>
                    </a:fld>
                    <a:r>
                      <a:rPr lang="en-US"/>
                      <a:t>, 48</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5.4639042596311707E-2"/>
                  <c:y val="-4.7450029833263976E-3"/>
                </c:manualLayout>
              </c:layout>
              <c:tx>
                <c:rich>
                  <a:bodyPr rot="0" spcFirstLastPara="1" vertOverflow="ellipsis" horzOverflow="clip"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7050662-F692-45E3-BFC3-AF91E1B63717}" type="CATEGORYNAME">
                      <a:rPr lang="en-US"/>
                      <a:pPr>
                        <a:defRPr sz="1000" b="1" i="0" u="none" strike="noStrike" kern="1200" spc="0" baseline="0">
                          <a:solidFill>
                            <a:schemeClr val="accent1"/>
                          </a:solidFill>
                          <a:latin typeface="+mn-lt"/>
                          <a:ea typeface="+mn-ea"/>
                          <a:cs typeface="+mn-cs"/>
                        </a:defRPr>
                      </a:pPr>
                      <a:t>[CATEGORY NAME]</a:t>
                    </a:fld>
                    <a:r>
                      <a:rPr lang="en-US"/>
                      <a:t>, 13</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30000899289979188"/>
                      <c:h val="8.6181896302108138E-2"/>
                    </c:manualLayout>
                  </c15:layout>
                  <c15:dlblFieldTable/>
                  <c15:showDataLabelsRange val="0"/>
                </c:ext>
              </c:extLst>
            </c:dLbl>
            <c:dLbl>
              <c:idx val="5"/>
              <c:layout>
                <c:manualLayout>
                  <c:x val="0.17823592768035471"/>
                  <c:y val="-9.4064131663257663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6836ADF4-818C-4488-814F-2D5E8FD61990}" type="CATEGORYNAME">
                      <a:rPr lang="en-US"/>
                      <a:pPr>
                        <a:defRPr sz="1000" b="1" i="0" u="none" strike="noStrike" kern="1200" spc="0" baseline="0">
                          <a:solidFill>
                            <a:schemeClr val="accent1"/>
                          </a:solidFill>
                          <a:latin typeface="+mn-lt"/>
                          <a:ea typeface="+mn-ea"/>
                          <a:cs typeface="+mn-cs"/>
                        </a:defRPr>
                      </a:pPr>
                      <a:t>[CATEGORY NAME]</a:t>
                    </a:fld>
                    <a:r>
                      <a:rPr lang="en-US"/>
                      <a:t>, 13</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15:layout>
                    <c:manualLayout>
                      <c:w val="0.2403112349620117"/>
                      <c:h val="5.6562092042159652E-2"/>
                    </c:manualLayout>
                  </c15:layout>
                  <c15:dlblFieldTable/>
                  <c15:showDataLabelsRange val="0"/>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 skaits'!$K$27:$P$27</c:f>
              <c:strCache>
                <c:ptCount val="6"/>
                <c:pt idx="0">
                  <c:v>Dabas zinātnes, matemātika un IT </c:v>
                </c:pt>
                <c:pt idx="1">
                  <c:v>Inženierzinātnes, ražošana un būvniecība </c:v>
                </c:pt>
                <c:pt idx="2">
                  <c:v>Mākslas</c:v>
                </c:pt>
                <c:pt idx="3">
                  <c:v>Veselības aprūpe</c:v>
                </c:pt>
                <c:pt idx="4">
                  <c:v>Vides aizsardzība </c:v>
                </c:pt>
                <c:pt idx="5">
                  <c:v>Lauksaimniecība</c:v>
                </c:pt>
              </c:strCache>
            </c:strRef>
          </c:cat>
          <c:val>
            <c:numRef>
              <c:f>'SP skaits'!$K$28:$P$28</c:f>
              <c:numCache>
                <c:formatCode>General</c:formatCode>
                <c:ptCount val="6"/>
                <c:pt idx="0">
                  <c:v>82</c:v>
                </c:pt>
                <c:pt idx="1">
                  <c:v>152</c:v>
                </c:pt>
                <c:pt idx="2">
                  <c:v>44</c:v>
                </c:pt>
                <c:pt idx="3">
                  <c:v>48</c:v>
                </c:pt>
                <c:pt idx="4">
                  <c:v>13</c:v>
                </c:pt>
                <c:pt idx="5">
                  <c:v>13</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progr_pa_limeniem!$C$13:$C$19</c:f>
              <c:strCache>
                <c:ptCount val="7"/>
                <c:pt idx="0">
                  <c:v>Doktora studiju programmas</c:v>
                </c:pt>
                <c:pt idx="1">
                  <c:v>2.līmeņa profes.studiju programmas</c:v>
                </c:pt>
                <c:pt idx="2">
                  <c:v>Profesionālā maģistra studiju programmas</c:v>
                </c:pt>
                <c:pt idx="3">
                  <c:v>Akadēmiskā maģistra studiju programmas</c:v>
                </c:pt>
                <c:pt idx="4">
                  <c:v>2.līm. profes. augstākās izglītības pamatstudiju progr. (prof. bakalaurs)</c:v>
                </c:pt>
                <c:pt idx="5">
                  <c:v>Akadēmiskā bakalaura studiju programmas</c:v>
                </c:pt>
                <c:pt idx="6">
                  <c:v>1.līmeņa prof.augstākās izglītības (koledžas) programmas</c:v>
                </c:pt>
              </c:strCache>
            </c:strRef>
          </c:cat>
          <c:val>
            <c:numRef>
              <c:f>progr_pa_limeniem!$E$13:$E$19</c:f>
              <c:numCache>
                <c:formatCode>General</c:formatCode>
                <c:ptCount val="7"/>
                <c:pt idx="0">
                  <c:v>54</c:v>
                </c:pt>
                <c:pt idx="1">
                  <c:v>10</c:v>
                </c:pt>
                <c:pt idx="2">
                  <c:v>47</c:v>
                </c:pt>
                <c:pt idx="3">
                  <c:v>69</c:v>
                </c:pt>
                <c:pt idx="4">
                  <c:v>89</c:v>
                </c:pt>
                <c:pt idx="5">
                  <c:v>54</c:v>
                </c:pt>
                <c:pt idx="6">
                  <c:v>29</c:v>
                </c:pt>
              </c:numCache>
            </c:numRef>
          </c:val>
        </c:ser>
        <c:dLbls>
          <c:showLegendKey val="0"/>
          <c:showVal val="1"/>
          <c:showCatName val="0"/>
          <c:showSerName val="0"/>
          <c:showPercent val="0"/>
          <c:showBubbleSize val="0"/>
        </c:dLbls>
        <c:gapWidth val="182"/>
        <c:axId val="196948216"/>
        <c:axId val="196949392"/>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progr_pa_limeniem!$C$13:$C$19</c15:sqref>
                        </c15:formulaRef>
                      </c:ext>
                    </c:extLst>
                    <c:strCache>
                      <c:ptCount val="7"/>
                      <c:pt idx="0">
                        <c:v>Doktora studiju programmas</c:v>
                      </c:pt>
                      <c:pt idx="1">
                        <c:v>2.līmeņa profes.studiju programmas</c:v>
                      </c:pt>
                      <c:pt idx="2">
                        <c:v>Profesionālā maģistra studiju programmas</c:v>
                      </c:pt>
                      <c:pt idx="3">
                        <c:v>Akadēmiskā maģistra studiju programmas</c:v>
                      </c:pt>
                      <c:pt idx="4">
                        <c:v>2.līm. profes. augstākās izglītības pamatstudiju progr. (prof. bakalaurs)</c:v>
                      </c:pt>
                      <c:pt idx="5">
                        <c:v>Akadēmiskā bakalaura studiju programmas</c:v>
                      </c:pt>
                      <c:pt idx="6">
                        <c:v>1.līmeņa prof.augstākās izglītības (koledžas) programmas</c:v>
                      </c:pt>
                    </c:strCache>
                  </c:strRef>
                </c:cat>
                <c:val>
                  <c:numRef>
                    <c:extLst>
                      <c:ext uri="{02D57815-91ED-43cb-92C2-25804820EDAC}">
                        <c15:formulaRef>
                          <c15:sqref>progr_pa_limeniem!$D$13:$D$19</c15:sqref>
                        </c15:formulaRef>
                      </c:ext>
                    </c:extLst>
                    <c:numCache>
                      <c:formatCode>General</c:formatCode>
                      <c:ptCount val="7"/>
                    </c:numCache>
                  </c:numRef>
                </c:val>
              </c15:ser>
            </c15:filteredBarSeries>
          </c:ext>
        </c:extLst>
      </c:barChart>
      <c:catAx>
        <c:axId val="196948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6949392"/>
        <c:crosses val="autoZero"/>
        <c:auto val="1"/>
        <c:lblAlgn val="ctr"/>
        <c:lblOffset val="100"/>
        <c:noMultiLvlLbl val="0"/>
      </c:catAx>
      <c:valAx>
        <c:axId val="196949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6948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stud_skaits_2007!$M$28</c:f>
              <c:strCache>
                <c:ptCount val="1"/>
                <c:pt idx="0">
                  <c:v>Kopā</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stud_skaits_2007!$N$27:$R$27</c:f>
              <c:strCache>
                <c:ptCount val="5"/>
                <c:pt idx="0">
                  <c:v>2007/2008</c:v>
                </c:pt>
                <c:pt idx="1">
                  <c:v>2009/2010</c:v>
                </c:pt>
                <c:pt idx="2">
                  <c:v>2011/2012</c:v>
                </c:pt>
                <c:pt idx="3">
                  <c:v>2013/2014</c:v>
                </c:pt>
                <c:pt idx="4">
                  <c:v>2015/2016</c:v>
                </c:pt>
              </c:strCache>
            </c:strRef>
          </c:cat>
          <c:val>
            <c:numRef>
              <c:f>stud_skaits_2007!$N$28:$R$28</c:f>
              <c:numCache>
                <c:formatCode>General</c:formatCode>
                <c:ptCount val="5"/>
                <c:pt idx="0">
                  <c:v>6252</c:v>
                </c:pt>
                <c:pt idx="1">
                  <c:v>6235</c:v>
                </c:pt>
                <c:pt idx="2">
                  <c:v>6058</c:v>
                </c:pt>
                <c:pt idx="3">
                  <c:v>6066</c:v>
                </c:pt>
                <c:pt idx="4">
                  <c:v>6239</c:v>
                </c:pt>
              </c:numCache>
            </c:numRef>
          </c:val>
          <c:smooth val="0"/>
        </c:ser>
        <c:ser>
          <c:idx val="1"/>
          <c:order val="1"/>
          <c:tx>
            <c:strRef>
              <c:f>stud_skaits_2007!$M$29</c:f>
              <c:strCache>
                <c:ptCount val="1"/>
                <c:pt idx="0">
                  <c:v>Pamatstudijas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stud_skaits_2007!$N$27:$R$27</c:f>
              <c:strCache>
                <c:ptCount val="5"/>
                <c:pt idx="0">
                  <c:v>2007/2008</c:v>
                </c:pt>
                <c:pt idx="1">
                  <c:v>2009/2010</c:v>
                </c:pt>
                <c:pt idx="2">
                  <c:v>2011/2012</c:v>
                </c:pt>
                <c:pt idx="3">
                  <c:v>2013/2014</c:v>
                </c:pt>
                <c:pt idx="4">
                  <c:v>2015/2016</c:v>
                </c:pt>
              </c:strCache>
            </c:strRef>
          </c:cat>
          <c:val>
            <c:numRef>
              <c:f>stud_skaits_2007!$N$29:$R$29</c:f>
              <c:numCache>
                <c:formatCode>General</c:formatCode>
                <c:ptCount val="5"/>
                <c:pt idx="0">
                  <c:v>4664</c:v>
                </c:pt>
                <c:pt idx="1">
                  <c:v>4672</c:v>
                </c:pt>
                <c:pt idx="2">
                  <c:v>4322</c:v>
                </c:pt>
                <c:pt idx="3">
                  <c:v>4368</c:v>
                </c:pt>
                <c:pt idx="4">
                  <c:v>4528</c:v>
                </c:pt>
              </c:numCache>
            </c:numRef>
          </c:val>
          <c:smooth val="0"/>
        </c:ser>
        <c:ser>
          <c:idx val="2"/>
          <c:order val="2"/>
          <c:tx>
            <c:strRef>
              <c:f>stud_skaits_2007!$M$30</c:f>
              <c:strCache>
                <c:ptCount val="1"/>
                <c:pt idx="0">
                  <c:v>Augstākā līmeņa studijas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stud_skaits_2007!$N$27:$R$27</c:f>
              <c:strCache>
                <c:ptCount val="5"/>
                <c:pt idx="0">
                  <c:v>2007/2008</c:v>
                </c:pt>
                <c:pt idx="1">
                  <c:v>2009/2010</c:v>
                </c:pt>
                <c:pt idx="2">
                  <c:v>2011/2012</c:v>
                </c:pt>
                <c:pt idx="3">
                  <c:v>2013/2014</c:v>
                </c:pt>
                <c:pt idx="4">
                  <c:v>2015/2016</c:v>
                </c:pt>
              </c:strCache>
            </c:strRef>
          </c:cat>
          <c:val>
            <c:numRef>
              <c:f>stud_skaits_2007!$N$30:$R$30</c:f>
              <c:numCache>
                <c:formatCode>General</c:formatCode>
                <c:ptCount val="5"/>
                <c:pt idx="0">
                  <c:v>1588</c:v>
                </c:pt>
                <c:pt idx="1">
                  <c:v>1563</c:v>
                </c:pt>
                <c:pt idx="2">
                  <c:v>1736</c:v>
                </c:pt>
                <c:pt idx="3">
                  <c:v>1698</c:v>
                </c:pt>
                <c:pt idx="4">
                  <c:v>1711</c:v>
                </c:pt>
              </c:numCache>
            </c:numRef>
          </c:val>
          <c:smooth val="0"/>
        </c:ser>
        <c:dLbls>
          <c:showLegendKey val="0"/>
          <c:showVal val="1"/>
          <c:showCatName val="0"/>
          <c:showSerName val="0"/>
          <c:showPercent val="0"/>
          <c:showBubbleSize val="0"/>
        </c:dLbls>
        <c:smooth val="0"/>
        <c:axId val="196944688"/>
        <c:axId val="196946256"/>
      </c:lineChart>
      <c:catAx>
        <c:axId val="19694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6946256"/>
        <c:crosses val="autoZero"/>
        <c:auto val="1"/>
        <c:lblAlgn val="ctr"/>
        <c:lblOffset val="100"/>
        <c:noMultiLvlLbl val="0"/>
      </c:catAx>
      <c:valAx>
        <c:axId val="19694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6944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'stud_skaita dinamika'!$M$50</c:f>
              <c:strCache>
                <c:ptCount val="1"/>
                <c:pt idx="0">
                  <c:v>Kopā</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dinamika'!$N$49:$R$49</c:f>
              <c:strCache>
                <c:ptCount val="5"/>
                <c:pt idx="0">
                  <c:v>2007/2008</c:v>
                </c:pt>
                <c:pt idx="1">
                  <c:v>2009/2010</c:v>
                </c:pt>
                <c:pt idx="2">
                  <c:v>2011/2012</c:v>
                </c:pt>
                <c:pt idx="3">
                  <c:v>2013/2014</c:v>
                </c:pt>
                <c:pt idx="4">
                  <c:v>2015/2016</c:v>
                </c:pt>
              </c:strCache>
            </c:strRef>
          </c:cat>
          <c:val>
            <c:numRef>
              <c:f>'stud_skaita dinamika'!$N$50:$R$50</c:f>
              <c:numCache>
                <c:formatCode>General</c:formatCode>
                <c:ptCount val="5"/>
                <c:pt idx="0">
                  <c:v>12128</c:v>
                </c:pt>
                <c:pt idx="1">
                  <c:v>12217</c:v>
                </c:pt>
                <c:pt idx="2">
                  <c:v>12331</c:v>
                </c:pt>
                <c:pt idx="3">
                  <c:v>12225</c:v>
                </c:pt>
                <c:pt idx="4">
                  <c:v>12003</c:v>
                </c:pt>
              </c:numCache>
            </c:numRef>
          </c:val>
          <c:smooth val="0"/>
        </c:ser>
        <c:ser>
          <c:idx val="1"/>
          <c:order val="1"/>
          <c:tx>
            <c:strRef>
              <c:f>'stud_skaita dinamika'!$M$51</c:f>
              <c:strCache>
                <c:ptCount val="1"/>
                <c:pt idx="0">
                  <c:v>Pamatstudijas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dinamika'!$N$49:$R$49</c:f>
              <c:strCache>
                <c:ptCount val="5"/>
                <c:pt idx="0">
                  <c:v>2007/2008</c:v>
                </c:pt>
                <c:pt idx="1">
                  <c:v>2009/2010</c:v>
                </c:pt>
                <c:pt idx="2">
                  <c:v>2011/2012</c:v>
                </c:pt>
                <c:pt idx="3">
                  <c:v>2013/2014</c:v>
                </c:pt>
                <c:pt idx="4">
                  <c:v>2015/2016</c:v>
                </c:pt>
              </c:strCache>
            </c:strRef>
          </c:cat>
          <c:val>
            <c:numRef>
              <c:f>'stud_skaita dinamika'!$N$51:$R$51</c:f>
              <c:numCache>
                <c:formatCode>General</c:formatCode>
                <c:ptCount val="5"/>
                <c:pt idx="0">
                  <c:v>10163</c:v>
                </c:pt>
                <c:pt idx="1">
                  <c:v>10239</c:v>
                </c:pt>
                <c:pt idx="2">
                  <c:v>10063</c:v>
                </c:pt>
                <c:pt idx="3">
                  <c:v>9844</c:v>
                </c:pt>
                <c:pt idx="4">
                  <c:v>9561</c:v>
                </c:pt>
              </c:numCache>
            </c:numRef>
          </c:val>
          <c:smooth val="0"/>
        </c:ser>
        <c:ser>
          <c:idx val="2"/>
          <c:order val="2"/>
          <c:tx>
            <c:strRef>
              <c:f>'stud_skaita dinamika'!$M$52</c:f>
              <c:strCache>
                <c:ptCount val="1"/>
                <c:pt idx="0">
                  <c:v>Augstākā līmeņa studijas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dinamika'!$N$49:$R$49</c:f>
              <c:strCache>
                <c:ptCount val="5"/>
                <c:pt idx="0">
                  <c:v>2007/2008</c:v>
                </c:pt>
                <c:pt idx="1">
                  <c:v>2009/2010</c:v>
                </c:pt>
                <c:pt idx="2">
                  <c:v>2011/2012</c:v>
                </c:pt>
                <c:pt idx="3">
                  <c:v>2013/2014</c:v>
                </c:pt>
                <c:pt idx="4">
                  <c:v>2015/2016</c:v>
                </c:pt>
              </c:strCache>
            </c:strRef>
          </c:cat>
          <c:val>
            <c:numRef>
              <c:f>'stud_skaita dinamika'!$N$52:$R$52</c:f>
              <c:numCache>
                <c:formatCode>General</c:formatCode>
                <c:ptCount val="5"/>
                <c:pt idx="0">
                  <c:v>1965</c:v>
                </c:pt>
                <c:pt idx="1">
                  <c:v>1978</c:v>
                </c:pt>
                <c:pt idx="2">
                  <c:v>2268</c:v>
                </c:pt>
                <c:pt idx="3">
                  <c:v>2381</c:v>
                </c:pt>
                <c:pt idx="4">
                  <c:v>2442</c:v>
                </c:pt>
              </c:numCache>
            </c:numRef>
          </c:val>
          <c:smooth val="0"/>
        </c:ser>
        <c:dLbls>
          <c:showLegendKey val="0"/>
          <c:showVal val="1"/>
          <c:showCatName val="0"/>
          <c:showSerName val="0"/>
          <c:showPercent val="0"/>
          <c:showBubbleSize val="0"/>
        </c:dLbls>
        <c:smooth val="0"/>
        <c:axId val="477067576"/>
        <c:axId val="477067968"/>
      </c:lineChart>
      <c:catAx>
        <c:axId val="477067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7067968"/>
        <c:crosses val="autoZero"/>
        <c:auto val="1"/>
        <c:lblAlgn val="ctr"/>
        <c:lblOffset val="100"/>
        <c:noMultiLvlLbl val="0"/>
      </c:catAx>
      <c:valAx>
        <c:axId val="47706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7067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'stud_skaita dinamika'!$C$95</c:f>
              <c:strCache>
                <c:ptCount val="1"/>
                <c:pt idx="0">
                  <c:v>Augstākā līmeņa studijas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dinamika'!$D$94:$H$94</c:f>
              <c:strCache>
                <c:ptCount val="5"/>
                <c:pt idx="0">
                  <c:v>2007/2008</c:v>
                </c:pt>
                <c:pt idx="1">
                  <c:v>2009/2010</c:v>
                </c:pt>
                <c:pt idx="2">
                  <c:v>2011/2012</c:v>
                </c:pt>
                <c:pt idx="3">
                  <c:v>2013/2014</c:v>
                </c:pt>
                <c:pt idx="4">
                  <c:v>2015/2016</c:v>
                </c:pt>
              </c:strCache>
            </c:strRef>
          </c:cat>
          <c:val>
            <c:numRef>
              <c:f>'stud_skaita dinamika'!$D$95:$H$95</c:f>
              <c:numCache>
                <c:formatCode>General</c:formatCode>
                <c:ptCount val="5"/>
                <c:pt idx="0">
                  <c:v>122</c:v>
                </c:pt>
                <c:pt idx="1">
                  <c:v>173</c:v>
                </c:pt>
                <c:pt idx="2">
                  <c:v>183</c:v>
                </c:pt>
                <c:pt idx="3">
                  <c:v>163</c:v>
                </c:pt>
                <c:pt idx="4">
                  <c:v>487</c:v>
                </c:pt>
              </c:numCache>
            </c:numRef>
          </c:val>
          <c:smooth val="0"/>
        </c:ser>
        <c:ser>
          <c:idx val="1"/>
          <c:order val="1"/>
          <c:tx>
            <c:strRef>
              <c:f>'stud_skaita dinamika'!$C$96</c:f>
              <c:strCache>
                <c:ptCount val="1"/>
                <c:pt idx="0">
                  <c:v>Pamatstudijas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dinamika'!$D$94:$H$94</c:f>
              <c:strCache>
                <c:ptCount val="5"/>
                <c:pt idx="0">
                  <c:v>2007/2008</c:v>
                </c:pt>
                <c:pt idx="1">
                  <c:v>2009/2010</c:v>
                </c:pt>
                <c:pt idx="2">
                  <c:v>2011/2012</c:v>
                </c:pt>
                <c:pt idx="3">
                  <c:v>2013/2014</c:v>
                </c:pt>
                <c:pt idx="4">
                  <c:v>2015/2016</c:v>
                </c:pt>
              </c:strCache>
            </c:strRef>
          </c:cat>
          <c:val>
            <c:numRef>
              <c:f>'stud_skaita dinamika'!$D$96:$H$96</c:f>
              <c:numCache>
                <c:formatCode>General</c:formatCode>
                <c:ptCount val="5"/>
                <c:pt idx="0">
                  <c:v>1174</c:v>
                </c:pt>
                <c:pt idx="1">
                  <c:v>1009</c:v>
                </c:pt>
                <c:pt idx="2">
                  <c:v>1007</c:v>
                </c:pt>
                <c:pt idx="3">
                  <c:v>1167</c:v>
                </c:pt>
                <c:pt idx="4">
                  <c:v>803</c:v>
                </c:pt>
              </c:numCache>
            </c:numRef>
          </c:val>
          <c:smooth val="0"/>
        </c:ser>
        <c:ser>
          <c:idx val="2"/>
          <c:order val="2"/>
          <c:tx>
            <c:strRef>
              <c:f>'stud_skaita dinamika'!$C$97</c:f>
              <c:strCache>
                <c:ptCount val="1"/>
                <c:pt idx="0">
                  <c:v>Kopā</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dinamika'!$D$94:$H$94</c:f>
              <c:strCache>
                <c:ptCount val="5"/>
                <c:pt idx="0">
                  <c:v>2007/2008</c:v>
                </c:pt>
                <c:pt idx="1">
                  <c:v>2009/2010</c:v>
                </c:pt>
                <c:pt idx="2">
                  <c:v>2011/2012</c:v>
                </c:pt>
                <c:pt idx="3">
                  <c:v>2013/2014</c:v>
                </c:pt>
                <c:pt idx="4">
                  <c:v>2015/2016</c:v>
                </c:pt>
              </c:strCache>
            </c:strRef>
          </c:cat>
          <c:val>
            <c:numRef>
              <c:f>'stud_skaita dinamika'!$D$97:$H$97</c:f>
              <c:numCache>
                <c:formatCode>General</c:formatCode>
                <c:ptCount val="5"/>
                <c:pt idx="0">
                  <c:v>1296</c:v>
                </c:pt>
                <c:pt idx="1">
                  <c:v>1182</c:v>
                </c:pt>
                <c:pt idx="2">
                  <c:v>1190</c:v>
                </c:pt>
                <c:pt idx="3">
                  <c:v>1330</c:v>
                </c:pt>
                <c:pt idx="4">
                  <c:v>1290</c:v>
                </c:pt>
              </c:numCache>
            </c:numRef>
          </c:val>
          <c:smooth val="0"/>
        </c:ser>
        <c:dLbls>
          <c:showLegendKey val="0"/>
          <c:showVal val="1"/>
          <c:showCatName val="0"/>
          <c:showSerName val="0"/>
          <c:showPercent val="0"/>
          <c:showBubbleSize val="0"/>
        </c:dLbls>
        <c:smooth val="0"/>
        <c:axId val="477070320"/>
        <c:axId val="477064048"/>
      </c:lineChart>
      <c:catAx>
        <c:axId val="47707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7064048"/>
        <c:crosses val="autoZero"/>
        <c:auto val="1"/>
        <c:lblAlgn val="ctr"/>
        <c:lblOffset val="100"/>
        <c:noMultiLvlLbl val="0"/>
      </c:catAx>
      <c:valAx>
        <c:axId val="47706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7070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stud_skaits_2007!$M$6</c:f>
              <c:strCache>
                <c:ptCount val="1"/>
                <c:pt idx="0">
                  <c:v>Kopā</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stud_skaits_2007!$N$5:$R$5</c:f>
              <c:strCache>
                <c:ptCount val="5"/>
                <c:pt idx="0">
                  <c:v>2007/2008</c:v>
                </c:pt>
                <c:pt idx="1">
                  <c:v>2009/2010</c:v>
                </c:pt>
                <c:pt idx="2">
                  <c:v>2011/2012</c:v>
                </c:pt>
                <c:pt idx="3">
                  <c:v>2013/2014</c:v>
                </c:pt>
                <c:pt idx="4">
                  <c:v>2015/2016</c:v>
                </c:pt>
              </c:strCache>
            </c:strRef>
          </c:cat>
          <c:val>
            <c:numRef>
              <c:f>stud_skaits_2007!$N$6:$R$6</c:f>
              <c:numCache>
                <c:formatCode>General</c:formatCode>
                <c:ptCount val="5"/>
                <c:pt idx="0">
                  <c:v>4210</c:v>
                </c:pt>
                <c:pt idx="1">
                  <c:v>4257</c:v>
                </c:pt>
                <c:pt idx="2">
                  <c:v>4081</c:v>
                </c:pt>
                <c:pt idx="3">
                  <c:v>3793</c:v>
                </c:pt>
                <c:pt idx="4">
                  <c:v>3381</c:v>
                </c:pt>
              </c:numCache>
            </c:numRef>
          </c:val>
          <c:smooth val="0"/>
        </c:ser>
        <c:ser>
          <c:idx val="1"/>
          <c:order val="1"/>
          <c:tx>
            <c:strRef>
              <c:f>stud_skaits_2007!$M$7</c:f>
              <c:strCache>
                <c:ptCount val="1"/>
                <c:pt idx="0">
                  <c:v>Pamatstudijas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stud_skaits_2007!$N$5:$R$5</c:f>
              <c:strCache>
                <c:ptCount val="5"/>
                <c:pt idx="0">
                  <c:v>2007/2008</c:v>
                </c:pt>
                <c:pt idx="1">
                  <c:v>2009/2010</c:v>
                </c:pt>
                <c:pt idx="2">
                  <c:v>2011/2012</c:v>
                </c:pt>
                <c:pt idx="3">
                  <c:v>2013/2014</c:v>
                </c:pt>
                <c:pt idx="4">
                  <c:v>2015/2016</c:v>
                </c:pt>
              </c:strCache>
            </c:strRef>
          </c:cat>
          <c:val>
            <c:numRef>
              <c:f>stud_skaits_2007!$N$7:$R$7</c:f>
              <c:numCache>
                <c:formatCode>General</c:formatCode>
                <c:ptCount val="5"/>
                <c:pt idx="0">
                  <c:v>3649</c:v>
                </c:pt>
                <c:pt idx="1">
                  <c:v>3693</c:v>
                </c:pt>
                <c:pt idx="2">
                  <c:v>3474</c:v>
                </c:pt>
                <c:pt idx="3">
                  <c:v>3147</c:v>
                </c:pt>
                <c:pt idx="4">
                  <c:v>2734</c:v>
                </c:pt>
              </c:numCache>
            </c:numRef>
          </c:val>
          <c:smooth val="0"/>
        </c:ser>
        <c:ser>
          <c:idx val="2"/>
          <c:order val="2"/>
          <c:tx>
            <c:strRef>
              <c:f>stud_skaits_2007!$M$8</c:f>
              <c:strCache>
                <c:ptCount val="1"/>
                <c:pt idx="0">
                  <c:v>Augstākā līmeņa studijas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stud_skaits_2007!$N$5:$R$5</c:f>
              <c:strCache>
                <c:ptCount val="5"/>
                <c:pt idx="0">
                  <c:v>2007/2008</c:v>
                </c:pt>
                <c:pt idx="1">
                  <c:v>2009/2010</c:v>
                </c:pt>
                <c:pt idx="2">
                  <c:v>2011/2012</c:v>
                </c:pt>
                <c:pt idx="3">
                  <c:v>2013/2014</c:v>
                </c:pt>
                <c:pt idx="4">
                  <c:v>2015/2016</c:v>
                </c:pt>
              </c:strCache>
            </c:strRef>
          </c:cat>
          <c:val>
            <c:numRef>
              <c:f>stud_skaits_2007!$N$8:$R$8</c:f>
              <c:numCache>
                <c:formatCode>General</c:formatCode>
                <c:ptCount val="5"/>
                <c:pt idx="0">
                  <c:v>561</c:v>
                </c:pt>
                <c:pt idx="1">
                  <c:v>564</c:v>
                </c:pt>
                <c:pt idx="2">
                  <c:v>607</c:v>
                </c:pt>
                <c:pt idx="3">
                  <c:v>646</c:v>
                </c:pt>
                <c:pt idx="4">
                  <c:v>647</c:v>
                </c:pt>
              </c:numCache>
            </c:numRef>
          </c:val>
          <c:smooth val="0"/>
        </c:ser>
        <c:dLbls>
          <c:showLegendKey val="0"/>
          <c:showVal val="1"/>
          <c:showCatName val="0"/>
          <c:showSerName val="0"/>
          <c:showPercent val="0"/>
          <c:showBubbleSize val="0"/>
        </c:dLbls>
        <c:smooth val="0"/>
        <c:axId val="477068752"/>
        <c:axId val="477066008"/>
      </c:lineChart>
      <c:catAx>
        <c:axId val="47706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7066008"/>
        <c:crosses val="autoZero"/>
        <c:auto val="1"/>
        <c:lblAlgn val="ctr"/>
        <c:lblOffset val="100"/>
        <c:noMultiLvlLbl val="0"/>
      </c:catAx>
      <c:valAx>
        <c:axId val="477066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7068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'stud_skaita dinamika'!$M$85</c:f>
              <c:strCache>
                <c:ptCount val="1"/>
                <c:pt idx="0">
                  <c:v>Kopā</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dinamika'!$N$84:$R$84</c:f>
              <c:strCache>
                <c:ptCount val="5"/>
                <c:pt idx="0">
                  <c:v>2007/2008</c:v>
                </c:pt>
                <c:pt idx="1">
                  <c:v>2009/2010</c:v>
                </c:pt>
                <c:pt idx="2">
                  <c:v>2011/2012</c:v>
                </c:pt>
                <c:pt idx="3">
                  <c:v>2013/2014</c:v>
                </c:pt>
                <c:pt idx="4">
                  <c:v>2015/2016</c:v>
                </c:pt>
              </c:strCache>
            </c:strRef>
          </c:cat>
          <c:val>
            <c:numRef>
              <c:f>'stud_skaita dinamika'!$N$85:$R$85</c:f>
              <c:numCache>
                <c:formatCode>General</c:formatCode>
                <c:ptCount val="5"/>
                <c:pt idx="0">
                  <c:v>4506</c:v>
                </c:pt>
                <c:pt idx="1">
                  <c:v>4714</c:v>
                </c:pt>
                <c:pt idx="2">
                  <c:v>6033</c:v>
                </c:pt>
                <c:pt idx="3">
                  <c:v>7017</c:v>
                </c:pt>
                <c:pt idx="4">
                  <c:v>7585</c:v>
                </c:pt>
              </c:numCache>
            </c:numRef>
          </c:val>
          <c:smooth val="0"/>
        </c:ser>
        <c:ser>
          <c:idx val="1"/>
          <c:order val="1"/>
          <c:tx>
            <c:strRef>
              <c:f>'stud_skaita dinamika'!$M$86</c:f>
              <c:strCache>
                <c:ptCount val="1"/>
                <c:pt idx="0">
                  <c:v>Pamatstudijas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dinamika'!$N$84:$R$84</c:f>
              <c:strCache>
                <c:ptCount val="5"/>
                <c:pt idx="0">
                  <c:v>2007/2008</c:v>
                </c:pt>
                <c:pt idx="1">
                  <c:v>2009/2010</c:v>
                </c:pt>
                <c:pt idx="2">
                  <c:v>2011/2012</c:v>
                </c:pt>
                <c:pt idx="3">
                  <c:v>2013/2014</c:v>
                </c:pt>
                <c:pt idx="4">
                  <c:v>2015/2016</c:v>
                </c:pt>
              </c:strCache>
            </c:strRef>
          </c:cat>
          <c:val>
            <c:numRef>
              <c:f>'stud_skaita dinamika'!$N$86:$R$86</c:f>
              <c:numCache>
                <c:formatCode>General</c:formatCode>
                <c:ptCount val="5"/>
                <c:pt idx="0">
                  <c:v>3402</c:v>
                </c:pt>
                <c:pt idx="1">
                  <c:v>3663</c:v>
                </c:pt>
                <c:pt idx="2">
                  <c:v>4623</c:v>
                </c:pt>
                <c:pt idx="3">
                  <c:v>5471</c:v>
                </c:pt>
                <c:pt idx="4">
                  <c:v>5191</c:v>
                </c:pt>
              </c:numCache>
            </c:numRef>
          </c:val>
          <c:smooth val="0"/>
        </c:ser>
        <c:ser>
          <c:idx val="2"/>
          <c:order val="2"/>
          <c:tx>
            <c:strRef>
              <c:f>'stud_skaita dinamika'!$M$87</c:f>
              <c:strCache>
                <c:ptCount val="1"/>
                <c:pt idx="0">
                  <c:v>Augstākā līmeņa studijas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'stud_skaita dinamika'!$N$84:$R$84</c:f>
              <c:strCache>
                <c:ptCount val="5"/>
                <c:pt idx="0">
                  <c:v>2007/2008</c:v>
                </c:pt>
                <c:pt idx="1">
                  <c:v>2009/2010</c:v>
                </c:pt>
                <c:pt idx="2">
                  <c:v>2011/2012</c:v>
                </c:pt>
                <c:pt idx="3">
                  <c:v>2013/2014</c:v>
                </c:pt>
                <c:pt idx="4">
                  <c:v>2015/2016</c:v>
                </c:pt>
              </c:strCache>
            </c:strRef>
          </c:cat>
          <c:val>
            <c:numRef>
              <c:f>'stud_skaita dinamika'!$N$87:$R$87</c:f>
              <c:numCache>
                <c:formatCode>General</c:formatCode>
                <c:ptCount val="5"/>
                <c:pt idx="0">
                  <c:v>1104</c:v>
                </c:pt>
                <c:pt idx="1">
                  <c:v>1051</c:v>
                </c:pt>
                <c:pt idx="2">
                  <c:v>1410</c:v>
                </c:pt>
                <c:pt idx="3">
                  <c:v>1546</c:v>
                </c:pt>
                <c:pt idx="4">
                  <c:v>2394</c:v>
                </c:pt>
              </c:numCache>
            </c:numRef>
          </c:val>
          <c:smooth val="0"/>
        </c:ser>
        <c:dLbls>
          <c:showLegendKey val="0"/>
          <c:showVal val="1"/>
          <c:showCatName val="0"/>
          <c:showSerName val="0"/>
          <c:showPercent val="0"/>
          <c:showBubbleSize val="0"/>
        </c:dLbls>
        <c:smooth val="0"/>
        <c:axId val="477066792"/>
        <c:axId val="135167576"/>
      </c:lineChart>
      <c:catAx>
        <c:axId val="477066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167576"/>
        <c:crosses val="autoZero"/>
        <c:auto val="1"/>
        <c:lblAlgn val="ctr"/>
        <c:lblOffset val="100"/>
        <c:noMultiLvlLbl val="0"/>
      </c:catAx>
      <c:valAx>
        <c:axId val="135167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7066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0.47767</cdr:x>
      <cdr:y>0.61864</cdr:y>
    </cdr:from>
    <cdr:to>
      <cdr:x>0.62136</cdr:x>
      <cdr:y>0.74294</cdr:y>
    </cdr:to>
    <cdr:sp macro="" textlink="">
      <cdr:nvSpPr>
        <cdr:cNvPr id="2" name="TextBox 1"/>
        <cdr:cNvSpPr txBox="1"/>
      </cdr:nvSpPr>
      <cdr:spPr>
        <a:xfrm xmlns:a="http://schemas.openxmlformats.org/drawingml/2006/main">
          <a:off x="2343151" y="2085975"/>
          <a:ext cx="704850" cy="419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43 %</a:t>
          </a:r>
        </a:p>
      </cdr:txBody>
    </cdr:sp>
  </cdr:relSizeAnchor>
  <cdr:relSizeAnchor xmlns:cdr="http://schemas.openxmlformats.org/drawingml/2006/chartDrawing">
    <cdr:from>
      <cdr:x>0.56117</cdr:x>
      <cdr:y>0.26836</cdr:y>
    </cdr:from>
    <cdr:to>
      <cdr:x>0.70874</cdr:x>
      <cdr:y>0.41243</cdr:y>
    </cdr:to>
    <cdr:sp macro="" textlink="">
      <cdr:nvSpPr>
        <cdr:cNvPr id="3" name="TextBox 2"/>
        <cdr:cNvSpPr txBox="1"/>
      </cdr:nvSpPr>
      <cdr:spPr>
        <a:xfrm xmlns:a="http://schemas.openxmlformats.org/drawingml/2006/main">
          <a:off x="2752726" y="904875"/>
          <a:ext cx="723900" cy="485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23 %</a:t>
          </a:r>
        </a:p>
      </cdr:txBody>
    </cdr:sp>
  </cdr:relSizeAnchor>
  <cdr:relSizeAnchor xmlns:cdr="http://schemas.openxmlformats.org/drawingml/2006/chartDrawing">
    <cdr:from>
      <cdr:x>0.28445</cdr:x>
      <cdr:y>0.49153</cdr:y>
    </cdr:from>
    <cdr:to>
      <cdr:x>0.39442</cdr:x>
      <cdr:y>0.59322</cdr:y>
    </cdr:to>
    <cdr:sp macro="" textlink="">
      <cdr:nvSpPr>
        <cdr:cNvPr id="4" name="TextBox 3"/>
        <cdr:cNvSpPr txBox="1"/>
      </cdr:nvSpPr>
      <cdr:spPr>
        <a:xfrm xmlns:a="http://schemas.openxmlformats.org/drawingml/2006/main">
          <a:off x="1360105" y="1315592"/>
          <a:ext cx="525845" cy="2721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13 %</a:t>
          </a:r>
        </a:p>
      </cdr:txBody>
    </cdr:sp>
  </cdr:relSizeAnchor>
  <cdr:relSizeAnchor xmlns:cdr="http://schemas.openxmlformats.org/drawingml/2006/chartDrawing">
    <cdr:from>
      <cdr:x>0.30362</cdr:x>
      <cdr:y>0.29661</cdr:y>
    </cdr:from>
    <cdr:to>
      <cdr:x>0.4376</cdr:x>
      <cdr:y>0.39266</cdr:y>
    </cdr:to>
    <cdr:sp macro="" textlink="">
      <cdr:nvSpPr>
        <cdr:cNvPr id="5" name="TextBox 4"/>
        <cdr:cNvSpPr txBox="1"/>
      </cdr:nvSpPr>
      <cdr:spPr>
        <a:xfrm xmlns:a="http://schemas.openxmlformats.org/drawingml/2006/main">
          <a:off x="1451767" y="793884"/>
          <a:ext cx="640632" cy="257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13 %</a:t>
          </a:r>
        </a:p>
      </cdr:txBody>
    </cdr:sp>
  </cdr:relSizeAnchor>
  <cdr:relSizeAnchor xmlns:cdr="http://schemas.openxmlformats.org/drawingml/2006/chartDrawing">
    <cdr:from>
      <cdr:x>0.39836</cdr:x>
      <cdr:y>0.16531</cdr:y>
    </cdr:from>
    <cdr:to>
      <cdr:x>0.48379</cdr:x>
      <cdr:y>0.27548</cdr:y>
    </cdr:to>
    <cdr:sp macro="" textlink="">
      <cdr:nvSpPr>
        <cdr:cNvPr id="6" name="TextBox 5"/>
        <cdr:cNvSpPr txBox="1"/>
      </cdr:nvSpPr>
      <cdr:spPr>
        <a:xfrm xmlns:a="http://schemas.openxmlformats.org/drawingml/2006/main">
          <a:off x="1904789" y="442449"/>
          <a:ext cx="408488" cy="2948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4%</a:t>
          </a:r>
        </a:p>
      </cdr:txBody>
    </cdr:sp>
  </cdr:relSizeAnchor>
  <cdr:relSizeAnchor xmlns:cdr="http://schemas.openxmlformats.org/drawingml/2006/chartDrawing">
    <cdr:from>
      <cdr:x>0.4466</cdr:x>
      <cdr:y>0.15819</cdr:y>
    </cdr:from>
    <cdr:to>
      <cdr:x>0.5301</cdr:x>
      <cdr:y>0.22316</cdr:y>
    </cdr:to>
    <cdr:sp macro="" textlink="">
      <cdr:nvSpPr>
        <cdr:cNvPr id="7" name="TextBox 6"/>
        <cdr:cNvSpPr txBox="1"/>
      </cdr:nvSpPr>
      <cdr:spPr>
        <a:xfrm xmlns:a="http://schemas.openxmlformats.org/drawingml/2006/main">
          <a:off x="2190750" y="533400"/>
          <a:ext cx="4095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4%</a:t>
          </a:r>
        </a:p>
      </cdr:txBody>
    </cdr:sp>
  </cdr:relSizeAnchor>
</c:userShapes>
</file>

<file path=word/drawings/drawing2.xml><?xml version="1.0" encoding="utf-8"?>
<c:userShapes xmlns:c="http://schemas.openxmlformats.org/drawingml/2006/chart">
  <cdr:relSizeAnchor xmlns:cdr="http://schemas.openxmlformats.org/drawingml/2006/chartDrawing">
    <cdr:from>
      <cdr:x>0.31025</cdr:x>
      <cdr:y>0.557</cdr:y>
    </cdr:from>
    <cdr:to>
      <cdr:x>0.3155</cdr:x>
      <cdr:y>0.66475</cdr:y>
    </cdr:to>
    <cdr:sp macro="" textlink="">
      <cdr:nvSpPr>
        <cdr:cNvPr id="1028" name="Text Box 4"/>
        <cdr:cNvSpPr txBox="1">
          <a:spLocks xmlns:a="http://schemas.openxmlformats.org/drawingml/2006/main" noChangeArrowheads="1"/>
        </cdr:cNvSpPr>
      </cdr:nvSpPr>
      <cdr:spPr bwMode="auto">
        <a:xfrm xmlns:a="http://schemas.openxmlformats.org/drawingml/2006/main">
          <a:off x="1717700" y="1147405"/>
          <a:ext cx="28904" cy="20976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drawings/drawing3.xml><?xml version="1.0" encoding="utf-8"?>
<c:userShapes xmlns:c="http://schemas.openxmlformats.org/drawingml/2006/chart">
  <cdr:relSizeAnchor xmlns:cdr="http://schemas.openxmlformats.org/drawingml/2006/chartDrawing">
    <cdr:from>
      <cdr:x>0.56083</cdr:x>
      <cdr:y>0.68314</cdr:y>
    </cdr:from>
    <cdr:to>
      <cdr:x>0.73583</cdr:x>
      <cdr:y>0.80894</cdr:y>
    </cdr:to>
    <cdr:sp macro="" textlink="">
      <cdr:nvSpPr>
        <cdr:cNvPr id="2" name="TextBox 1"/>
        <cdr:cNvSpPr txBox="1"/>
      </cdr:nvSpPr>
      <cdr:spPr>
        <a:xfrm xmlns:a="http://schemas.openxmlformats.org/drawingml/2006/main">
          <a:off x="2751081" y="2238375"/>
          <a:ext cx="858441" cy="4121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30%</a:t>
          </a:r>
        </a:p>
      </cdr:txBody>
    </cdr:sp>
  </cdr:relSizeAnchor>
  <cdr:relSizeAnchor xmlns:cdr="http://schemas.openxmlformats.org/drawingml/2006/chartDrawing">
    <cdr:from>
      <cdr:x>0.3487</cdr:x>
      <cdr:y>0.6657</cdr:y>
    </cdr:from>
    <cdr:to>
      <cdr:x>0.44289</cdr:x>
      <cdr:y>0.79353</cdr:y>
    </cdr:to>
    <cdr:sp macro="" textlink="">
      <cdr:nvSpPr>
        <cdr:cNvPr id="3" name="TextBox 2"/>
        <cdr:cNvSpPr txBox="1"/>
      </cdr:nvSpPr>
      <cdr:spPr>
        <a:xfrm xmlns:a="http://schemas.openxmlformats.org/drawingml/2006/main">
          <a:off x="1710504" y="2181224"/>
          <a:ext cx="462038" cy="4188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12%</a:t>
          </a:r>
        </a:p>
      </cdr:txBody>
    </cdr:sp>
  </cdr:relSizeAnchor>
  <cdr:relSizeAnchor xmlns:cdr="http://schemas.openxmlformats.org/drawingml/2006/chartDrawing">
    <cdr:from>
      <cdr:x>0.28886</cdr:x>
      <cdr:y>0.49884</cdr:y>
    </cdr:from>
    <cdr:to>
      <cdr:x>0.42914</cdr:x>
      <cdr:y>0.62827</cdr:y>
    </cdr:to>
    <cdr:sp macro="" textlink="">
      <cdr:nvSpPr>
        <cdr:cNvPr id="4" name="TextBox 3"/>
        <cdr:cNvSpPr txBox="1"/>
      </cdr:nvSpPr>
      <cdr:spPr>
        <a:xfrm xmlns:a="http://schemas.openxmlformats.org/drawingml/2006/main">
          <a:off x="1502234" y="1430192"/>
          <a:ext cx="729547" cy="371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12%</a:t>
          </a:r>
        </a:p>
      </cdr:txBody>
    </cdr:sp>
  </cdr:relSizeAnchor>
  <cdr:relSizeAnchor xmlns:cdr="http://schemas.openxmlformats.org/drawingml/2006/chartDrawing">
    <cdr:from>
      <cdr:x>0.29659</cdr:x>
      <cdr:y>0.29738</cdr:y>
    </cdr:from>
    <cdr:to>
      <cdr:x>0.43687</cdr:x>
      <cdr:y>0.43606</cdr:y>
    </cdr:to>
    <cdr:sp macro="" textlink="">
      <cdr:nvSpPr>
        <cdr:cNvPr id="5" name="TextBox 4"/>
        <cdr:cNvSpPr txBox="1"/>
      </cdr:nvSpPr>
      <cdr:spPr>
        <a:xfrm xmlns:a="http://schemas.openxmlformats.org/drawingml/2006/main">
          <a:off x="1409701" y="919164"/>
          <a:ext cx="666750"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15%</a:t>
          </a:r>
        </a:p>
      </cdr:txBody>
    </cdr:sp>
  </cdr:relSizeAnchor>
  <cdr:relSizeAnchor xmlns:cdr="http://schemas.openxmlformats.org/drawingml/2006/chartDrawing">
    <cdr:from>
      <cdr:x>0.57715</cdr:x>
      <cdr:y>0.2265</cdr:y>
    </cdr:from>
    <cdr:to>
      <cdr:x>0.70341</cdr:x>
      <cdr:y>0.39599</cdr:y>
    </cdr:to>
    <cdr:sp macro="" textlink="">
      <cdr:nvSpPr>
        <cdr:cNvPr id="6" name="TextBox 5"/>
        <cdr:cNvSpPr txBox="1"/>
      </cdr:nvSpPr>
      <cdr:spPr>
        <a:xfrm xmlns:a="http://schemas.openxmlformats.org/drawingml/2006/main">
          <a:off x="2743201" y="700089"/>
          <a:ext cx="600075" cy="523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15%</a:t>
          </a:r>
        </a:p>
      </cdr:txBody>
    </cdr:sp>
  </cdr:relSizeAnchor>
  <cdr:relSizeAnchor xmlns:cdr="http://schemas.openxmlformats.org/drawingml/2006/chartDrawing">
    <cdr:from>
      <cdr:x>0.65331</cdr:x>
      <cdr:y>0.40832</cdr:y>
    </cdr:from>
    <cdr:to>
      <cdr:x>0.7475</cdr:x>
      <cdr:y>0.48844</cdr:y>
    </cdr:to>
    <cdr:sp macro="" textlink="">
      <cdr:nvSpPr>
        <cdr:cNvPr id="7" name="TextBox 6"/>
        <cdr:cNvSpPr txBox="1"/>
      </cdr:nvSpPr>
      <cdr:spPr>
        <a:xfrm xmlns:a="http://schemas.openxmlformats.org/drawingml/2006/main">
          <a:off x="3105151" y="1262064"/>
          <a:ext cx="4476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3%</a:t>
          </a:r>
        </a:p>
      </cdr:txBody>
    </cdr:sp>
  </cdr:relSizeAnchor>
  <cdr:relSizeAnchor xmlns:cdr="http://schemas.openxmlformats.org/drawingml/2006/chartDrawing">
    <cdr:from>
      <cdr:x>0.41553</cdr:x>
      <cdr:y>0.17103</cdr:y>
    </cdr:from>
    <cdr:to>
      <cdr:x>0.51456</cdr:x>
      <cdr:y>0.30354</cdr:y>
    </cdr:to>
    <cdr:sp macro="" textlink="">
      <cdr:nvSpPr>
        <cdr:cNvPr id="8" name="TextBox 7"/>
        <cdr:cNvSpPr txBox="1"/>
      </cdr:nvSpPr>
      <cdr:spPr>
        <a:xfrm xmlns:a="http://schemas.openxmlformats.org/drawingml/2006/main">
          <a:off x="2038351" y="528639"/>
          <a:ext cx="485775"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7%</a:t>
          </a:r>
        </a:p>
      </cdr:txBody>
    </cdr:sp>
  </cdr:relSizeAnchor>
  <cdr:relSizeAnchor xmlns:cdr="http://schemas.openxmlformats.org/drawingml/2006/chartDrawing">
    <cdr:from>
      <cdr:x>0.51068</cdr:x>
      <cdr:y>0.17411</cdr:y>
    </cdr:from>
    <cdr:to>
      <cdr:x>0.59417</cdr:x>
      <cdr:y>0.26656</cdr:y>
    </cdr:to>
    <cdr:sp macro="" textlink="">
      <cdr:nvSpPr>
        <cdr:cNvPr id="9" name="TextBox 8"/>
        <cdr:cNvSpPr txBox="1"/>
      </cdr:nvSpPr>
      <cdr:spPr>
        <a:xfrm xmlns:a="http://schemas.openxmlformats.org/drawingml/2006/main">
          <a:off x="2505076" y="538164"/>
          <a:ext cx="4095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solidFill>
                <a:schemeClr val="bg1"/>
              </a:solidFill>
            </a:rPr>
            <a:t>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de xmlns="0403aeb7-10dd-41a9-8f8e-1fc0ec5546a5">29.09.2016_8AK_(IZM_811)</Sede>
    <Kom xmlns="0403aeb7-10dd-41a9-8f8e-1fc0ec5546a5">8.Izglītības, prasmju un mūžizglītības prioritārā virziena apakškomiteja</Kom>
    <kartiba xmlns="0403aeb7-10dd-41a9-8f8e-1fc0ec5546a5">236</kartiba>
    <Apraksts xmlns="0403aeb7-10dd-41a9-8f8e-1fc0ec5546a5">Sākotnējais novērtējums</Aprakst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CF9F3-B808-496F-8C32-70B252FC2CCA}">
  <ds:schemaRefs>
    <ds:schemaRef ds:uri="http://schemas.microsoft.com/sharepoint/v3/contenttype/forms"/>
  </ds:schemaRefs>
</ds:datastoreItem>
</file>

<file path=customXml/itemProps2.xml><?xml version="1.0" encoding="utf-8"?>
<ds:datastoreItem xmlns:ds="http://schemas.openxmlformats.org/officeDocument/2006/customXml" ds:itemID="{BF889597-B7BB-435E-A301-28DE9C9A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B819D-1845-4FAC-8EF1-6E9A3C4567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403aeb7-10dd-41a9-8f8e-1fc0ec5546a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23FD5A3-D6B1-4A45-88EA-49C08DBD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78517</Words>
  <Characters>44755</Characters>
  <Application>Microsoft Office Word</Application>
  <DocSecurity>0</DocSecurity>
  <Lines>372</Lines>
  <Paragraphs>246</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123026</CharactersWithSpaces>
  <SharedDoc>false</SharedDoc>
  <HLinks>
    <vt:vector size="258" baseType="variant">
      <vt:variant>
        <vt:i4>2687076</vt:i4>
      </vt:variant>
      <vt:variant>
        <vt:i4>144</vt:i4>
      </vt:variant>
      <vt:variant>
        <vt:i4>0</vt:i4>
      </vt:variant>
      <vt:variant>
        <vt:i4>5</vt:i4>
      </vt:variant>
      <vt:variant>
        <vt:lpwstr>http://likumi.lv/ta/id/267199-komercdarbibas-atbalsta-kontroles-likums</vt:lpwstr>
      </vt:variant>
      <vt:variant>
        <vt:lpwstr/>
      </vt:variant>
      <vt:variant>
        <vt:i4>4915215</vt:i4>
      </vt:variant>
      <vt:variant>
        <vt:i4>141</vt:i4>
      </vt:variant>
      <vt:variant>
        <vt:i4>0</vt:i4>
      </vt:variant>
      <vt:variant>
        <vt:i4>5</vt:i4>
      </vt:variant>
      <vt:variant>
        <vt:lpwstr>http://likumi.lv/doc.php?id=267471</vt:lpwstr>
      </vt:variant>
      <vt:variant>
        <vt:lpwstr>p20</vt:lpwstr>
      </vt:variant>
      <vt:variant>
        <vt:i4>589848</vt:i4>
      </vt:variant>
      <vt:variant>
        <vt:i4>138</vt:i4>
      </vt:variant>
      <vt:variant>
        <vt:i4>0</vt:i4>
      </vt:variant>
      <vt:variant>
        <vt:i4>5</vt:i4>
      </vt:variant>
      <vt:variant>
        <vt:lpwstr>http://eur-lex.europa.eu/eli/reg/2013/1303?locale=LV</vt:lpwstr>
      </vt:variant>
      <vt:variant>
        <vt:lpwstr/>
      </vt:variant>
      <vt:variant>
        <vt:i4>589848</vt:i4>
      </vt:variant>
      <vt:variant>
        <vt:i4>135</vt:i4>
      </vt:variant>
      <vt:variant>
        <vt:i4>0</vt:i4>
      </vt:variant>
      <vt:variant>
        <vt:i4>5</vt:i4>
      </vt:variant>
      <vt:variant>
        <vt:lpwstr>http://eur-lex.europa.eu/eli/reg/2013/1303?locale=LV</vt:lpwstr>
      </vt:variant>
      <vt:variant>
        <vt:lpwstr/>
      </vt:variant>
      <vt:variant>
        <vt:i4>4718607</vt:i4>
      </vt:variant>
      <vt:variant>
        <vt:i4>132</vt:i4>
      </vt:variant>
      <vt:variant>
        <vt:i4>0</vt:i4>
      </vt:variant>
      <vt:variant>
        <vt:i4>5</vt:i4>
      </vt:variant>
      <vt:variant>
        <vt:lpwstr>http://likumi.lv/doc.php?id=267471</vt:lpwstr>
      </vt:variant>
      <vt:variant>
        <vt:lpwstr>p10</vt:lpwstr>
      </vt:variant>
      <vt:variant>
        <vt:i4>4718607</vt:i4>
      </vt:variant>
      <vt:variant>
        <vt:i4>129</vt:i4>
      </vt:variant>
      <vt:variant>
        <vt:i4>0</vt:i4>
      </vt:variant>
      <vt:variant>
        <vt:i4>5</vt:i4>
      </vt:variant>
      <vt:variant>
        <vt:lpwstr>http://likumi.lv/doc.php?id=267471</vt:lpwstr>
      </vt:variant>
      <vt:variant>
        <vt:lpwstr>p11</vt:lpwstr>
      </vt:variant>
      <vt:variant>
        <vt:i4>589848</vt:i4>
      </vt:variant>
      <vt:variant>
        <vt:i4>126</vt:i4>
      </vt:variant>
      <vt:variant>
        <vt:i4>0</vt:i4>
      </vt:variant>
      <vt:variant>
        <vt:i4>5</vt:i4>
      </vt:variant>
      <vt:variant>
        <vt:lpwstr>http://eur-lex.europa.eu/eli/reg/2013/1303?locale=LV</vt:lpwstr>
      </vt:variant>
      <vt:variant>
        <vt:lpwstr/>
      </vt:variant>
      <vt:variant>
        <vt:i4>589848</vt:i4>
      </vt:variant>
      <vt:variant>
        <vt:i4>123</vt:i4>
      </vt:variant>
      <vt:variant>
        <vt:i4>0</vt:i4>
      </vt:variant>
      <vt:variant>
        <vt:i4>5</vt:i4>
      </vt:variant>
      <vt:variant>
        <vt:lpwstr>http://eur-lex.europa.eu/eli/reg/2013/1303?locale=LV</vt:lpwstr>
      </vt:variant>
      <vt:variant>
        <vt:lpwstr/>
      </vt:variant>
      <vt:variant>
        <vt:i4>589848</vt:i4>
      </vt:variant>
      <vt:variant>
        <vt:i4>120</vt:i4>
      </vt:variant>
      <vt:variant>
        <vt:i4>0</vt:i4>
      </vt:variant>
      <vt:variant>
        <vt:i4>5</vt:i4>
      </vt:variant>
      <vt:variant>
        <vt:lpwstr>http://eur-lex.europa.eu/eli/reg/2013/1303?locale=LV</vt:lpwstr>
      </vt:variant>
      <vt:variant>
        <vt:lpwstr/>
      </vt:variant>
      <vt:variant>
        <vt:i4>2687076</vt:i4>
      </vt:variant>
      <vt:variant>
        <vt:i4>117</vt:i4>
      </vt:variant>
      <vt:variant>
        <vt:i4>0</vt:i4>
      </vt:variant>
      <vt:variant>
        <vt:i4>5</vt:i4>
      </vt:variant>
      <vt:variant>
        <vt:lpwstr>http://likumi.lv/ta/id/267199-komercdarbibas-atbalsta-kontroles-likums</vt:lpwstr>
      </vt:variant>
      <vt:variant>
        <vt:lpwstr/>
      </vt:variant>
      <vt:variant>
        <vt:i4>4718607</vt:i4>
      </vt:variant>
      <vt:variant>
        <vt:i4>114</vt:i4>
      </vt:variant>
      <vt:variant>
        <vt:i4>0</vt:i4>
      </vt:variant>
      <vt:variant>
        <vt:i4>5</vt:i4>
      </vt:variant>
      <vt:variant>
        <vt:lpwstr>http://likumi.lv/doc.php?id=267471</vt:lpwstr>
      </vt:variant>
      <vt:variant>
        <vt:lpwstr>p12</vt:lpwstr>
      </vt:variant>
      <vt:variant>
        <vt:i4>589848</vt:i4>
      </vt:variant>
      <vt:variant>
        <vt:i4>111</vt:i4>
      </vt:variant>
      <vt:variant>
        <vt:i4>0</vt:i4>
      </vt:variant>
      <vt:variant>
        <vt:i4>5</vt:i4>
      </vt:variant>
      <vt:variant>
        <vt:lpwstr>http://eur-lex.europa.eu/eli/reg/2013/1303?locale=LV</vt:lpwstr>
      </vt:variant>
      <vt:variant>
        <vt:lpwstr/>
      </vt:variant>
      <vt:variant>
        <vt:i4>589848</vt:i4>
      </vt:variant>
      <vt:variant>
        <vt:i4>108</vt:i4>
      </vt:variant>
      <vt:variant>
        <vt:i4>0</vt:i4>
      </vt:variant>
      <vt:variant>
        <vt:i4>5</vt:i4>
      </vt:variant>
      <vt:variant>
        <vt:lpwstr>http://eur-lex.europa.eu/eli/reg/2013/1303?locale=LV</vt:lpwstr>
      </vt:variant>
      <vt:variant>
        <vt:lpwstr/>
      </vt:variant>
      <vt:variant>
        <vt:i4>5046287</vt:i4>
      </vt:variant>
      <vt:variant>
        <vt:i4>105</vt:i4>
      </vt:variant>
      <vt:variant>
        <vt:i4>0</vt:i4>
      </vt:variant>
      <vt:variant>
        <vt:i4>5</vt:i4>
      </vt:variant>
      <vt:variant>
        <vt:lpwstr>http://likumi.lv/doc.php?id=267471</vt:lpwstr>
      </vt:variant>
      <vt:variant>
        <vt:lpwstr>p4</vt:lpwstr>
      </vt:variant>
      <vt:variant>
        <vt:i4>4915215</vt:i4>
      </vt:variant>
      <vt:variant>
        <vt:i4>102</vt:i4>
      </vt:variant>
      <vt:variant>
        <vt:i4>0</vt:i4>
      </vt:variant>
      <vt:variant>
        <vt:i4>5</vt:i4>
      </vt:variant>
      <vt:variant>
        <vt:lpwstr>http://likumi.lv/doc.php?id=267471</vt:lpwstr>
      </vt:variant>
      <vt:variant>
        <vt:lpwstr>p20</vt:lpwstr>
      </vt:variant>
      <vt:variant>
        <vt:i4>5308459</vt:i4>
      </vt:variant>
      <vt:variant>
        <vt:i4>99</vt:i4>
      </vt:variant>
      <vt:variant>
        <vt:i4>0</vt:i4>
      </vt:variant>
      <vt:variant>
        <vt:i4>5</vt:i4>
      </vt:variant>
      <vt:variant>
        <vt:lpwstr>http://www.malnava.lv/index.php?option=com_content&amp;task=view&amp;id=335&amp;Itemid=72</vt:lpwstr>
      </vt:variant>
      <vt:variant>
        <vt:lpwstr/>
      </vt:variant>
      <vt:variant>
        <vt:i4>5177363</vt:i4>
      </vt:variant>
      <vt:variant>
        <vt:i4>96</vt:i4>
      </vt:variant>
      <vt:variant>
        <vt:i4>0</vt:i4>
      </vt:variant>
      <vt:variant>
        <vt:i4>5</vt:i4>
      </vt:variant>
      <vt:variant>
        <vt:lpwstr>http://www.malnava.lv/images/dokumenti/kpfi projekts malnava.pdf</vt:lpwstr>
      </vt:variant>
      <vt:variant>
        <vt:lpwstr/>
      </vt:variant>
      <vt:variant>
        <vt:i4>29</vt:i4>
      </vt:variant>
      <vt:variant>
        <vt:i4>93</vt:i4>
      </vt:variant>
      <vt:variant>
        <vt:i4>0</vt:i4>
      </vt:variant>
      <vt:variant>
        <vt:i4>5</vt:i4>
      </vt:variant>
      <vt:variant>
        <vt:lpwstr>http://eur-lex.europa.eu/eli/reg/1999/1260?locale=LV</vt:lpwstr>
      </vt:variant>
      <vt:variant>
        <vt:lpwstr/>
      </vt:variant>
      <vt:variant>
        <vt:i4>720917</vt:i4>
      </vt:variant>
      <vt:variant>
        <vt:i4>90</vt:i4>
      </vt:variant>
      <vt:variant>
        <vt:i4>0</vt:i4>
      </vt:variant>
      <vt:variant>
        <vt:i4>5</vt:i4>
      </vt:variant>
      <vt:variant>
        <vt:lpwstr>http://eur-lex.europa.eu/eli/reg/2006/1083?locale=LV</vt:lpwstr>
      </vt:variant>
      <vt:variant>
        <vt:lpwstr/>
      </vt:variant>
      <vt:variant>
        <vt:i4>720957</vt:i4>
      </vt:variant>
      <vt:variant>
        <vt:i4>87</vt:i4>
      </vt:variant>
      <vt:variant>
        <vt:i4>0</vt:i4>
      </vt:variant>
      <vt:variant>
        <vt:i4>5</vt:i4>
      </vt:variant>
      <vt:variant>
        <vt:lpwstr>http://lvceli.lv/lat/valsts_celu_tikls/celu_tikli/valsts_celu_tikls</vt:lpwstr>
      </vt:variant>
      <vt:variant>
        <vt:lpwstr/>
      </vt:variant>
      <vt:variant>
        <vt:i4>1245241</vt:i4>
      </vt:variant>
      <vt:variant>
        <vt:i4>80</vt:i4>
      </vt:variant>
      <vt:variant>
        <vt:i4>0</vt:i4>
      </vt:variant>
      <vt:variant>
        <vt:i4>5</vt:i4>
      </vt:variant>
      <vt:variant>
        <vt:lpwstr/>
      </vt:variant>
      <vt:variant>
        <vt:lpwstr>_Toc409448080</vt:lpwstr>
      </vt:variant>
      <vt:variant>
        <vt:i4>1835065</vt:i4>
      </vt:variant>
      <vt:variant>
        <vt:i4>74</vt:i4>
      </vt:variant>
      <vt:variant>
        <vt:i4>0</vt:i4>
      </vt:variant>
      <vt:variant>
        <vt:i4>5</vt:i4>
      </vt:variant>
      <vt:variant>
        <vt:lpwstr/>
      </vt:variant>
      <vt:variant>
        <vt:lpwstr>_Toc409448079</vt:lpwstr>
      </vt:variant>
      <vt:variant>
        <vt:i4>1835065</vt:i4>
      </vt:variant>
      <vt:variant>
        <vt:i4>68</vt:i4>
      </vt:variant>
      <vt:variant>
        <vt:i4>0</vt:i4>
      </vt:variant>
      <vt:variant>
        <vt:i4>5</vt:i4>
      </vt:variant>
      <vt:variant>
        <vt:lpwstr/>
      </vt:variant>
      <vt:variant>
        <vt:lpwstr>_Toc409448078</vt:lpwstr>
      </vt:variant>
      <vt:variant>
        <vt:i4>1835065</vt:i4>
      </vt:variant>
      <vt:variant>
        <vt:i4>62</vt:i4>
      </vt:variant>
      <vt:variant>
        <vt:i4>0</vt:i4>
      </vt:variant>
      <vt:variant>
        <vt:i4>5</vt:i4>
      </vt:variant>
      <vt:variant>
        <vt:lpwstr/>
      </vt:variant>
      <vt:variant>
        <vt:lpwstr>_Toc409448077</vt:lpwstr>
      </vt:variant>
      <vt:variant>
        <vt:i4>1835065</vt:i4>
      </vt:variant>
      <vt:variant>
        <vt:i4>56</vt:i4>
      </vt:variant>
      <vt:variant>
        <vt:i4>0</vt:i4>
      </vt:variant>
      <vt:variant>
        <vt:i4>5</vt:i4>
      </vt:variant>
      <vt:variant>
        <vt:lpwstr/>
      </vt:variant>
      <vt:variant>
        <vt:lpwstr>_Toc409448076</vt:lpwstr>
      </vt:variant>
      <vt:variant>
        <vt:i4>1835065</vt:i4>
      </vt:variant>
      <vt:variant>
        <vt:i4>50</vt:i4>
      </vt:variant>
      <vt:variant>
        <vt:i4>0</vt:i4>
      </vt:variant>
      <vt:variant>
        <vt:i4>5</vt:i4>
      </vt:variant>
      <vt:variant>
        <vt:lpwstr/>
      </vt:variant>
      <vt:variant>
        <vt:lpwstr>_Toc409448075</vt:lpwstr>
      </vt:variant>
      <vt:variant>
        <vt:i4>1835065</vt:i4>
      </vt:variant>
      <vt:variant>
        <vt:i4>44</vt:i4>
      </vt:variant>
      <vt:variant>
        <vt:i4>0</vt:i4>
      </vt:variant>
      <vt:variant>
        <vt:i4>5</vt:i4>
      </vt:variant>
      <vt:variant>
        <vt:lpwstr/>
      </vt:variant>
      <vt:variant>
        <vt:lpwstr>_Toc409448074</vt:lpwstr>
      </vt:variant>
      <vt:variant>
        <vt:i4>1835065</vt:i4>
      </vt:variant>
      <vt:variant>
        <vt:i4>38</vt:i4>
      </vt:variant>
      <vt:variant>
        <vt:i4>0</vt:i4>
      </vt:variant>
      <vt:variant>
        <vt:i4>5</vt:i4>
      </vt:variant>
      <vt:variant>
        <vt:lpwstr/>
      </vt:variant>
      <vt:variant>
        <vt:lpwstr>_Toc409448073</vt:lpwstr>
      </vt:variant>
      <vt:variant>
        <vt:i4>1835065</vt:i4>
      </vt:variant>
      <vt:variant>
        <vt:i4>32</vt:i4>
      </vt:variant>
      <vt:variant>
        <vt:i4>0</vt:i4>
      </vt:variant>
      <vt:variant>
        <vt:i4>5</vt:i4>
      </vt:variant>
      <vt:variant>
        <vt:lpwstr/>
      </vt:variant>
      <vt:variant>
        <vt:lpwstr>_Toc409448072</vt:lpwstr>
      </vt:variant>
      <vt:variant>
        <vt:i4>1835065</vt:i4>
      </vt:variant>
      <vt:variant>
        <vt:i4>26</vt:i4>
      </vt:variant>
      <vt:variant>
        <vt:i4>0</vt:i4>
      </vt:variant>
      <vt:variant>
        <vt:i4>5</vt:i4>
      </vt:variant>
      <vt:variant>
        <vt:lpwstr/>
      </vt:variant>
      <vt:variant>
        <vt:lpwstr>_Toc409448071</vt:lpwstr>
      </vt:variant>
      <vt:variant>
        <vt:i4>1835065</vt:i4>
      </vt:variant>
      <vt:variant>
        <vt:i4>20</vt:i4>
      </vt:variant>
      <vt:variant>
        <vt:i4>0</vt:i4>
      </vt:variant>
      <vt:variant>
        <vt:i4>5</vt:i4>
      </vt:variant>
      <vt:variant>
        <vt:lpwstr/>
      </vt:variant>
      <vt:variant>
        <vt:lpwstr>_Toc409448070</vt:lpwstr>
      </vt:variant>
      <vt:variant>
        <vt:i4>1900601</vt:i4>
      </vt:variant>
      <vt:variant>
        <vt:i4>14</vt:i4>
      </vt:variant>
      <vt:variant>
        <vt:i4>0</vt:i4>
      </vt:variant>
      <vt:variant>
        <vt:i4>5</vt:i4>
      </vt:variant>
      <vt:variant>
        <vt:lpwstr/>
      </vt:variant>
      <vt:variant>
        <vt:lpwstr>_Toc409448069</vt:lpwstr>
      </vt:variant>
      <vt:variant>
        <vt:i4>1900601</vt:i4>
      </vt:variant>
      <vt:variant>
        <vt:i4>8</vt:i4>
      </vt:variant>
      <vt:variant>
        <vt:i4>0</vt:i4>
      </vt:variant>
      <vt:variant>
        <vt:i4>5</vt:i4>
      </vt:variant>
      <vt:variant>
        <vt:lpwstr/>
      </vt:variant>
      <vt:variant>
        <vt:lpwstr>_Toc409448068</vt:lpwstr>
      </vt:variant>
      <vt:variant>
        <vt:i4>1900601</vt:i4>
      </vt:variant>
      <vt:variant>
        <vt:i4>2</vt:i4>
      </vt:variant>
      <vt:variant>
        <vt:i4>0</vt:i4>
      </vt:variant>
      <vt:variant>
        <vt:i4>5</vt:i4>
      </vt:variant>
      <vt:variant>
        <vt:lpwstr/>
      </vt:variant>
      <vt:variant>
        <vt:lpwstr>_Toc409448067</vt:lpwstr>
      </vt:variant>
      <vt:variant>
        <vt:i4>3604525</vt:i4>
      </vt:variant>
      <vt:variant>
        <vt:i4>24</vt:i4>
      </vt:variant>
      <vt:variant>
        <vt:i4>0</vt:i4>
      </vt:variant>
      <vt:variant>
        <vt:i4>5</vt:i4>
      </vt:variant>
      <vt:variant>
        <vt:lpwstr>http://komitejas.esfondi.lv/Dokumenti/Forms/AllItems.aspx?RootFolder=%2fDokumenti%2f2014%20%2d%202020%2f01%5fPagaidu%5fUK%5fmateri%c4%81li%5f%28TMC%5fmaterials%29%2f2014%2f02%5f2014%5f07%5f03%5fPagaidu%5fUK%5f%28Temporary%5fMC%29%2f02%5fPUK%5fmateri%c4%81li%5f%28TMC%5fmaterials%29&amp;FolderCTID=&amp;View=%7b891B9B05%2dE11F%2d48BB%2d8B73%2dBA7E31F29B09%7d</vt:lpwstr>
      </vt:variant>
      <vt:variant>
        <vt:lpwstr/>
      </vt:variant>
      <vt:variant>
        <vt:i4>7798838</vt:i4>
      </vt:variant>
      <vt:variant>
        <vt:i4>21</vt:i4>
      </vt:variant>
      <vt:variant>
        <vt:i4>0</vt:i4>
      </vt:variant>
      <vt:variant>
        <vt:i4>5</vt:i4>
      </vt:variant>
      <vt:variant>
        <vt:lpwstr>http://izm.izm.gov.lv/registri-statistika/statistika-augstaka.html</vt:lpwstr>
      </vt:variant>
      <vt:variant>
        <vt:lpwstr/>
      </vt:variant>
      <vt:variant>
        <vt:i4>1507380</vt:i4>
      </vt:variant>
      <vt:variant>
        <vt:i4>18</vt:i4>
      </vt:variant>
      <vt:variant>
        <vt:i4>0</vt:i4>
      </vt:variant>
      <vt:variant>
        <vt:i4>5</vt:i4>
      </vt:variant>
      <vt:variant>
        <vt:lpwstr>http://www.esfondi.lv/upload/Petijumi_un_izvertejumi/apraksti/Petijuma_izvertesanas_zinojums_31012014.pdf</vt:lpwstr>
      </vt:variant>
      <vt:variant>
        <vt:lpwstr/>
      </vt:variant>
      <vt:variant>
        <vt:i4>1507380</vt:i4>
      </vt:variant>
      <vt:variant>
        <vt:i4>15</vt:i4>
      </vt:variant>
      <vt:variant>
        <vt:i4>0</vt:i4>
      </vt:variant>
      <vt:variant>
        <vt:i4>5</vt:i4>
      </vt:variant>
      <vt:variant>
        <vt:lpwstr>http://www.esfondi.lv/upload/Petijumi_un_izvertejumi/apraksti/Petijuma_izvertesanas_zinojums_31012014.pdf</vt:lpwstr>
      </vt:variant>
      <vt:variant>
        <vt:lpwstr/>
      </vt:variant>
      <vt:variant>
        <vt:i4>4718664</vt:i4>
      </vt:variant>
      <vt:variant>
        <vt:i4>12</vt:i4>
      </vt:variant>
      <vt:variant>
        <vt:i4>0</vt:i4>
      </vt:variant>
      <vt:variant>
        <vt:i4>5</vt:i4>
      </vt:variant>
      <vt:variant>
        <vt:lpwstr>http://likumi.lv/doc.php?id=26747</vt:lpwstr>
      </vt:variant>
      <vt:variant>
        <vt:lpwstr/>
      </vt:variant>
      <vt:variant>
        <vt:i4>4718664</vt:i4>
      </vt:variant>
      <vt:variant>
        <vt:i4>9</vt:i4>
      </vt:variant>
      <vt:variant>
        <vt:i4>0</vt:i4>
      </vt:variant>
      <vt:variant>
        <vt:i4>5</vt:i4>
      </vt:variant>
      <vt:variant>
        <vt:lpwstr>http://likumi.lv/doc.php?id=26747</vt:lpwstr>
      </vt:variant>
      <vt:variant>
        <vt:lpwstr/>
      </vt:variant>
      <vt:variant>
        <vt:i4>2883647</vt:i4>
      </vt:variant>
      <vt:variant>
        <vt:i4>6</vt:i4>
      </vt:variant>
      <vt:variant>
        <vt:i4>0</vt:i4>
      </vt:variant>
      <vt:variant>
        <vt:i4>5</vt:i4>
      </vt:variant>
      <vt:variant>
        <vt:lpwstr>http://izm.izm.gov.lv/upload_file/Izglitiba/Augstaka_izglitiba/2013/IZM_koledzu_attistibas_koncepcija_310113.pdf</vt:lpwstr>
      </vt:variant>
      <vt:variant>
        <vt:lpwstr/>
      </vt:variant>
      <vt:variant>
        <vt:i4>6881332</vt:i4>
      </vt:variant>
      <vt:variant>
        <vt:i4>3</vt:i4>
      </vt:variant>
      <vt:variant>
        <vt:i4>0</vt:i4>
      </vt:variant>
      <vt:variant>
        <vt:i4>5</vt:i4>
      </vt:variant>
      <vt:variant>
        <vt:lpwstr>http://www.varam.gov.lv/in_site/tools/download.php?file=files/text/KPFI/lik//1_2010.pdf</vt:lpwstr>
      </vt:variant>
      <vt:variant>
        <vt:lpwstr/>
      </vt:variant>
      <vt:variant>
        <vt:i4>8126563</vt:i4>
      </vt:variant>
      <vt:variant>
        <vt:i4>0</vt:i4>
      </vt:variant>
      <vt:variant>
        <vt:i4>0</vt:i4>
      </vt:variant>
      <vt:variant>
        <vt:i4>5</vt:i4>
      </vt:variant>
      <vt:variant>
        <vt:lpwstr>http://esfondi.lv/upload/ISC_Izvertejuma_zinojums-FM-Final1.pdf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paplašinātais sākotnējais novērtējums</dc:subject>
  <dc:creator>Inese.kalva</dc:creator>
  <dc:description>inese.kalva@izm.gov.lv, 67047941</dc:description>
  <cp:lastModifiedBy>Vēsma Abizāre-Vagre</cp:lastModifiedBy>
  <cp:revision>6</cp:revision>
  <cp:lastPrinted>2016-09-13T08:37:00Z</cp:lastPrinted>
  <dcterms:created xsi:type="dcterms:W3CDTF">2016-11-04T07:57:00Z</dcterms:created>
  <dcterms:modified xsi:type="dcterms:W3CDTF">2016-11-09T09:27:00Z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